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ADC72">
      <w:pPr>
        <w:spacing w:before="80" w:after="80" w:line="400" w:lineRule="atLeast"/>
        <w:jc w:val="center"/>
        <w:rPr>
          <w:rFonts w:ascii="Times New Roman" w:hAnsi="Times New Roman"/>
          <w:b/>
          <w:bCs/>
          <w:color w:val="auto"/>
          <w:sz w:val="26"/>
          <w:szCs w:val="26"/>
        </w:rPr>
      </w:pPr>
      <w:r>
        <w:rPr>
          <w:rFonts w:ascii="Times New Roman" w:hAnsi="Times New Roman"/>
          <w:b/>
          <w:bCs/>
          <w:color w:val="auto"/>
          <w:sz w:val="26"/>
          <w:szCs w:val="26"/>
        </w:rPr>
        <w:t>INVESTIGATING THE IMPACT OF SELF-DIRECTED LEARNING ON THE ACADEMIC PERFORMANCE OF FOURTH-YEAR ENGLISH MAJORS AT THU DAU MOT UNIVERSITY</w:t>
      </w:r>
    </w:p>
    <w:p w14:paraId="67FCC190">
      <w:pPr>
        <w:spacing w:before="80" w:after="80" w:line="400" w:lineRule="atLeast"/>
        <w:jc w:val="center"/>
        <w:rPr>
          <w:rFonts w:ascii="Times New Roman" w:hAnsi="Times New Roman"/>
          <w:b/>
          <w:bCs/>
          <w:color w:val="auto"/>
          <w:sz w:val="26"/>
          <w:szCs w:val="26"/>
          <w:lang w:val="en-US"/>
        </w:rPr>
      </w:pPr>
      <w:r>
        <w:rPr>
          <w:rFonts w:ascii="Times New Roman" w:hAnsi="Times New Roman"/>
          <w:b/>
          <w:bCs/>
          <w:color w:val="auto"/>
          <w:sz w:val="26"/>
          <w:szCs w:val="26"/>
          <w:lang w:val="en-US"/>
        </w:rPr>
        <w:t xml:space="preserve">Duc Le, Lecturer, Institute of Foreign Language Training, Thu Dau Mot University, Ho Chi Minh City, Vietnam; </w:t>
      </w:r>
      <w:r>
        <w:rPr>
          <w:rFonts w:ascii="Times New Roman" w:hAnsi="Times New Roman"/>
          <w:b/>
          <w:bCs/>
          <w:i/>
          <w:iCs/>
          <w:color w:val="auto"/>
          <w:sz w:val="26"/>
          <w:szCs w:val="26"/>
          <w:lang w:val="en-US"/>
        </w:rPr>
        <w:t>Email: duclv@tdmu.edu.vn</w:t>
      </w:r>
    </w:p>
    <w:p w14:paraId="62D53F1A">
      <w:pPr>
        <w:pStyle w:val="2"/>
        <w:spacing w:before="80" w:line="400" w:lineRule="atLeast"/>
        <w:jc w:val="both"/>
        <w:rPr>
          <w:rFonts w:cs="Times New Roman"/>
          <w:b w:val="0"/>
          <w:bCs/>
          <w:color w:val="auto"/>
          <w:sz w:val="26"/>
          <w:szCs w:val="26"/>
          <w:lang w:val="en-US"/>
        </w:rPr>
      </w:pPr>
      <w:bookmarkStart w:id="0" w:name="_Toc197535996"/>
      <w:r>
        <w:rPr>
          <w:rFonts w:cs="Times New Roman"/>
          <w:bCs/>
          <w:color w:val="auto"/>
          <w:sz w:val="26"/>
          <w:szCs w:val="26"/>
        </w:rPr>
        <w:t>A</w:t>
      </w:r>
      <w:bookmarkEnd w:id="0"/>
      <w:r>
        <w:rPr>
          <w:rFonts w:cs="Times New Roman"/>
          <w:bCs/>
          <w:color w:val="auto"/>
          <w:sz w:val="26"/>
          <w:szCs w:val="26"/>
          <w:lang w:val="en-US"/>
        </w:rPr>
        <w:t>bstract</w:t>
      </w:r>
    </w:p>
    <w:p w14:paraId="4D1B4B80">
      <w:pPr>
        <w:spacing w:before="80" w:after="80" w:line="240" w:lineRule="auto"/>
        <w:jc w:val="both"/>
        <w:rPr>
          <w:rFonts w:ascii="Times New Roman" w:hAnsi="Times New Roman" w:cs="Times New Roman"/>
          <w:color w:val="auto"/>
          <w:sz w:val="26"/>
          <w:szCs w:val="26"/>
          <w:lang w:val="vi-VN"/>
        </w:rPr>
      </w:pPr>
      <w:r>
        <w:rPr>
          <w:rFonts w:ascii="Times New Roman" w:hAnsi="Times New Roman" w:cs="Times New Roman"/>
          <w:color w:val="auto"/>
          <w:sz w:val="26"/>
          <w:szCs w:val="26"/>
        </w:rPr>
        <w:t>The study investigates the impact of Self-Directed Learning (SDL) on the academic performance of fourth-year English majors at Thu Dau Mot University (TDMU). Rooted in Knowles’ (1975) SDL theory, the research explores how students engage in various stages of SDL</w:t>
      </w:r>
      <w:r>
        <w:rPr>
          <w:rFonts w:hint="default" w:ascii="Times New Roman" w:hAnsi="Times New Roman" w:cs="Times New Roman"/>
          <w:color w:val="auto"/>
          <w:sz w:val="26"/>
          <w:szCs w:val="26"/>
          <w:lang w:val="en-US"/>
        </w:rPr>
        <w:t xml:space="preserve"> </w:t>
      </w:r>
      <w:r>
        <w:rPr>
          <w:rFonts w:ascii="Times New Roman" w:hAnsi="Times New Roman" w:cs="Times New Roman"/>
          <w:color w:val="auto"/>
          <w:sz w:val="26"/>
          <w:szCs w:val="26"/>
        </w:rPr>
        <w:t>including diagnosing learning needs, setting goals, identifying resources, designing learning plans, and evaluating learning outcomes</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rPr>
        <w:t xml:space="preserve">and how these stages relate to academic achievement, measured by GPA. A quantitative research design was employed, using a </w:t>
      </w:r>
      <w:bookmarkStart w:id="16" w:name="_GoBack"/>
      <w:bookmarkEnd w:id="16"/>
      <w:r>
        <w:rPr>
          <w:rFonts w:ascii="Times New Roman" w:hAnsi="Times New Roman" w:cs="Times New Roman"/>
          <w:color w:val="auto"/>
          <w:sz w:val="26"/>
          <w:szCs w:val="26"/>
        </w:rPr>
        <w:t>questionnaire distributed to 94 students. The findings reveal that students demonstrate a generally high level of SDL, particularly in areas such as identifying learning resources and designing learning plans. Spearman correlation analysis indicated a weak but statistically significant positive relationship between overall SDL and GPA. Notably, goal setting, diagnosing learning needs, and designing learning plans showed the strongest correlations with academic performance. These findings suggest that fostering strategic SDL skills can enhance learning outcomes. The study concludes with pedagogical recommendations for integrating SDL into language curricula and calls for further research with more diverse samples and mixed methods to deepen understanding of SDL</w:t>
      </w:r>
      <w:r>
        <w:rPr>
          <w:rFonts w:hint="default" w:ascii="Times New Roman" w:hAnsi="Times New Roman" w:cs="Times New Roman"/>
          <w:color w:val="auto"/>
          <w:sz w:val="26"/>
          <w:szCs w:val="26"/>
          <w:lang w:val="en-US"/>
        </w:rPr>
        <w:t>’</w:t>
      </w:r>
      <w:r>
        <w:rPr>
          <w:rFonts w:ascii="Times New Roman" w:hAnsi="Times New Roman" w:cs="Times New Roman"/>
          <w:color w:val="auto"/>
          <w:sz w:val="26"/>
          <w:szCs w:val="26"/>
        </w:rPr>
        <w:t>s role in higher education.</w:t>
      </w:r>
    </w:p>
    <w:p w14:paraId="0B0ABEA6">
      <w:pPr>
        <w:spacing w:before="80" w:after="80" w:line="400" w:lineRule="atLeast"/>
        <w:ind w:firstLine="720" w:firstLineChars="0"/>
        <w:jc w:val="both"/>
        <w:rPr>
          <w:rFonts w:ascii="Times New Roman" w:hAnsi="Times New Roman" w:cs="Times New Roman"/>
          <w:i/>
          <w:iCs/>
          <w:color w:val="auto"/>
          <w:sz w:val="26"/>
          <w:szCs w:val="26"/>
          <w:lang w:val="vi-VN"/>
        </w:rPr>
      </w:pPr>
      <w:r>
        <w:rPr>
          <w:rFonts w:ascii="Times New Roman" w:hAnsi="Times New Roman" w:cs="Times New Roman"/>
          <w:b/>
          <w:bCs/>
          <w:i/>
          <w:iCs/>
          <w:color w:val="auto"/>
          <w:sz w:val="26"/>
          <w:szCs w:val="26"/>
        </w:rPr>
        <w:t>Keywords</w:t>
      </w:r>
      <w:r>
        <w:rPr>
          <w:rFonts w:ascii="Times New Roman" w:hAnsi="Times New Roman" w:cs="Times New Roman"/>
          <w:i/>
          <w:iCs/>
          <w:color w:val="auto"/>
          <w:sz w:val="26"/>
          <w:szCs w:val="26"/>
        </w:rPr>
        <w:t>:</w:t>
      </w:r>
      <w:r>
        <w:rPr>
          <w:rFonts w:ascii="Times New Roman" w:hAnsi="Times New Roman" w:cs="Times New Roman"/>
          <w:i/>
          <w:iCs/>
          <w:color w:val="auto"/>
          <w:sz w:val="26"/>
          <w:szCs w:val="26"/>
          <w:lang w:val="en-US"/>
        </w:rPr>
        <w:t xml:space="preserve"> </w:t>
      </w:r>
      <w:r>
        <w:rPr>
          <w:rFonts w:ascii="Times New Roman" w:hAnsi="Times New Roman" w:cs="Times New Roman"/>
          <w:color w:val="auto"/>
          <w:sz w:val="26"/>
          <w:szCs w:val="26"/>
          <w:lang w:val="en-US"/>
        </w:rPr>
        <w:t>s</w:t>
      </w:r>
      <w:r>
        <w:rPr>
          <w:rFonts w:ascii="Times New Roman" w:hAnsi="Times New Roman" w:cs="Times New Roman"/>
          <w:color w:val="auto"/>
          <w:sz w:val="26"/>
          <w:szCs w:val="26"/>
        </w:rPr>
        <w:t>elf-</w:t>
      </w:r>
      <w:r>
        <w:rPr>
          <w:rFonts w:ascii="Times New Roman" w:hAnsi="Times New Roman" w:cs="Times New Roman"/>
          <w:color w:val="auto"/>
          <w:sz w:val="26"/>
          <w:szCs w:val="26"/>
          <w:lang w:val="en-US"/>
        </w:rPr>
        <w:t>d</w:t>
      </w:r>
      <w:r>
        <w:rPr>
          <w:rFonts w:ascii="Times New Roman" w:hAnsi="Times New Roman" w:cs="Times New Roman"/>
          <w:color w:val="auto"/>
          <w:sz w:val="26"/>
          <w:szCs w:val="26"/>
        </w:rPr>
        <w:t xml:space="preserve">irected </w:t>
      </w:r>
      <w:r>
        <w:rPr>
          <w:rFonts w:ascii="Times New Roman" w:hAnsi="Times New Roman" w:cs="Times New Roman"/>
          <w:color w:val="auto"/>
          <w:sz w:val="26"/>
          <w:szCs w:val="26"/>
          <w:lang w:val="en-US"/>
        </w:rPr>
        <w:t>l</w:t>
      </w:r>
      <w:r>
        <w:rPr>
          <w:rFonts w:ascii="Times New Roman" w:hAnsi="Times New Roman" w:cs="Times New Roman"/>
          <w:color w:val="auto"/>
          <w:sz w:val="26"/>
          <w:szCs w:val="26"/>
        </w:rPr>
        <w:t>earning</w:t>
      </w:r>
      <w:r>
        <w:rPr>
          <w:rFonts w:ascii="Times New Roman" w:hAnsi="Times New Roman" w:cs="Times New Roman"/>
          <w:color w:val="auto"/>
          <w:sz w:val="26"/>
          <w:szCs w:val="26"/>
          <w:lang w:val="en-US"/>
        </w:rPr>
        <w:t xml:space="preserve"> (SDL)</w:t>
      </w:r>
      <w:r>
        <w:rPr>
          <w:rFonts w:ascii="Times New Roman" w:hAnsi="Times New Roman" w:cs="Times New Roman"/>
          <w:color w:val="auto"/>
          <w:sz w:val="26"/>
          <w:szCs w:val="26"/>
        </w:rPr>
        <w:t>, academic performance,</w:t>
      </w:r>
      <w:r>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rPr>
        <w:t>GPA</w:t>
      </w:r>
      <w:r>
        <w:rPr>
          <w:rFonts w:ascii="Times New Roman" w:hAnsi="Times New Roman" w:cs="Times New Roman"/>
          <w:color w:val="auto"/>
          <w:sz w:val="26"/>
          <w:szCs w:val="26"/>
          <w:lang w:val="vi-VN"/>
        </w:rPr>
        <w:t>,</w:t>
      </w:r>
      <w:r>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rPr>
        <w:t>English majors</w:t>
      </w:r>
      <w:r>
        <w:rPr>
          <w:rFonts w:ascii="Times New Roman" w:hAnsi="Times New Roman" w:cs="Times New Roman"/>
          <w:i/>
          <w:iCs/>
          <w:color w:val="auto"/>
          <w:sz w:val="26"/>
          <w:szCs w:val="26"/>
          <w:lang w:val="vi-VN"/>
        </w:rPr>
        <w:br w:type="page"/>
      </w:r>
    </w:p>
    <w:p w14:paraId="29167B3B">
      <w:pPr>
        <w:pStyle w:val="3"/>
        <w:numPr>
          <w:ilvl w:val="0"/>
          <w:numId w:val="1"/>
        </w:numPr>
        <w:jc w:val="center"/>
        <w:rPr>
          <w:color w:val="auto"/>
          <w:sz w:val="26"/>
          <w:szCs w:val="26"/>
        </w:rPr>
      </w:pPr>
      <w:bookmarkStart w:id="1" w:name="_Toc197536001"/>
      <w:r>
        <w:rPr>
          <w:color w:val="auto"/>
          <w:sz w:val="26"/>
          <w:szCs w:val="26"/>
          <w:lang w:val="en-US"/>
        </w:rPr>
        <w:t>Introduction</w:t>
      </w:r>
    </w:p>
    <w:p w14:paraId="35DAD280">
      <w:pPr>
        <w:pStyle w:val="3"/>
        <w:rPr>
          <w:i/>
          <w:iCs/>
          <w:color w:val="auto"/>
          <w:sz w:val="26"/>
          <w:szCs w:val="26"/>
        </w:rPr>
      </w:pPr>
      <w:r>
        <w:rPr>
          <w:i/>
          <w:iCs/>
          <w:color w:val="auto"/>
          <w:sz w:val="26"/>
          <w:szCs w:val="26"/>
        </w:rPr>
        <w:t>1.1.  Background to the study</w:t>
      </w:r>
      <w:bookmarkEnd w:id="1"/>
    </w:p>
    <w:p w14:paraId="250980E4">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 xml:space="preserve">In today’s globalized world, English language proficiency has become an indispensable skill for academic achievement, international collaboration, and professional success. As globalization drives the demand for multilingual and cross-cultural competencies, English majors in non-native English-speaking countries face increasing pressure to acquire not only linguistic competence but also independent learning skills to keep pace with the demands of the global workforce </w:t>
      </w:r>
      <w:r>
        <w:rPr>
          <w:rFonts w:hint="default" w:ascii="Times New Roman" w:hAnsi="Times New Roman"/>
          <w:color w:val="auto"/>
          <w:sz w:val="26"/>
          <w:szCs w:val="26"/>
          <w:lang w:val="en-US"/>
        </w:rPr>
        <w:t>(</w:t>
      </w:r>
      <w:r>
        <w:rPr>
          <w:rFonts w:ascii="Times New Roman" w:hAnsi="Times New Roman"/>
          <w:color w:val="auto"/>
          <w:sz w:val="26"/>
          <w:szCs w:val="26"/>
        </w:rPr>
        <w:t>Alisoy, 2025). However, traditional teacher-centered instructional approaches often fall short in cultivating the autonomy, problem-solving abilities, and critical thinking skills necessary for effective and sustained language learning, particularly at the tertiary level (Arboleda, Rodríguez, &amp; Iza, 2024).</w:t>
      </w:r>
    </w:p>
    <w:p w14:paraId="219F8190">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 xml:space="preserve">In response to the growing need for learner autonomy, </w:t>
      </w:r>
      <w:r>
        <w:rPr>
          <w:rFonts w:hint="default" w:ascii="Times New Roman" w:hAnsi="Times New Roman"/>
          <w:color w:val="auto"/>
          <w:sz w:val="26"/>
          <w:szCs w:val="26"/>
          <w:lang w:val="en-US"/>
        </w:rPr>
        <w:t>s</w:t>
      </w:r>
      <w:r>
        <w:rPr>
          <w:rFonts w:ascii="Times New Roman" w:hAnsi="Times New Roman"/>
          <w:color w:val="auto"/>
          <w:sz w:val="26"/>
          <w:szCs w:val="26"/>
        </w:rPr>
        <w:t>elf-</w:t>
      </w:r>
      <w:r>
        <w:rPr>
          <w:rFonts w:hint="default" w:ascii="Times New Roman" w:hAnsi="Times New Roman"/>
          <w:color w:val="auto"/>
          <w:sz w:val="26"/>
          <w:szCs w:val="26"/>
          <w:lang w:val="en-US"/>
        </w:rPr>
        <w:t>d</w:t>
      </w:r>
      <w:r>
        <w:rPr>
          <w:rFonts w:ascii="Times New Roman" w:hAnsi="Times New Roman"/>
          <w:color w:val="auto"/>
          <w:sz w:val="26"/>
          <w:szCs w:val="26"/>
        </w:rPr>
        <w:t xml:space="preserve">irected </w:t>
      </w:r>
      <w:r>
        <w:rPr>
          <w:rFonts w:hint="default" w:ascii="Times New Roman" w:hAnsi="Times New Roman"/>
          <w:color w:val="auto"/>
          <w:sz w:val="26"/>
          <w:szCs w:val="26"/>
          <w:lang w:val="en-US"/>
        </w:rPr>
        <w:t>l</w:t>
      </w:r>
      <w:r>
        <w:rPr>
          <w:rFonts w:ascii="Times New Roman" w:hAnsi="Times New Roman"/>
          <w:color w:val="auto"/>
          <w:sz w:val="26"/>
          <w:szCs w:val="26"/>
        </w:rPr>
        <w:t>earning (SDL) has emerged as a key educational paradigm in higher education. SDL emphasizes the learners</w:t>
      </w:r>
      <w:r>
        <w:rPr>
          <w:rFonts w:hint="default" w:ascii="Times New Roman" w:hAnsi="Times New Roman"/>
          <w:color w:val="auto"/>
          <w:sz w:val="26"/>
          <w:szCs w:val="26"/>
          <w:lang w:val="en-US"/>
        </w:rPr>
        <w:t>’</w:t>
      </w:r>
      <w:r>
        <w:rPr>
          <w:rFonts w:ascii="Times New Roman" w:hAnsi="Times New Roman"/>
          <w:color w:val="auto"/>
          <w:sz w:val="26"/>
          <w:szCs w:val="26"/>
        </w:rPr>
        <w:t xml:space="preserve"> active role in identifying their own learning needs, setting goals, selecting appropriate learning strategies, and evaluating outcomes. Knowles (1975), a leading figure in adult learning theory, defines SDL as a process whereby learners take the initiative, with or without the help of others, in diagnosing their learning needs, formulating goals, identifying resources, choosing and implementing strategies, and assessing the results. SDL not only promotes independence and lifelong learning but also equips learners with the </w:t>
      </w:r>
      <w:r>
        <w:rPr>
          <w:rFonts w:ascii="Times New Roman" w:hAnsi="Times New Roman"/>
          <w:color w:val="auto"/>
          <w:sz w:val="26"/>
          <w:szCs w:val="26"/>
          <w:lang w:val="en-US"/>
        </w:rPr>
        <w:t>metacognitive</w:t>
      </w:r>
      <w:r>
        <w:rPr>
          <w:rFonts w:ascii="Times New Roman" w:hAnsi="Times New Roman"/>
          <w:color w:val="auto"/>
          <w:sz w:val="26"/>
          <w:szCs w:val="26"/>
        </w:rPr>
        <w:t xml:space="preserve"> and motivational strategies needed to manage increasingly complex academic and professional tasks.</w:t>
      </w:r>
    </w:p>
    <w:p w14:paraId="7DBA3543">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In the context of language education, SDL plays a particularly significant role. Language acquisition requires sustained engagement with authentic materials, real-world application, and continual self-evaluation</w:t>
      </w:r>
      <w:r>
        <w:rPr>
          <w:rFonts w:hint="default" w:ascii="Times New Roman" w:hAnsi="Times New Roman"/>
          <w:color w:val="auto"/>
          <w:sz w:val="26"/>
          <w:szCs w:val="26"/>
          <w:lang w:val="en-US"/>
        </w:rPr>
        <w:t xml:space="preserve"> </w:t>
      </w:r>
      <w:r>
        <w:rPr>
          <w:rFonts w:ascii="Times New Roman" w:hAnsi="Times New Roman"/>
          <w:color w:val="auto"/>
          <w:sz w:val="26"/>
          <w:szCs w:val="26"/>
        </w:rPr>
        <w:t>that are difficult to achieve in highly structured, teacher-dependent environments. For English majors, particularly those in their final year of university study, the ability to engage in SDL is not merely beneficial; it is essential. SDL fosters habits of inquiry, reflection, and self-regulation that support both in-class performance and long-term language development. Despite its acknowledged importance, the implementation and impact of SDL among English majors in Vietnamese universities</w:t>
      </w:r>
      <w:r>
        <w:rPr>
          <w:rFonts w:hint="default" w:ascii="Times New Roman" w:hAnsi="Times New Roman"/>
          <w:color w:val="auto"/>
          <w:sz w:val="26"/>
          <w:szCs w:val="26"/>
          <w:lang w:val="en-US"/>
        </w:rPr>
        <w:t xml:space="preserve"> in general and at Thu Dau Mot University (TDMU) in particular </w:t>
      </w:r>
      <w:r>
        <w:rPr>
          <w:rFonts w:ascii="Times New Roman" w:hAnsi="Times New Roman"/>
          <w:color w:val="auto"/>
          <w:sz w:val="26"/>
          <w:szCs w:val="26"/>
        </w:rPr>
        <w:t>especially in the final year of study</w:t>
      </w:r>
      <w:r>
        <w:rPr>
          <w:rFonts w:hint="default" w:ascii="Times New Roman" w:hAnsi="Times New Roman"/>
          <w:color w:val="auto"/>
          <w:sz w:val="26"/>
          <w:szCs w:val="26"/>
          <w:lang w:val="en-US"/>
        </w:rPr>
        <w:t xml:space="preserve"> </w:t>
      </w:r>
      <w:r>
        <w:rPr>
          <w:rFonts w:ascii="Times New Roman" w:hAnsi="Times New Roman"/>
          <w:color w:val="auto"/>
          <w:sz w:val="26"/>
          <w:szCs w:val="26"/>
        </w:rPr>
        <w:t xml:space="preserve">remain </w:t>
      </w:r>
      <w:r>
        <w:rPr>
          <w:rFonts w:hint="default" w:ascii="Times New Roman" w:hAnsi="Times New Roman"/>
          <w:color w:val="auto"/>
          <w:sz w:val="26"/>
          <w:szCs w:val="26"/>
          <w:lang w:val="en-US"/>
        </w:rPr>
        <w:t>insufficiently investigated</w:t>
      </w:r>
      <w:r>
        <w:rPr>
          <w:rFonts w:ascii="Times New Roman" w:hAnsi="Times New Roman"/>
          <w:color w:val="auto"/>
          <w:sz w:val="26"/>
          <w:szCs w:val="26"/>
        </w:rPr>
        <w:t xml:space="preserve"> in empirical research.</w:t>
      </w:r>
    </w:p>
    <w:p w14:paraId="71D7F391">
      <w:pPr>
        <w:spacing w:before="80" w:after="80" w:line="400" w:lineRule="atLeast"/>
        <w:ind w:firstLine="567"/>
        <w:jc w:val="both"/>
        <w:rPr>
          <w:rFonts w:ascii="Times New Roman" w:hAnsi="Times New Roman"/>
          <w:color w:val="auto"/>
          <w:sz w:val="26"/>
          <w:szCs w:val="26"/>
        </w:rPr>
      </w:pPr>
    </w:p>
    <w:p w14:paraId="38B3B22E">
      <w:pPr>
        <w:spacing w:before="80" w:after="80" w:line="400" w:lineRule="atLeast"/>
        <w:jc w:val="both"/>
        <w:rPr>
          <w:rFonts w:ascii="Times New Roman" w:hAnsi="Times New Roman"/>
          <w:b/>
          <w:bCs/>
          <w:i/>
          <w:iCs/>
          <w:color w:val="auto"/>
          <w:sz w:val="26"/>
          <w:szCs w:val="26"/>
        </w:rPr>
      </w:pPr>
      <w:r>
        <w:rPr>
          <w:rFonts w:ascii="Times New Roman" w:hAnsi="Times New Roman"/>
          <w:b/>
          <w:bCs/>
          <w:i/>
          <w:iCs/>
          <w:color w:val="auto"/>
          <w:sz w:val="26"/>
          <w:szCs w:val="26"/>
          <w:lang w:val="en-US"/>
        </w:rPr>
        <w:t xml:space="preserve">1.2. </w:t>
      </w:r>
      <w:r>
        <w:rPr>
          <w:rFonts w:ascii="Times New Roman" w:hAnsi="Times New Roman"/>
          <w:b/>
          <w:bCs/>
          <w:i/>
          <w:iCs/>
          <w:color w:val="auto"/>
          <w:sz w:val="26"/>
          <w:szCs w:val="26"/>
        </w:rPr>
        <w:t>Reasons for Choosing the Topic</w:t>
      </w:r>
    </w:p>
    <w:p w14:paraId="69900814">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While numerous international studies have highlighted the positive relationship between SDL and academic achievement (Yang &amp; Jiang, 2014; Khalid, Bashir, &amp; Amin, 2020; Alotaibi, 2016), most Vietnamese research on SDL has focused on general education or specific fields such as nursing or pedagogy (Dao et al., 2023). The field of English linguistics, particularly at the advanced undergraduate level, has received limited attention. Moreover, there is a lack of research specifically targeting how senior English majors in Vietnam engage with SDL and how such engagement influences their academic performance, measured by GPA or similar indicators. This gap in the literature presents both a theoretical and practical need to investigate SDL within this learner group and educational context.</w:t>
      </w:r>
    </w:p>
    <w:p w14:paraId="0E046157">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 xml:space="preserve">Fourth-year students are at a critical </w:t>
      </w:r>
      <w:r>
        <w:rPr>
          <w:rFonts w:hint="default" w:ascii="Times New Roman" w:hAnsi="Times New Roman"/>
          <w:color w:val="auto"/>
          <w:sz w:val="26"/>
          <w:szCs w:val="26"/>
          <w:lang w:val="en-US"/>
        </w:rPr>
        <w:t>stage</w:t>
      </w:r>
      <w:r>
        <w:rPr>
          <w:rFonts w:ascii="Times New Roman" w:hAnsi="Times New Roman"/>
          <w:color w:val="auto"/>
          <w:sz w:val="26"/>
          <w:szCs w:val="26"/>
        </w:rPr>
        <w:t xml:space="preserve"> in their academic journey, where they are expected to transition from teacher-guided learning to independent knowledge construction. Understanding how they practice SDL and how it relates to their academic outcomes can provide valuable insights for curriculum designers, educators, and learners themselves. Th</w:t>
      </w:r>
      <w:r>
        <w:rPr>
          <w:rFonts w:hint="default" w:ascii="Times New Roman" w:hAnsi="Times New Roman"/>
          <w:color w:val="auto"/>
          <w:sz w:val="26"/>
          <w:szCs w:val="26"/>
          <w:lang w:val="en-US"/>
        </w:rPr>
        <w:t>e present</w:t>
      </w:r>
      <w:r>
        <w:rPr>
          <w:rFonts w:ascii="Times New Roman" w:hAnsi="Times New Roman"/>
          <w:color w:val="auto"/>
          <w:sz w:val="26"/>
          <w:szCs w:val="26"/>
        </w:rPr>
        <w:t xml:space="preserve"> study was therefore conceived to fill that empirical </w:t>
      </w:r>
      <w:r>
        <w:rPr>
          <w:rFonts w:hint="default" w:ascii="Times New Roman" w:hAnsi="Times New Roman"/>
          <w:color w:val="auto"/>
          <w:sz w:val="26"/>
          <w:szCs w:val="26"/>
          <w:lang w:val="en-US"/>
        </w:rPr>
        <w:t>gap</w:t>
      </w:r>
      <w:r>
        <w:rPr>
          <w:rFonts w:ascii="Times New Roman" w:hAnsi="Times New Roman"/>
          <w:color w:val="auto"/>
          <w:sz w:val="26"/>
          <w:szCs w:val="26"/>
        </w:rPr>
        <w:t xml:space="preserve"> and to contribute to the development of effective, student-centered pedagogical strategies in English language education in Vietnam.</w:t>
      </w:r>
    </w:p>
    <w:p w14:paraId="3E2F2DB3">
      <w:pPr>
        <w:spacing w:before="80" w:after="80" w:line="400" w:lineRule="atLeast"/>
        <w:jc w:val="both"/>
        <w:rPr>
          <w:rFonts w:ascii="Times New Roman" w:hAnsi="Times New Roman"/>
          <w:b/>
          <w:bCs/>
          <w:i/>
          <w:iCs/>
          <w:color w:val="auto"/>
          <w:sz w:val="26"/>
          <w:szCs w:val="26"/>
        </w:rPr>
      </w:pPr>
      <w:r>
        <w:rPr>
          <w:rFonts w:ascii="Times New Roman" w:hAnsi="Times New Roman"/>
          <w:b/>
          <w:bCs/>
          <w:i/>
          <w:iCs/>
          <w:color w:val="auto"/>
          <w:sz w:val="26"/>
          <w:szCs w:val="26"/>
          <w:lang w:val="en-US"/>
        </w:rPr>
        <w:t xml:space="preserve">1.3. </w:t>
      </w:r>
      <w:r>
        <w:rPr>
          <w:rFonts w:ascii="Times New Roman" w:hAnsi="Times New Roman"/>
          <w:b/>
          <w:bCs/>
          <w:i/>
          <w:iCs/>
          <w:color w:val="auto"/>
          <w:sz w:val="26"/>
          <w:szCs w:val="26"/>
        </w:rPr>
        <w:t>Objectives of the Study</w:t>
      </w:r>
    </w:p>
    <w:p w14:paraId="52266BB6">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Th</w:t>
      </w:r>
      <w:r>
        <w:rPr>
          <w:rFonts w:ascii="Times New Roman" w:hAnsi="Times New Roman"/>
          <w:color w:val="auto"/>
          <w:sz w:val="26"/>
          <w:szCs w:val="26"/>
          <w:lang w:val="en-US"/>
        </w:rPr>
        <w:t>e present</w:t>
      </w:r>
      <w:r>
        <w:rPr>
          <w:rFonts w:ascii="Times New Roman" w:hAnsi="Times New Roman"/>
          <w:color w:val="auto"/>
          <w:sz w:val="26"/>
          <w:szCs w:val="26"/>
        </w:rPr>
        <w:t xml:space="preserve"> study aims to investigate the extent to which fourth-year English majors at T</w:t>
      </w:r>
      <w:r>
        <w:rPr>
          <w:rFonts w:hint="default" w:ascii="Times New Roman" w:hAnsi="Times New Roman"/>
          <w:color w:val="auto"/>
          <w:sz w:val="26"/>
          <w:szCs w:val="26"/>
          <w:lang w:val="en-US"/>
        </w:rPr>
        <w:t>DMU</w:t>
      </w:r>
      <w:r>
        <w:rPr>
          <w:rFonts w:ascii="Times New Roman" w:hAnsi="Times New Roman"/>
          <w:color w:val="auto"/>
          <w:sz w:val="26"/>
          <w:szCs w:val="26"/>
        </w:rPr>
        <w:t xml:space="preserve"> engage in </w:t>
      </w:r>
      <w:r>
        <w:rPr>
          <w:rFonts w:hint="default" w:ascii="Times New Roman" w:hAnsi="Times New Roman"/>
          <w:color w:val="auto"/>
          <w:sz w:val="26"/>
          <w:szCs w:val="26"/>
          <w:lang w:val="en-US"/>
        </w:rPr>
        <w:t>SDL</w:t>
      </w:r>
      <w:r>
        <w:rPr>
          <w:rFonts w:ascii="Times New Roman" w:hAnsi="Times New Roman"/>
          <w:color w:val="auto"/>
          <w:sz w:val="26"/>
          <w:szCs w:val="26"/>
        </w:rPr>
        <w:t>, as well as to examine the relationship between their SDL behaviors and academic performance, as measured by their Grade Point Average (GPA). Specifically, the research seeks to:</w:t>
      </w:r>
    </w:p>
    <w:p w14:paraId="032A8B7F">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Examine the frequency and manner in which students engage in different components of the SDL process, including diagnosing learning needs, setting goals, identifying resources, designing learning plans, and evaluating learning outcomes.</w:t>
      </w:r>
    </w:p>
    <w:p w14:paraId="1ACE91E5">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Analyze the correlation between students’ self-reported SDL behaviors and their academic performance to determine whether higher levels of SDL are associated with better academic outcomes.</w:t>
      </w:r>
    </w:p>
    <w:p w14:paraId="016F72A8">
      <w:pPr>
        <w:spacing w:before="80" w:after="80" w:line="400" w:lineRule="atLeast"/>
        <w:jc w:val="both"/>
        <w:rPr>
          <w:rFonts w:ascii="Times New Roman" w:hAnsi="Times New Roman"/>
          <w:color w:val="auto"/>
          <w:sz w:val="26"/>
          <w:szCs w:val="26"/>
        </w:rPr>
      </w:pPr>
      <w:r>
        <w:rPr>
          <w:rFonts w:ascii="Times New Roman" w:hAnsi="Times New Roman"/>
          <w:b/>
          <w:bCs/>
          <w:i/>
          <w:iCs/>
          <w:color w:val="auto"/>
          <w:sz w:val="26"/>
          <w:szCs w:val="26"/>
          <w:lang w:val="en-US"/>
        </w:rPr>
        <w:t xml:space="preserve">1.4. </w:t>
      </w:r>
      <w:r>
        <w:rPr>
          <w:rFonts w:ascii="Times New Roman" w:hAnsi="Times New Roman"/>
          <w:b/>
          <w:bCs/>
          <w:i/>
          <w:iCs/>
          <w:color w:val="auto"/>
          <w:sz w:val="26"/>
          <w:szCs w:val="26"/>
        </w:rPr>
        <w:t>Research Questions</w:t>
      </w:r>
    </w:p>
    <w:p w14:paraId="3BF69BBA">
      <w:pPr>
        <w:spacing w:before="80" w:after="80" w:line="400" w:lineRule="atLeast"/>
        <w:ind w:firstLine="720"/>
        <w:jc w:val="both"/>
        <w:rPr>
          <w:rFonts w:ascii="Times New Roman" w:hAnsi="Times New Roman"/>
          <w:i/>
          <w:iCs/>
          <w:color w:val="auto"/>
          <w:sz w:val="26"/>
          <w:szCs w:val="26"/>
        </w:rPr>
      </w:pPr>
      <w:r>
        <w:rPr>
          <w:rFonts w:ascii="Times New Roman" w:hAnsi="Times New Roman"/>
          <w:i/>
          <w:iCs/>
          <w:color w:val="auto"/>
          <w:sz w:val="26"/>
          <w:szCs w:val="26"/>
          <w:lang w:val="en-US"/>
        </w:rPr>
        <w:t xml:space="preserve">1. </w:t>
      </w:r>
      <w:r>
        <w:rPr>
          <w:rFonts w:ascii="Times New Roman" w:hAnsi="Times New Roman"/>
          <w:i/>
          <w:iCs/>
          <w:color w:val="auto"/>
          <w:sz w:val="26"/>
          <w:szCs w:val="26"/>
        </w:rPr>
        <w:t xml:space="preserve">To what extent do fourth-year English linguistics students at </w:t>
      </w:r>
      <w:r>
        <w:rPr>
          <w:rFonts w:ascii="Times New Roman" w:hAnsi="Times New Roman"/>
          <w:i/>
          <w:iCs/>
          <w:color w:val="auto"/>
          <w:sz w:val="26"/>
          <w:szCs w:val="26"/>
          <w:lang w:val="en-US"/>
        </w:rPr>
        <w:t>TDMU</w:t>
      </w:r>
      <w:r>
        <w:rPr>
          <w:rFonts w:ascii="Times New Roman" w:hAnsi="Times New Roman"/>
          <w:i/>
          <w:iCs/>
          <w:color w:val="auto"/>
          <w:sz w:val="26"/>
          <w:szCs w:val="26"/>
        </w:rPr>
        <w:t xml:space="preserve"> engage in </w:t>
      </w:r>
      <w:r>
        <w:rPr>
          <w:rFonts w:ascii="Times New Roman" w:hAnsi="Times New Roman"/>
          <w:i/>
          <w:iCs/>
          <w:color w:val="auto"/>
          <w:sz w:val="26"/>
          <w:szCs w:val="26"/>
          <w:lang w:val="en-US"/>
        </w:rPr>
        <w:t>SDL</w:t>
      </w:r>
      <w:r>
        <w:rPr>
          <w:rFonts w:ascii="Times New Roman" w:hAnsi="Times New Roman"/>
          <w:i/>
          <w:iCs/>
          <w:color w:val="auto"/>
          <w:sz w:val="26"/>
          <w:szCs w:val="26"/>
        </w:rPr>
        <w:t xml:space="preserve"> processes?</w:t>
      </w:r>
    </w:p>
    <w:p w14:paraId="4CB20AED">
      <w:pPr>
        <w:spacing w:before="80" w:after="80" w:line="400" w:lineRule="atLeast"/>
        <w:ind w:firstLine="720"/>
        <w:jc w:val="both"/>
        <w:rPr>
          <w:rFonts w:ascii="Times New Roman" w:hAnsi="Times New Roman"/>
          <w:i/>
          <w:iCs/>
          <w:color w:val="auto"/>
          <w:sz w:val="26"/>
          <w:szCs w:val="26"/>
        </w:rPr>
      </w:pPr>
      <w:r>
        <w:rPr>
          <w:rFonts w:ascii="Times New Roman" w:hAnsi="Times New Roman"/>
          <w:i/>
          <w:iCs/>
          <w:color w:val="auto"/>
          <w:sz w:val="26"/>
          <w:szCs w:val="26"/>
          <w:lang w:val="en-US"/>
        </w:rPr>
        <w:t xml:space="preserve">2. </w:t>
      </w:r>
      <w:r>
        <w:rPr>
          <w:rFonts w:ascii="Times New Roman" w:hAnsi="Times New Roman"/>
          <w:i/>
          <w:iCs/>
          <w:color w:val="auto"/>
          <w:sz w:val="26"/>
          <w:szCs w:val="26"/>
        </w:rPr>
        <w:t xml:space="preserve">How does </w:t>
      </w:r>
      <w:r>
        <w:rPr>
          <w:rFonts w:ascii="Times New Roman" w:hAnsi="Times New Roman"/>
          <w:i/>
          <w:iCs/>
          <w:color w:val="auto"/>
          <w:sz w:val="26"/>
          <w:szCs w:val="26"/>
          <w:lang w:val="en-US"/>
        </w:rPr>
        <w:t>SDL</w:t>
      </w:r>
      <w:r>
        <w:rPr>
          <w:rFonts w:ascii="Times New Roman" w:hAnsi="Times New Roman"/>
          <w:i/>
          <w:iCs/>
          <w:color w:val="auto"/>
          <w:sz w:val="26"/>
          <w:szCs w:val="26"/>
        </w:rPr>
        <w:t xml:space="preserve"> impact the academic performance of these students?</w:t>
      </w:r>
    </w:p>
    <w:p w14:paraId="38B7AB5D">
      <w:pPr>
        <w:spacing w:before="80" w:after="80" w:line="400" w:lineRule="atLeast"/>
        <w:jc w:val="both"/>
        <w:rPr>
          <w:rFonts w:ascii="Times New Roman" w:hAnsi="Times New Roman"/>
          <w:b/>
          <w:bCs/>
          <w:i/>
          <w:iCs/>
          <w:color w:val="auto"/>
          <w:sz w:val="26"/>
          <w:szCs w:val="26"/>
        </w:rPr>
      </w:pPr>
      <w:r>
        <w:rPr>
          <w:rFonts w:ascii="Times New Roman" w:hAnsi="Times New Roman"/>
          <w:b/>
          <w:bCs/>
          <w:i/>
          <w:iCs/>
          <w:color w:val="auto"/>
          <w:sz w:val="26"/>
          <w:szCs w:val="26"/>
          <w:lang w:val="en-US"/>
        </w:rPr>
        <w:t xml:space="preserve">1.5. </w:t>
      </w:r>
      <w:r>
        <w:rPr>
          <w:rFonts w:ascii="Times New Roman" w:hAnsi="Times New Roman"/>
          <w:b/>
          <w:bCs/>
          <w:i/>
          <w:iCs/>
          <w:color w:val="auto"/>
          <w:sz w:val="26"/>
          <w:szCs w:val="26"/>
        </w:rPr>
        <w:t>Significance of the Study</w:t>
      </w:r>
    </w:p>
    <w:p w14:paraId="42DAC64F">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The significance of th</w:t>
      </w:r>
      <w:r>
        <w:rPr>
          <w:rFonts w:ascii="Times New Roman" w:hAnsi="Times New Roman"/>
          <w:color w:val="auto"/>
          <w:sz w:val="26"/>
          <w:szCs w:val="26"/>
          <w:lang w:val="en-US"/>
        </w:rPr>
        <w:t>e</w:t>
      </w:r>
      <w:r>
        <w:rPr>
          <w:rFonts w:ascii="Times New Roman" w:hAnsi="Times New Roman"/>
          <w:color w:val="auto"/>
          <w:sz w:val="26"/>
          <w:szCs w:val="26"/>
        </w:rPr>
        <w:t xml:space="preserve"> study lies in its potential to contribute to both theory and practice in language education and learner autonomy. First, by focusing on</w:t>
      </w:r>
      <w:r>
        <w:rPr>
          <w:rFonts w:hint="default" w:ascii="Times New Roman" w:hAnsi="Times New Roman"/>
          <w:color w:val="auto"/>
          <w:sz w:val="26"/>
          <w:szCs w:val="26"/>
          <w:lang w:val="en-US"/>
        </w:rPr>
        <w:t xml:space="preserve"> </w:t>
      </w:r>
      <w:r>
        <w:rPr>
          <w:rFonts w:ascii="Times New Roman" w:hAnsi="Times New Roman"/>
          <w:color w:val="auto"/>
          <w:sz w:val="26"/>
          <w:szCs w:val="26"/>
        </w:rPr>
        <w:t>senior English majors at a Vietnamese university</w:t>
      </w:r>
      <w:r>
        <w:rPr>
          <w:rFonts w:hint="default" w:ascii="Times New Roman" w:hAnsi="Times New Roman"/>
          <w:color w:val="auto"/>
          <w:sz w:val="26"/>
          <w:szCs w:val="26"/>
          <w:lang w:val="en-US"/>
        </w:rPr>
        <w:t xml:space="preserve">, </w:t>
      </w:r>
      <w:r>
        <w:rPr>
          <w:rFonts w:ascii="Times New Roman" w:hAnsi="Times New Roman"/>
          <w:color w:val="auto"/>
          <w:sz w:val="26"/>
          <w:szCs w:val="26"/>
        </w:rPr>
        <w:t>the study adds context-specific data to the broader field of SDL research. Second, the findings may provide actionable recommendations for integrating SDL more effectively into the English language curriculum, particularly at advanced levels of instruction. By identifying which components of SDL most strongly correlate with academic success, educators can tailor teaching strategies to emphasize those aspects, ultimately fostering more autonomous, motivated, and high-performing learners.</w:t>
      </w:r>
    </w:p>
    <w:p w14:paraId="0488EBDA">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Furthermore, the study will be beneficial to students themselves, who may gain awareness of how their self-regulated learning behaviors affect their academic outcomes. By understanding which SDL practices are most effective, students can take more responsibility for their learning, enhancing both their current academic performance and their prep</w:t>
      </w:r>
      <w:r>
        <w:rPr>
          <w:rFonts w:hint="default" w:ascii="Times New Roman" w:hAnsi="Times New Roman"/>
          <w:color w:val="auto"/>
          <w:sz w:val="26"/>
          <w:szCs w:val="26"/>
          <w:lang w:val="en-US"/>
        </w:rPr>
        <w:t>aration</w:t>
      </w:r>
      <w:r>
        <w:rPr>
          <w:rFonts w:ascii="Times New Roman" w:hAnsi="Times New Roman"/>
          <w:color w:val="auto"/>
          <w:sz w:val="26"/>
          <w:szCs w:val="26"/>
        </w:rPr>
        <w:t xml:space="preserve"> for lifelong learning and professional challenges.</w:t>
      </w:r>
    </w:p>
    <w:p w14:paraId="32D9CFD1">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 xml:space="preserve">Finally, the findings may serve as a foundation for further research, both within Vietnam and in comparable educational settings, by providing a </w:t>
      </w:r>
      <w:r>
        <w:rPr>
          <w:rFonts w:hint="default" w:ascii="Times New Roman" w:hAnsi="Times New Roman"/>
          <w:color w:val="auto"/>
          <w:sz w:val="26"/>
          <w:szCs w:val="26"/>
          <w:lang w:val="en-US"/>
        </w:rPr>
        <w:t xml:space="preserve">transferable </w:t>
      </w:r>
      <w:r>
        <w:rPr>
          <w:rFonts w:ascii="Times New Roman" w:hAnsi="Times New Roman"/>
          <w:color w:val="auto"/>
          <w:sz w:val="26"/>
          <w:szCs w:val="26"/>
        </w:rPr>
        <w:t>model for examining SDL in relation to academic performance.</w:t>
      </w:r>
    </w:p>
    <w:p w14:paraId="2E67ABE4">
      <w:pPr>
        <w:spacing w:before="80" w:after="80" w:line="400" w:lineRule="atLeast"/>
        <w:jc w:val="both"/>
        <w:rPr>
          <w:rFonts w:ascii="Times New Roman" w:hAnsi="Times New Roman"/>
          <w:b/>
          <w:bCs/>
          <w:i/>
          <w:iCs/>
          <w:color w:val="auto"/>
          <w:sz w:val="26"/>
          <w:szCs w:val="26"/>
        </w:rPr>
      </w:pPr>
      <w:r>
        <w:rPr>
          <w:rFonts w:ascii="Times New Roman" w:hAnsi="Times New Roman"/>
          <w:b/>
          <w:bCs/>
          <w:i/>
          <w:iCs/>
          <w:color w:val="auto"/>
          <w:sz w:val="26"/>
          <w:szCs w:val="26"/>
          <w:lang w:val="en-US"/>
        </w:rPr>
        <w:t xml:space="preserve">1.6. </w:t>
      </w:r>
      <w:r>
        <w:rPr>
          <w:rFonts w:ascii="Times New Roman" w:hAnsi="Times New Roman"/>
          <w:b/>
          <w:bCs/>
          <w:i/>
          <w:iCs/>
          <w:color w:val="auto"/>
          <w:sz w:val="26"/>
          <w:szCs w:val="26"/>
        </w:rPr>
        <w:t>Scope and Limitations of the Study</w:t>
      </w:r>
    </w:p>
    <w:p w14:paraId="6E219B0E">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Th</w:t>
      </w:r>
      <w:r>
        <w:rPr>
          <w:rFonts w:ascii="Times New Roman" w:hAnsi="Times New Roman"/>
          <w:color w:val="auto"/>
          <w:sz w:val="26"/>
          <w:szCs w:val="26"/>
          <w:lang w:val="en-US"/>
        </w:rPr>
        <w:t>e present</w:t>
      </w:r>
      <w:r>
        <w:rPr>
          <w:rFonts w:ascii="Times New Roman" w:hAnsi="Times New Roman"/>
          <w:color w:val="auto"/>
          <w:sz w:val="26"/>
          <w:szCs w:val="26"/>
        </w:rPr>
        <w:t xml:space="preserve"> study is confined to a specific group of</w:t>
      </w:r>
      <w:r>
        <w:rPr>
          <w:rFonts w:ascii="Times New Roman" w:hAnsi="Times New Roman"/>
          <w:color w:val="auto"/>
          <w:sz w:val="26"/>
          <w:szCs w:val="26"/>
          <w:lang w:val="en-US"/>
        </w:rPr>
        <w:t xml:space="preserve"> </w:t>
      </w:r>
      <w:r>
        <w:rPr>
          <w:rFonts w:ascii="Times New Roman" w:hAnsi="Times New Roman"/>
          <w:color w:val="auto"/>
          <w:sz w:val="26"/>
          <w:szCs w:val="26"/>
        </w:rPr>
        <w:t>fourth-year English majors at T</w:t>
      </w:r>
      <w:r>
        <w:rPr>
          <w:rFonts w:ascii="Times New Roman" w:hAnsi="Times New Roman"/>
          <w:color w:val="auto"/>
          <w:sz w:val="26"/>
          <w:szCs w:val="26"/>
          <w:lang w:val="en-US"/>
        </w:rPr>
        <w:t xml:space="preserve">DMU, </w:t>
      </w:r>
      <w:r>
        <w:rPr>
          <w:rFonts w:ascii="Times New Roman" w:hAnsi="Times New Roman"/>
          <w:color w:val="auto"/>
          <w:sz w:val="26"/>
          <w:szCs w:val="26"/>
        </w:rPr>
        <w:t xml:space="preserve">thus limiting the </w:t>
      </w:r>
      <w:r>
        <w:rPr>
          <w:rFonts w:ascii="Times New Roman" w:hAnsi="Times New Roman"/>
          <w:color w:val="auto"/>
          <w:sz w:val="26"/>
          <w:szCs w:val="26"/>
          <w:lang w:val="en-US"/>
        </w:rPr>
        <w:t>applicability</w:t>
      </w:r>
      <w:r>
        <w:rPr>
          <w:rFonts w:ascii="Times New Roman" w:hAnsi="Times New Roman"/>
          <w:color w:val="auto"/>
          <w:sz w:val="26"/>
          <w:szCs w:val="26"/>
        </w:rPr>
        <w:t xml:space="preserve"> of the findings to other disciplines, year levels, or institutions. Additionally, the study relies on self-reported data collected through questionnaires, which may be subject to biases. Academic performance is measured using GPA, which</w:t>
      </w:r>
      <w:r>
        <w:rPr>
          <w:rFonts w:hint="default" w:ascii="Times New Roman" w:hAnsi="Times New Roman"/>
          <w:color w:val="auto"/>
          <w:sz w:val="26"/>
          <w:szCs w:val="26"/>
          <w:lang w:val="en-US"/>
        </w:rPr>
        <w:t xml:space="preserve"> </w:t>
      </w:r>
      <w:r>
        <w:rPr>
          <w:rFonts w:ascii="Times New Roman" w:hAnsi="Times New Roman"/>
          <w:color w:val="auto"/>
          <w:sz w:val="26"/>
          <w:szCs w:val="26"/>
        </w:rPr>
        <w:t>may not capture all dimensions of academic success. Despite these limitations, the study provides a focused and meaningful exploration of the relationship between SDL and academic achievement in a relevant and timely educational context.</w:t>
      </w:r>
      <w:bookmarkStart w:id="2" w:name="_Toc197536007"/>
    </w:p>
    <w:p w14:paraId="4708032F">
      <w:pPr>
        <w:numPr>
          <w:ilvl w:val="0"/>
          <w:numId w:val="1"/>
        </w:numPr>
        <w:spacing w:before="80" w:after="80" w:line="400" w:lineRule="atLeast"/>
        <w:ind w:left="0" w:leftChars="0" w:firstLine="0" w:firstLineChars="0"/>
        <w:jc w:val="center"/>
        <w:rPr>
          <w:rFonts w:hint="default" w:ascii="Times New Roman" w:hAnsi="Times New Roman" w:cs="Times New Roman"/>
          <w:b/>
          <w:bCs w:val="0"/>
          <w:color w:val="auto"/>
          <w:sz w:val="26"/>
          <w:szCs w:val="26"/>
        </w:rPr>
      </w:pPr>
      <w:r>
        <w:rPr>
          <w:rFonts w:hint="default" w:ascii="Times New Roman" w:hAnsi="Times New Roman" w:cs="Times New Roman"/>
          <w:b/>
          <w:bCs w:val="0"/>
          <w:color w:val="auto"/>
          <w:sz w:val="26"/>
          <w:szCs w:val="26"/>
        </w:rPr>
        <w:t>L</w:t>
      </w:r>
      <w:bookmarkEnd w:id="2"/>
      <w:r>
        <w:rPr>
          <w:rFonts w:hint="default" w:ascii="Times New Roman" w:hAnsi="Times New Roman" w:cs="Times New Roman"/>
          <w:b/>
          <w:bCs w:val="0"/>
          <w:color w:val="auto"/>
          <w:sz w:val="26"/>
          <w:szCs w:val="26"/>
          <w:lang w:val="en-US"/>
        </w:rPr>
        <w:t>iterature Review</w:t>
      </w:r>
    </w:p>
    <w:p w14:paraId="6583640E">
      <w:pPr>
        <w:spacing w:before="80" w:after="80" w:line="400" w:lineRule="atLeast"/>
        <w:jc w:val="both"/>
        <w:rPr>
          <w:rFonts w:ascii="Times New Roman" w:hAnsi="Times New Roman"/>
          <w:b/>
          <w:bCs/>
          <w:i/>
          <w:iCs/>
          <w:color w:val="auto"/>
          <w:sz w:val="26"/>
          <w:szCs w:val="26"/>
        </w:rPr>
      </w:pPr>
      <w:r>
        <w:rPr>
          <w:rFonts w:ascii="Times New Roman" w:hAnsi="Times New Roman"/>
          <w:b/>
          <w:bCs/>
          <w:i/>
          <w:iCs/>
          <w:color w:val="auto"/>
          <w:sz w:val="26"/>
          <w:szCs w:val="26"/>
        </w:rPr>
        <w:t>2.1. Theoretical Framework</w:t>
      </w:r>
    </w:p>
    <w:p w14:paraId="01A5336D">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The theoretical foundation of th</w:t>
      </w:r>
      <w:r>
        <w:rPr>
          <w:rFonts w:ascii="Times New Roman" w:hAnsi="Times New Roman"/>
          <w:color w:val="auto"/>
          <w:sz w:val="26"/>
          <w:szCs w:val="26"/>
          <w:lang w:val="en-US"/>
        </w:rPr>
        <w:t>e present</w:t>
      </w:r>
      <w:r>
        <w:rPr>
          <w:rFonts w:ascii="Times New Roman" w:hAnsi="Times New Roman"/>
          <w:color w:val="auto"/>
          <w:sz w:val="26"/>
          <w:szCs w:val="26"/>
        </w:rPr>
        <w:t xml:space="preserve"> study is built upon Knowles’ (1975) theory of SDL, which is rooted in the concept of </w:t>
      </w:r>
      <w:r>
        <w:rPr>
          <w:rFonts w:hint="default" w:ascii="Times New Roman" w:hAnsi="Times New Roman"/>
          <w:color w:val="auto"/>
          <w:sz w:val="26"/>
          <w:szCs w:val="26"/>
        </w:rPr>
        <w:t>adult learning theory</w:t>
      </w:r>
      <w:r>
        <w:rPr>
          <w:rFonts w:ascii="Times New Roman" w:hAnsi="Times New Roman"/>
          <w:color w:val="auto"/>
          <w:sz w:val="26"/>
          <w:szCs w:val="26"/>
          <w:lang w:val="en-US"/>
        </w:rPr>
        <w:t xml:space="preserve">, </w:t>
      </w:r>
      <w:r>
        <w:rPr>
          <w:rFonts w:ascii="Times New Roman" w:hAnsi="Times New Roman"/>
          <w:color w:val="auto"/>
          <w:sz w:val="26"/>
          <w:szCs w:val="26"/>
        </w:rPr>
        <w:t>an approach that emphasizes the learner’s agency, autonomy, and self-regulation, particularly in adult education. According to Knowles, SDL is a structured process in which individuals take initiative in identifying their learning needs, formulating goals, locating resources, implementing strategies, and evaluating outcomes, with or without external assistance.</w:t>
      </w:r>
    </w:p>
    <w:p w14:paraId="26E9B51D">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This process can be divided into five distinct steps:</w:t>
      </w:r>
    </w:p>
    <w:p w14:paraId="28303BA2">
      <w:pPr>
        <w:spacing w:before="80" w:after="80" w:line="400" w:lineRule="atLeast"/>
        <w:ind w:firstLine="720" w:firstLineChars="0"/>
        <w:jc w:val="both"/>
        <w:rPr>
          <w:rFonts w:ascii="Times New Roman" w:hAnsi="Times New Roman"/>
          <w:color w:val="auto"/>
          <w:sz w:val="26"/>
          <w:szCs w:val="26"/>
        </w:rPr>
      </w:pPr>
      <w:r>
        <w:rPr>
          <w:rFonts w:ascii="Times New Roman" w:hAnsi="Times New Roman"/>
          <w:b/>
          <w:bCs/>
          <w:color w:val="auto"/>
          <w:sz w:val="26"/>
          <w:szCs w:val="26"/>
        </w:rPr>
        <w:t>Diagnosing learning needs:</w:t>
      </w:r>
      <w:r>
        <w:rPr>
          <w:rFonts w:ascii="Times New Roman" w:hAnsi="Times New Roman"/>
          <w:color w:val="auto"/>
          <w:sz w:val="26"/>
          <w:szCs w:val="26"/>
        </w:rPr>
        <w:t xml:space="preserve"> Learners assess their current knowledge and skill levels to identify areas of deficiency. This includes both self-assessment and gathering feedback from peers or instructors.</w:t>
      </w:r>
    </w:p>
    <w:p w14:paraId="082D68E4">
      <w:pPr>
        <w:spacing w:before="80" w:after="80" w:line="400" w:lineRule="atLeast"/>
        <w:ind w:firstLine="720" w:firstLineChars="0"/>
        <w:jc w:val="both"/>
        <w:rPr>
          <w:rFonts w:ascii="Times New Roman" w:hAnsi="Times New Roman"/>
          <w:color w:val="auto"/>
          <w:sz w:val="26"/>
          <w:szCs w:val="26"/>
        </w:rPr>
      </w:pPr>
      <w:r>
        <w:rPr>
          <w:rFonts w:ascii="Times New Roman" w:hAnsi="Times New Roman"/>
          <w:b/>
          <w:bCs/>
          <w:color w:val="auto"/>
          <w:sz w:val="26"/>
          <w:szCs w:val="26"/>
        </w:rPr>
        <w:t>Setting learning goals:</w:t>
      </w:r>
      <w:r>
        <w:rPr>
          <w:rFonts w:ascii="Times New Roman" w:hAnsi="Times New Roman"/>
          <w:color w:val="auto"/>
          <w:sz w:val="26"/>
          <w:szCs w:val="26"/>
        </w:rPr>
        <w:t xml:space="preserve"> Once needs are identified, learners set specific, measurable, and attainable goals aligned with academic or professional requirements.</w:t>
      </w:r>
    </w:p>
    <w:p w14:paraId="74046918">
      <w:pPr>
        <w:spacing w:before="80" w:after="80" w:line="400" w:lineRule="atLeast"/>
        <w:ind w:firstLine="720" w:firstLineChars="0"/>
        <w:jc w:val="both"/>
        <w:rPr>
          <w:rFonts w:ascii="Times New Roman" w:hAnsi="Times New Roman"/>
          <w:color w:val="auto"/>
          <w:sz w:val="26"/>
          <w:szCs w:val="26"/>
        </w:rPr>
      </w:pPr>
      <w:r>
        <w:rPr>
          <w:rFonts w:ascii="Times New Roman" w:hAnsi="Times New Roman"/>
          <w:b/>
          <w:bCs/>
          <w:color w:val="auto"/>
          <w:sz w:val="26"/>
          <w:szCs w:val="26"/>
        </w:rPr>
        <w:t xml:space="preserve">Identifying learning resources: </w:t>
      </w:r>
      <w:r>
        <w:rPr>
          <w:rFonts w:ascii="Times New Roman" w:hAnsi="Times New Roman"/>
          <w:color w:val="auto"/>
          <w:sz w:val="26"/>
          <w:szCs w:val="26"/>
        </w:rPr>
        <w:t>Learners determine the appropriate materials, tools, or human resources (e.g., teachers, peers) that can support their goals. These may include textbooks, academic journals, digital platforms, or collaborative networks.</w:t>
      </w:r>
    </w:p>
    <w:p w14:paraId="6CAC9FD9">
      <w:pPr>
        <w:spacing w:before="80" w:after="80" w:line="400" w:lineRule="atLeast"/>
        <w:ind w:firstLine="720" w:firstLineChars="0"/>
        <w:jc w:val="both"/>
        <w:rPr>
          <w:rFonts w:ascii="Times New Roman" w:hAnsi="Times New Roman"/>
          <w:color w:val="auto"/>
          <w:sz w:val="26"/>
          <w:szCs w:val="26"/>
        </w:rPr>
      </w:pPr>
      <w:r>
        <w:rPr>
          <w:rFonts w:ascii="Times New Roman" w:hAnsi="Times New Roman"/>
          <w:b/>
          <w:bCs/>
          <w:color w:val="auto"/>
          <w:sz w:val="26"/>
          <w:szCs w:val="26"/>
        </w:rPr>
        <w:t>Designing learning plans:</w:t>
      </w:r>
      <w:r>
        <w:rPr>
          <w:rFonts w:ascii="Times New Roman" w:hAnsi="Times New Roman"/>
          <w:color w:val="auto"/>
          <w:sz w:val="26"/>
          <w:szCs w:val="26"/>
        </w:rPr>
        <w:t xml:space="preserve"> Learners create structured plans to guide their learning, considering their unique styles, schedules, and objectives. This stage emphasizes strategic thinking and planning.</w:t>
      </w:r>
    </w:p>
    <w:p w14:paraId="73D2BBEC">
      <w:pPr>
        <w:spacing w:before="80" w:after="80" w:line="400" w:lineRule="atLeast"/>
        <w:ind w:firstLine="720" w:firstLineChars="0"/>
        <w:jc w:val="both"/>
        <w:rPr>
          <w:rFonts w:ascii="Times New Roman" w:hAnsi="Times New Roman"/>
          <w:color w:val="auto"/>
          <w:sz w:val="26"/>
          <w:szCs w:val="26"/>
        </w:rPr>
      </w:pPr>
      <w:r>
        <w:rPr>
          <w:rFonts w:ascii="Times New Roman" w:hAnsi="Times New Roman"/>
          <w:b/>
          <w:bCs/>
          <w:color w:val="auto"/>
          <w:sz w:val="26"/>
          <w:szCs w:val="26"/>
        </w:rPr>
        <w:t>Evaluating learning outcomes:</w:t>
      </w:r>
      <w:r>
        <w:rPr>
          <w:rFonts w:ascii="Times New Roman" w:hAnsi="Times New Roman"/>
          <w:color w:val="auto"/>
          <w:sz w:val="26"/>
          <w:szCs w:val="26"/>
        </w:rPr>
        <w:t xml:space="preserve"> Learners reflect on their progress by comparing outcomes to initial goals. Evaluation may involve formal assessments, peer feedback, or self-reflection.</w:t>
      </w:r>
    </w:p>
    <w:p w14:paraId="0CB43F78">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Learners often revisit earlier steps based on ongoing reflection and feedback.</w:t>
      </w:r>
      <w:r>
        <w:rPr>
          <w:rFonts w:hint="default" w:ascii="Times New Roman" w:hAnsi="Times New Roman"/>
          <w:color w:val="auto"/>
          <w:sz w:val="26"/>
          <w:szCs w:val="26"/>
          <w:lang w:val="en-US"/>
        </w:rPr>
        <w:t xml:space="preserve"> </w:t>
      </w:r>
      <w:r>
        <w:rPr>
          <w:rFonts w:ascii="Times New Roman" w:hAnsi="Times New Roman"/>
          <w:color w:val="auto"/>
          <w:sz w:val="26"/>
          <w:szCs w:val="26"/>
        </w:rPr>
        <w:t>This emphasis on learner autonomy and self-regulation has made Knowles’ theory a central pillar in adult education and lifelong learning frameworks.</w:t>
      </w:r>
    </w:p>
    <w:p w14:paraId="7B755EE3">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 xml:space="preserve">In addition to Knowles, other scholars have contributed to broadening the conceptualization of SDL. Garrison (1997), for example, proposed a comprehensive model that integrates cognitive, metacognitive, and motivational components, thus reinforcing the </w:t>
      </w:r>
      <w:r>
        <w:rPr>
          <w:rFonts w:ascii="Times New Roman" w:hAnsi="Times New Roman"/>
          <w:color w:val="auto"/>
          <w:sz w:val="26"/>
          <w:szCs w:val="26"/>
          <w:lang w:val="en-US"/>
        </w:rPr>
        <w:t>multidimensional</w:t>
      </w:r>
      <w:r>
        <w:rPr>
          <w:rFonts w:hint="default" w:ascii="Times New Roman" w:hAnsi="Times New Roman"/>
          <w:color w:val="auto"/>
          <w:sz w:val="26"/>
          <w:szCs w:val="26"/>
          <w:lang w:val="en-US"/>
        </w:rPr>
        <w:t xml:space="preserve"> scope</w:t>
      </w:r>
      <w:r>
        <w:rPr>
          <w:rFonts w:ascii="Times New Roman" w:hAnsi="Times New Roman"/>
          <w:color w:val="auto"/>
          <w:sz w:val="26"/>
          <w:szCs w:val="26"/>
        </w:rPr>
        <w:t xml:space="preserve"> of SDL. Similarly, Candy (1991) emphasized the role of </w:t>
      </w:r>
      <w:r>
        <w:rPr>
          <w:rFonts w:ascii="Times New Roman" w:hAnsi="Times New Roman"/>
          <w:color w:val="auto"/>
          <w:sz w:val="26"/>
          <w:szCs w:val="26"/>
          <w:lang w:val="en-US"/>
        </w:rPr>
        <w:t>intentional</w:t>
      </w:r>
      <w:r>
        <w:rPr>
          <w:rFonts w:ascii="Times New Roman" w:hAnsi="Times New Roman"/>
          <w:color w:val="auto"/>
          <w:sz w:val="26"/>
          <w:szCs w:val="26"/>
        </w:rPr>
        <w:t xml:space="preserve"> and critical reflection in SDL, while Towle and Cottrell (1996) argued for SDL’s role in cultivating lifelong learners, particularly in professions that demand continuous knowledge updates.</w:t>
      </w:r>
    </w:p>
    <w:p w14:paraId="77503C8B">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 xml:space="preserve">From a pedagogical standpoint, SDL is more than a </w:t>
      </w:r>
      <w:r>
        <w:rPr>
          <w:rFonts w:ascii="Times New Roman" w:hAnsi="Times New Roman"/>
          <w:color w:val="auto"/>
          <w:sz w:val="26"/>
          <w:szCs w:val="26"/>
          <w:lang w:val="en-US"/>
        </w:rPr>
        <w:t>skill</w:t>
      </w:r>
      <w:r>
        <w:rPr>
          <w:rFonts w:hint="default" w:ascii="Times New Roman" w:hAnsi="Times New Roman"/>
          <w:color w:val="auto"/>
          <w:sz w:val="26"/>
          <w:szCs w:val="26"/>
          <w:lang w:val="en-US"/>
        </w:rPr>
        <w:t xml:space="preserve"> </w:t>
      </w:r>
      <w:r>
        <w:rPr>
          <w:rFonts w:ascii="Times New Roman" w:hAnsi="Times New Roman"/>
          <w:color w:val="auto"/>
          <w:sz w:val="26"/>
          <w:szCs w:val="26"/>
          <w:lang w:val="en-US"/>
        </w:rPr>
        <w:t>set</w:t>
      </w:r>
      <w:r>
        <w:rPr>
          <w:rFonts w:hint="default" w:ascii="Times New Roman" w:hAnsi="Times New Roman"/>
          <w:color w:val="auto"/>
          <w:sz w:val="26"/>
          <w:szCs w:val="26"/>
          <w:lang w:val="en-US"/>
        </w:rPr>
        <w:t xml:space="preserve">, </w:t>
      </w:r>
      <w:r>
        <w:rPr>
          <w:rFonts w:ascii="Times New Roman" w:hAnsi="Times New Roman"/>
          <w:color w:val="auto"/>
          <w:sz w:val="26"/>
          <w:szCs w:val="26"/>
        </w:rPr>
        <w:t>it is a philosophy of learning that supports personal responsibility, intrinsic motivation, and active engagement. In higher education, this is particularly relevant as students are increasingly expected to take ownership of their academic journeys in preparation for careers that require adaptability and continuous self-improvement.</w:t>
      </w:r>
    </w:p>
    <w:p w14:paraId="6E8640E9">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In the present study, Knowles’ five-step SDL model serves as the guiding framework for the development of the research instrument and the analysis of students’ learning behaviors. It provides a clear, structured lens through which to examine the relationship between students’ SDL engagement and their academic performance.</w:t>
      </w:r>
    </w:p>
    <w:p w14:paraId="4FD47373">
      <w:pPr>
        <w:spacing w:before="80" w:after="80" w:line="400" w:lineRule="atLeast"/>
        <w:jc w:val="both"/>
        <w:rPr>
          <w:rFonts w:ascii="Times New Roman" w:hAnsi="Times New Roman"/>
          <w:b/>
          <w:bCs/>
          <w:i/>
          <w:iCs/>
          <w:color w:val="auto"/>
          <w:sz w:val="26"/>
          <w:szCs w:val="26"/>
        </w:rPr>
      </w:pPr>
      <w:r>
        <w:rPr>
          <w:rFonts w:ascii="Times New Roman" w:hAnsi="Times New Roman"/>
          <w:b/>
          <w:bCs/>
          <w:i/>
          <w:iCs/>
          <w:color w:val="auto"/>
          <w:sz w:val="26"/>
          <w:szCs w:val="26"/>
        </w:rPr>
        <w:t>2.2. Previous Studies</w:t>
      </w:r>
    </w:p>
    <w:p w14:paraId="64FB3119">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Globally, there has been a growing body of research investigating the effectiveness of SDL in various educational contexts. These studies have explored its impact across disciplines such as medicine, nursing, and general education, particularly within higher education institutions.</w:t>
      </w:r>
    </w:p>
    <w:p w14:paraId="429C8742">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Visiers-Jiménez et al. (2022) conducted a large-scale cross-national study involving graduating nursing students. The research found that students in multiple countries consistently demonstrated high levels of SDL ability, suggesting that SDL is a universally relevant and achievable goal in tertiary education.</w:t>
      </w:r>
    </w:p>
    <w:p w14:paraId="5EBD3586">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Yang and Jiang (2014), in a study conducted in China, found that SDL readiness was a strong predictor of professional competency in nursing students. Their findings emphasized the importance of integrating SDL into curricula to enhance students’ practical and theoretical skills.</w:t>
      </w:r>
    </w:p>
    <w:p w14:paraId="073879D7">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Similarly, Khalid, Bashir, and Amin (2020) compared SDL in online versus traditional learning environments. They found that distance learners exhibited significantly higher SDL scores and academic performance</w:t>
      </w:r>
      <w:r>
        <w:rPr>
          <w:rFonts w:hint="default" w:ascii="Times New Roman" w:hAnsi="Times New Roman"/>
          <w:color w:val="auto"/>
          <w:sz w:val="26"/>
          <w:szCs w:val="26"/>
          <w:lang w:val="en-US"/>
        </w:rPr>
        <w:t xml:space="preserve"> d</w:t>
      </w:r>
      <w:r>
        <w:rPr>
          <w:rFonts w:ascii="Times New Roman" w:hAnsi="Times New Roman"/>
          <w:color w:val="auto"/>
          <w:sz w:val="26"/>
          <w:szCs w:val="26"/>
        </w:rPr>
        <w:t>ue to the necessity of autonomous engagement in online learning. This aligns with Gabrielle et al. (2006), who reported that students with access to web-based learning platforms showed greater readiness for SDL and higher grades.</w:t>
      </w:r>
    </w:p>
    <w:p w14:paraId="44936276">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 xml:space="preserve">In the field of educational theory, Baumgartner (2003) conceptualized SDL as not only a learning strategy but also a personal attribute and a </w:t>
      </w:r>
      <w:r>
        <w:rPr>
          <w:rFonts w:hint="default" w:ascii="Times New Roman" w:hAnsi="Times New Roman"/>
          <w:color w:val="auto"/>
          <w:sz w:val="26"/>
          <w:szCs w:val="26"/>
          <w:lang w:val="en-US"/>
        </w:rPr>
        <w:t xml:space="preserve">developmental </w:t>
      </w:r>
      <w:r>
        <w:rPr>
          <w:rFonts w:ascii="Times New Roman" w:hAnsi="Times New Roman"/>
          <w:color w:val="auto"/>
          <w:sz w:val="26"/>
          <w:szCs w:val="26"/>
        </w:rPr>
        <w:t xml:space="preserve">process. He emphasized the need to cultivate SDL to foster </w:t>
      </w:r>
      <w:r>
        <w:rPr>
          <w:rFonts w:hint="default" w:ascii="Times New Roman" w:hAnsi="Times New Roman"/>
          <w:color w:val="auto"/>
          <w:sz w:val="26"/>
          <w:szCs w:val="26"/>
          <w:lang w:val="en-US"/>
        </w:rPr>
        <w:t xml:space="preserve">empowering </w:t>
      </w:r>
      <w:r>
        <w:rPr>
          <w:rFonts w:ascii="Times New Roman" w:hAnsi="Times New Roman"/>
          <w:color w:val="auto"/>
          <w:sz w:val="26"/>
          <w:szCs w:val="26"/>
        </w:rPr>
        <w:t>learning, especially in adult learners.</w:t>
      </w:r>
    </w:p>
    <w:p w14:paraId="40631F70">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Chou and Chen (2008) analyzed six empirical studies from the US and Asia and reported mixed results regarding the correlation between SDL and academic achievement. While some studies supported a strong positive relationship, others highlighted contextual variables such as learning culture and institutional support that moderated SDL’s effectiveness.</w:t>
      </w:r>
    </w:p>
    <w:p w14:paraId="0EDCA3DC">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Other researchers such as Cazan and Schiopca (2013), Tekkol and Demiral (2018), and Khiat (2017) found that SDL was positively associated with academic performance and lifelong learning attitudes. These studies also suggested that SDL correlated with key personality traits such as conscientiousness and openness, which further contribute to academic success.</w:t>
      </w:r>
    </w:p>
    <w:p w14:paraId="51678E7A">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Collectively, these international studies establish SDL as a critical element in educational success. However, they also emphasize the importance of context-specific research to explore how SDL manifests across different disciplines, cultural settings, and institutional frameworks.</w:t>
      </w:r>
    </w:p>
    <w:p w14:paraId="5B0892DA">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In Vietnam, research on SDL has gained momentum in recent years, though much of it focuses on general education or specialized fields such as nursing and teacher education.</w:t>
      </w:r>
    </w:p>
    <w:p w14:paraId="156DF96E">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Nguyen (20</w:t>
      </w:r>
      <w:r>
        <w:rPr>
          <w:rFonts w:hint="default" w:ascii="Times New Roman" w:hAnsi="Times New Roman"/>
          <w:color w:val="auto"/>
          <w:sz w:val="26"/>
          <w:szCs w:val="26"/>
          <w:lang w:val="en-US"/>
        </w:rPr>
        <w:t>21</w:t>
      </w:r>
      <w:r>
        <w:rPr>
          <w:rFonts w:ascii="Times New Roman" w:hAnsi="Times New Roman"/>
          <w:color w:val="auto"/>
          <w:sz w:val="26"/>
          <w:szCs w:val="26"/>
        </w:rPr>
        <w:t>) emphasized the significance of SDL in improving research competencies among university students. Her findings showed that students trained in SDL techniques were better equipped to engage in independent scientific research.</w:t>
      </w:r>
    </w:p>
    <w:p w14:paraId="0DA16F89">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Dao et al. (2023) investigated SDL competence among students at Hanoi Pedagogical University 2. Their study revealed that cognitive and metacognitive elements of SDL had significant correlations with students’ GPA. Students demonstrated a frequent level of SDL engagement, especially in planning and information management.</w:t>
      </w:r>
    </w:p>
    <w:p w14:paraId="6E778243">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Nguyen Ngoc Diem et al. (2023) explored SDL readiness among nursing students at two Vietnamese universities. Their study found that while students expressed a strong desire to learn, they often lacked essential self-management skills. The authors highlighted the need for targeted interventions to address these gaps.</w:t>
      </w:r>
    </w:p>
    <w:p w14:paraId="38176F57">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Do and Nguyen (2021) conducted a study among 1,132 undergraduate students and found generally positive SDL abilities. However, challenges persisted in selecting appropriate learning strategies, maintaining motivation, and using learning resources effectively.</w:t>
      </w:r>
    </w:p>
    <w:p w14:paraId="5E0A64E9">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These studies contribute to the understanding of SDL within the Vietnamese context but also highlight the uneven integration of SDL across disciplines. Notably, there is a lack of empirical research focusing specifically on English majors, especially at the advanced undergraduate level, where SDL becomes most critical.</w:t>
      </w:r>
    </w:p>
    <w:p w14:paraId="7D855C66">
      <w:pPr>
        <w:spacing w:before="80" w:after="80" w:line="400" w:lineRule="atLeast"/>
        <w:jc w:val="both"/>
        <w:rPr>
          <w:rFonts w:ascii="Times New Roman" w:hAnsi="Times New Roman"/>
          <w:b/>
          <w:bCs/>
          <w:i/>
          <w:iCs/>
          <w:color w:val="auto"/>
          <w:sz w:val="26"/>
          <w:szCs w:val="26"/>
          <w:lang w:val="en-US"/>
        </w:rPr>
      </w:pPr>
      <w:r>
        <w:rPr>
          <w:rFonts w:ascii="Times New Roman" w:hAnsi="Times New Roman"/>
          <w:b/>
          <w:bCs/>
          <w:i/>
          <w:iCs/>
          <w:color w:val="auto"/>
          <w:sz w:val="26"/>
          <w:szCs w:val="26"/>
          <w:lang w:val="en-US"/>
        </w:rPr>
        <w:t>2.3. Research gaps</w:t>
      </w:r>
    </w:p>
    <w:p w14:paraId="448CA1E7">
      <w:pPr>
        <w:spacing w:before="80" w:after="80" w:line="400" w:lineRule="atLeast"/>
        <w:ind w:firstLine="720" w:firstLineChars="0"/>
        <w:jc w:val="both"/>
        <w:rPr>
          <w:rFonts w:ascii="Times New Roman" w:hAnsi="Times New Roman"/>
          <w:color w:val="auto"/>
          <w:sz w:val="26"/>
          <w:szCs w:val="26"/>
          <w:lang w:val="en-US"/>
        </w:rPr>
      </w:pPr>
      <w:r>
        <w:rPr>
          <w:rFonts w:ascii="Times New Roman" w:hAnsi="Times New Roman"/>
          <w:color w:val="auto"/>
          <w:sz w:val="26"/>
          <w:szCs w:val="26"/>
          <w:lang w:val="en-US"/>
        </w:rPr>
        <w:t>Although extensive international research has affirmed the value of SDL in improving academic outcomes across diverse disciplines, there remains a notable lack of empirical studies that examine how SDL functions specifically within the field of English linguistics particularly in the context of Vietnamese higher education. While previous Vietnamese studies have explored SDL in general education, pedagogy, and healthcare-related fields; little attention has been paid to how fourth-year English majors engage in SDL processes in their language courses. This gap in the literature underscores the need to investigate to what extent fourth-year English linguistics students engage in SDL.</w:t>
      </w:r>
    </w:p>
    <w:p w14:paraId="5996EEB6">
      <w:pPr>
        <w:spacing w:before="80" w:after="80" w:line="400" w:lineRule="atLeast"/>
        <w:ind w:firstLine="720" w:firstLineChars="0"/>
        <w:jc w:val="both"/>
        <w:rPr>
          <w:rFonts w:ascii="Times New Roman" w:hAnsi="Times New Roman"/>
          <w:color w:val="auto"/>
          <w:sz w:val="26"/>
          <w:szCs w:val="26"/>
          <w:lang w:val="en-US"/>
        </w:rPr>
      </w:pPr>
      <w:r>
        <w:rPr>
          <w:rFonts w:ascii="Times New Roman" w:hAnsi="Times New Roman"/>
          <w:color w:val="auto"/>
          <w:sz w:val="26"/>
          <w:szCs w:val="26"/>
          <w:lang w:val="en-US"/>
        </w:rPr>
        <w:t xml:space="preserve">Moreover, both domestic and international studies have tended to focus on SDL readiness, attitudes, or general competency levels, rather than offering a comprehensive analysis of how specific SDL behaviors influence measurable academic outcomes such as GPA. This is particularly critical for senior students who are transitioning into independent learners and preparing for graduation. The absence of robust, data-driven investigations into the impact of SDL on academic performance among English majors in Vietnam limits our understanding of how autonomous learning behaviors contribute to student success in language education. </w:t>
      </w:r>
    </w:p>
    <w:p w14:paraId="41D70066">
      <w:pPr>
        <w:spacing w:before="80" w:after="80" w:line="400" w:lineRule="atLeast"/>
        <w:ind w:firstLine="720" w:firstLineChars="0"/>
        <w:jc w:val="both"/>
        <w:rPr>
          <w:rFonts w:ascii="Times New Roman" w:hAnsi="Times New Roman"/>
          <w:color w:val="auto"/>
          <w:sz w:val="26"/>
          <w:szCs w:val="26"/>
          <w:lang w:val="en-US"/>
        </w:rPr>
      </w:pPr>
      <w:r>
        <w:rPr>
          <w:rFonts w:ascii="Times New Roman" w:hAnsi="Times New Roman"/>
          <w:color w:val="auto"/>
          <w:sz w:val="26"/>
          <w:szCs w:val="26"/>
          <w:lang w:val="en-US"/>
        </w:rPr>
        <w:t xml:space="preserve">Additionally, although international studies have begun to incorporate factors such as self-efficacy, motivation, and resource management into SDL frameworks; these variables remain </w:t>
      </w:r>
      <w:r>
        <w:rPr>
          <w:rFonts w:hint="default" w:ascii="Times New Roman" w:hAnsi="Times New Roman"/>
          <w:color w:val="auto"/>
          <w:sz w:val="26"/>
          <w:szCs w:val="26"/>
          <w:lang w:val="en-US"/>
        </w:rPr>
        <w:t>insufficiently examined i</w:t>
      </w:r>
      <w:r>
        <w:rPr>
          <w:rFonts w:ascii="Times New Roman" w:hAnsi="Times New Roman"/>
          <w:color w:val="auto"/>
          <w:sz w:val="26"/>
          <w:szCs w:val="26"/>
          <w:lang w:val="en-US"/>
        </w:rPr>
        <w:t>n Vietnamese contexts. Few studies have examined how local institutional, cultural, or pedagogical dynamics influence SDL effectiveness among English language learners.</w:t>
      </w:r>
    </w:p>
    <w:p w14:paraId="4F7FCA34">
      <w:pPr>
        <w:numPr>
          <w:ilvl w:val="0"/>
          <w:numId w:val="1"/>
        </w:numPr>
        <w:spacing w:before="80" w:after="80" w:line="400" w:lineRule="atLeast"/>
        <w:jc w:val="center"/>
        <w:rPr>
          <w:rFonts w:ascii="Times New Roman" w:hAnsi="Times New Roman"/>
          <w:b/>
          <w:bCs/>
          <w:color w:val="auto"/>
          <w:sz w:val="26"/>
          <w:szCs w:val="26"/>
          <w:lang w:val="en-US"/>
        </w:rPr>
      </w:pPr>
      <w:r>
        <w:rPr>
          <w:rFonts w:ascii="Times New Roman" w:hAnsi="Times New Roman"/>
          <w:b/>
          <w:bCs/>
          <w:color w:val="auto"/>
          <w:sz w:val="26"/>
          <w:szCs w:val="26"/>
          <w:lang w:val="en-US"/>
        </w:rPr>
        <w:t>Methodology</w:t>
      </w:r>
    </w:p>
    <w:p w14:paraId="27B43AFE">
      <w:pPr>
        <w:pStyle w:val="3"/>
        <w:jc w:val="both"/>
        <w:rPr>
          <w:i/>
          <w:iCs/>
          <w:color w:val="auto"/>
          <w:sz w:val="26"/>
          <w:szCs w:val="26"/>
          <w:lang w:val="en-US"/>
        </w:rPr>
      </w:pPr>
      <w:bookmarkStart w:id="3" w:name="_Toc197536019"/>
      <w:r>
        <w:rPr>
          <w:i/>
          <w:iCs/>
          <w:color w:val="auto"/>
          <w:sz w:val="26"/>
          <w:szCs w:val="26"/>
        </w:rPr>
        <w:t>3.1. Research site</w:t>
      </w:r>
      <w:bookmarkEnd w:id="3"/>
      <w:r>
        <w:rPr>
          <w:i/>
          <w:iCs/>
          <w:color w:val="auto"/>
          <w:sz w:val="26"/>
          <w:szCs w:val="26"/>
          <w:lang w:val="en-US"/>
        </w:rPr>
        <w:t xml:space="preserve"> and population</w:t>
      </w:r>
    </w:p>
    <w:p w14:paraId="42179BAB">
      <w:pPr>
        <w:pStyle w:val="4"/>
        <w:spacing w:before="80" w:line="400" w:lineRule="atLeast"/>
        <w:ind w:firstLine="720" w:firstLineChars="0"/>
        <w:jc w:val="both"/>
        <w:rPr>
          <w:rFonts w:ascii="Times New Roman" w:hAnsi="Times New Roman"/>
          <w:color w:val="auto"/>
          <w:sz w:val="26"/>
          <w:szCs w:val="26"/>
        </w:rPr>
      </w:pPr>
      <w:bookmarkStart w:id="4" w:name="_Toc197536022"/>
      <w:r>
        <w:rPr>
          <w:rFonts w:ascii="Times New Roman" w:hAnsi="Times New Roman"/>
          <w:color w:val="auto"/>
          <w:sz w:val="26"/>
          <w:szCs w:val="26"/>
        </w:rPr>
        <w:t>Th</w:t>
      </w:r>
      <w:r>
        <w:rPr>
          <w:rFonts w:ascii="Times New Roman" w:hAnsi="Times New Roman"/>
          <w:color w:val="auto"/>
          <w:sz w:val="26"/>
          <w:szCs w:val="26"/>
          <w:lang w:val="en-US"/>
        </w:rPr>
        <w:t>e</w:t>
      </w:r>
      <w:r>
        <w:rPr>
          <w:rFonts w:ascii="Times New Roman" w:hAnsi="Times New Roman"/>
          <w:color w:val="auto"/>
          <w:sz w:val="26"/>
          <w:szCs w:val="26"/>
        </w:rPr>
        <w:t xml:space="preserve"> study was conducted at T</w:t>
      </w:r>
      <w:r>
        <w:rPr>
          <w:rFonts w:ascii="Times New Roman" w:hAnsi="Times New Roman"/>
          <w:color w:val="auto"/>
          <w:sz w:val="26"/>
          <w:szCs w:val="26"/>
          <w:lang w:val="en-US"/>
        </w:rPr>
        <w:t>DMU</w:t>
      </w:r>
      <w:r>
        <w:rPr>
          <w:rFonts w:ascii="Times New Roman" w:hAnsi="Times New Roman"/>
          <w:color w:val="auto"/>
          <w:sz w:val="26"/>
          <w:szCs w:val="26"/>
        </w:rPr>
        <w:t xml:space="preserve"> in Vietnam, focusing on fourth-year English linguistics majors. These students represent a critical group, </w:t>
      </w:r>
      <w:r>
        <w:rPr>
          <w:rFonts w:ascii="Times New Roman" w:hAnsi="Times New Roman"/>
          <w:color w:val="auto"/>
          <w:sz w:val="26"/>
          <w:szCs w:val="26"/>
          <w:lang w:val="en-US"/>
        </w:rPr>
        <w:t>preparing for</w:t>
      </w:r>
      <w:r>
        <w:rPr>
          <w:rFonts w:ascii="Times New Roman" w:hAnsi="Times New Roman"/>
          <w:color w:val="auto"/>
          <w:sz w:val="26"/>
          <w:szCs w:val="26"/>
        </w:rPr>
        <w:t xml:space="preserve"> graduation and expected to demonstrate high levels of </w:t>
      </w:r>
      <w:r>
        <w:rPr>
          <w:rFonts w:ascii="Times New Roman" w:hAnsi="Times New Roman"/>
          <w:color w:val="auto"/>
          <w:sz w:val="26"/>
          <w:szCs w:val="26"/>
          <w:lang w:val="en-US"/>
        </w:rPr>
        <w:t>SDL</w:t>
      </w:r>
      <w:r>
        <w:rPr>
          <w:rFonts w:ascii="Times New Roman" w:hAnsi="Times New Roman"/>
          <w:color w:val="auto"/>
          <w:sz w:val="26"/>
          <w:szCs w:val="26"/>
        </w:rPr>
        <w:t xml:space="preserve">. Their experience offers valuable insight into how </w:t>
      </w:r>
      <w:r>
        <w:rPr>
          <w:rFonts w:ascii="Times New Roman" w:hAnsi="Times New Roman"/>
          <w:color w:val="auto"/>
          <w:sz w:val="26"/>
          <w:szCs w:val="26"/>
          <w:lang w:val="en-US"/>
        </w:rPr>
        <w:t>SDL</w:t>
      </w:r>
      <w:r>
        <w:rPr>
          <w:rFonts w:ascii="Times New Roman" w:hAnsi="Times New Roman"/>
          <w:color w:val="auto"/>
          <w:sz w:val="26"/>
          <w:szCs w:val="26"/>
        </w:rPr>
        <w:t xml:space="preserve"> influences academic outcomes.</w:t>
      </w:r>
    </w:p>
    <w:p w14:paraId="06F4525D">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 xml:space="preserve">The population </w:t>
      </w:r>
      <w:r>
        <w:rPr>
          <w:rFonts w:ascii="Times New Roman" w:hAnsi="Times New Roman"/>
          <w:color w:val="auto"/>
          <w:sz w:val="26"/>
          <w:szCs w:val="26"/>
          <w:lang w:val="en-US"/>
        </w:rPr>
        <w:t xml:space="preserve">of the current research </w:t>
      </w:r>
      <w:r>
        <w:rPr>
          <w:rFonts w:ascii="Times New Roman" w:hAnsi="Times New Roman"/>
          <w:color w:val="auto"/>
          <w:sz w:val="26"/>
          <w:szCs w:val="26"/>
        </w:rPr>
        <w:t xml:space="preserve">consisted of </w:t>
      </w:r>
      <w:r>
        <w:rPr>
          <w:rFonts w:ascii="Times New Roman" w:hAnsi="Times New Roman"/>
          <w:color w:val="auto"/>
          <w:sz w:val="26"/>
          <w:szCs w:val="26"/>
          <w:lang w:val="en-US"/>
        </w:rPr>
        <w:t>94</w:t>
      </w:r>
      <w:r>
        <w:rPr>
          <w:rFonts w:ascii="Times New Roman" w:hAnsi="Times New Roman"/>
          <w:color w:val="auto"/>
          <w:sz w:val="26"/>
          <w:szCs w:val="26"/>
        </w:rPr>
        <w:t xml:space="preserve"> senior students enrolled in the English Linguistics program during the 2021</w:t>
      </w:r>
      <w:r>
        <w:rPr>
          <w:rFonts w:ascii="Times New Roman" w:hAnsi="Times New Roman"/>
          <w:color w:val="auto"/>
          <w:sz w:val="26"/>
          <w:szCs w:val="26"/>
          <w:lang w:val="en-US"/>
        </w:rPr>
        <w:t>-</w:t>
      </w:r>
      <w:r>
        <w:rPr>
          <w:rFonts w:ascii="Times New Roman" w:hAnsi="Times New Roman"/>
          <w:color w:val="auto"/>
          <w:sz w:val="26"/>
          <w:szCs w:val="26"/>
        </w:rPr>
        <w:t>2025 academic period</w:t>
      </w:r>
      <w:r>
        <w:rPr>
          <w:rFonts w:ascii="Times New Roman" w:hAnsi="Times New Roman"/>
          <w:color w:val="auto"/>
          <w:sz w:val="26"/>
          <w:szCs w:val="26"/>
          <w:lang w:val="en-US"/>
        </w:rPr>
        <w:t xml:space="preserve">, </w:t>
      </w:r>
      <w:r>
        <w:rPr>
          <w:rFonts w:ascii="Times New Roman" w:hAnsi="Times New Roman" w:cs="Times New Roman"/>
          <w:color w:val="auto"/>
          <w:sz w:val="26"/>
          <w:szCs w:val="26"/>
        </w:rPr>
        <w:t xml:space="preserve">providing a focused and representative </w:t>
      </w:r>
      <w:r>
        <w:rPr>
          <w:rFonts w:ascii="Times New Roman" w:hAnsi="Times New Roman" w:cs="Times New Roman"/>
          <w:color w:val="auto"/>
          <w:sz w:val="26"/>
          <w:szCs w:val="26"/>
          <w:lang w:val="en-US"/>
        </w:rPr>
        <w:t>data set</w:t>
      </w:r>
      <w:r>
        <w:rPr>
          <w:rFonts w:ascii="Times New Roman" w:hAnsi="Times New Roman" w:cs="Times New Roman"/>
          <w:color w:val="auto"/>
          <w:sz w:val="26"/>
          <w:szCs w:val="26"/>
        </w:rPr>
        <w:t xml:space="preserve"> for the research objectives</w:t>
      </w:r>
      <w:r>
        <w:rPr>
          <w:rFonts w:ascii="Times New Roman" w:hAnsi="Times New Roman"/>
          <w:color w:val="auto"/>
          <w:sz w:val="26"/>
          <w:szCs w:val="26"/>
        </w:rPr>
        <w:t>.</w:t>
      </w:r>
    </w:p>
    <w:p w14:paraId="069591D5">
      <w:pPr>
        <w:spacing w:before="80" w:after="80" w:line="400" w:lineRule="atLeast"/>
        <w:jc w:val="both"/>
        <w:rPr>
          <w:rFonts w:ascii="Times New Roman" w:hAnsi="Times New Roman"/>
          <w:b/>
          <w:bCs/>
          <w:i/>
          <w:iCs/>
          <w:color w:val="auto"/>
          <w:sz w:val="26"/>
          <w:szCs w:val="26"/>
        </w:rPr>
      </w:pPr>
      <w:r>
        <w:rPr>
          <w:rFonts w:ascii="Times New Roman" w:hAnsi="Times New Roman"/>
          <w:b/>
          <w:bCs/>
          <w:i/>
          <w:iCs/>
          <w:color w:val="auto"/>
          <w:sz w:val="26"/>
          <w:szCs w:val="26"/>
          <w:lang w:val="en-US"/>
        </w:rPr>
        <w:t>3.2. Research design</w:t>
      </w:r>
    </w:p>
    <w:p w14:paraId="64AB7978">
      <w:pPr>
        <w:spacing w:before="80" w:after="80" w:line="400" w:lineRule="atLeast"/>
        <w:ind w:firstLine="720" w:firstLineChars="0"/>
        <w:jc w:val="both"/>
        <w:rPr>
          <w:rFonts w:ascii="Times New Roman" w:hAnsi="Times New Roman" w:cs="Times New Roman"/>
          <w:color w:val="auto"/>
          <w:sz w:val="26"/>
          <w:szCs w:val="26"/>
          <w:lang w:val="en-US"/>
        </w:rPr>
      </w:pPr>
      <w:r>
        <w:rPr>
          <w:rFonts w:ascii="Times New Roman" w:hAnsi="Times New Roman" w:eastAsia="SimSun" w:cs="Times New Roman"/>
          <w:color w:val="auto"/>
          <w:sz w:val="26"/>
          <w:szCs w:val="26"/>
        </w:rPr>
        <w:t xml:space="preserve">A </w:t>
      </w:r>
      <w:r>
        <w:rPr>
          <w:rStyle w:val="21"/>
          <w:rFonts w:ascii="Times New Roman" w:hAnsi="Times New Roman" w:eastAsia="SimSun" w:cs="Times New Roman"/>
          <w:b w:val="0"/>
          <w:bCs w:val="0"/>
          <w:color w:val="auto"/>
          <w:sz w:val="26"/>
          <w:szCs w:val="26"/>
        </w:rPr>
        <w:t>quantitative</w:t>
      </w:r>
      <w:r>
        <w:rPr>
          <w:rStyle w:val="21"/>
          <w:rFonts w:ascii="Times New Roman" w:hAnsi="Times New Roman" w:eastAsia="SimSun" w:cs="Times New Roman"/>
          <w:b w:val="0"/>
          <w:bCs w:val="0"/>
          <w:color w:val="auto"/>
          <w:sz w:val="26"/>
          <w:szCs w:val="26"/>
          <w:lang w:val="en-US"/>
        </w:rPr>
        <w:t xml:space="preserve"> </w:t>
      </w:r>
      <w:r>
        <w:rPr>
          <w:rStyle w:val="21"/>
          <w:rFonts w:ascii="Times New Roman" w:hAnsi="Times New Roman" w:eastAsia="SimSun" w:cs="Times New Roman"/>
          <w:b w:val="0"/>
          <w:bCs w:val="0"/>
          <w:color w:val="auto"/>
          <w:sz w:val="26"/>
          <w:szCs w:val="26"/>
        </w:rPr>
        <w:t>research design</w:t>
      </w:r>
      <w:r>
        <w:rPr>
          <w:rFonts w:ascii="Times New Roman" w:hAnsi="Times New Roman" w:eastAsia="SimSun" w:cs="Times New Roman"/>
          <w:color w:val="auto"/>
          <w:sz w:val="26"/>
          <w:szCs w:val="26"/>
        </w:rPr>
        <w:t xml:space="preserve"> was adopted </w:t>
      </w:r>
      <w:r>
        <w:rPr>
          <w:rFonts w:ascii="Times New Roman" w:hAnsi="Times New Roman" w:eastAsia="SimSun" w:cs="Times New Roman"/>
          <w:color w:val="auto"/>
          <w:sz w:val="26"/>
          <w:szCs w:val="26"/>
          <w:lang w:val="en-US"/>
        </w:rPr>
        <w:t xml:space="preserve">in the current research </w:t>
      </w:r>
      <w:r>
        <w:rPr>
          <w:rFonts w:ascii="Times New Roman" w:hAnsi="Times New Roman" w:eastAsia="SimSun" w:cs="Times New Roman"/>
          <w:color w:val="auto"/>
          <w:sz w:val="26"/>
          <w:szCs w:val="26"/>
        </w:rPr>
        <w:t>to explore the relationship between SDL and academic performance. This approach enabled the researcher to measure and analyze patterns in SDL behaviors and GPA using statistical methods.</w:t>
      </w:r>
      <w:r>
        <w:rPr>
          <w:rFonts w:ascii="Times New Roman" w:hAnsi="Times New Roman" w:cs="Times New Roman"/>
          <w:color w:val="auto"/>
          <w:sz w:val="26"/>
          <w:szCs w:val="26"/>
          <w:lang w:val="en-US"/>
        </w:rPr>
        <w:tab/>
      </w:r>
    </w:p>
    <w:bookmarkEnd w:id="4"/>
    <w:p w14:paraId="5A264CC9">
      <w:pPr>
        <w:pStyle w:val="3"/>
        <w:rPr>
          <w:i/>
          <w:iCs/>
          <w:color w:val="auto"/>
          <w:sz w:val="26"/>
          <w:szCs w:val="26"/>
        </w:rPr>
      </w:pPr>
      <w:bookmarkStart w:id="5" w:name="_Toc197536023"/>
      <w:r>
        <w:rPr>
          <w:i/>
          <w:iCs/>
          <w:color w:val="auto"/>
          <w:sz w:val="26"/>
          <w:szCs w:val="26"/>
        </w:rPr>
        <w:t>3.</w:t>
      </w:r>
      <w:r>
        <w:rPr>
          <w:i/>
          <w:iCs/>
          <w:color w:val="auto"/>
          <w:sz w:val="26"/>
          <w:szCs w:val="26"/>
          <w:lang w:val="en-US"/>
        </w:rPr>
        <w:t>3</w:t>
      </w:r>
      <w:r>
        <w:rPr>
          <w:i/>
          <w:iCs/>
          <w:color w:val="auto"/>
          <w:sz w:val="26"/>
          <w:szCs w:val="26"/>
        </w:rPr>
        <w:t>. Data collection instruments</w:t>
      </w:r>
      <w:bookmarkEnd w:id="5"/>
    </w:p>
    <w:p w14:paraId="556FCDC1">
      <w:pPr>
        <w:spacing w:before="80" w:after="80" w:line="400" w:lineRule="atLeast"/>
        <w:ind w:firstLine="720" w:firstLineChars="0"/>
        <w:jc w:val="both"/>
        <w:rPr>
          <w:rFonts w:ascii="Times New Roman" w:hAnsi="Times New Roman" w:cs="Times New Roman"/>
          <w:color w:val="auto"/>
          <w:sz w:val="26"/>
          <w:szCs w:val="26"/>
        </w:rPr>
      </w:pPr>
      <w:r>
        <w:rPr>
          <w:rFonts w:ascii="Times New Roman" w:hAnsi="Times New Roman" w:cs="Times New Roman"/>
          <w:color w:val="auto"/>
          <w:sz w:val="26"/>
          <w:szCs w:val="26"/>
        </w:rPr>
        <w:t>For th</w:t>
      </w:r>
      <w:r>
        <w:rPr>
          <w:rFonts w:ascii="Times New Roman" w:hAnsi="Times New Roman" w:cs="Times New Roman"/>
          <w:color w:val="auto"/>
          <w:sz w:val="26"/>
          <w:szCs w:val="26"/>
          <w:lang w:val="en-US"/>
        </w:rPr>
        <w:t>e present</w:t>
      </w:r>
      <w:r>
        <w:rPr>
          <w:rFonts w:ascii="Times New Roman" w:hAnsi="Times New Roman" w:cs="Times New Roman"/>
          <w:color w:val="auto"/>
          <w:sz w:val="26"/>
          <w:szCs w:val="26"/>
        </w:rPr>
        <w:t xml:space="preserve"> study, the main </w:t>
      </w:r>
      <w:r>
        <w:rPr>
          <w:rFonts w:ascii="Times New Roman" w:hAnsi="Times New Roman" w:cs="Times New Roman"/>
          <w:color w:val="auto"/>
          <w:sz w:val="26"/>
          <w:szCs w:val="26"/>
          <w:lang w:val="en-US"/>
        </w:rPr>
        <w:t xml:space="preserve">data collection </w:t>
      </w:r>
      <w:r>
        <w:rPr>
          <w:rFonts w:ascii="Times New Roman" w:hAnsi="Times New Roman" w:cs="Times New Roman"/>
          <w:color w:val="auto"/>
          <w:sz w:val="26"/>
          <w:szCs w:val="26"/>
        </w:rPr>
        <w:t>instrument was a questionnaire survey co</w:t>
      </w:r>
      <w:r>
        <w:rPr>
          <w:rFonts w:ascii="Times New Roman" w:hAnsi="Times New Roman" w:cs="Times New Roman"/>
          <w:color w:val="auto"/>
          <w:sz w:val="26"/>
          <w:szCs w:val="26"/>
          <w:lang w:val="en-US"/>
        </w:rPr>
        <w:t>mprising</w:t>
      </w:r>
      <w:r>
        <w:rPr>
          <w:rFonts w:ascii="Times New Roman" w:hAnsi="Times New Roman" w:cs="Times New Roman"/>
          <w:color w:val="auto"/>
          <w:sz w:val="26"/>
          <w:szCs w:val="26"/>
        </w:rPr>
        <w:t xml:space="preserve"> three main parts</w:t>
      </w:r>
      <w:r>
        <w:rPr>
          <w:rFonts w:ascii="Times New Roman" w:hAnsi="Times New Roman" w:cs="Times New Roman"/>
          <w:color w:val="auto"/>
          <w:sz w:val="26"/>
          <w:szCs w:val="26"/>
          <w:lang w:val="en-US"/>
        </w:rPr>
        <w:t xml:space="preserve"> namely </w:t>
      </w:r>
      <w:r>
        <w:rPr>
          <w:rFonts w:ascii="Times New Roman" w:hAnsi="Times New Roman" w:cs="Times New Roman"/>
          <w:color w:val="auto"/>
          <w:sz w:val="26"/>
          <w:szCs w:val="26"/>
        </w:rPr>
        <w:t>demographic information</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en-US"/>
        </w:rPr>
        <w:t xml:space="preserve">the </w:t>
      </w:r>
      <w:r>
        <w:rPr>
          <w:rFonts w:ascii="Times New Roman" w:hAnsi="Times New Roman" w:cs="Times New Roman"/>
          <w:color w:val="auto"/>
          <w:sz w:val="26"/>
          <w:szCs w:val="26"/>
          <w:lang w:val="vi-VN"/>
        </w:rPr>
        <w:t>cur</w:t>
      </w:r>
      <w:r>
        <w:rPr>
          <w:rFonts w:ascii="Times New Roman" w:hAnsi="Times New Roman" w:cs="Times New Roman"/>
          <w:color w:val="auto"/>
          <w:sz w:val="26"/>
          <w:szCs w:val="26"/>
          <w:lang w:val="en-US"/>
        </w:rPr>
        <w:t>r</w:t>
      </w:r>
      <w:r>
        <w:rPr>
          <w:rFonts w:ascii="Times New Roman" w:hAnsi="Times New Roman" w:cs="Times New Roman"/>
          <w:color w:val="auto"/>
          <w:sz w:val="26"/>
          <w:szCs w:val="26"/>
          <w:lang w:val="vi-VN"/>
        </w:rPr>
        <w:t>ent</w:t>
      </w:r>
      <w:r>
        <w:rPr>
          <w:rFonts w:ascii="Times New Roman" w:hAnsi="Times New Roman" w:cs="Times New Roman"/>
          <w:color w:val="auto"/>
          <w:sz w:val="26"/>
          <w:szCs w:val="26"/>
          <w:lang w:val="en-US"/>
        </w:rPr>
        <w:t xml:space="preserve"> state of</w:t>
      </w:r>
      <w:r>
        <w:rPr>
          <w:rFonts w:ascii="Times New Roman" w:hAnsi="Times New Roman" w:cs="Times New Roman"/>
          <w:color w:val="auto"/>
          <w:sz w:val="26"/>
          <w:szCs w:val="26"/>
          <w:lang w:val="vi-VN"/>
        </w:rPr>
        <w:t xml:space="preserve"> GPA and</w:t>
      </w:r>
      <w:r>
        <w:rPr>
          <w:rFonts w:ascii="Times New Roman" w:hAnsi="Times New Roman" w:cs="Times New Roman"/>
          <w:color w:val="auto"/>
          <w:sz w:val="26"/>
          <w:szCs w:val="26"/>
        </w:rPr>
        <w:t xml:space="preserve"> the current state of </w:t>
      </w:r>
      <w:r>
        <w:rPr>
          <w:rFonts w:hint="default" w:ascii="Times New Roman" w:hAnsi="Times New Roman" w:cs="Times New Roman"/>
          <w:color w:val="auto"/>
          <w:sz w:val="26"/>
          <w:szCs w:val="26"/>
          <w:lang w:val="en-US"/>
        </w:rPr>
        <w:t>SDL</w:t>
      </w:r>
      <w:r>
        <w:rPr>
          <w:rFonts w:ascii="Times New Roman" w:hAnsi="Times New Roman" w:cs="Times New Roman"/>
          <w:color w:val="auto"/>
          <w:sz w:val="26"/>
          <w:szCs w:val="26"/>
        </w:rPr>
        <w:t xml:space="preserve"> engaged at TDMU.</w:t>
      </w:r>
    </w:p>
    <w:p w14:paraId="62526A25">
      <w:pPr>
        <w:spacing w:before="80" w:after="80" w:line="400" w:lineRule="atLeast"/>
        <w:ind w:firstLine="720" w:firstLineChars="0"/>
        <w:jc w:val="both"/>
        <w:rPr>
          <w:rFonts w:ascii="Times New Roman" w:hAnsi="Times New Roman" w:cs="Times New Roman"/>
          <w:color w:val="auto"/>
          <w:sz w:val="26"/>
          <w:szCs w:val="26"/>
        </w:rPr>
      </w:pPr>
      <w:r>
        <w:rPr>
          <w:rFonts w:ascii="Times New Roman" w:hAnsi="Times New Roman" w:cs="Times New Roman"/>
          <w:color w:val="auto"/>
          <w:sz w:val="26"/>
          <w:szCs w:val="26"/>
        </w:rPr>
        <w:t>The first section of the questionnaire consists of demographic information, containing five closed-format questions designed to collect essential data about the respondents.</w:t>
      </w:r>
    </w:p>
    <w:p w14:paraId="41BBA107">
      <w:pPr>
        <w:spacing w:before="80" w:after="80" w:line="400" w:lineRule="atLeast"/>
        <w:ind w:firstLine="720" w:firstLineChars="0"/>
        <w:jc w:val="both"/>
        <w:rPr>
          <w:rFonts w:ascii="Times New Roman" w:hAnsi="Times New Roman" w:cs="Times New Roman"/>
          <w:color w:val="auto"/>
          <w:sz w:val="26"/>
          <w:szCs w:val="26"/>
          <w:lang w:val="en-US"/>
        </w:rPr>
      </w:pPr>
      <w:r>
        <w:rPr>
          <w:rFonts w:ascii="Times New Roman" w:hAnsi="Times New Roman" w:cs="Times New Roman"/>
          <w:color w:val="auto"/>
          <w:sz w:val="26"/>
          <w:szCs w:val="26"/>
        </w:rPr>
        <w:t>The second section of the questionnaire containing question about academic performance through self-reported cumulative GPA on a 10-point scale. GPA scores were measured on a 10-point scale divided into 4 categories</w:t>
      </w:r>
      <w:r>
        <w:rPr>
          <w:rFonts w:hint="default" w:ascii="Times New Roman" w:hAnsi="Times New Roman" w:cs="Times New Roman"/>
          <w:color w:val="auto"/>
          <w:sz w:val="26"/>
          <w:szCs w:val="26"/>
          <w:lang w:val="en-US"/>
        </w:rPr>
        <w:t xml:space="preserve"> including</w:t>
      </w:r>
      <w:r>
        <w:rPr>
          <w:rFonts w:ascii="Times New Roman" w:hAnsi="Times New Roman" w:cs="Times New Roman"/>
          <w:color w:val="auto"/>
          <w:sz w:val="26"/>
          <w:szCs w:val="26"/>
        </w:rPr>
        <w:t xml:space="preserve"> &lt; 5.0, 5.5–6.9, 7.0–8.4, and 8.5–10.0. The second section provided an overview of participants academic performance</w:t>
      </w:r>
      <w:r>
        <w:rPr>
          <w:color w:val="auto"/>
          <w:sz w:val="26"/>
          <w:szCs w:val="26"/>
        </w:rPr>
        <w:t xml:space="preserve"> </w:t>
      </w:r>
      <w:r>
        <w:rPr>
          <w:rFonts w:ascii="Times New Roman" w:hAnsi="Times New Roman" w:cs="Times New Roman"/>
          <w:color w:val="auto"/>
          <w:sz w:val="26"/>
          <w:szCs w:val="26"/>
        </w:rPr>
        <w:t>to establish a basis for examining potential relationships between academic performance and other variables</w:t>
      </w:r>
      <w:r>
        <w:rPr>
          <w:rFonts w:ascii="Times New Roman" w:hAnsi="Times New Roman" w:cs="Times New Roman"/>
          <w:color w:val="auto"/>
          <w:sz w:val="26"/>
          <w:szCs w:val="26"/>
          <w:lang w:val="en-US"/>
        </w:rPr>
        <w:t>.</w:t>
      </w:r>
    </w:p>
    <w:p w14:paraId="7338A076">
      <w:pPr>
        <w:spacing w:before="80" w:after="80" w:line="400" w:lineRule="atLeast"/>
        <w:ind w:firstLine="720" w:firstLineChars="0"/>
        <w:jc w:val="both"/>
        <w:rPr>
          <w:rFonts w:ascii="Times New Roman" w:hAnsi="Times New Roman" w:cs="Times New Roman"/>
          <w:color w:val="auto"/>
          <w:sz w:val="26"/>
          <w:szCs w:val="26"/>
          <w:lang w:val="en-US"/>
        </w:rPr>
      </w:pPr>
      <w:r>
        <w:rPr>
          <w:rFonts w:ascii="Times New Roman" w:hAnsi="Times New Roman" w:cs="Times New Roman"/>
          <w:color w:val="auto"/>
          <w:sz w:val="26"/>
          <w:szCs w:val="26"/>
        </w:rPr>
        <w:t xml:space="preserve">The </w:t>
      </w:r>
      <w:r>
        <w:rPr>
          <w:rFonts w:hint="eastAsia" w:ascii="Times New Roman" w:hAnsi="Times New Roman" w:cs="Times New Roman"/>
          <w:color w:val="auto"/>
          <w:sz w:val="26"/>
          <w:szCs w:val="26"/>
        </w:rPr>
        <w:t>th</w:t>
      </w:r>
      <w:r>
        <w:rPr>
          <w:rFonts w:ascii="Times New Roman" w:hAnsi="Times New Roman" w:cs="Times New Roman"/>
          <w:color w:val="auto"/>
          <w:sz w:val="26"/>
          <w:szCs w:val="26"/>
          <w:lang w:val="en-US"/>
        </w:rPr>
        <w:t xml:space="preserve">ird </w:t>
      </w:r>
      <w:r>
        <w:rPr>
          <w:rFonts w:ascii="Times New Roman" w:hAnsi="Times New Roman" w:cs="Times New Roman"/>
          <w:color w:val="auto"/>
          <w:sz w:val="26"/>
          <w:szCs w:val="26"/>
        </w:rPr>
        <w:t xml:space="preserve">section evaluates the </w:t>
      </w:r>
      <w:r>
        <w:rPr>
          <w:rFonts w:ascii="Times New Roman" w:hAnsi="Times New Roman" w:cs="Times New Roman"/>
          <w:color w:val="auto"/>
          <w:sz w:val="26"/>
          <w:szCs w:val="26"/>
          <w:lang w:val="en-US"/>
        </w:rPr>
        <w:t>SDL</w:t>
      </w: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US"/>
        </w:rPr>
        <w:t>behaviors</w:t>
      </w:r>
      <w:r>
        <w:rPr>
          <w:rFonts w:ascii="Times New Roman" w:hAnsi="Times New Roman" w:cs="Times New Roman"/>
          <w:color w:val="auto"/>
          <w:sz w:val="26"/>
          <w:szCs w:val="26"/>
        </w:rPr>
        <w:t xml:space="preserve"> of students based on Knowles’ (1975) five-step model, which includes diagnosing learning needs, setting learning goals, identifying learning resources, implementing learning strategies, and evaluating learning outcomes. A self-constructed questionnaire was developed with 14 items, 5 </w:t>
      </w:r>
      <w:r>
        <w:rPr>
          <w:rFonts w:ascii="Times New Roman" w:hAnsi="Times New Roman" w:cs="Times New Roman"/>
          <w:color w:val="auto"/>
          <w:sz w:val="26"/>
          <w:szCs w:val="26"/>
          <w:lang w:val="en-US"/>
        </w:rPr>
        <w:t>sub-scales</w:t>
      </w:r>
      <w:r>
        <w:rPr>
          <w:rFonts w:ascii="Times New Roman" w:hAnsi="Times New Roman" w:cs="Times New Roman"/>
          <w:color w:val="auto"/>
          <w:sz w:val="26"/>
          <w:szCs w:val="26"/>
        </w:rPr>
        <w:t xml:space="preserve"> corresponding with Knowles’ 5 steps in SDL, and utilized a Likert five-point scale (1=Strongly Disagree, 2=Disagree, 3=Undecided, 4=Agree, 5=Strongly Agree). The overall SDL score was calculated as the average of 14 items, while </w:t>
      </w:r>
      <w:r>
        <w:rPr>
          <w:rFonts w:ascii="Times New Roman" w:hAnsi="Times New Roman" w:cs="Times New Roman"/>
          <w:color w:val="auto"/>
          <w:sz w:val="26"/>
          <w:szCs w:val="26"/>
          <w:lang w:val="en-US"/>
        </w:rPr>
        <w:t>sub-scale</w:t>
      </w:r>
      <w:r>
        <w:rPr>
          <w:rFonts w:ascii="Times New Roman" w:hAnsi="Times New Roman" w:cs="Times New Roman"/>
          <w:color w:val="auto"/>
          <w:sz w:val="26"/>
          <w:szCs w:val="26"/>
        </w:rPr>
        <w:t xml:space="preserve"> scores were derived from three items for steps 1, 2, 3, and 5. Step 4 included two items.</w:t>
      </w:r>
    </w:p>
    <w:p w14:paraId="33E079C8">
      <w:pPr>
        <w:pStyle w:val="3"/>
        <w:rPr>
          <w:i/>
          <w:iCs/>
          <w:color w:val="auto"/>
          <w:sz w:val="26"/>
          <w:szCs w:val="26"/>
        </w:rPr>
      </w:pPr>
      <w:bookmarkStart w:id="6" w:name="_Toc197536024"/>
      <w:r>
        <w:rPr>
          <w:i/>
          <w:iCs/>
          <w:color w:val="auto"/>
          <w:sz w:val="26"/>
          <w:szCs w:val="26"/>
        </w:rPr>
        <w:t>3.</w:t>
      </w:r>
      <w:r>
        <w:rPr>
          <w:i/>
          <w:iCs/>
          <w:color w:val="auto"/>
          <w:sz w:val="26"/>
          <w:szCs w:val="26"/>
          <w:lang w:val="en-US"/>
        </w:rPr>
        <w:t>4</w:t>
      </w:r>
      <w:r>
        <w:rPr>
          <w:i/>
          <w:iCs/>
          <w:color w:val="auto"/>
          <w:sz w:val="26"/>
          <w:szCs w:val="26"/>
        </w:rPr>
        <w:t>. Data collection procedures and analysis procedures</w:t>
      </w:r>
      <w:bookmarkEnd w:id="6"/>
    </w:p>
    <w:p w14:paraId="1E069F6F">
      <w:pPr>
        <w:pStyle w:val="4"/>
        <w:rPr>
          <w:rFonts w:ascii="Times New Roman" w:hAnsi="Times New Roman" w:cs="Times New Roman"/>
          <w:b/>
          <w:bCs/>
          <w:i/>
          <w:iCs/>
          <w:color w:val="auto"/>
          <w:sz w:val="26"/>
          <w:szCs w:val="26"/>
        </w:rPr>
      </w:pPr>
      <w:bookmarkStart w:id="7" w:name="_Toc197536025"/>
      <w:r>
        <w:rPr>
          <w:rFonts w:ascii="Times New Roman" w:hAnsi="Times New Roman" w:cs="Times New Roman"/>
          <w:b/>
          <w:bCs/>
          <w:i/>
          <w:iCs/>
          <w:color w:val="auto"/>
          <w:sz w:val="26"/>
          <w:szCs w:val="26"/>
        </w:rPr>
        <w:t>3.</w:t>
      </w:r>
      <w:r>
        <w:rPr>
          <w:rFonts w:ascii="Times New Roman" w:hAnsi="Times New Roman" w:cs="Times New Roman"/>
          <w:b/>
          <w:bCs/>
          <w:i/>
          <w:iCs/>
          <w:color w:val="auto"/>
          <w:sz w:val="26"/>
          <w:szCs w:val="26"/>
          <w:lang w:val="en-US"/>
        </w:rPr>
        <w:t>4</w:t>
      </w:r>
      <w:r>
        <w:rPr>
          <w:rFonts w:ascii="Times New Roman" w:hAnsi="Times New Roman" w:cs="Times New Roman"/>
          <w:b/>
          <w:bCs/>
          <w:i/>
          <w:iCs/>
          <w:color w:val="auto"/>
          <w:sz w:val="26"/>
          <w:szCs w:val="26"/>
        </w:rPr>
        <w:t>.1. Data collection procedures</w:t>
      </w:r>
      <w:bookmarkEnd w:id="7"/>
    </w:p>
    <w:p w14:paraId="5801BC3B">
      <w:pPr>
        <w:spacing w:before="80" w:after="80" w:line="400" w:lineRule="atLeast"/>
        <w:ind w:firstLine="720" w:firstLineChars="0"/>
        <w:jc w:val="both"/>
        <w:rPr>
          <w:rFonts w:ascii="Times New Roman" w:hAnsi="Times New Roman" w:cs="Times New Roman"/>
          <w:color w:val="auto"/>
          <w:sz w:val="26"/>
          <w:szCs w:val="26"/>
        </w:rPr>
      </w:pPr>
      <w:r>
        <w:rPr>
          <w:rFonts w:ascii="Times New Roman" w:hAnsi="Times New Roman" w:cs="Times New Roman"/>
          <w:color w:val="auto"/>
          <w:sz w:val="26"/>
          <w:szCs w:val="26"/>
        </w:rPr>
        <w:t>Data was collected through an online survey using Google Forms over four weeks.</w:t>
      </w:r>
      <w:r>
        <w:rPr>
          <w:rFonts w:hint="default" w:ascii="Times New Roman" w:hAnsi="Times New Roman" w:cs="Times New Roman"/>
          <w:color w:val="auto"/>
          <w:sz w:val="26"/>
          <w:szCs w:val="26"/>
          <w:lang w:val="en-US"/>
        </w:rPr>
        <w:t xml:space="preserve"> </w:t>
      </w:r>
      <w:r>
        <w:rPr>
          <w:rFonts w:ascii="Times New Roman" w:hAnsi="Times New Roman" w:cs="Times New Roman"/>
          <w:color w:val="auto"/>
          <w:sz w:val="26"/>
          <w:szCs w:val="26"/>
        </w:rPr>
        <w:t>Participants were invited through a combination of academic communication channels (school</w:t>
      </w:r>
      <w:r>
        <w:rPr>
          <w:rFonts w:hint="default" w:ascii="Times New Roman" w:hAnsi="Times New Roman" w:cs="Times New Roman"/>
          <w:color w:val="auto"/>
          <w:sz w:val="26"/>
          <w:szCs w:val="26"/>
          <w:lang w:val="en-US"/>
        </w:rPr>
        <w:t>’</w:t>
      </w:r>
      <w:r>
        <w:rPr>
          <w:rFonts w:ascii="Times New Roman" w:hAnsi="Times New Roman" w:cs="Times New Roman"/>
          <w:color w:val="auto"/>
          <w:sz w:val="26"/>
          <w:szCs w:val="26"/>
        </w:rPr>
        <w:t xml:space="preserve">s emails) and social media platforms (Zalo and Messenger), with informed consent obtained prior to participation and all responses collected anonymously to ensure confidentiality. </w:t>
      </w:r>
    </w:p>
    <w:p w14:paraId="760EDDAE">
      <w:pPr>
        <w:spacing w:before="80" w:after="80" w:line="400" w:lineRule="atLeast"/>
        <w:ind w:firstLine="720" w:firstLineChars="0"/>
        <w:jc w:val="both"/>
        <w:rPr>
          <w:rFonts w:ascii="Times New Roman" w:hAnsi="Times New Roman" w:cs="Times New Roman"/>
          <w:color w:val="auto"/>
          <w:sz w:val="26"/>
          <w:szCs w:val="26"/>
          <w:lang w:val="en-US"/>
        </w:rPr>
      </w:pPr>
      <w:r>
        <w:rPr>
          <w:rFonts w:ascii="Times New Roman" w:hAnsi="Times New Roman" w:cs="Times New Roman"/>
          <w:color w:val="auto"/>
          <w:sz w:val="26"/>
          <w:szCs w:val="26"/>
        </w:rPr>
        <w:t>Before participating, all respondents were provided with detailed information about the study</w:t>
      </w:r>
      <w:r>
        <w:rPr>
          <w:rFonts w:ascii="Times New Roman" w:hAnsi="Times New Roman" w:cs="Times New Roman"/>
          <w:color w:val="auto"/>
          <w:sz w:val="26"/>
          <w:szCs w:val="26"/>
          <w:lang w:val="en-US"/>
        </w:rPr>
        <w:t>.</w:t>
      </w:r>
      <w:r>
        <w:rPr>
          <w:rFonts w:ascii="Times New Roman" w:hAnsi="Times New Roman" w:cs="Times New Roman"/>
          <w:color w:val="auto"/>
          <w:sz w:val="26"/>
          <w:szCs w:val="26"/>
        </w:rPr>
        <w:t xml:space="preserve"> Participation was entirely voluntary, and participants had the right to withdraw from the study at any time during the data collection process.</w:t>
      </w:r>
    </w:p>
    <w:p w14:paraId="0938DE09">
      <w:pPr>
        <w:pStyle w:val="4"/>
        <w:rPr>
          <w:rFonts w:ascii="Times New Roman" w:hAnsi="Times New Roman" w:cs="Times New Roman"/>
          <w:b/>
          <w:bCs/>
          <w:i/>
          <w:iCs/>
          <w:color w:val="auto"/>
          <w:sz w:val="26"/>
          <w:szCs w:val="26"/>
          <w:lang w:val="vi-VN"/>
        </w:rPr>
      </w:pPr>
      <w:bookmarkStart w:id="8" w:name="_Toc197536026"/>
      <w:r>
        <w:rPr>
          <w:rFonts w:ascii="Times New Roman" w:hAnsi="Times New Roman" w:cs="Times New Roman"/>
          <w:b/>
          <w:bCs/>
          <w:i/>
          <w:iCs/>
          <w:color w:val="auto"/>
          <w:sz w:val="26"/>
          <w:szCs w:val="26"/>
        </w:rPr>
        <w:t>3.</w:t>
      </w:r>
      <w:r>
        <w:rPr>
          <w:rFonts w:ascii="Times New Roman" w:hAnsi="Times New Roman" w:cs="Times New Roman"/>
          <w:b/>
          <w:bCs/>
          <w:i/>
          <w:iCs/>
          <w:color w:val="auto"/>
          <w:sz w:val="26"/>
          <w:szCs w:val="26"/>
          <w:lang w:val="en-US"/>
        </w:rPr>
        <w:t>4</w:t>
      </w:r>
      <w:r>
        <w:rPr>
          <w:rFonts w:ascii="Times New Roman" w:hAnsi="Times New Roman" w:cs="Times New Roman"/>
          <w:b/>
          <w:bCs/>
          <w:i/>
          <w:iCs/>
          <w:color w:val="auto"/>
          <w:sz w:val="26"/>
          <w:szCs w:val="26"/>
        </w:rPr>
        <w:t>.2. Analysis procedures</w:t>
      </w:r>
      <w:bookmarkEnd w:id="8"/>
    </w:p>
    <w:p w14:paraId="74CBF89E">
      <w:pPr>
        <w:spacing w:before="80" w:after="80" w:line="400" w:lineRule="atLeast"/>
        <w:ind w:firstLine="720" w:firstLineChars="0"/>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vi-VN"/>
        </w:rPr>
        <w:t xml:space="preserve">A total of </w:t>
      </w:r>
      <w:r>
        <w:rPr>
          <w:rFonts w:ascii="Times New Roman" w:hAnsi="Times New Roman" w:cs="Times New Roman"/>
          <w:color w:val="auto"/>
          <w:sz w:val="26"/>
          <w:szCs w:val="26"/>
          <w:lang w:val="en-US"/>
        </w:rPr>
        <w:t>94</w:t>
      </w:r>
      <w:r>
        <w:rPr>
          <w:rFonts w:ascii="Times New Roman" w:hAnsi="Times New Roman" w:cs="Times New Roman"/>
          <w:color w:val="auto"/>
          <w:sz w:val="26"/>
          <w:szCs w:val="26"/>
          <w:lang w:val="vi-VN"/>
        </w:rPr>
        <w:t xml:space="preserve"> questionnaires were collected from the research participants. The raw data was screened and processed using Excel software.</w:t>
      </w:r>
      <w:r>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vi-VN"/>
        </w:rPr>
        <w:t>The responses gathered from Google Forms typically come in a raw format, necessitating further processing before they can be used for statistical analysis. Excel is employed during this stage to standardize data formats</w:t>
      </w:r>
      <w:r>
        <w:rPr>
          <w:rFonts w:hint="default" w:ascii="Times New Roman" w:hAnsi="Times New Roman" w:cs="Times New Roman"/>
          <w:color w:val="auto"/>
          <w:sz w:val="26"/>
          <w:szCs w:val="26"/>
          <w:lang w:val="en-US"/>
        </w:rPr>
        <w:t xml:space="preserve"> </w:t>
      </w:r>
      <w:r>
        <w:rPr>
          <w:rFonts w:ascii="Times New Roman" w:hAnsi="Times New Roman" w:cs="Times New Roman"/>
          <w:color w:val="auto"/>
          <w:sz w:val="26"/>
          <w:szCs w:val="26"/>
          <w:lang w:val="vi-VN"/>
        </w:rPr>
        <w:t>including dates, numbers, and text responses, as well as to re</w:t>
      </w:r>
      <w:r>
        <w:rPr>
          <w:rFonts w:hint="default" w:ascii="Times New Roman" w:hAnsi="Times New Roman" w:cs="Times New Roman"/>
          <w:color w:val="auto"/>
          <w:sz w:val="26"/>
          <w:szCs w:val="26"/>
          <w:lang w:val="en-US"/>
        </w:rPr>
        <w:t xml:space="preserve">classify </w:t>
      </w:r>
      <w:r>
        <w:rPr>
          <w:rFonts w:ascii="Times New Roman" w:hAnsi="Times New Roman" w:cs="Times New Roman"/>
          <w:color w:val="auto"/>
          <w:sz w:val="26"/>
          <w:szCs w:val="26"/>
          <w:lang w:val="vi-VN"/>
        </w:rPr>
        <w:t xml:space="preserve">categorical variables for consistency. Furthermore, Excel enables researchers to generate basic summaries, such as means, medians, and frequency counts, while organizing the data into relevant categories or groups. The filtered data were </w:t>
      </w:r>
      <w:r>
        <w:rPr>
          <w:rFonts w:ascii="Times New Roman" w:hAnsi="Times New Roman" w:cs="Times New Roman"/>
          <w:color w:val="auto"/>
          <w:sz w:val="26"/>
          <w:szCs w:val="26"/>
          <w:lang w:val="en-US"/>
        </w:rPr>
        <w:t xml:space="preserve">then </w:t>
      </w:r>
      <w:r>
        <w:rPr>
          <w:rFonts w:ascii="Times New Roman" w:hAnsi="Times New Roman" w:cs="Times New Roman"/>
          <w:color w:val="auto"/>
          <w:sz w:val="26"/>
          <w:szCs w:val="26"/>
          <w:lang w:val="vi-VN"/>
        </w:rPr>
        <w:t>processed and analyzed using SPSS software</w:t>
      </w:r>
      <w:r>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vi-VN"/>
        </w:rPr>
        <w:t>Descriptive statistics were utilized to compute the mean score and standard deviation for each item on the SDL scale, thereby facilitating an assessment of the participants</w:t>
      </w:r>
      <w:r>
        <w:rPr>
          <w:rFonts w:ascii="Times New Roman" w:hAnsi="Times New Roman" w:cs="Times New Roman"/>
          <w:color w:val="auto"/>
          <w:sz w:val="26"/>
          <w:szCs w:val="26"/>
          <w:lang w:val="en-US"/>
        </w:rPr>
        <w:t>’</w:t>
      </w:r>
      <w:r>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en-US"/>
        </w:rPr>
        <w:t>SDL</w:t>
      </w:r>
      <w:r>
        <w:rPr>
          <w:rFonts w:ascii="Times New Roman" w:hAnsi="Times New Roman" w:cs="Times New Roman"/>
          <w:color w:val="auto"/>
          <w:sz w:val="26"/>
          <w:szCs w:val="26"/>
          <w:lang w:val="vi-VN"/>
        </w:rPr>
        <w:t xml:space="preserve"> levels.</w:t>
      </w:r>
    </w:p>
    <w:p w14:paraId="31ED0D5B">
      <w:pPr>
        <w:spacing w:before="80" w:after="80" w:line="400" w:lineRule="atLeast"/>
        <w:ind w:firstLine="720" w:firstLineChars="0"/>
        <w:jc w:val="both"/>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t>GPA data were utilized to categorize students</w:t>
      </w:r>
      <w:r>
        <w:rPr>
          <w:rFonts w:ascii="Times New Roman" w:hAnsi="Times New Roman" w:cs="Times New Roman"/>
          <w:color w:val="auto"/>
          <w:sz w:val="26"/>
          <w:szCs w:val="26"/>
          <w:lang w:val="en-US"/>
        </w:rPr>
        <w:t>’</w:t>
      </w:r>
      <w:r>
        <w:rPr>
          <w:rFonts w:ascii="Times New Roman" w:hAnsi="Times New Roman" w:cs="Times New Roman"/>
          <w:color w:val="auto"/>
          <w:sz w:val="26"/>
          <w:szCs w:val="26"/>
          <w:lang w:val="vi-VN"/>
        </w:rPr>
        <w:t xml:space="preserve"> academic performance into specific ranges. To assess the relationship between </w:t>
      </w:r>
      <w:r>
        <w:rPr>
          <w:rFonts w:ascii="Times New Roman" w:hAnsi="Times New Roman" w:cs="Times New Roman"/>
          <w:color w:val="auto"/>
          <w:sz w:val="26"/>
          <w:szCs w:val="26"/>
          <w:lang w:val="en-US"/>
        </w:rPr>
        <w:t>SDL</w:t>
      </w:r>
      <w:r>
        <w:rPr>
          <w:rFonts w:ascii="Times New Roman" w:hAnsi="Times New Roman" w:cs="Times New Roman"/>
          <w:color w:val="auto"/>
          <w:sz w:val="26"/>
          <w:szCs w:val="26"/>
          <w:lang w:val="vi-VN"/>
        </w:rPr>
        <w:t xml:space="preserve"> and learning outcomes, Spearman correlation analysis was employed</w:t>
      </w:r>
      <w:r>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vi-VN"/>
        </w:rPr>
        <w:t>to identify a simple linear relationship between two variables.</w:t>
      </w:r>
    </w:p>
    <w:p w14:paraId="2FAE8C4A">
      <w:pPr>
        <w:numPr>
          <w:ilvl w:val="0"/>
          <w:numId w:val="1"/>
        </w:numPr>
        <w:spacing w:before="80" w:after="80" w:line="400" w:lineRule="atLeast"/>
        <w:jc w:val="center"/>
        <w:rPr>
          <w:rFonts w:ascii="Times New Roman" w:hAnsi="Times New Roman" w:cs="Times New Roman"/>
          <w:color w:val="auto"/>
          <w:sz w:val="26"/>
          <w:szCs w:val="26"/>
        </w:rPr>
      </w:pPr>
      <w:r>
        <w:rPr>
          <w:rFonts w:ascii="Times New Roman" w:hAnsi="Times New Roman" w:cs="Times New Roman"/>
          <w:b/>
          <w:bCs/>
          <w:color w:val="auto"/>
          <w:sz w:val="26"/>
          <w:szCs w:val="26"/>
          <w:lang w:val="en-US"/>
        </w:rPr>
        <w:t>Results</w:t>
      </w:r>
    </w:p>
    <w:p w14:paraId="7593277C">
      <w:pPr>
        <w:spacing w:before="80" w:after="80" w:line="400" w:lineRule="atLeast"/>
        <w:jc w:val="both"/>
        <w:rPr>
          <w:rFonts w:ascii="Times New Roman" w:hAnsi="Times New Roman"/>
          <w:b/>
          <w:bCs/>
          <w:i/>
          <w:iCs/>
          <w:color w:val="auto"/>
          <w:sz w:val="26"/>
          <w:szCs w:val="26"/>
        </w:rPr>
      </w:pPr>
      <w:r>
        <w:rPr>
          <w:rFonts w:ascii="Times New Roman" w:hAnsi="Times New Roman"/>
          <w:b/>
          <w:bCs/>
          <w:i/>
          <w:iCs/>
          <w:color w:val="auto"/>
          <w:sz w:val="26"/>
          <w:szCs w:val="26"/>
        </w:rPr>
        <w:t>4.1. SDL Engagement Among Fourth-Year English Majors</w:t>
      </w:r>
    </w:p>
    <w:p w14:paraId="4D2E8F4A">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 xml:space="preserve">To address the first research question, descriptive statistics were used to assess students’ engagement with </w:t>
      </w:r>
      <w:r>
        <w:rPr>
          <w:rFonts w:hint="default" w:ascii="Times New Roman" w:hAnsi="Times New Roman"/>
          <w:color w:val="auto"/>
          <w:sz w:val="26"/>
          <w:szCs w:val="26"/>
          <w:lang w:val="en-US"/>
        </w:rPr>
        <w:t>SDL</w:t>
      </w:r>
      <w:r>
        <w:rPr>
          <w:rFonts w:ascii="Times New Roman" w:hAnsi="Times New Roman"/>
          <w:color w:val="auto"/>
          <w:sz w:val="26"/>
          <w:szCs w:val="26"/>
        </w:rPr>
        <w:t xml:space="preserve"> across five key dimensions</w:t>
      </w:r>
      <w:r>
        <w:rPr>
          <w:rFonts w:hint="default" w:ascii="Times New Roman" w:hAnsi="Times New Roman"/>
          <w:color w:val="auto"/>
          <w:sz w:val="26"/>
          <w:szCs w:val="26"/>
          <w:lang w:val="en-US"/>
        </w:rPr>
        <w:t xml:space="preserve"> namely </w:t>
      </w:r>
      <w:r>
        <w:rPr>
          <w:rFonts w:ascii="Times New Roman" w:hAnsi="Times New Roman"/>
          <w:color w:val="auto"/>
          <w:sz w:val="26"/>
          <w:szCs w:val="26"/>
        </w:rPr>
        <w:t xml:space="preserve">diagnosing learning needs, setting learning goals, identifying learning resources, designing learning plans, and evaluating learning outcomes. The overall mean SDL score among the 94 participants was 4.05 (SD = 0.56) on a five-point Likert scale, indicating a relatively high level of </w:t>
      </w:r>
      <w:r>
        <w:rPr>
          <w:rFonts w:hint="default" w:ascii="Times New Roman" w:hAnsi="Times New Roman"/>
          <w:color w:val="auto"/>
          <w:sz w:val="26"/>
          <w:szCs w:val="26"/>
          <w:lang w:val="en-US"/>
        </w:rPr>
        <w:t>SDL</w:t>
      </w:r>
      <w:r>
        <w:rPr>
          <w:rFonts w:ascii="Times New Roman" w:hAnsi="Times New Roman"/>
          <w:color w:val="auto"/>
          <w:sz w:val="26"/>
          <w:szCs w:val="26"/>
        </w:rPr>
        <w:t xml:space="preserve"> engagement among fourth-year English majors at TDMU</w:t>
      </w:r>
      <w:r>
        <w:rPr>
          <w:rFonts w:hint="default" w:ascii="Times New Roman" w:hAnsi="Times New Roman"/>
          <w:color w:val="auto"/>
          <w:sz w:val="26"/>
          <w:szCs w:val="26"/>
          <w:lang w:val="en-US"/>
        </w:rPr>
        <w:t xml:space="preserve"> </w:t>
      </w:r>
      <w:r>
        <w:rPr>
          <w:rFonts w:hint="default" w:ascii="Times New Roman" w:hAnsi="Times New Roman"/>
          <w:i/>
          <w:iCs/>
          <w:color w:val="auto"/>
          <w:sz w:val="26"/>
          <w:szCs w:val="26"/>
          <w:lang w:val="en-US"/>
        </w:rPr>
        <w:t>(see Table 1)</w:t>
      </w:r>
      <w:r>
        <w:rPr>
          <w:rFonts w:ascii="Times New Roman" w:hAnsi="Times New Roman"/>
          <w:color w:val="auto"/>
          <w:sz w:val="26"/>
          <w:szCs w:val="26"/>
        </w:rPr>
        <w:t>.</w:t>
      </w:r>
    </w:p>
    <w:p w14:paraId="521E7DE6">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 xml:space="preserve">Among the five SDL components, “Identifying learning resources” had the highest mean score (M = 4.13, SD = 0.63). This finding suggests that students are confident and proactive in seeking out both material </w:t>
      </w:r>
      <w:r>
        <w:rPr>
          <w:rFonts w:hint="default" w:ascii="Times New Roman" w:hAnsi="Times New Roman"/>
          <w:color w:val="auto"/>
          <w:sz w:val="26"/>
          <w:szCs w:val="26"/>
          <w:lang w:val="en-US"/>
        </w:rPr>
        <w:t>such as</w:t>
      </w:r>
      <w:r>
        <w:rPr>
          <w:rFonts w:ascii="Times New Roman" w:hAnsi="Times New Roman"/>
          <w:color w:val="auto"/>
          <w:sz w:val="26"/>
          <w:szCs w:val="26"/>
        </w:rPr>
        <w:t xml:space="preserve"> books, articles and human </w:t>
      </w:r>
      <w:r>
        <w:rPr>
          <w:rFonts w:hint="default" w:ascii="Times New Roman" w:hAnsi="Times New Roman"/>
          <w:color w:val="auto"/>
          <w:sz w:val="26"/>
          <w:szCs w:val="26"/>
          <w:lang w:val="en-US"/>
        </w:rPr>
        <w:t>resources such as</w:t>
      </w:r>
      <w:r>
        <w:rPr>
          <w:rFonts w:ascii="Times New Roman" w:hAnsi="Times New Roman"/>
          <w:color w:val="auto"/>
          <w:sz w:val="26"/>
          <w:szCs w:val="26"/>
        </w:rPr>
        <w:t xml:space="preserve"> peers, lecturers to support their learning. High scores were also observed in “Designing learning plans” (M = 4.05, SD = 0.73) and “Diagnosing learning needs” (M = 4.03, SD = 0.61), which indicates that many students are capable of evaluating their current abilities and formulating appropriate strategies to meet academic goals. The dimension “Setting learning goals” also yielded a high score (M = 4.01, SD = 0.77), showing that students tend to align personal objectives with academic requirements. Lastly, “Evaluating learning outcomes” received the lowest mean among the five components (M = 4.01, SD = 0.71). While still relatively high, this result may reflect some difficulty among students in regularly reflecting on their learning strategies and outcomes or adjusting them as needed.</w:t>
      </w:r>
    </w:p>
    <w:p w14:paraId="2A5C77DC">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 xml:space="preserve">In summary, fourth-year English linguistics students at TDMU </w:t>
      </w:r>
      <w:r>
        <w:rPr>
          <w:rFonts w:hint="default" w:ascii="Times New Roman" w:hAnsi="Times New Roman"/>
          <w:color w:val="auto"/>
          <w:sz w:val="26"/>
          <w:szCs w:val="26"/>
          <w:lang w:val="en-US"/>
        </w:rPr>
        <w:t>show</w:t>
      </w:r>
      <w:r>
        <w:rPr>
          <w:rFonts w:ascii="Times New Roman" w:hAnsi="Times New Roman"/>
          <w:color w:val="auto"/>
          <w:sz w:val="26"/>
          <w:szCs w:val="26"/>
        </w:rPr>
        <w:t xml:space="preserve"> strong engagement in </w:t>
      </w:r>
      <w:r>
        <w:rPr>
          <w:rFonts w:hint="default" w:ascii="Times New Roman" w:hAnsi="Times New Roman"/>
          <w:color w:val="auto"/>
          <w:sz w:val="26"/>
          <w:szCs w:val="26"/>
          <w:lang w:val="en-US"/>
        </w:rPr>
        <w:t>SDL</w:t>
      </w:r>
      <w:r>
        <w:rPr>
          <w:rFonts w:ascii="Times New Roman" w:hAnsi="Times New Roman"/>
          <w:color w:val="auto"/>
          <w:sz w:val="26"/>
          <w:szCs w:val="26"/>
        </w:rPr>
        <w:t xml:space="preserve"> across all components, with particularly high performance in resource utilization and learning design. However, the comparatively lower scores in the evaluation dimension suggest that some students may lack the reflective habits needed to continually refine their learning approaches. These findings confirm that students at this stage of their education possess generally well-developed SDL skills, positioning them to take increasing responsibility for their academic development.</w:t>
      </w:r>
    </w:p>
    <w:p w14:paraId="517BEB93">
      <w:pPr>
        <w:spacing w:before="80" w:after="80" w:line="400" w:lineRule="atLeast"/>
        <w:ind w:firstLine="720" w:firstLineChars="0"/>
        <w:jc w:val="both"/>
        <w:rPr>
          <w:rFonts w:ascii="Times New Roman" w:hAnsi="Times New Roman"/>
          <w:color w:val="auto"/>
          <w:sz w:val="26"/>
          <w:szCs w:val="26"/>
        </w:rPr>
      </w:pPr>
    </w:p>
    <w:p w14:paraId="370251B3">
      <w:pPr>
        <w:pStyle w:val="14"/>
        <w:keepNext/>
        <w:jc w:val="both"/>
        <w:rPr>
          <w:rFonts w:ascii="Times New Roman" w:hAnsi="Times New Roman" w:cs="Times New Roman"/>
          <w:b/>
          <w:bCs/>
          <w:color w:val="auto"/>
          <w:sz w:val="26"/>
          <w:szCs w:val="26"/>
        </w:rPr>
      </w:pPr>
      <w:bookmarkStart w:id="9" w:name="_Toc196100576"/>
      <w:r>
        <w:rPr>
          <w:rFonts w:ascii="Times New Roman" w:hAnsi="Times New Roman" w:cs="Times New Roman"/>
          <w:b/>
          <w:bCs/>
          <w:i w:val="0"/>
          <w:iCs w:val="0"/>
          <w:color w:val="auto"/>
          <w:sz w:val="26"/>
          <w:szCs w:val="26"/>
        </w:rPr>
        <w:t xml:space="preserve">Table </w:t>
      </w:r>
      <w:r>
        <w:rPr>
          <w:rFonts w:ascii="Times New Roman" w:hAnsi="Times New Roman" w:cs="Times New Roman"/>
          <w:b/>
          <w:bCs/>
          <w:i w:val="0"/>
          <w:iCs w:val="0"/>
          <w:color w:val="auto"/>
          <w:sz w:val="26"/>
          <w:szCs w:val="26"/>
        </w:rPr>
        <w:fldChar w:fldCharType="begin"/>
      </w:r>
      <w:r>
        <w:rPr>
          <w:rFonts w:ascii="Times New Roman" w:hAnsi="Times New Roman" w:cs="Times New Roman"/>
          <w:b/>
          <w:bCs/>
          <w:i w:val="0"/>
          <w:iCs w:val="0"/>
          <w:color w:val="auto"/>
          <w:sz w:val="26"/>
          <w:szCs w:val="26"/>
        </w:rPr>
        <w:instrText xml:space="preserve"> SEQ Table \* ARABIC </w:instrText>
      </w:r>
      <w:r>
        <w:rPr>
          <w:rFonts w:ascii="Times New Roman" w:hAnsi="Times New Roman" w:cs="Times New Roman"/>
          <w:b/>
          <w:bCs/>
          <w:i w:val="0"/>
          <w:iCs w:val="0"/>
          <w:color w:val="auto"/>
          <w:sz w:val="26"/>
          <w:szCs w:val="26"/>
        </w:rPr>
        <w:fldChar w:fldCharType="separate"/>
      </w:r>
      <w:r>
        <w:rPr>
          <w:rFonts w:ascii="Times New Roman" w:hAnsi="Times New Roman" w:cs="Times New Roman"/>
          <w:b/>
          <w:bCs/>
          <w:i w:val="0"/>
          <w:iCs w:val="0"/>
          <w:color w:val="auto"/>
          <w:sz w:val="26"/>
          <w:szCs w:val="26"/>
        </w:rPr>
        <w:t>1</w:t>
      </w:r>
      <w:r>
        <w:rPr>
          <w:rFonts w:ascii="Times New Roman" w:hAnsi="Times New Roman" w:cs="Times New Roman"/>
          <w:b/>
          <w:bCs/>
          <w:i w:val="0"/>
          <w:iCs w:val="0"/>
          <w:color w:val="auto"/>
          <w:sz w:val="26"/>
          <w:szCs w:val="26"/>
        </w:rPr>
        <w:fldChar w:fldCharType="end"/>
      </w:r>
    </w:p>
    <w:p w14:paraId="49F6ED1B">
      <w:pPr>
        <w:pStyle w:val="14"/>
        <w:keepNext/>
        <w:jc w:val="both"/>
        <w:rPr>
          <w:rFonts w:ascii="Times New Roman" w:hAnsi="Times New Roman" w:cs="Times New Roman"/>
          <w:color w:val="auto"/>
          <w:sz w:val="26"/>
          <w:szCs w:val="26"/>
        </w:rPr>
      </w:pPr>
      <w:r>
        <w:rPr>
          <w:rFonts w:ascii="Times New Roman" w:hAnsi="Times New Roman" w:cs="Times New Roman"/>
          <w:color w:val="auto"/>
          <w:sz w:val="26"/>
          <w:szCs w:val="26"/>
        </w:rPr>
        <w:t>Mean scores and standard deviations for the SDL scale</w:t>
      </w:r>
      <w:bookmarkEnd w:id="9"/>
    </w:p>
    <w:tbl>
      <w:tblPr>
        <w:tblStyle w:val="12"/>
        <w:tblW w:w="0" w:type="auto"/>
        <w:tblInd w:w="0" w:type="dxa"/>
        <w:tblLayout w:type="autofit"/>
        <w:tblCellMar>
          <w:top w:w="15" w:type="dxa"/>
          <w:left w:w="15" w:type="dxa"/>
          <w:bottom w:w="15" w:type="dxa"/>
          <w:right w:w="15" w:type="dxa"/>
        </w:tblCellMar>
      </w:tblPr>
      <w:tblGrid>
        <w:gridCol w:w="912"/>
        <w:gridCol w:w="6736"/>
        <w:gridCol w:w="689"/>
        <w:gridCol w:w="650"/>
      </w:tblGrid>
      <w:tr w14:paraId="1FCE8DD6">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6A364DDE">
            <w:pPr>
              <w:spacing w:before="80" w:after="80" w:line="36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NO.</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0E6D1AA1">
            <w:pPr>
              <w:spacing w:before="80" w:after="80" w:line="36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Items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417DCC68">
            <w:pPr>
              <w:spacing w:before="80" w:after="80" w:line="36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Mean</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5F25DADA">
            <w:pPr>
              <w:spacing w:before="80" w:after="80" w:line="36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SD</w:t>
            </w:r>
          </w:p>
        </w:tc>
      </w:tr>
      <w:tr w14:paraId="78B8507D">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59849314">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SDL_B1</w:t>
            </w:r>
          </w:p>
        </w:tc>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071D9838">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DIAGNOSE LEARNING NEEDS</w:t>
            </w:r>
          </w:p>
        </w:tc>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23CEC2DF">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4,03</w:t>
            </w:r>
          </w:p>
        </w:tc>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5B9180BE">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0,61</w:t>
            </w:r>
          </w:p>
        </w:tc>
      </w:tr>
      <w:tr w14:paraId="34E62D22">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1A4E1224">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B1_Q1</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44BC3C28">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I am able to identify my own weaknesses during the learning process.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1068E554">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3,98</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1C833FFD">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0,80</w:t>
            </w:r>
          </w:p>
        </w:tc>
      </w:tr>
      <w:tr w14:paraId="307441E4">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6DF5D587">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B1_Q2</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07BFD435">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I realistically assess my current knowledge and skills before starting a learning task.</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43658C2E">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3,99</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76F7CA06">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0,796</w:t>
            </w:r>
          </w:p>
        </w:tc>
      </w:tr>
      <w:tr w14:paraId="5082AB5E">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002823CE">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B1_Q3</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3F17ABF8">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I seek feedback from peers or teachers to understand my learning gaps.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0E07C970">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4,12</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125F8C70">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0,926</w:t>
            </w:r>
          </w:p>
        </w:tc>
      </w:tr>
      <w:tr w14:paraId="62517F9E">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1F430D60">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SDL_B2</w:t>
            </w:r>
          </w:p>
        </w:tc>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0ECE4CFF">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SETTING LEARNING GOALS</w:t>
            </w:r>
          </w:p>
        </w:tc>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7E3D5BED">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4,01</w:t>
            </w:r>
          </w:p>
        </w:tc>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59E39370">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0,77</w:t>
            </w:r>
          </w:p>
        </w:tc>
      </w:tr>
      <w:tr w14:paraId="17C8014F">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66AFC46C">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B2_Q1</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56184135">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I set clear and realistic timelines to achieve my learning objectives.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2C7576D7">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3,94</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706F87C8">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0,94</w:t>
            </w:r>
          </w:p>
        </w:tc>
      </w:tr>
      <w:tr w14:paraId="7986BF73">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24B0FCEA">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B2_Q2</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48F01B09">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I align my personal learning goals with the academic requirements of my courses.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4986AF37">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4,20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414A4252">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0,90</w:t>
            </w:r>
          </w:p>
        </w:tc>
      </w:tr>
      <w:tr w14:paraId="6268298E">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5EE9157B">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B2_Q3</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57E53AB9">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I can turn my learning needs into specific, measurable learning goals.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4ED014AA">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3,88</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31F427EC">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1,01</w:t>
            </w:r>
          </w:p>
        </w:tc>
      </w:tr>
      <w:tr w14:paraId="1CD05856">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187A8DE6">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SDL_B3</w:t>
            </w:r>
          </w:p>
        </w:tc>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2562E3F5">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IDENTIFY RESOURCES FOR LEARNING</w:t>
            </w:r>
          </w:p>
        </w:tc>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6F1E0109">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4,13</w:t>
            </w:r>
          </w:p>
        </w:tc>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5DAEA326">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0,63</w:t>
            </w:r>
          </w:p>
        </w:tc>
      </w:tr>
      <w:tr w14:paraId="0443AAB1">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1866215D">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B3_Q1</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5520BB98">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I use a variety of resources, such as books, academic articles, and research papers, to achieve my learning goals.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23FC0BB7">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4,12</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27F11795">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0,87</w:t>
            </w:r>
          </w:p>
        </w:tc>
      </w:tr>
      <w:tr w14:paraId="6BD1BA2D">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7A7F1046">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B3_Q2</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1822CDD9">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I seek guidance and share insights with my peers and teachers to enhance my learning experience</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3A5ABAF4">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4,13</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0DCF7BA7">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0,88</w:t>
            </w:r>
          </w:p>
        </w:tc>
      </w:tr>
      <w:tr w14:paraId="04F983E6">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04786017">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B3_Q3</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6A6B8038">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I actively use both material and human resources to support my learning process.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0834A31A">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4,16</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23C20E57">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0,71</w:t>
            </w:r>
          </w:p>
        </w:tc>
      </w:tr>
      <w:tr w14:paraId="4D9B8A49">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4CF56944">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SDL_B4</w:t>
            </w:r>
          </w:p>
        </w:tc>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7A1FFB67">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DESIGN LEARNING PLANS</w:t>
            </w:r>
          </w:p>
        </w:tc>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229CDACB">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4,05</w:t>
            </w:r>
          </w:p>
        </w:tc>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44F9D878">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0,73</w:t>
            </w:r>
          </w:p>
        </w:tc>
      </w:tr>
      <w:tr w14:paraId="2C89F8AE">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55A5968D">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B4_Q1</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71124FE1">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I conduct a self-evaluation to identify the gaps between my current knowledge and the competencies I want to achieve.</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52C409A9">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4,05</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012A0190">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0,85</w:t>
            </w:r>
          </w:p>
        </w:tc>
      </w:tr>
      <w:tr w14:paraId="02A8709C">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6E6349CD">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B4_Q2</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59365ECB">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I select learning resources and strategies that align with my goals and personal learning preferences.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69E92950">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4,05</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40292C42">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0,91</w:t>
            </w:r>
          </w:p>
        </w:tc>
      </w:tr>
      <w:tr w14:paraId="5B2FBF43">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75B213E3">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SDL_B5</w:t>
            </w:r>
          </w:p>
        </w:tc>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3C75D260">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EVALUATE LEARNING OUTCOMES</w:t>
            </w:r>
          </w:p>
        </w:tc>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0CE48D58">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4,01</w:t>
            </w:r>
          </w:p>
        </w:tc>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34165D36">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0,71</w:t>
            </w:r>
          </w:p>
        </w:tc>
      </w:tr>
      <w:tr w14:paraId="3E7B1D1B">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3B7BB029">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B5_Q1</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605F8800">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I regularly assess my academic progress by comparing my learning outcomes to the goals I set at the beginning.</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5873E634">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4,00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42C85F57">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0,98</w:t>
            </w:r>
          </w:p>
        </w:tc>
      </w:tr>
      <w:tr w14:paraId="5B16978E">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2BA06D58">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B5_Q2</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4F8BB3EE">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I use multiple methods, such as examination scores and feedback from peers and teachers, to evaluate my learning outcomes.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7FE949E1">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4,11</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7A44DB2F">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0,80</w:t>
            </w:r>
          </w:p>
        </w:tc>
      </w:tr>
      <w:tr w14:paraId="1433FD4A">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151A5E08">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B5_Q3</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2C4060C8">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I consistently reflect on my learning strategies and make adjustments to improve my academic performance.</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5C49C689">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3,91</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24D15DD0">
            <w:pPr>
              <w:spacing w:before="80" w:after="80" w:line="360" w:lineRule="auto"/>
              <w:jc w:val="left"/>
              <w:rPr>
                <w:rFonts w:ascii="Times New Roman" w:hAnsi="Times New Roman" w:cs="Times New Roman"/>
                <w:color w:val="auto"/>
                <w:sz w:val="20"/>
                <w:szCs w:val="20"/>
              </w:rPr>
            </w:pPr>
            <w:r>
              <w:rPr>
                <w:rFonts w:ascii="Times New Roman" w:hAnsi="Times New Roman" w:cs="Times New Roman"/>
                <w:color w:val="auto"/>
                <w:sz w:val="20"/>
                <w:szCs w:val="20"/>
              </w:rPr>
              <w:t>0,92</w:t>
            </w:r>
          </w:p>
        </w:tc>
      </w:tr>
      <w:tr w14:paraId="308C3AC4">
        <w:tblPrEx>
          <w:tblCellMar>
            <w:top w:w="15" w:type="dxa"/>
            <w:left w:w="15" w:type="dxa"/>
            <w:bottom w:w="15" w:type="dxa"/>
            <w:right w:w="15"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286B7DEE">
            <w:pPr>
              <w:spacing w:before="80" w:after="80" w:line="36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SDL</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01DE7999">
            <w:pPr>
              <w:spacing w:before="80" w:after="80" w:line="360" w:lineRule="auto"/>
              <w:rPr>
                <w:rFonts w:ascii="Times New Roman" w:hAnsi="Times New Roman" w:cs="Times New Roman"/>
                <w:b/>
                <w:bCs/>
                <w:color w:val="auto"/>
                <w:sz w:val="20"/>
                <w:szCs w:val="20"/>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52E8D58B">
            <w:pPr>
              <w:spacing w:before="80" w:after="80" w:line="360" w:lineRule="auto"/>
              <w:jc w:val="left"/>
              <w:rPr>
                <w:rFonts w:ascii="Times New Roman" w:hAnsi="Times New Roman" w:cs="Times New Roman"/>
                <w:b/>
                <w:bCs/>
                <w:color w:val="auto"/>
                <w:sz w:val="20"/>
                <w:szCs w:val="20"/>
              </w:rPr>
            </w:pPr>
            <w:r>
              <w:rPr>
                <w:rFonts w:ascii="Times New Roman" w:hAnsi="Times New Roman" w:cs="Times New Roman"/>
                <w:b/>
                <w:bCs/>
                <w:color w:val="auto"/>
                <w:sz w:val="20"/>
                <w:szCs w:val="20"/>
              </w:rPr>
              <w:t>4,05</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14:paraId="5D5D12D1">
            <w:pPr>
              <w:spacing w:before="80" w:after="80" w:line="360" w:lineRule="auto"/>
              <w:jc w:val="left"/>
              <w:rPr>
                <w:rFonts w:ascii="Times New Roman" w:hAnsi="Times New Roman" w:cs="Times New Roman"/>
                <w:b/>
                <w:bCs/>
                <w:color w:val="auto"/>
                <w:sz w:val="20"/>
                <w:szCs w:val="20"/>
              </w:rPr>
            </w:pPr>
            <w:r>
              <w:rPr>
                <w:rFonts w:ascii="Times New Roman" w:hAnsi="Times New Roman" w:cs="Times New Roman"/>
                <w:b/>
                <w:bCs/>
                <w:color w:val="auto"/>
                <w:sz w:val="20"/>
                <w:szCs w:val="20"/>
              </w:rPr>
              <w:t>0,56</w:t>
            </w:r>
          </w:p>
        </w:tc>
      </w:tr>
    </w:tbl>
    <w:p w14:paraId="110B4EDB">
      <w:pPr>
        <w:spacing w:before="80" w:after="80" w:line="400" w:lineRule="atLeast"/>
        <w:jc w:val="both"/>
        <w:rPr>
          <w:rFonts w:ascii="Times New Roman" w:hAnsi="Times New Roman" w:cs="Times New Roman"/>
          <w:b/>
          <w:bCs/>
          <w:i/>
          <w:iCs/>
          <w:color w:val="auto"/>
          <w:sz w:val="26"/>
          <w:szCs w:val="26"/>
          <w:lang w:val="en-US"/>
        </w:rPr>
      </w:pPr>
      <w:r>
        <w:rPr>
          <w:rFonts w:ascii="Times New Roman" w:hAnsi="Times New Roman" w:cs="Times New Roman"/>
          <w:b/>
          <w:bCs/>
          <w:i/>
          <w:iCs/>
          <w:color w:val="auto"/>
          <w:sz w:val="26"/>
          <w:szCs w:val="26"/>
          <w:lang w:val="vi-VN"/>
        </w:rPr>
        <w:t>4.2.</w:t>
      </w:r>
      <w:r>
        <w:rPr>
          <w:rFonts w:ascii="Times New Roman" w:hAnsi="Times New Roman" w:cs="Times New Roman"/>
          <w:b/>
          <w:bCs/>
          <w:i/>
          <w:iCs/>
          <w:color w:val="auto"/>
          <w:sz w:val="26"/>
          <w:szCs w:val="26"/>
          <w:lang w:val="en-US"/>
        </w:rPr>
        <w:t xml:space="preserve"> </w:t>
      </w:r>
      <w:r>
        <w:rPr>
          <w:rFonts w:ascii="Times New Roman" w:hAnsi="Times New Roman" w:cs="Times New Roman"/>
          <w:b/>
          <w:bCs/>
          <w:i/>
          <w:iCs/>
          <w:color w:val="auto"/>
          <w:sz w:val="26"/>
          <w:szCs w:val="26"/>
        </w:rPr>
        <w:t>The impact of SDL on academic performance among students</w:t>
      </w:r>
    </w:p>
    <w:p w14:paraId="76D666FC">
      <w:pPr>
        <w:spacing w:before="80" w:after="80" w:line="400" w:lineRule="atLeast"/>
        <w:ind w:firstLine="720" w:firstLineChars="0"/>
        <w:jc w:val="both"/>
        <w:rPr>
          <w:rFonts w:ascii="Times New Roman" w:hAnsi="Times New Roman"/>
          <w:color w:val="auto"/>
          <w:sz w:val="26"/>
          <w:szCs w:val="26"/>
          <w:lang w:val="en-US"/>
        </w:rPr>
      </w:pPr>
      <w:r>
        <w:rPr>
          <w:rFonts w:ascii="Times New Roman" w:hAnsi="Times New Roman"/>
          <w:color w:val="auto"/>
          <w:sz w:val="26"/>
          <w:szCs w:val="26"/>
          <w:lang w:val="en-US"/>
        </w:rPr>
        <w:t>To explore the second research question, students’ academic performance was assessed through self-reported GPA scores on a 10-point scale. The results</w:t>
      </w:r>
      <w:r>
        <w:rPr>
          <w:rFonts w:hint="default" w:ascii="Times New Roman" w:hAnsi="Times New Roman"/>
          <w:color w:val="auto"/>
          <w:sz w:val="26"/>
          <w:szCs w:val="26"/>
          <w:lang w:val="en-US"/>
        </w:rPr>
        <w:t xml:space="preserve"> </w:t>
      </w:r>
      <w:r>
        <w:rPr>
          <w:rFonts w:hint="default" w:ascii="Times New Roman" w:hAnsi="Times New Roman"/>
          <w:i/>
          <w:iCs/>
          <w:color w:val="auto"/>
          <w:sz w:val="26"/>
          <w:szCs w:val="26"/>
          <w:lang w:val="en-US"/>
        </w:rPr>
        <w:t>(see Table 2)</w:t>
      </w:r>
      <w:r>
        <w:rPr>
          <w:rFonts w:ascii="Times New Roman" w:hAnsi="Times New Roman"/>
          <w:color w:val="auto"/>
          <w:sz w:val="26"/>
          <w:szCs w:val="26"/>
          <w:lang w:val="en-US"/>
        </w:rPr>
        <w:t xml:space="preserve"> show that the vast majority of students achieved high academic results. Specifically, 76.6% of the sample had a GPA between 7.0 and 8.4, and 19.1% had an excellent GPA of 8.5 to 10. Only 4.3% fell into the average range of 5.5 to 6.9, and no students had a GPA below 5.5. This distribution indicates that the participant group was predominantly composed of high-achieving students, which may be reflective of the academic culture and expectations at TDMU.</w:t>
      </w:r>
    </w:p>
    <w:p w14:paraId="121F3B1E">
      <w:pPr>
        <w:spacing w:before="80" w:after="80" w:line="400" w:lineRule="atLeast"/>
        <w:ind w:firstLine="720" w:firstLineChars="0"/>
        <w:jc w:val="both"/>
        <w:rPr>
          <w:rFonts w:ascii="Times New Roman" w:hAnsi="Times New Roman"/>
          <w:color w:val="auto"/>
          <w:sz w:val="26"/>
          <w:szCs w:val="26"/>
          <w:lang w:val="en-US"/>
        </w:rPr>
      </w:pPr>
    </w:p>
    <w:p w14:paraId="6FC69C7D">
      <w:pPr>
        <w:pStyle w:val="14"/>
        <w:keepNext/>
        <w:jc w:val="both"/>
        <w:rPr>
          <w:rFonts w:ascii="Times New Roman" w:hAnsi="Times New Roman" w:cs="Times New Roman"/>
          <w:b/>
          <w:bCs/>
          <w:i w:val="0"/>
          <w:iCs w:val="0"/>
          <w:color w:val="auto"/>
          <w:sz w:val="26"/>
          <w:szCs w:val="26"/>
        </w:rPr>
      </w:pPr>
      <w:bookmarkStart w:id="10" w:name="_Toc196100577"/>
      <w:r>
        <w:rPr>
          <w:rFonts w:ascii="Times New Roman" w:hAnsi="Times New Roman" w:cs="Times New Roman"/>
          <w:b/>
          <w:bCs/>
          <w:i w:val="0"/>
          <w:iCs w:val="0"/>
          <w:color w:val="auto"/>
          <w:sz w:val="26"/>
          <w:szCs w:val="26"/>
        </w:rPr>
        <w:t xml:space="preserve">Table </w:t>
      </w:r>
      <w:r>
        <w:rPr>
          <w:rFonts w:ascii="Times New Roman" w:hAnsi="Times New Roman" w:cs="Times New Roman"/>
          <w:b/>
          <w:bCs/>
          <w:i w:val="0"/>
          <w:iCs w:val="0"/>
          <w:color w:val="auto"/>
          <w:sz w:val="26"/>
          <w:szCs w:val="26"/>
        </w:rPr>
        <w:fldChar w:fldCharType="begin"/>
      </w:r>
      <w:r>
        <w:rPr>
          <w:rFonts w:ascii="Times New Roman" w:hAnsi="Times New Roman" w:cs="Times New Roman"/>
          <w:b/>
          <w:bCs/>
          <w:i w:val="0"/>
          <w:iCs w:val="0"/>
          <w:color w:val="auto"/>
          <w:sz w:val="26"/>
          <w:szCs w:val="26"/>
        </w:rPr>
        <w:instrText xml:space="preserve"> SEQ Table \* ARABIC </w:instrText>
      </w:r>
      <w:r>
        <w:rPr>
          <w:rFonts w:ascii="Times New Roman" w:hAnsi="Times New Roman" w:cs="Times New Roman"/>
          <w:b/>
          <w:bCs/>
          <w:i w:val="0"/>
          <w:iCs w:val="0"/>
          <w:color w:val="auto"/>
          <w:sz w:val="26"/>
          <w:szCs w:val="26"/>
        </w:rPr>
        <w:fldChar w:fldCharType="separate"/>
      </w:r>
      <w:r>
        <w:rPr>
          <w:rFonts w:ascii="Times New Roman" w:hAnsi="Times New Roman" w:cs="Times New Roman"/>
          <w:b/>
          <w:bCs/>
          <w:i w:val="0"/>
          <w:iCs w:val="0"/>
          <w:color w:val="auto"/>
          <w:sz w:val="26"/>
          <w:szCs w:val="26"/>
        </w:rPr>
        <w:t>2</w:t>
      </w:r>
      <w:r>
        <w:rPr>
          <w:rFonts w:ascii="Times New Roman" w:hAnsi="Times New Roman" w:cs="Times New Roman"/>
          <w:b/>
          <w:bCs/>
          <w:i w:val="0"/>
          <w:iCs w:val="0"/>
          <w:color w:val="auto"/>
          <w:sz w:val="26"/>
          <w:szCs w:val="26"/>
        </w:rPr>
        <w:fldChar w:fldCharType="end"/>
      </w:r>
    </w:p>
    <w:p w14:paraId="1F338423">
      <w:pPr>
        <w:pStyle w:val="14"/>
        <w:keepNext/>
        <w:jc w:val="both"/>
        <w:rPr>
          <w:rFonts w:ascii="Times New Roman" w:hAnsi="Times New Roman" w:cs="Times New Roman"/>
          <w:color w:val="auto"/>
          <w:sz w:val="26"/>
          <w:szCs w:val="26"/>
        </w:rPr>
      </w:pPr>
      <w:r>
        <w:rPr>
          <w:rFonts w:ascii="Times New Roman" w:hAnsi="Times New Roman" w:cs="Times New Roman"/>
          <w:color w:val="auto"/>
          <w:sz w:val="26"/>
          <w:szCs w:val="26"/>
        </w:rPr>
        <w:t>Distribution of participants</w:t>
      </w:r>
      <w:r>
        <w:rPr>
          <w:rFonts w:hint="default" w:ascii="Times New Roman" w:hAnsi="Times New Roman" w:cs="Times New Roman"/>
          <w:color w:val="auto"/>
          <w:sz w:val="26"/>
          <w:szCs w:val="26"/>
          <w:lang w:val="en-US"/>
        </w:rPr>
        <w:t>’</w:t>
      </w:r>
      <w:r>
        <w:rPr>
          <w:rFonts w:ascii="Times New Roman" w:hAnsi="Times New Roman" w:cs="Times New Roman"/>
          <w:color w:val="auto"/>
          <w:sz w:val="26"/>
          <w:szCs w:val="26"/>
        </w:rPr>
        <w:t xml:space="preserve"> academic performance based on GPA</w:t>
      </w:r>
      <w:bookmarkEnd w:id="10"/>
    </w:p>
    <w:tbl>
      <w:tblPr>
        <w:tblStyle w:val="12"/>
        <w:tblW w:w="9360" w:type="dxa"/>
        <w:tblInd w:w="0" w:type="dxa"/>
        <w:tblLayout w:type="autofit"/>
        <w:tblCellMar>
          <w:top w:w="15" w:type="dxa"/>
          <w:left w:w="15" w:type="dxa"/>
          <w:bottom w:w="15" w:type="dxa"/>
          <w:right w:w="15" w:type="dxa"/>
        </w:tblCellMar>
      </w:tblPr>
      <w:tblGrid>
        <w:gridCol w:w="6220"/>
        <w:gridCol w:w="1322"/>
        <w:gridCol w:w="1818"/>
      </w:tblGrid>
      <w:tr w14:paraId="507CDDEF">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085D9DC6">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GPA (10-point scale)</w:t>
            </w:r>
          </w:p>
        </w:tc>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303DEB17">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N</w:t>
            </w:r>
          </w:p>
        </w:tc>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2F28E064">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w:t>
            </w:r>
          </w:p>
        </w:tc>
      </w:tr>
      <w:tr w14:paraId="1301CF08">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4351ECAC">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&lt; 5.5</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15CE8B35">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762B6DCB">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0.00</w:t>
            </w:r>
          </w:p>
        </w:tc>
      </w:tr>
      <w:tr w14:paraId="491FF60A">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70A08116">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5.5 – 6.9</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02007689">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38740C89">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4.3</w:t>
            </w:r>
          </w:p>
        </w:tc>
      </w:tr>
      <w:tr w14:paraId="5B42FC25">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065D48FF">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7.0 – 8.4</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3374E8C1">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72</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550399E4">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76.6</w:t>
            </w:r>
          </w:p>
        </w:tc>
      </w:tr>
      <w:tr w14:paraId="22BD8CE9">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0D67747E">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8.5 - 10</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670840C5">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18</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44FFCD8D">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19.1</w:t>
            </w:r>
          </w:p>
        </w:tc>
      </w:tr>
      <w:tr w14:paraId="3F77B0A4">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7E38D65E">
            <w:pPr>
              <w:spacing w:before="80" w:after="80" w:line="360" w:lineRule="auto"/>
              <w:rPr>
                <w:rFonts w:ascii="Times New Roman" w:hAnsi="Times New Roman" w:cs="Times New Roman"/>
                <w:color w:val="auto"/>
                <w:sz w:val="20"/>
                <w:szCs w:val="20"/>
              </w:rPr>
            </w:pP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2DFC7644">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94</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14D3CC95">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100</w:t>
            </w:r>
          </w:p>
        </w:tc>
      </w:tr>
    </w:tbl>
    <w:p w14:paraId="7AC70E90">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To examine the impact of SDL on academic performance, Spearman correlation analysis was conducted between SDL scores and GPA. The results</w:t>
      </w:r>
      <w:r>
        <w:rPr>
          <w:rFonts w:hint="default" w:ascii="Times New Roman" w:hAnsi="Times New Roman"/>
          <w:color w:val="auto"/>
          <w:sz w:val="26"/>
          <w:szCs w:val="26"/>
          <w:lang w:val="en-US"/>
        </w:rPr>
        <w:t xml:space="preserve"> </w:t>
      </w:r>
      <w:r>
        <w:rPr>
          <w:rFonts w:hint="default" w:ascii="Times New Roman" w:hAnsi="Times New Roman"/>
          <w:i/>
          <w:iCs/>
          <w:color w:val="auto"/>
          <w:sz w:val="26"/>
          <w:szCs w:val="26"/>
          <w:lang w:val="en-US"/>
        </w:rPr>
        <w:t>(see Table 3)</w:t>
      </w:r>
      <w:r>
        <w:rPr>
          <w:rFonts w:ascii="Times New Roman" w:hAnsi="Times New Roman"/>
          <w:color w:val="auto"/>
          <w:sz w:val="26"/>
          <w:szCs w:val="26"/>
        </w:rPr>
        <w:t xml:space="preserve"> revealed a weak but statistically significant positive correlation between total SDL scores and GPA (ρ = 0.204, p = 0.049). This finding indicates that students who engage more deeply in </w:t>
      </w:r>
      <w:r>
        <w:rPr>
          <w:rFonts w:hint="default" w:ascii="Times New Roman" w:hAnsi="Times New Roman"/>
          <w:color w:val="auto"/>
          <w:sz w:val="26"/>
          <w:szCs w:val="26"/>
          <w:lang w:val="en-US"/>
        </w:rPr>
        <w:t>SDL</w:t>
      </w:r>
      <w:r>
        <w:rPr>
          <w:rFonts w:ascii="Times New Roman" w:hAnsi="Times New Roman"/>
          <w:color w:val="auto"/>
          <w:sz w:val="26"/>
          <w:szCs w:val="26"/>
        </w:rPr>
        <w:t xml:space="preserve"> tend to perform better academically, although SDL is likely one of several contributing factors to academic success. Notably, three individual SDL components were significantly correlated with GPA. These were “Diagnosing learning needs” (ρ = 0.211, p = 0.041), “Setting learning goals” (ρ = 0.220, p = 0.033), and “Designing learning plans” (ρ = 0.237, p = 0.021). </w:t>
      </w:r>
      <w:r>
        <w:rPr>
          <w:rFonts w:hint="default" w:ascii="Times New Roman" w:hAnsi="Times New Roman"/>
          <w:color w:val="auto"/>
          <w:sz w:val="26"/>
          <w:szCs w:val="26"/>
          <w:lang w:val="en-US"/>
        </w:rPr>
        <w:t>T</w:t>
      </w:r>
      <w:r>
        <w:rPr>
          <w:rFonts w:ascii="Times New Roman" w:hAnsi="Times New Roman"/>
          <w:color w:val="auto"/>
          <w:sz w:val="26"/>
          <w:szCs w:val="26"/>
        </w:rPr>
        <w:t>he strongest relationship was found in the planning component</w:t>
      </w:r>
      <w:r>
        <w:rPr>
          <w:rFonts w:hint="default" w:ascii="Times New Roman" w:hAnsi="Times New Roman"/>
          <w:color w:val="auto"/>
          <w:sz w:val="26"/>
          <w:szCs w:val="26"/>
          <w:lang w:val="en-US"/>
        </w:rPr>
        <w:t xml:space="preserve"> among them</w:t>
      </w:r>
      <w:r>
        <w:rPr>
          <w:rFonts w:ascii="Times New Roman" w:hAnsi="Times New Roman"/>
          <w:color w:val="auto"/>
          <w:sz w:val="26"/>
          <w:szCs w:val="26"/>
        </w:rPr>
        <w:t>, suggesting that the ability to develop well-structured, goal-aligned learning plans has the most direct influence on academic outcomes.</w:t>
      </w:r>
    </w:p>
    <w:p w14:paraId="59FFA5B7">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In contrast, the two remaining SDL components</w:t>
      </w:r>
      <w:r>
        <w:rPr>
          <w:rFonts w:hint="default" w:ascii="Times New Roman" w:hAnsi="Times New Roman"/>
          <w:color w:val="auto"/>
          <w:sz w:val="26"/>
          <w:szCs w:val="26"/>
          <w:lang w:val="en-US"/>
        </w:rPr>
        <w:t xml:space="preserve"> including </w:t>
      </w:r>
      <w:r>
        <w:rPr>
          <w:rFonts w:ascii="Times New Roman" w:hAnsi="Times New Roman"/>
          <w:color w:val="auto"/>
          <w:sz w:val="26"/>
          <w:szCs w:val="26"/>
        </w:rPr>
        <w:t>“Identifying learning resources” (ρ = 0.183, p = 0.078) and “Evaluating learning outcomes” (ρ = 0.159, p = 0.125)</w:t>
      </w:r>
      <w:r>
        <w:rPr>
          <w:rFonts w:hint="default" w:ascii="Times New Roman" w:hAnsi="Times New Roman"/>
          <w:color w:val="auto"/>
          <w:sz w:val="26"/>
          <w:szCs w:val="26"/>
          <w:lang w:val="en-US"/>
        </w:rPr>
        <w:t xml:space="preserve"> </w:t>
      </w:r>
      <w:r>
        <w:rPr>
          <w:rFonts w:ascii="Times New Roman" w:hAnsi="Times New Roman"/>
          <w:color w:val="auto"/>
          <w:sz w:val="26"/>
          <w:szCs w:val="26"/>
        </w:rPr>
        <w:t xml:space="preserve">did not show statistically significant correlations with GPA. Although both </w:t>
      </w:r>
      <w:r>
        <w:rPr>
          <w:rFonts w:hint="default" w:ascii="Times New Roman" w:hAnsi="Times New Roman"/>
          <w:color w:val="auto"/>
          <w:sz w:val="26"/>
          <w:szCs w:val="26"/>
          <w:lang w:val="en-US"/>
        </w:rPr>
        <w:t xml:space="preserve">of the components </w:t>
      </w:r>
      <w:r>
        <w:rPr>
          <w:rFonts w:ascii="Times New Roman" w:hAnsi="Times New Roman"/>
          <w:color w:val="auto"/>
          <w:sz w:val="26"/>
          <w:szCs w:val="26"/>
        </w:rPr>
        <w:t>were positively related to academic performance, their effects may be more indirect. These findings imply that while accessing resources and reflecting on learning are important behaviors, they do not appear to enhance academic outcomes unless integrated with deliberate goal setting and structured planning.</w:t>
      </w:r>
    </w:p>
    <w:p w14:paraId="7479B29A">
      <w:pPr>
        <w:spacing w:before="80" w:after="80" w:line="400" w:lineRule="atLeast"/>
        <w:ind w:firstLine="720" w:firstLineChars="0"/>
        <w:jc w:val="both"/>
        <w:rPr>
          <w:rFonts w:ascii="Times New Roman" w:hAnsi="Times New Roman"/>
          <w:color w:val="auto"/>
          <w:sz w:val="26"/>
          <w:szCs w:val="26"/>
        </w:rPr>
      </w:pPr>
      <w:r>
        <w:rPr>
          <w:rFonts w:hint="default" w:ascii="Times New Roman" w:hAnsi="Times New Roman"/>
          <w:color w:val="auto"/>
          <w:sz w:val="26"/>
          <w:szCs w:val="26"/>
          <w:lang w:val="en-US"/>
        </w:rPr>
        <w:t>T</w:t>
      </w:r>
      <w:r>
        <w:rPr>
          <w:rFonts w:ascii="Times New Roman" w:hAnsi="Times New Roman"/>
          <w:color w:val="auto"/>
          <w:sz w:val="26"/>
          <w:szCs w:val="26"/>
        </w:rPr>
        <w:t xml:space="preserve">he findings suggest that </w:t>
      </w:r>
      <w:r>
        <w:rPr>
          <w:rFonts w:hint="default" w:ascii="Times New Roman" w:hAnsi="Times New Roman"/>
          <w:color w:val="auto"/>
          <w:sz w:val="26"/>
          <w:szCs w:val="26"/>
          <w:lang w:val="en-US"/>
        </w:rPr>
        <w:t>SDL</w:t>
      </w:r>
      <w:r>
        <w:rPr>
          <w:rFonts w:ascii="Times New Roman" w:hAnsi="Times New Roman"/>
          <w:color w:val="auto"/>
          <w:sz w:val="26"/>
          <w:szCs w:val="26"/>
        </w:rPr>
        <w:t xml:space="preserve"> plays a supportive role in academic performance, particularly when students are able to assess their needs, set clear goals, and create purposeful learning plans. The ability to apply learning strategies tailored to personal academic objectives appears to have the most meaningful impact on GPA. These results highlight the importance of promoting SDL as a structured, goal-driven process rather than a set of isolated behaviors. Developing students’ abilities to plan and monitor their learning effectively may enhance their academic success and better prepare them for lifelong learning and professional challenges.</w:t>
      </w:r>
    </w:p>
    <w:p w14:paraId="2E0C492B">
      <w:pPr>
        <w:spacing w:before="80" w:after="80" w:line="400" w:lineRule="atLeast"/>
        <w:ind w:firstLine="720" w:firstLineChars="0"/>
        <w:jc w:val="both"/>
        <w:rPr>
          <w:rFonts w:ascii="Times New Roman" w:hAnsi="Times New Roman"/>
          <w:color w:val="auto"/>
          <w:sz w:val="26"/>
          <w:szCs w:val="26"/>
        </w:rPr>
      </w:pPr>
    </w:p>
    <w:p w14:paraId="497C1354">
      <w:pPr>
        <w:pStyle w:val="14"/>
        <w:keepNext/>
        <w:jc w:val="both"/>
        <w:rPr>
          <w:rFonts w:ascii="Times New Roman" w:hAnsi="Times New Roman" w:cs="Times New Roman"/>
          <w:b/>
          <w:bCs/>
          <w:i w:val="0"/>
          <w:iCs w:val="0"/>
          <w:color w:val="auto"/>
          <w:sz w:val="26"/>
          <w:szCs w:val="26"/>
        </w:rPr>
      </w:pPr>
      <w:bookmarkStart w:id="11" w:name="_Toc196100578"/>
      <w:r>
        <w:rPr>
          <w:rFonts w:ascii="Times New Roman" w:hAnsi="Times New Roman" w:cs="Times New Roman"/>
          <w:b/>
          <w:bCs/>
          <w:i w:val="0"/>
          <w:iCs w:val="0"/>
          <w:color w:val="auto"/>
          <w:sz w:val="26"/>
          <w:szCs w:val="26"/>
        </w:rPr>
        <w:t xml:space="preserve">Table </w:t>
      </w:r>
      <w:r>
        <w:rPr>
          <w:rFonts w:ascii="Times New Roman" w:hAnsi="Times New Roman" w:cs="Times New Roman"/>
          <w:b/>
          <w:bCs/>
          <w:i w:val="0"/>
          <w:iCs w:val="0"/>
          <w:color w:val="auto"/>
          <w:sz w:val="26"/>
          <w:szCs w:val="26"/>
        </w:rPr>
        <w:fldChar w:fldCharType="begin"/>
      </w:r>
      <w:r>
        <w:rPr>
          <w:rFonts w:ascii="Times New Roman" w:hAnsi="Times New Roman" w:cs="Times New Roman"/>
          <w:b/>
          <w:bCs/>
          <w:i w:val="0"/>
          <w:iCs w:val="0"/>
          <w:color w:val="auto"/>
          <w:sz w:val="26"/>
          <w:szCs w:val="26"/>
        </w:rPr>
        <w:instrText xml:space="preserve"> SEQ Table \* ARABIC </w:instrText>
      </w:r>
      <w:r>
        <w:rPr>
          <w:rFonts w:ascii="Times New Roman" w:hAnsi="Times New Roman" w:cs="Times New Roman"/>
          <w:b/>
          <w:bCs/>
          <w:i w:val="0"/>
          <w:iCs w:val="0"/>
          <w:color w:val="auto"/>
          <w:sz w:val="26"/>
          <w:szCs w:val="26"/>
        </w:rPr>
        <w:fldChar w:fldCharType="separate"/>
      </w:r>
      <w:r>
        <w:rPr>
          <w:rFonts w:ascii="Times New Roman" w:hAnsi="Times New Roman" w:cs="Times New Roman"/>
          <w:b/>
          <w:bCs/>
          <w:i w:val="0"/>
          <w:iCs w:val="0"/>
          <w:color w:val="auto"/>
          <w:sz w:val="26"/>
          <w:szCs w:val="26"/>
        </w:rPr>
        <w:t>3</w:t>
      </w:r>
      <w:r>
        <w:rPr>
          <w:rFonts w:ascii="Times New Roman" w:hAnsi="Times New Roman" w:cs="Times New Roman"/>
          <w:b/>
          <w:bCs/>
          <w:i w:val="0"/>
          <w:iCs w:val="0"/>
          <w:color w:val="auto"/>
          <w:sz w:val="26"/>
          <w:szCs w:val="26"/>
        </w:rPr>
        <w:fldChar w:fldCharType="end"/>
      </w:r>
    </w:p>
    <w:p w14:paraId="619C30FA">
      <w:pPr>
        <w:pStyle w:val="14"/>
        <w:keepNext/>
        <w:jc w:val="both"/>
        <w:rPr>
          <w:rFonts w:ascii="Times New Roman" w:hAnsi="Times New Roman" w:cs="Times New Roman"/>
          <w:color w:val="auto"/>
          <w:sz w:val="26"/>
          <w:szCs w:val="26"/>
        </w:rPr>
      </w:pPr>
      <w:r>
        <w:rPr>
          <w:rFonts w:ascii="Times New Roman" w:hAnsi="Times New Roman" w:cs="Times New Roman"/>
          <w:color w:val="auto"/>
          <w:sz w:val="26"/>
          <w:szCs w:val="26"/>
        </w:rPr>
        <w:t>Correlation between GPA and SDL</w:t>
      </w:r>
      <w:bookmarkEnd w:id="11"/>
    </w:p>
    <w:tbl>
      <w:tblPr>
        <w:tblStyle w:val="12"/>
        <w:tblW w:w="9360" w:type="dxa"/>
        <w:tblInd w:w="0" w:type="dxa"/>
        <w:tblLayout w:type="autofit"/>
        <w:tblCellMar>
          <w:top w:w="15" w:type="dxa"/>
          <w:left w:w="15" w:type="dxa"/>
          <w:bottom w:w="15" w:type="dxa"/>
          <w:right w:w="15" w:type="dxa"/>
        </w:tblCellMar>
      </w:tblPr>
      <w:tblGrid>
        <w:gridCol w:w="5971"/>
        <w:gridCol w:w="2340"/>
        <w:gridCol w:w="1049"/>
      </w:tblGrid>
      <w:tr w14:paraId="7C86F145">
        <w:tblPrEx>
          <w:tblCellMar>
            <w:top w:w="15" w:type="dxa"/>
            <w:left w:w="15" w:type="dxa"/>
            <w:bottom w:w="15" w:type="dxa"/>
            <w:right w:w="15" w:type="dxa"/>
          </w:tblCellMar>
        </w:tblPrEx>
        <w:trPr>
          <w:trHeight w:val="42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6BE95C1D">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Variable</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17E23E7C">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GPA</w:t>
            </w:r>
          </w:p>
        </w:tc>
      </w:tr>
      <w:tr w14:paraId="64A6F42C">
        <w:tblPrEx>
          <w:tblCellMar>
            <w:top w:w="15" w:type="dxa"/>
            <w:left w:w="15" w:type="dxa"/>
            <w:bottom w:w="15" w:type="dxa"/>
            <w:right w:w="15" w:type="dxa"/>
          </w:tblCellMar>
        </w:tblPrEx>
        <w:trPr>
          <w:trHeight w:val="42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D6DCE4" w:themeFill="text2" w:themeFillTint="33"/>
            <w:vAlign w:val="center"/>
          </w:tcPr>
          <w:p w14:paraId="03C7F9E8">
            <w:pPr>
              <w:spacing w:before="80" w:after="80" w:line="360" w:lineRule="auto"/>
              <w:rPr>
                <w:rFonts w:ascii="Times New Roman" w:hAnsi="Times New Roman" w:cs="Times New Roman"/>
                <w:color w:val="auto"/>
                <w:sz w:val="20"/>
                <w:szCs w:val="20"/>
              </w:rPr>
            </w:pPr>
          </w:p>
        </w:tc>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632D4549">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Spearman’s rho</w:t>
            </w:r>
          </w:p>
        </w:tc>
        <w:tc>
          <w:tcPr>
            <w:tcW w:w="0" w:type="auto"/>
            <w:tcBorders>
              <w:top w:val="single" w:color="000000" w:sz="8" w:space="0"/>
              <w:left w:val="single" w:color="000000" w:sz="8" w:space="0"/>
              <w:bottom w:val="single" w:color="000000" w:sz="8" w:space="0"/>
              <w:right w:val="single" w:color="000000" w:sz="8" w:space="0"/>
            </w:tcBorders>
            <w:shd w:val="clear" w:color="auto" w:fill="D6DCE4" w:themeFill="text2" w:themeFillTint="33"/>
            <w:tcMar>
              <w:top w:w="100" w:type="dxa"/>
              <w:left w:w="100" w:type="dxa"/>
              <w:bottom w:w="100" w:type="dxa"/>
              <w:right w:w="100" w:type="dxa"/>
            </w:tcMar>
            <w:vAlign w:val="center"/>
          </w:tcPr>
          <w:p w14:paraId="356AB2BB">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Sig.</w:t>
            </w:r>
          </w:p>
        </w:tc>
      </w:tr>
      <w:tr w14:paraId="5BC72234">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3BD23D9E">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Total SDL </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3D84C1B4">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0.204*</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4A8F1E17">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0.049</w:t>
            </w:r>
          </w:p>
        </w:tc>
      </w:tr>
      <w:tr w14:paraId="65A139DA">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08B3BD32">
            <w:pPr>
              <w:spacing w:before="80" w:after="80" w:line="360" w:lineRule="auto"/>
              <w:rPr>
                <w:rFonts w:ascii="Times New Roman" w:hAnsi="Times New Roman" w:cs="Times New Roman"/>
                <w:color w:val="auto"/>
                <w:sz w:val="20"/>
                <w:szCs w:val="20"/>
              </w:rPr>
            </w:pPr>
            <w:r>
              <w:rPr>
                <w:rFonts w:ascii="Times New Roman" w:hAnsi="Times New Roman" w:cs="Times New Roman"/>
                <w:b/>
                <w:bCs/>
                <w:color w:val="auto"/>
                <w:sz w:val="20"/>
                <w:szCs w:val="20"/>
              </w:rPr>
              <w:t xml:space="preserve">SDL_B1 – </w:t>
            </w:r>
            <w:r>
              <w:rPr>
                <w:rFonts w:ascii="Times New Roman" w:hAnsi="Times New Roman" w:cs="Times New Roman"/>
                <w:b/>
                <w:bCs/>
                <w:i/>
                <w:iCs/>
                <w:color w:val="auto"/>
                <w:sz w:val="20"/>
                <w:szCs w:val="20"/>
              </w:rPr>
              <w:t>Diagnose learning needs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60BDED6B">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0,211*</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7A347F58">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0,041</w:t>
            </w:r>
          </w:p>
        </w:tc>
      </w:tr>
      <w:tr w14:paraId="0B0CB834">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6688638F">
            <w:pPr>
              <w:spacing w:before="80" w:after="80" w:line="360" w:lineRule="auto"/>
              <w:rPr>
                <w:rFonts w:ascii="Times New Roman" w:hAnsi="Times New Roman" w:cs="Times New Roman"/>
                <w:color w:val="auto"/>
                <w:sz w:val="20"/>
                <w:szCs w:val="20"/>
              </w:rPr>
            </w:pPr>
            <w:r>
              <w:rPr>
                <w:rFonts w:ascii="Times New Roman" w:hAnsi="Times New Roman" w:cs="Times New Roman"/>
                <w:b/>
                <w:bCs/>
                <w:color w:val="auto"/>
                <w:sz w:val="20"/>
                <w:szCs w:val="20"/>
              </w:rPr>
              <w:t xml:space="preserve">SDL_B2 – </w:t>
            </w:r>
            <w:r>
              <w:rPr>
                <w:rFonts w:ascii="Times New Roman" w:hAnsi="Times New Roman" w:cs="Times New Roman"/>
                <w:b/>
                <w:bCs/>
                <w:i/>
                <w:iCs/>
                <w:color w:val="auto"/>
                <w:sz w:val="20"/>
                <w:szCs w:val="20"/>
              </w:rPr>
              <w:t>Setting learning goals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5E627B37">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0,220*</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28180DF5">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0,033</w:t>
            </w:r>
          </w:p>
        </w:tc>
      </w:tr>
      <w:tr w14:paraId="16A2791C">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63D883AA">
            <w:pPr>
              <w:spacing w:before="80" w:after="80" w:line="360" w:lineRule="auto"/>
              <w:rPr>
                <w:rFonts w:ascii="Times New Roman" w:hAnsi="Times New Roman" w:cs="Times New Roman"/>
                <w:color w:val="auto"/>
                <w:sz w:val="20"/>
                <w:szCs w:val="20"/>
              </w:rPr>
            </w:pPr>
            <w:r>
              <w:rPr>
                <w:rFonts w:ascii="Times New Roman" w:hAnsi="Times New Roman" w:cs="Times New Roman"/>
                <w:b/>
                <w:bCs/>
                <w:color w:val="auto"/>
                <w:sz w:val="20"/>
                <w:szCs w:val="20"/>
              </w:rPr>
              <w:t xml:space="preserve">SDL_B3 – </w:t>
            </w:r>
            <w:r>
              <w:rPr>
                <w:rFonts w:ascii="Times New Roman" w:hAnsi="Times New Roman" w:cs="Times New Roman"/>
                <w:b/>
                <w:bCs/>
                <w:i/>
                <w:iCs/>
                <w:color w:val="auto"/>
                <w:sz w:val="20"/>
                <w:szCs w:val="20"/>
              </w:rPr>
              <w:t>Identify resources for learning </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448819FB">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0,183</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37B5B823">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0,078</w:t>
            </w:r>
          </w:p>
        </w:tc>
      </w:tr>
      <w:tr w14:paraId="6D7650D6">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5855F57D">
            <w:pPr>
              <w:spacing w:before="80" w:after="80" w:line="360" w:lineRule="auto"/>
              <w:rPr>
                <w:rFonts w:ascii="Times New Roman" w:hAnsi="Times New Roman" w:cs="Times New Roman"/>
                <w:color w:val="auto"/>
                <w:sz w:val="20"/>
                <w:szCs w:val="20"/>
              </w:rPr>
            </w:pPr>
            <w:r>
              <w:rPr>
                <w:rFonts w:ascii="Times New Roman" w:hAnsi="Times New Roman" w:cs="Times New Roman"/>
                <w:b/>
                <w:bCs/>
                <w:color w:val="auto"/>
                <w:sz w:val="20"/>
                <w:szCs w:val="20"/>
              </w:rPr>
              <w:t xml:space="preserve">SDL_B4 – </w:t>
            </w:r>
            <w:r>
              <w:rPr>
                <w:rFonts w:ascii="Times New Roman" w:hAnsi="Times New Roman" w:cs="Times New Roman"/>
                <w:b/>
                <w:bCs/>
                <w:i/>
                <w:iCs/>
                <w:color w:val="auto"/>
                <w:sz w:val="20"/>
                <w:szCs w:val="20"/>
              </w:rPr>
              <w:t>Design learning plans </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5A641BE5">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0,237*</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45EFB6BC">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0,021</w:t>
            </w:r>
          </w:p>
        </w:tc>
      </w:tr>
      <w:tr w14:paraId="60CFE604">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7C3AD04A">
            <w:pPr>
              <w:spacing w:before="80" w:after="80" w:line="360" w:lineRule="auto"/>
              <w:rPr>
                <w:rFonts w:ascii="Times New Roman" w:hAnsi="Times New Roman" w:cs="Times New Roman"/>
                <w:color w:val="auto"/>
                <w:sz w:val="20"/>
                <w:szCs w:val="20"/>
              </w:rPr>
            </w:pPr>
            <w:r>
              <w:rPr>
                <w:rFonts w:ascii="Times New Roman" w:hAnsi="Times New Roman" w:cs="Times New Roman"/>
                <w:b/>
                <w:bCs/>
                <w:color w:val="auto"/>
                <w:sz w:val="20"/>
                <w:szCs w:val="20"/>
              </w:rPr>
              <w:t xml:space="preserve">SDL_B5 – </w:t>
            </w:r>
            <w:r>
              <w:rPr>
                <w:rFonts w:ascii="Times New Roman" w:hAnsi="Times New Roman" w:cs="Times New Roman"/>
                <w:b/>
                <w:bCs/>
                <w:i/>
                <w:iCs/>
                <w:color w:val="auto"/>
                <w:sz w:val="20"/>
                <w:szCs w:val="20"/>
              </w:rPr>
              <w:t>Evaluate learning outcomes </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56BB2765">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0,159</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5D9C5D4E">
            <w:pPr>
              <w:spacing w:before="80" w:after="80" w:line="360" w:lineRule="auto"/>
              <w:rPr>
                <w:rFonts w:ascii="Times New Roman" w:hAnsi="Times New Roman" w:cs="Times New Roman"/>
                <w:color w:val="auto"/>
                <w:sz w:val="20"/>
                <w:szCs w:val="20"/>
              </w:rPr>
            </w:pPr>
            <w:r>
              <w:rPr>
                <w:rFonts w:ascii="Times New Roman" w:hAnsi="Times New Roman" w:cs="Times New Roman"/>
                <w:color w:val="auto"/>
                <w:sz w:val="20"/>
                <w:szCs w:val="20"/>
              </w:rPr>
              <w:t>0,125</w:t>
            </w:r>
          </w:p>
        </w:tc>
      </w:tr>
    </w:tbl>
    <w:p w14:paraId="6EBDF249">
      <w:pPr>
        <w:spacing w:before="80" w:after="80" w:line="400" w:lineRule="atLeast"/>
        <w:jc w:val="both"/>
        <w:rPr>
          <w:rFonts w:ascii="Times New Roman" w:hAnsi="Times New Roman" w:cs="Times New Roman"/>
          <w:color w:val="auto"/>
          <w:sz w:val="26"/>
          <w:szCs w:val="26"/>
          <w:lang w:val="en-US"/>
        </w:rPr>
      </w:pP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US"/>
        </w:rPr>
        <w:t>Correlation</w:t>
      </w:r>
      <w:r>
        <w:rPr>
          <w:rFonts w:ascii="Times New Roman" w:hAnsi="Times New Roman" w:cs="Times New Roman"/>
          <w:color w:val="auto"/>
          <w:sz w:val="26"/>
          <w:szCs w:val="26"/>
        </w:rPr>
        <w:t xml:space="preserve"> is significant at the 0.05 level</w:t>
      </w:r>
    </w:p>
    <w:p w14:paraId="6ABDFA4C">
      <w:pPr>
        <w:pStyle w:val="3"/>
        <w:numPr>
          <w:ilvl w:val="0"/>
          <w:numId w:val="1"/>
        </w:numPr>
        <w:jc w:val="center"/>
        <w:rPr>
          <w:color w:val="auto"/>
          <w:sz w:val="26"/>
          <w:szCs w:val="26"/>
        </w:rPr>
      </w:pPr>
      <w:bookmarkStart w:id="12" w:name="_Toc197536032"/>
      <w:r>
        <w:rPr>
          <w:color w:val="auto"/>
          <w:sz w:val="26"/>
          <w:szCs w:val="26"/>
        </w:rPr>
        <w:t>Discussion</w:t>
      </w:r>
      <w:bookmarkEnd w:id="12"/>
    </w:p>
    <w:p w14:paraId="01424426">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 xml:space="preserve">The first key finding of the present study is that fourth-year English linguistics students at </w:t>
      </w:r>
      <w:r>
        <w:rPr>
          <w:rFonts w:ascii="Times New Roman" w:hAnsi="Times New Roman"/>
          <w:color w:val="auto"/>
          <w:sz w:val="26"/>
          <w:szCs w:val="26"/>
          <w:lang w:val="en-US"/>
        </w:rPr>
        <w:t xml:space="preserve">TDMU </w:t>
      </w:r>
      <w:r>
        <w:rPr>
          <w:rFonts w:ascii="Times New Roman" w:hAnsi="Times New Roman"/>
          <w:color w:val="auto"/>
          <w:sz w:val="26"/>
          <w:szCs w:val="26"/>
        </w:rPr>
        <w:t xml:space="preserve">demonstrate a relatively high level of engagement in all five components of </w:t>
      </w:r>
      <w:r>
        <w:rPr>
          <w:rFonts w:ascii="Times New Roman" w:hAnsi="Times New Roman"/>
          <w:color w:val="auto"/>
          <w:sz w:val="26"/>
          <w:szCs w:val="26"/>
          <w:lang w:val="en-US"/>
        </w:rPr>
        <w:t>SDL</w:t>
      </w:r>
      <w:r>
        <w:rPr>
          <w:rFonts w:ascii="Times New Roman" w:hAnsi="Times New Roman"/>
          <w:color w:val="auto"/>
          <w:sz w:val="26"/>
          <w:szCs w:val="26"/>
        </w:rPr>
        <w:t>, as outlined by Knowles (1975). This finding is consistent with previous research conducted in both international and Vietnamese contexts. For instance, Dao et al. (2023) and Nguyen Ngoc Diem et al. (2023) found that Vietnamese students</w:t>
      </w:r>
      <w:r>
        <w:rPr>
          <w:rFonts w:ascii="Times New Roman" w:hAnsi="Times New Roman"/>
          <w:color w:val="auto"/>
          <w:sz w:val="26"/>
          <w:szCs w:val="26"/>
          <w:lang w:val="en-US"/>
        </w:rPr>
        <w:t xml:space="preserve">, </w:t>
      </w:r>
      <w:r>
        <w:rPr>
          <w:rFonts w:ascii="Times New Roman" w:hAnsi="Times New Roman"/>
          <w:color w:val="auto"/>
          <w:sz w:val="26"/>
          <w:szCs w:val="26"/>
        </w:rPr>
        <w:t>especially in teacher education and nursing</w:t>
      </w:r>
      <w:r>
        <w:rPr>
          <w:rFonts w:ascii="Times New Roman" w:hAnsi="Times New Roman"/>
          <w:color w:val="auto"/>
          <w:sz w:val="26"/>
          <w:szCs w:val="26"/>
          <w:lang w:val="en-US"/>
        </w:rPr>
        <w:t xml:space="preserve">, </w:t>
      </w:r>
      <w:r>
        <w:rPr>
          <w:rFonts w:ascii="Times New Roman" w:hAnsi="Times New Roman"/>
          <w:color w:val="auto"/>
          <w:sz w:val="26"/>
          <w:szCs w:val="26"/>
        </w:rPr>
        <w:t xml:space="preserve">tend to report frequent engagement in SDL behaviors. Similarly, Khalid, Bashir, and Amin (2020) noted that university students in online learning environments exhibited strong SDL tendencies, often out of necessity. The high SDL scores in the current study reaffirm the idea that students </w:t>
      </w:r>
      <w:r>
        <w:rPr>
          <w:rFonts w:ascii="Times New Roman" w:hAnsi="Times New Roman"/>
          <w:color w:val="auto"/>
          <w:sz w:val="26"/>
          <w:szCs w:val="26"/>
          <w:lang w:val="en-US"/>
        </w:rPr>
        <w:t xml:space="preserve">preparing for </w:t>
      </w:r>
      <w:r>
        <w:rPr>
          <w:rFonts w:ascii="Times New Roman" w:hAnsi="Times New Roman"/>
          <w:color w:val="auto"/>
          <w:sz w:val="26"/>
          <w:szCs w:val="26"/>
        </w:rPr>
        <w:t>graduation are more likely to take ownership of their learning due to the increasing academic and professional demands they face.</w:t>
      </w:r>
    </w:p>
    <w:p w14:paraId="5EB6EF52">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 xml:space="preserve">Among the five SDL components, </w:t>
      </w:r>
      <w:r>
        <w:rPr>
          <w:rFonts w:ascii="Times New Roman" w:hAnsi="Times New Roman"/>
          <w:i/>
          <w:iCs/>
          <w:color w:val="auto"/>
          <w:sz w:val="26"/>
          <w:szCs w:val="26"/>
        </w:rPr>
        <w:t>“Identifying learning resources”</w:t>
      </w:r>
      <w:r>
        <w:rPr>
          <w:rFonts w:ascii="Times New Roman" w:hAnsi="Times New Roman"/>
          <w:color w:val="auto"/>
          <w:sz w:val="26"/>
          <w:szCs w:val="26"/>
        </w:rPr>
        <w:t xml:space="preserve"> was the highest-rated by participants, indicating that students are confident in accessing and utilizing a wide range of materials and support systems. This aligns with the findings of Visier-Jiménez et al. (2022), who reported that university students globally tend to develop strong resource-management skills, especially in digitally connected environments. The widespread availability of online academic materials and peer networks may have contributed to this result, supporting a shift in how learners interact with knowledge sources.</w:t>
      </w:r>
    </w:p>
    <w:p w14:paraId="029DCB4C">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 xml:space="preserve">Conversely, </w:t>
      </w:r>
      <w:r>
        <w:rPr>
          <w:rFonts w:ascii="Times New Roman" w:hAnsi="Times New Roman"/>
          <w:i/>
          <w:iCs/>
          <w:color w:val="auto"/>
          <w:sz w:val="26"/>
          <w:szCs w:val="26"/>
        </w:rPr>
        <w:t>“Evaluating learning outcomes”</w:t>
      </w:r>
      <w:r>
        <w:rPr>
          <w:rFonts w:ascii="Times New Roman" w:hAnsi="Times New Roman"/>
          <w:color w:val="auto"/>
          <w:sz w:val="26"/>
          <w:szCs w:val="26"/>
        </w:rPr>
        <w:t xml:space="preserve"> received the lowest mean score, although it still indicated moderate engagement. This finding resonates with the work of Do and Nguyen (2021), who observed that many Vietnamese students struggle with reflection and adjustment, particularly in the absence of structured feedback. The implication is that while students are comfortable gathering and applying resources, they may not consistently evaluate their own learning strategies or modify them for better results. This suggests an area where further pedagogical intervention may be needed</w:t>
      </w:r>
      <w:r>
        <w:rPr>
          <w:rFonts w:ascii="Times New Roman" w:hAnsi="Times New Roman"/>
          <w:color w:val="auto"/>
          <w:sz w:val="26"/>
          <w:szCs w:val="26"/>
          <w:lang w:val="en-US"/>
        </w:rPr>
        <w:t xml:space="preserve"> </w:t>
      </w:r>
      <w:r>
        <w:rPr>
          <w:rFonts w:ascii="Times New Roman" w:hAnsi="Times New Roman"/>
          <w:color w:val="auto"/>
          <w:sz w:val="26"/>
          <w:szCs w:val="26"/>
        </w:rPr>
        <w:t>particularly through activities that promote reflective thinking and self-monitoring.</w:t>
      </w:r>
    </w:p>
    <w:p w14:paraId="5EFFE847">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 xml:space="preserve">In terms of academic performance, the study revealed that most participants were high-achieving students, with 95.7% reporting a GPA of 7.0 or above. This sample composition may partly explain the overall high SDL scores, as previous studies </w:t>
      </w:r>
      <w:r>
        <w:rPr>
          <w:rFonts w:ascii="Times New Roman" w:hAnsi="Times New Roman"/>
          <w:color w:val="auto"/>
          <w:sz w:val="26"/>
          <w:szCs w:val="26"/>
          <w:lang w:val="en-US"/>
        </w:rPr>
        <w:t>such as</w:t>
      </w:r>
      <w:r>
        <w:rPr>
          <w:rFonts w:ascii="Times New Roman" w:hAnsi="Times New Roman"/>
          <w:color w:val="auto"/>
          <w:sz w:val="26"/>
          <w:szCs w:val="26"/>
        </w:rPr>
        <w:t xml:space="preserve"> Lounsbury et al., 2009; Alotaibi, 2016 have noted that students who are more self-directed often attain better academic results. The positive learning environment at TDMU, combined with access to institutional resources, could contribute to both strong SDL engagement and high academic achievement.</w:t>
      </w:r>
    </w:p>
    <w:p w14:paraId="5E8D1539">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 xml:space="preserve">The correlation analysis revealed a weak but statistically significant positive relationship between overall SDL and academic performance, confirming findings from earlier research </w:t>
      </w:r>
      <w:r>
        <w:rPr>
          <w:rFonts w:ascii="Times New Roman" w:hAnsi="Times New Roman"/>
          <w:color w:val="auto"/>
          <w:sz w:val="26"/>
          <w:szCs w:val="26"/>
          <w:lang w:val="en-US"/>
        </w:rPr>
        <w:t>such as</w:t>
      </w:r>
      <w:r>
        <w:rPr>
          <w:rFonts w:ascii="Times New Roman" w:hAnsi="Times New Roman"/>
          <w:color w:val="auto"/>
          <w:sz w:val="26"/>
          <w:szCs w:val="26"/>
        </w:rPr>
        <w:t xml:space="preserve"> Khiat, 2017; Siswanto, 2024. Notably, the current study adds nuance by identifying that three components</w:t>
      </w:r>
      <w:r>
        <w:rPr>
          <w:rFonts w:ascii="Times New Roman" w:hAnsi="Times New Roman"/>
          <w:color w:val="auto"/>
          <w:sz w:val="26"/>
          <w:szCs w:val="26"/>
          <w:lang w:val="en-US"/>
        </w:rPr>
        <w:t xml:space="preserve"> namely </w:t>
      </w:r>
      <w:r>
        <w:rPr>
          <w:rFonts w:hint="default" w:ascii="Times New Roman" w:hAnsi="Times New Roman"/>
          <w:color w:val="auto"/>
          <w:sz w:val="26"/>
          <w:szCs w:val="26"/>
          <w:lang w:val="en-US"/>
        </w:rPr>
        <w:t>“</w:t>
      </w:r>
      <w:r>
        <w:rPr>
          <w:rFonts w:ascii="Times New Roman" w:hAnsi="Times New Roman"/>
          <w:i/>
          <w:iCs/>
          <w:color w:val="auto"/>
          <w:sz w:val="26"/>
          <w:szCs w:val="26"/>
        </w:rPr>
        <w:t>Diagnosing learning needs</w:t>
      </w:r>
      <w:r>
        <w:rPr>
          <w:rFonts w:hint="default" w:ascii="Times New Roman" w:hAnsi="Times New Roman"/>
          <w:i/>
          <w:iCs/>
          <w:color w:val="auto"/>
          <w:sz w:val="26"/>
          <w:szCs w:val="26"/>
          <w:lang w:val="en-US"/>
        </w:rPr>
        <w:t>”</w:t>
      </w:r>
      <w:r>
        <w:rPr>
          <w:rFonts w:ascii="Times New Roman" w:hAnsi="Times New Roman"/>
          <w:i/>
          <w:iCs/>
          <w:color w:val="auto"/>
          <w:sz w:val="26"/>
          <w:szCs w:val="26"/>
        </w:rPr>
        <w:t xml:space="preserve">, </w:t>
      </w:r>
      <w:r>
        <w:rPr>
          <w:rFonts w:hint="default" w:ascii="Times New Roman" w:hAnsi="Times New Roman"/>
          <w:i/>
          <w:iCs/>
          <w:color w:val="auto"/>
          <w:sz w:val="26"/>
          <w:szCs w:val="26"/>
          <w:lang w:val="en-US"/>
        </w:rPr>
        <w:t>“</w:t>
      </w:r>
      <w:r>
        <w:rPr>
          <w:rFonts w:ascii="Times New Roman" w:hAnsi="Times New Roman"/>
          <w:i/>
          <w:iCs/>
          <w:color w:val="auto"/>
          <w:sz w:val="26"/>
          <w:szCs w:val="26"/>
        </w:rPr>
        <w:t>Setting learning goals</w:t>
      </w:r>
      <w:r>
        <w:rPr>
          <w:rFonts w:hint="default" w:ascii="Times New Roman" w:hAnsi="Times New Roman"/>
          <w:i/>
          <w:iCs/>
          <w:color w:val="auto"/>
          <w:sz w:val="26"/>
          <w:szCs w:val="26"/>
          <w:lang w:val="en-US"/>
        </w:rPr>
        <w:t>”</w:t>
      </w:r>
      <w:r>
        <w:rPr>
          <w:rFonts w:ascii="Times New Roman" w:hAnsi="Times New Roman"/>
          <w:i/>
          <w:iCs/>
          <w:color w:val="auto"/>
          <w:sz w:val="26"/>
          <w:szCs w:val="26"/>
        </w:rPr>
        <w:t xml:space="preserve">, </w:t>
      </w:r>
      <w:r>
        <w:rPr>
          <w:rFonts w:ascii="Times New Roman" w:hAnsi="Times New Roman"/>
          <w:color w:val="auto"/>
          <w:sz w:val="26"/>
          <w:szCs w:val="26"/>
        </w:rPr>
        <w:t>and especially</w:t>
      </w:r>
      <w:r>
        <w:rPr>
          <w:rFonts w:ascii="Times New Roman" w:hAnsi="Times New Roman"/>
          <w:i/>
          <w:iCs/>
          <w:color w:val="auto"/>
          <w:sz w:val="26"/>
          <w:szCs w:val="26"/>
        </w:rPr>
        <w:t xml:space="preserve"> </w:t>
      </w:r>
      <w:r>
        <w:rPr>
          <w:rFonts w:hint="default" w:ascii="Times New Roman" w:hAnsi="Times New Roman"/>
          <w:i/>
          <w:iCs/>
          <w:color w:val="auto"/>
          <w:sz w:val="26"/>
          <w:szCs w:val="26"/>
          <w:lang w:val="en-US"/>
        </w:rPr>
        <w:t>“</w:t>
      </w:r>
      <w:r>
        <w:rPr>
          <w:rFonts w:ascii="Times New Roman" w:hAnsi="Times New Roman"/>
          <w:i/>
          <w:iCs/>
          <w:color w:val="auto"/>
          <w:sz w:val="26"/>
          <w:szCs w:val="26"/>
        </w:rPr>
        <w:t>Designing learning plans</w:t>
      </w:r>
      <w:r>
        <w:rPr>
          <w:rFonts w:hint="default" w:ascii="Times New Roman" w:hAnsi="Times New Roman"/>
          <w:i/>
          <w:iCs/>
          <w:color w:val="auto"/>
          <w:sz w:val="26"/>
          <w:szCs w:val="26"/>
          <w:lang w:val="en-US"/>
        </w:rPr>
        <w:t>”</w:t>
      </w:r>
      <w:r>
        <w:rPr>
          <w:rFonts w:ascii="Times New Roman" w:hAnsi="Times New Roman"/>
          <w:i/>
          <w:iCs/>
          <w:color w:val="auto"/>
          <w:sz w:val="26"/>
          <w:szCs w:val="26"/>
          <w:lang w:val="en-US"/>
        </w:rPr>
        <w:t xml:space="preserve"> </w:t>
      </w:r>
      <w:r>
        <w:rPr>
          <w:rFonts w:ascii="Times New Roman" w:hAnsi="Times New Roman"/>
          <w:color w:val="auto"/>
          <w:sz w:val="26"/>
          <w:szCs w:val="26"/>
        </w:rPr>
        <w:t xml:space="preserve">are significantly associated with GPA. Among these, </w:t>
      </w:r>
      <w:r>
        <w:rPr>
          <w:rFonts w:hint="default" w:ascii="Times New Roman" w:hAnsi="Times New Roman"/>
          <w:color w:val="auto"/>
          <w:sz w:val="26"/>
          <w:szCs w:val="26"/>
          <w:lang w:val="en-US"/>
        </w:rPr>
        <w:t>“</w:t>
      </w:r>
      <w:r>
        <w:rPr>
          <w:rFonts w:ascii="Times New Roman" w:hAnsi="Times New Roman"/>
          <w:i/>
          <w:iCs/>
          <w:color w:val="auto"/>
          <w:sz w:val="26"/>
          <w:szCs w:val="26"/>
        </w:rPr>
        <w:t>Designing learning plans</w:t>
      </w:r>
      <w:r>
        <w:rPr>
          <w:rFonts w:hint="default" w:ascii="Times New Roman" w:hAnsi="Times New Roman"/>
          <w:i/>
          <w:iCs/>
          <w:color w:val="auto"/>
          <w:sz w:val="26"/>
          <w:szCs w:val="26"/>
          <w:lang w:val="en-US"/>
        </w:rPr>
        <w:t>”</w:t>
      </w:r>
      <w:r>
        <w:rPr>
          <w:rFonts w:ascii="Times New Roman" w:hAnsi="Times New Roman"/>
          <w:color w:val="auto"/>
          <w:sz w:val="26"/>
          <w:szCs w:val="26"/>
        </w:rPr>
        <w:t xml:space="preserve"> had the strongest correlation, emphasizing the importance of strategic planning in academic success. This supports earlier observations by Yang and Jiang (2014) and Jeong and Uhm (2022), who linked structured learning behavior to better academic results. However, the current study offers a more detailed analysis by confirming this relationship specifically within the context of English linguistics students in Vietnam.</w:t>
      </w:r>
    </w:p>
    <w:p w14:paraId="5AE4CC34">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 xml:space="preserve">Interestingly, while </w:t>
      </w:r>
      <w:r>
        <w:rPr>
          <w:rFonts w:ascii="Times New Roman" w:hAnsi="Times New Roman"/>
          <w:i/>
          <w:iCs/>
          <w:color w:val="auto"/>
          <w:sz w:val="26"/>
          <w:szCs w:val="26"/>
        </w:rPr>
        <w:t>“Identifying learning resources”</w:t>
      </w:r>
      <w:r>
        <w:rPr>
          <w:rFonts w:ascii="Times New Roman" w:hAnsi="Times New Roman"/>
          <w:color w:val="auto"/>
          <w:sz w:val="26"/>
          <w:szCs w:val="26"/>
        </w:rPr>
        <w:t xml:space="preserve"> was the most frequently practiced SDL behavior, it did not show a significant correlation with GPA. This diverges from findings by Gabrielle et al. (2006), who reported that effective resource use is directly tied to performance. One possible explanation is that access to resources alone is not sufficient</w:t>
      </w:r>
      <w:r>
        <w:rPr>
          <w:rFonts w:ascii="Times New Roman" w:hAnsi="Times New Roman"/>
          <w:color w:val="auto"/>
          <w:sz w:val="26"/>
          <w:szCs w:val="26"/>
          <w:lang w:val="en-US"/>
        </w:rPr>
        <w:t xml:space="preserve">, </w:t>
      </w:r>
      <w:r>
        <w:rPr>
          <w:rFonts w:ascii="Times New Roman" w:hAnsi="Times New Roman"/>
          <w:color w:val="auto"/>
          <w:sz w:val="26"/>
          <w:szCs w:val="26"/>
        </w:rPr>
        <w:t xml:space="preserve">students must also know how to integrate them purposefully within a well-structured learning plan. Similarly, the lack of significant correlation between </w:t>
      </w:r>
      <w:r>
        <w:rPr>
          <w:rFonts w:ascii="Times New Roman" w:hAnsi="Times New Roman"/>
          <w:i/>
          <w:iCs/>
          <w:color w:val="auto"/>
          <w:sz w:val="26"/>
          <w:szCs w:val="26"/>
        </w:rPr>
        <w:t>“Evaluating learning outcomes”</w:t>
      </w:r>
      <w:r>
        <w:rPr>
          <w:rFonts w:ascii="Times New Roman" w:hAnsi="Times New Roman"/>
          <w:color w:val="auto"/>
          <w:sz w:val="26"/>
          <w:szCs w:val="26"/>
        </w:rPr>
        <w:t xml:space="preserve"> and GPA may suggest that reflection</w:t>
      </w:r>
      <w:r>
        <w:rPr>
          <w:rFonts w:hint="default" w:ascii="Times New Roman" w:hAnsi="Times New Roman"/>
          <w:color w:val="auto"/>
          <w:sz w:val="26"/>
          <w:szCs w:val="26"/>
          <w:lang w:val="en-US"/>
        </w:rPr>
        <w:t xml:space="preserve"> </w:t>
      </w:r>
      <w:r>
        <w:rPr>
          <w:rFonts w:ascii="Times New Roman" w:hAnsi="Times New Roman"/>
          <w:color w:val="auto"/>
          <w:sz w:val="26"/>
          <w:szCs w:val="26"/>
        </w:rPr>
        <w:t>only contributes to academic success when it informs concrete adjustments in learning strategies.</w:t>
      </w:r>
    </w:p>
    <w:p w14:paraId="55B202C8">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rPr>
        <w:t>A notable new finding of th</w:t>
      </w:r>
      <w:r>
        <w:rPr>
          <w:rFonts w:ascii="Times New Roman" w:hAnsi="Times New Roman"/>
          <w:color w:val="auto"/>
          <w:sz w:val="26"/>
          <w:szCs w:val="26"/>
          <w:lang w:val="en-US"/>
        </w:rPr>
        <w:t>e present</w:t>
      </w:r>
      <w:r>
        <w:rPr>
          <w:rFonts w:ascii="Times New Roman" w:hAnsi="Times New Roman"/>
          <w:color w:val="auto"/>
          <w:sz w:val="26"/>
          <w:szCs w:val="26"/>
        </w:rPr>
        <w:t xml:space="preserve"> study is the relative importance of learning plan design as a predictor of academic performance in this particular learner group. While much of the prior literature emphasizes SDL readiness, motivation, or resource use, th</w:t>
      </w:r>
      <w:r>
        <w:rPr>
          <w:rFonts w:hint="default" w:ascii="Times New Roman" w:hAnsi="Times New Roman"/>
          <w:color w:val="auto"/>
          <w:sz w:val="26"/>
          <w:szCs w:val="26"/>
          <w:lang w:val="en-US"/>
        </w:rPr>
        <w:t>e present</w:t>
      </w:r>
      <w:r>
        <w:rPr>
          <w:rFonts w:ascii="Times New Roman" w:hAnsi="Times New Roman"/>
          <w:color w:val="auto"/>
          <w:sz w:val="26"/>
          <w:szCs w:val="26"/>
        </w:rPr>
        <w:t xml:space="preserve"> study highlights planning as the most influential factor. This insight suggests that universities and educators should focus not only on fostering autonomy but also on teaching students how to plan their learning effectively. Curriculum designers may consider incorporating training in goal-setting frameworks, strategic scheduling, and time management into academic support services.</w:t>
      </w:r>
    </w:p>
    <w:p w14:paraId="4E1FAAF1">
      <w:pPr>
        <w:spacing w:before="80" w:after="80" w:line="400" w:lineRule="atLeast"/>
        <w:ind w:firstLine="720" w:firstLineChars="0"/>
        <w:jc w:val="both"/>
        <w:rPr>
          <w:rFonts w:ascii="Times New Roman" w:hAnsi="Times New Roman"/>
          <w:color w:val="auto"/>
          <w:sz w:val="26"/>
          <w:szCs w:val="26"/>
        </w:rPr>
      </w:pPr>
      <w:r>
        <w:rPr>
          <w:rFonts w:ascii="Times New Roman" w:hAnsi="Times New Roman"/>
          <w:color w:val="auto"/>
          <w:sz w:val="26"/>
          <w:szCs w:val="26"/>
          <w:lang w:val="en-US"/>
        </w:rPr>
        <w:t>T</w:t>
      </w:r>
      <w:r>
        <w:rPr>
          <w:rFonts w:ascii="Times New Roman" w:hAnsi="Times New Roman"/>
          <w:color w:val="auto"/>
          <w:sz w:val="26"/>
          <w:szCs w:val="26"/>
        </w:rPr>
        <w:t>he results of the current study are largely consistent with existing research affirming the role of SDL in promoting academic achievement. However, the study extends prior work by identifying specific SDL components</w:t>
      </w:r>
      <w:r>
        <w:rPr>
          <w:rFonts w:ascii="Times New Roman" w:hAnsi="Times New Roman"/>
          <w:color w:val="auto"/>
          <w:sz w:val="26"/>
          <w:szCs w:val="26"/>
          <w:lang w:val="en-US"/>
        </w:rPr>
        <w:t xml:space="preserve"> </w:t>
      </w:r>
      <w:r>
        <w:rPr>
          <w:rFonts w:ascii="Times New Roman" w:hAnsi="Times New Roman"/>
          <w:color w:val="auto"/>
          <w:sz w:val="26"/>
          <w:szCs w:val="26"/>
        </w:rPr>
        <w:t>particularly learning plan design</w:t>
      </w:r>
      <w:r>
        <w:rPr>
          <w:rFonts w:ascii="Times New Roman" w:hAnsi="Times New Roman"/>
          <w:color w:val="auto"/>
          <w:sz w:val="26"/>
          <w:szCs w:val="26"/>
          <w:lang w:val="en-US"/>
        </w:rPr>
        <w:t xml:space="preserve"> </w:t>
      </w:r>
      <w:r>
        <w:rPr>
          <w:rFonts w:ascii="Times New Roman" w:hAnsi="Times New Roman"/>
          <w:color w:val="auto"/>
          <w:sz w:val="26"/>
          <w:szCs w:val="26"/>
        </w:rPr>
        <w:t>as more predictive of performance than others. This refinement has practical implications for improving SDL interventions in English language programs, particularly in Vietnamese higher education. Moreover, by focusing on fourth-year English majors, the research fills a gap in the literature where this learner group has been under</w:t>
      </w:r>
      <w:r>
        <w:rPr>
          <w:rFonts w:hint="default" w:ascii="Times New Roman" w:hAnsi="Times New Roman"/>
          <w:color w:val="auto"/>
          <w:sz w:val="26"/>
          <w:szCs w:val="26"/>
          <w:lang w:val="en-US"/>
        </w:rPr>
        <w:t>-</w:t>
      </w:r>
      <w:r>
        <w:rPr>
          <w:rFonts w:ascii="Times New Roman" w:hAnsi="Times New Roman"/>
          <w:color w:val="auto"/>
          <w:sz w:val="26"/>
          <w:szCs w:val="26"/>
        </w:rPr>
        <w:t>represented, providing a clearer understanding of their SDL behavior at a pivotal stage in their academic journey.</w:t>
      </w:r>
    </w:p>
    <w:p w14:paraId="27447DD5">
      <w:pPr>
        <w:pStyle w:val="2"/>
        <w:numPr>
          <w:ilvl w:val="0"/>
          <w:numId w:val="1"/>
        </w:numPr>
        <w:spacing w:before="80" w:line="400" w:lineRule="atLeast"/>
        <w:rPr>
          <w:rFonts w:cs="Times New Roman" w:eastAsiaTheme="minorEastAsia"/>
          <w:bCs/>
          <w:color w:val="auto"/>
          <w:sz w:val="26"/>
          <w:szCs w:val="26"/>
        </w:rPr>
      </w:pPr>
      <w:bookmarkStart w:id="13" w:name="_Toc197536035"/>
      <w:r>
        <w:rPr>
          <w:rFonts w:cs="Times New Roman" w:eastAsiaTheme="minorEastAsia"/>
          <w:bCs/>
          <w:color w:val="auto"/>
          <w:sz w:val="26"/>
          <w:szCs w:val="26"/>
        </w:rPr>
        <w:t>Conclusion</w:t>
      </w:r>
      <w:bookmarkEnd w:id="13"/>
    </w:p>
    <w:p w14:paraId="5772259B">
      <w:pPr>
        <w:spacing w:before="80" w:after="80" w:line="400" w:lineRule="atLeast"/>
        <w:ind w:firstLine="720" w:firstLineChars="0"/>
        <w:jc w:val="both"/>
        <w:rPr>
          <w:rFonts w:ascii="Times New Roman" w:hAnsi="Times New Roman"/>
          <w:bCs/>
          <w:color w:val="auto"/>
          <w:sz w:val="26"/>
          <w:szCs w:val="26"/>
        </w:rPr>
      </w:pPr>
      <w:bookmarkStart w:id="14" w:name="_Toc197536041"/>
      <w:bookmarkStart w:id="15" w:name="_Toc184835280"/>
      <w:r>
        <w:rPr>
          <w:rFonts w:ascii="Times New Roman" w:hAnsi="Times New Roman"/>
          <w:bCs/>
          <w:color w:val="auto"/>
          <w:sz w:val="26"/>
          <w:szCs w:val="26"/>
        </w:rPr>
        <w:t>Th</w:t>
      </w:r>
      <w:r>
        <w:rPr>
          <w:rFonts w:ascii="Times New Roman" w:hAnsi="Times New Roman"/>
          <w:bCs/>
          <w:color w:val="auto"/>
          <w:sz w:val="26"/>
          <w:szCs w:val="26"/>
          <w:lang w:val="en-US"/>
        </w:rPr>
        <w:t>e present</w:t>
      </w:r>
      <w:r>
        <w:rPr>
          <w:rFonts w:ascii="Times New Roman" w:hAnsi="Times New Roman"/>
          <w:bCs/>
          <w:color w:val="auto"/>
          <w:sz w:val="26"/>
          <w:szCs w:val="26"/>
        </w:rPr>
        <w:t xml:space="preserve"> study explored the extent of </w:t>
      </w:r>
      <w:r>
        <w:rPr>
          <w:rFonts w:ascii="Times New Roman" w:hAnsi="Times New Roman"/>
          <w:bCs/>
          <w:color w:val="auto"/>
          <w:sz w:val="26"/>
          <w:szCs w:val="26"/>
          <w:lang w:val="en-US"/>
        </w:rPr>
        <w:t>SDL</w:t>
      </w:r>
      <w:r>
        <w:rPr>
          <w:rFonts w:ascii="Times New Roman" w:hAnsi="Times New Roman"/>
          <w:bCs/>
          <w:color w:val="auto"/>
          <w:sz w:val="26"/>
          <w:szCs w:val="26"/>
        </w:rPr>
        <w:t xml:space="preserve"> among fourth-year English linguistics students at </w:t>
      </w:r>
      <w:r>
        <w:rPr>
          <w:rFonts w:ascii="Times New Roman" w:hAnsi="Times New Roman"/>
          <w:bCs/>
          <w:color w:val="auto"/>
          <w:sz w:val="26"/>
          <w:szCs w:val="26"/>
          <w:lang w:val="en-US"/>
        </w:rPr>
        <w:t>TDMU</w:t>
      </w:r>
      <w:r>
        <w:rPr>
          <w:rFonts w:ascii="Times New Roman" w:hAnsi="Times New Roman"/>
          <w:bCs/>
          <w:color w:val="auto"/>
          <w:sz w:val="26"/>
          <w:szCs w:val="26"/>
        </w:rPr>
        <w:t xml:space="preserve"> and examined its relationship with academic performance. The findings revealed that students demonstrated a relatively high level of SDL engagement, particularly in identifying learning resources and designing learning plans. A weak but statistically significant positive correlation was found between SDL and GPA, with diagnosing learning needs, setting learning goals, and especially designing learning plans showing meaningful associations with academic success.</w:t>
      </w:r>
    </w:p>
    <w:p w14:paraId="6D3E5A2C">
      <w:pPr>
        <w:spacing w:before="80" w:after="80" w:line="400" w:lineRule="atLeast"/>
        <w:ind w:firstLine="720" w:firstLineChars="0"/>
        <w:jc w:val="both"/>
        <w:rPr>
          <w:rFonts w:ascii="Times New Roman" w:hAnsi="Times New Roman"/>
          <w:bCs/>
          <w:color w:val="auto"/>
          <w:sz w:val="26"/>
          <w:szCs w:val="26"/>
        </w:rPr>
      </w:pPr>
      <w:r>
        <w:rPr>
          <w:rFonts w:ascii="Times New Roman" w:hAnsi="Times New Roman"/>
          <w:bCs/>
          <w:color w:val="auto"/>
          <w:sz w:val="26"/>
          <w:szCs w:val="26"/>
        </w:rPr>
        <w:t>These results confirm the importance of SDL in higher education and highlight planning as a key component linked to performance. While resource use and outcome evaluation were widely practiced, they were not significantly associated with GPA unless supported by goal-oriented and structured learning strategies. The study contributes to the existing literature by focusing on English majors in the Vietnamese context and identifying specific SDL components that influence academic outcomes.</w:t>
      </w:r>
    </w:p>
    <w:p w14:paraId="46FCB923">
      <w:pPr>
        <w:spacing w:before="80" w:after="80" w:line="400" w:lineRule="atLeast"/>
        <w:ind w:firstLine="720" w:firstLineChars="0"/>
        <w:jc w:val="both"/>
        <w:rPr>
          <w:rFonts w:ascii="Times New Roman" w:hAnsi="Times New Roman" w:cs="Times New Roman"/>
          <w:bCs/>
          <w:color w:val="auto"/>
          <w:sz w:val="26"/>
          <w:szCs w:val="26"/>
        </w:rPr>
      </w:pPr>
      <w:r>
        <w:rPr>
          <w:rFonts w:ascii="Times New Roman" w:hAnsi="Times New Roman"/>
          <w:bCs/>
          <w:color w:val="auto"/>
          <w:sz w:val="26"/>
          <w:szCs w:val="26"/>
        </w:rPr>
        <w:t>In light of these findings, educational programs should integrate training in learning planning and goal setting to better support student achievement and autonomy.</w:t>
      </w:r>
    </w:p>
    <w:p w14:paraId="76769157">
      <w:pPr>
        <w:spacing w:before="80" w:after="80" w:line="400" w:lineRule="atLeast"/>
        <w:jc w:val="both"/>
        <w:rPr>
          <w:rFonts w:ascii="Times New Roman" w:hAnsi="Times New Roman" w:cs="Times New Roman"/>
          <w:b/>
          <w:color w:val="auto"/>
          <w:sz w:val="26"/>
          <w:szCs w:val="26"/>
        </w:rPr>
      </w:pPr>
    </w:p>
    <w:p w14:paraId="6B0FEBAC">
      <w:pPr>
        <w:spacing w:before="80" w:after="80" w:line="400" w:lineRule="atLeast"/>
        <w:jc w:val="both"/>
        <w:rPr>
          <w:rFonts w:ascii="Times New Roman" w:hAnsi="Times New Roman" w:cs="Times New Roman"/>
          <w:b/>
          <w:color w:val="auto"/>
          <w:sz w:val="26"/>
          <w:szCs w:val="26"/>
        </w:rPr>
      </w:pPr>
    </w:p>
    <w:p w14:paraId="1605B506">
      <w:pPr>
        <w:spacing w:before="80" w:after="80" w:line="400" w:lineRule="atLeast"/>
        <w:jc w:val="both"/>
        <w:rPr>
          <w:rFonts w:ascii="Times New Roman" w:hAnsi="Times New Roman" w:cs="Times New Roman"/>
          <w:b/>
          <w:color w:val="auto"/>
          <w:sz w:val="26"/>
          <w:szCs w:val="26"/>
        </w:rPr>
      </w:pPr>
    </w:p>
    <w:p w14:paraId="40D0EF05">
      <w:pPr>
        <w:spacing w:before="80" w:after="80" w:line="400" w:lineRule="atLeast"/>
        <w:jc w:val="both"/>
        <w:rPr>
          <w:rFonts w:ascii="Times New Roman" w:hAnsi="Times New Roman" w:cs="Times New Roman"/>
          <w:b/>
          <w:color w:val="auto"/>
          <w:sz w:val="26"/>
          <w:szCs w:val="26"/>
        </w:rPr>
      </w:pPr>
    </w:p>
    <w:p w14:paraId="66BFF105">
      <w:pPr>
        <w:spacing w:before="80" w:after="80" w:line="400" w:lineRule="atLeast"/>
        <w:jc w:val="both"/>
        <w:rPr>
          <w:rFonts w:ascii="Times New Roman" w:hAnsi="Times New Roman" w:cs="Times New Roman"/>
          <w:b/>
          <w:color w:val="auto"/>
          <w:sz w:val="26"/>
          <w:szCs w:val="26"/>
        </w:rPr>
      </w:pPr>
    </w:p>
    <w:p w14:paraId="6427FFC2">
      <w:pPr>
        <w:spacing w:before="80" w:after="80" w:line="400" w:lineRule="atLeast"/>
        <w:jc w:val="both"/>
        <w:rPr>
          <w:rFonts w:ascii="Times New Roman" w:hAnsi="Times New Roman" w:cs="Times New Roman"/>
          <w:b/>
          <w:color w:val="auto"/>
          <w:sz w:val="26"/>
          <w:szCs w:val="26"/>
        </w:rPr>
      </w:pPr>
    </w:p>
    <w:p w14:paraId="66AB3D15">
      <w:pPr>
        <w:spacing w:before="80" w:after="80" w:line="400" w:lineRule="atLeast"/>
        <w:jc w:val="both"/>
        <w:rPr>
          <w:rFonts w:ascii="Times New Roman" w:hAnsi="Times New Roman" w:cs="Times New Roman"/>
          <w:b/>
          <w:color w:val="auto"/>
          <w:sz w:val="26"/>
          <w:szCs w:val="26"/>
        </w:rPr>
      </w:pPr>
    </w:p>
    <w:p w14:paraId="4BE62D93">
      <w:pPr>
        <w:spacing w:before="80" w:after="80" w:line="400" w:lineRule="atLeast"/>
        <w:jc w:val="both"/>
        <w:rPr>
          <w:rFonts w:ascii="Times New Roman" w:hAnsi="Times New Roman" w:cs="Times New Roman"/>
          <w:b/>
          <w:color w:val="auto"/>
          <w:sz w:val="26"/>
          <w:szCs w:val="26"/>
        </w:rPr>
      </w:pPr>
    </w:p>
    <w:p w14:paraId="11C49D02">
      <w:pPr>
        <w:spacing w:before="80" w:after="80" w:line="400" w:lineRule="atLeast"/>
        <w:jc w:val="both"/>
        <w:rPr>
          <w:rFonts w:hint="default" w:ascii="Times New Roman" w:hAnsi="Times New Roman" w:cs="Times New Roman"/>
          <w:b/>
          <w:color w:val="auto"/>
          <w:sz w:val="26"/>
          <w:szCs w:val="26"/>
          <w:lang w:val="en-US"/>
        </w:rPr>
      </w:pPr>
      <w:r>
        <w:rPr>
          <w:rFonts w:ascii="Times New Roman" w:hAnsi="Times New Roman" w:cs="Times New Roman"/>
          <w:b/>
          <w:color w:val="auto"/>
          <w:sz w:val="26"/>
          <w:szCs w:val="26"/>
        </w:rPr>
        <w:t>R</w:t>
      </w:r>
      <w:bookmarkEnd w:id="14"/>
      <w:bookmarkEnd w:id="15"/>
      <w:r>
        <w:rPr>
          <w:rFonts w:hint="default" w:ascii="Times New Roman" w:hAnsi="Times New Roman" w:cs="Times New Roman"/>
          <w:b/>
          <w:color w:val="auto"/>
          <w:sz w:val="26"/>
          <w:szCs w:val="26"/>
          <w:lang w:val="en-US"/>
        </w:rPr>
        <w:t>eferences</w:t>
      </w:r>
    </w:p>
    <w:p w14:paraId="0F4763AB">
      <w:pPr>
        <w:pStyle w:val="20"/>
        <w:keepNext w:val="0"/>
        <w:keepLines w:val="0"/>
        <w:widowControl/>
        <w:suppressLineNumbers w:val="0"/>
        <w:jc w:val="both"/>
        <w:rPr>
          <w:color w:val="auto"/>
          <w:sz w:val="26"/>
          <w:szCs w:val="26"/>
        </w:rPr>
      </w:pPr>
      <w:r>
        <w:rPr>
          <w:color w:val="auto"/>
          <w:sz w:val="26"/>
          <w:szCs w:val="26"/>
        </w:rPr>
        <w:t>Alisoy, H. (2025). Multilingualism: Cognitive, social, and educational dimensions</w:t>
      </w:r>
      <w:r>
        <w:rPr>
          <w:rFonts w:hint="default"/>
          <w:color w:val="auto"/>
          <w:sz w:val="26"/>
          <w:szCs w:val="26"/>
          <w:lang w:val="en-US"/>
        </w:rPr>
        <w:t xml:space="preserve"> </w:t>
      </w:r>
      <w:r>
        <w:rPr>
          <w:rFonts w:hint="default"/>
          <w:color w:val="auto"/>
          <w:sz w:val="26"/>
          <w:szCs w:val="26"/>
          <w:lang w:val="en-US"/>
        </w:rPr>
        <w:tab/>
      </w:r>
      <w:r>
        <w:rPr>
          <w:color w:val="auto"/>
          <w:sz w:val="26"/>
          <w:szCs w:val="26"/>
        </w:rPr>
        <w:t xml:space="preserve">in a globalized world. </w:t>
      </w:r>
      <w:r>
        <w:rPr>
          <w:rStyle w:val="16"/>
          <w:color w:val="auto"/>
          <w:sz w:val="26"/>
          <w:szCs w:val="26"/>
        </w:rPr>
        <w:t xml:space="preserve">Journal of Azerbaijan Language and Education </w:t>
      </w:r>
      <w:r>
        <w:rPr>
          <w:rStyle w:val="16"/>
          <w:rFonts w:hint="default"/>
          <w:color w:val="auto"/>
          <w:sz w:val="26"/>
          <w:szCs w:val="26"/>
          <w:lang w:val="en-US"/>
        </w:rPr>
        <w:tab/>
      </w:r>
      <w:r>
        <w:rPr>
          <w:rStyle w:val="16"/>
          <w:color w:val="auto"/>
          <w:sz w:val="26"/>
          <w:szCs w:val="26"/>
        </w:rPr>
        <w:t>Studies, 2</w:t>
      </w:r>
      <w:r>
        <w:rPr>
          <w:color w:val="auto"/>
          <w:sz w:val="26"/>
          <w:szCs w:val="26"/>
        </w:rPr>
        <w:t xml:space="preserve">(2), 28–38. </w:t>
      </w:r>
      <w:r>
        <w:rPr>
          <w:color w:val="auto"/>
          <w:sz w:val="26"/>
          <w:szCs w:val="26"/>
        </w:rPr>
        <w:fldChar w:fldCharType="begin"/>
      </w:r>
      <w:r>
        <w:rPr>
          <w:color w:val="auto"/>
          <w:sz w:val="26"/>
          <w:szCs w:val="26"/>
        </w:rPr>
        <w:instrText xml:space="preserve"> HYPERLINK "https://doi.org/10.69760/jales.2025001008" \t "_new" </w:instrText>
      </w:r>
      <w:r>
        <w:rPr>
          <w:color w:val="auto"/>
          <w:sz w:val="26"/>
          <w:szCs w:val="26"/>
        </w:rPr>
        <w:fldChar w:fldCharType="separate"/>
      </w:r>
      <w:r>
        <w:rPr>
          <w:rStyle w:val="19"/>
          <w:color w:val="auto"/>
          <w:sz w:val="26"/>
          <w:szCs w:val="26"/>
        </w:rPr>
        <w:t>https://doi.org/10.69760/jales.2025001008</w:t>
      </w:r>
      <w:r>
        <w:rPr>
          <w:color w:val="auto"/>
          <w:sz w:val="26"/>
          <w:szCs w:val="26"/>
        </w:rPr>
        <w:fldChar w:fldCharType="end"/>
      </w:r>
    </w:p>
    <w:p w14:paraId="0BE0214D">
      <w:pPr>
        <w:pStyle w:val="20"/>
        <w:keepNext w:val="0"/>
        <w:keepLines w:val="0"/>
        <w:widowControl/>
        <w:suppressLineNumbers w:val="0"/>
        <w:jc w:val="both"/>
        <w:rPr>
          <w:color w:val="auto"/>
          <w:sz w:val="26"/>
          <w:szCs w:val="26"/>
        </w:rPr>
      </w:pPr>
      <w:r>
        <w:rPr>
          <w:color w:val="auto"/>
          <w:sz w:val="26"/>
          <w:szCs w:val="26"/>
        </w:rPr>
        <w:t xml:space="preserve">Alotaibi, K. N. (2016). The learning environment as a mediating variable between </w:t>
      </w:r>
      <w:r>
        <w:rPr>
          <w:rFonts w:hint="default"/>
          <w:color w:val="auto"/>
          <w:sz w:val="26"/>
          <w:szCs w:val="26"/>
          <w:lang w:val="en-US"/>
        </w:rPr>
        <w:tab/>
      </w:r>
      <w:r>
        <w:rPr>
          <w:color w:val="auto"/>
          <w:sz w:val="26"/>
          <w:szCs w:val="26"/>
        </w:rPr>
        <w:t>self-directed learning readiness and academic performance of a sample of</w:t>
      </w:r>
      <w:r>
        <w:rPr>
          <w:rFonts w:hint="default"/>
          <w:color w:val="auto"/>
          <w:sz w:val="26"/>
          <w:szCs w:val="26"/>
          <w:lang w:val="en-US"/>
        </w:rPr>
        <w:t xml:space="preserve"> </w:t>
      </w:r>
      <w:r>
        <w:rPr>
          <w:rFonts w:hint="default"/>
          <w:color w:val="auto"/>
          <w:sz w:val="26"/>
          <w:szCs w:val="26"/>
          <w:lang w:val="en-US"/>
        </w:rPr>
        <w:tab/>
      </w:r>
      <w:r>
        <w:rPr>
          <w:color w:val="auto"/>
          <w:sz w:val="26"/>
          <w:szCs w:val="26"/>
        </w:rPr>
        <w:t xml:space="preserve">Saudi nursing and medical emergency students. </w:t>
      </w:r>
      <w:r>
        <w:rPr>
          <w:rStyle w:val="16"/>
          <w:color w:val="auto"/>
          <w:sz w:val="26"/>
          <w:szCs w:val="26"/>
        </w:rPr>
        <w:t>Nurse Education Today, 36</w:t>
      </w:r>
      <w:r>
        <w:rPr>
          <w:color w:val="auto"/>
          <w:sz w:val="26"/>
          <w:szCs w:val="26"/>
        </w:rPr>
        <w:t>,</w:t>
      </w:r>
      <w:r>
        <w:rPr>
          <w:rFonts w:hint="default"/>
          <w:color w:val="auto"/>
          <w:sz w:val="26"/>
          <w:szCs w:val="26"/>
          <w:lang w:val="en-US"/>
        </w:rPr>
        <w:t xml:space="preserve"> </w:t>
      </w:r>
      <w:r>
        <w:rPr>
          <w:rFonts w:hint="default"/>
          <w:color w:val="auto"/>
          <w:sz w:val="26"/>
          <w:szCs w:val="26"/>
          <w:lang w:val="en-US"/>
        </w:rPr>
        <w:tab/>
      </w:r>
      <w:r>
        <w:rPr>
          <w:color w:val="auto"/>
          <w:sz w:val="26"/>
          <w:szCs w:val="26"/>
        </w:rPr>
        <w:t xml:space="preserve">249–254. </w:t>
      </w:r>
      <w:r>
        <w:rPr>
          <w:color w:val="auto"/>
          <w:sz w:val="26"/>
          <w:szCs w:val="26"/>
        </w:rPr>
        <w:fldChar w:fldCharType="begin"/>
      </w:r>
      <w:r>
        <w:rPr>
          <w:color w:val="auto"/>
          <w:sz w:val="26"/>
          <w:szCs w:val="26"/>
        </w:rPr>
        <w:instrText xml:space="preserve"> HYPERLINK "https://doi.org/10.1016/j.nedt.2015.11.003" \t "_new" </w:instrText>
      </w:r>
      <w:r>
        <w:rPr>
          <w:color w:val="auto"/>
          <w:sz w:val="26"/>
          <w:szCs w:val="26"/>
        </w:rPr>
        <w:fldChar w:fldCharType="separate"/>
      </w:r>
      <w:r>
        <w:rPr>
          <w:rStyle w:val="19"/>
          <w:color w:val="auto"/>
          <w:sz w:val="26"/>
          <w:szCs w:val="26"/>
        </w:rPr>
        <w:t>https://doi.org/10.1016/j.nedt.2015.11.003</w:t>
      </w:r>
      <w:r>
        <w:rPr>
          <w:color w:val="auto"/>
          <w:sz w:val="26"/>
          <w:szCs w:val="26"/>
        </w:rPr>
        <w:fldChar w:fldCharType="end"/>
      </w:r>
    </w:p>
    <w:p w14:paraId="4548BB94">
      <w:pPr>
        <w:pStyle w:val="20"/>
        <w:keepNext w:val="0"/>
        <w:keepLines w:val="0"/>
        <w:widowControl/>
        <w:suppressLineNumbers w:val="0"/>
        <w:jc w:val="both"/>
        <w:rPr>
          <w:color w:val="auto"/>
          <w:sz w:val="26"/>
          <w:szCs w:val="26"/>
        </w:rPr>
      </w:pPr>
      <w:r>
        <w:rPr>
          <w:color w:val="auto"/>
          <w:sz w:val="26"/>
          <w:szCs w:val="26"/>
        </w:rPr>
        <w:t xml:space="preserve">Baumgartner, L. M., Lee, M. Y., Birden, S., &amp; Flowers, D. (2003). </w:t>
      </w:r>
      <w:r>
        <w:rPr>
          <w:rStyle w:val="16"/>
          <w:color w:val="auto"/>
          <w:sz w:val="26"/>
          <w:szCs w:val="26"/>
        </w:rPr>
        <w:t>Adult learning</w:t>
      </w:r>
      <w:r>
        <w:rPr>
          <w:rStyle w:val="16"/>
          <w:rFonts w:hint="default"/>
          <w:color w:val="auto"/>
          <w:sz w:val="26"/>
          <w:szCs w:val="26"/>
          <w:lang w:val="en-US"/>
        </w:rPr>
        <w:t xml:space="preserve"> </w:t>
      </w:r>
      <w:r>
        <w:rPr>
          <w:rStyle w:val="16"/>
          <w:rFonts w:hint="default"/>
          <w:color w:val="auto"/>
          <w:sz w:val="26"/>
          <w:szCs w:val="26"/>
          <w:lang w:val="en-US"/>
        </w:rPr>
        <w:tab/>
      </w:r>
      <w:r>
        <w:rPr>
          <w:rStyle w:val="16"/>
          <w:color w:val="auto"/>
          <w:sz w:val="26"/>
          <w:szCs w:val="26"/>
        </w:rPr>
        <w:t>theory: A primer</w:t>
      </w:r>
      <w:r>
        <w:rPr>
          <w:color w:val="auto"/>
          <w:sz w:val="26"/>
          <w:szCs w:val="26"/>
        </w:rPr>
        <w:t xml:space="preserve"> (Information Series No. 392). Center on Education and</w:t>
      </w:r>
      <w:r>
        <w:rPr>
          <w:rFonts w:hint="default"/>
          <w:color w:val="auto"/>
          <w:sz w:val="26"/>
          <w:szCs w:val="26"/>
          <w:lang w:val="en-US"/>
        </w:rPr>
        <w:t xml:space="preserve"> </w:t>
      </w:r>
      <w:r>
        <w:rPr>
          <w:rFonts w:hint="default"/>
          <w:color w:val="auto"/>
          <w:sz w:val="26"/>
          <w:szCs w:val="26"/>
          <w:lang w:val="en-US"/>
        </w:rPr>
        <w:tab/>
      </w:r>
      <w:r>
        <w:rPr>
          <w:color w:val="auto"/>
          <w:sz w:val="26"/>
          <w:szCs w:val="26"/>
        </w:rPr>
        <w:t>Training for Employment, College of Education,</w:t>
      </w:r>
      <w:r>
        <w:rPr>
          <w:rFonts w:hint="default"/>
          <w:color w:val="auto"/>
          <w:sz w:val="26"/>
          <w:szCs w:val="26"/>
          <w:lang w:val="en-US"/>
        </w:rPr>
        <w:t xml:space="preserve"> </w:t>
      </w:r>
      <w:r>
        <w:rPr>
          <w:color w:val="auto"/>
          <w:sz w:val="26"/>
          <w:szCs w:val="26"/>
        </w:rPr>
        <w:t xml:space="preserve">The Ohio State University. </w:t>
      </w:r>
      <w:r>
        <w:rPr>
          <w:rFonts w:hint="default"/>
          <w:color w:val="auto"/>
          <w:sz w:val="26"/>
          <w:szCs w:val="26"/>
          <w:lang w:val="en-US"/>
        </w:rPr>
        <w:tab/>
      </w:r>
      <w:r>
        <w:rPr>
          <w:color w:val="auto"/>
          <w:sz w:val="26"/>
          <w:szCs w:val="26"/>
        </w:rPr>
        <w:fldChar w:fldCharType="begin"/>
      </w:r>
      <w:r>
        <w:rPr>
          <w:color w:val="auto"/>
          <w:sz w:val="26"/>
          <w:szCs w:val="26"/>
        </w:rPr>
        <w:instrText xml:space="preserve"> HYPERLINK "https://eric.ed.gov/?id=ED482337" \t "_new" </w:instrText>
      </w:r>
      <w:r>
        <w:rPr>
          <w:color w:val="auto"/>
          <w:sz w:val="26"/>
          <w:szCs w:val="26"/>
        </w:rPr>
        <w:fldChar w:fldCharType="separate"/>
      </w:r>
      <w:r>
        <w:rPr>
          <w:rStyle w:val="19"/>
          <w:color w:val="auto"/>
          <w:sz w:val="26"/>
          <w:szCs w:val="26"/>
        </w:rPr>
        <w:t>https://eric.ed.gov/?id=ED482337</w:t>
      </w:r>
      <w:r>
        <w:rPr>
          <w:color w:val="auto"/>
          <w:sz w:val="26"/>
          <w:szCs w:val="26"/>
        </w:rPr>
        <w:fldChar w:fldCharType="end"/>
      </w:r>
    </w:p>
    <w:p w14:paraId="104D81BE">
      <w:pPr>
        <w:pStyle w:val="20"/>
        <w:keepNext w:val="0"/>
        <w:keepLines w:val="0"/>
        <w:widowControl/>
        <w:suppressLineNumbers w:val="0"/>
        <w:jc w:val="both"/>
        <w:rPr>
          <w:color w:val="auto"/>
          <w:sz w:val="26"/>
          <w:szCs w:val="26"/>
        </w:rPr>
      </w:pPr>
      <w:r>
        <w:rPr>
          <w:color w:val="auto"/>
          <w:sz w:val="26"/>
          <w:szCs w:val="26"/>
        </w:rPr>
        <w:t xml:space="preserve">Candy, P. C. (1991). </w:t>
      </w:r>
      <w:r>
        <w:rPr>
          <w:rStyle w:val="16"/>
          <w:color w:val="auto"/>
          <w:sz w:val="26"/>
          <w:szCs w:val="26"/>
        </w:rPr>
        <w:t xml:space="preserve">Self-direction for lifelong learning: A comprehensive guide to </w:t>
      </w:r>
      <w:r>
        <w:rPr>
          <w:rStyle w:val="16"/>
          <w:rFonts w:hint="default"/>
          <w:color w:val="auto"/>
          <w:sz w:val="26"/>
          <w:szCs w:val="26"/>
          <w:lang w:val="en-US"/>
        </w:rPr>
        <w:tab/>
      </w:r>
      <w:r>
        <w:rPr>
          <w:rStyle w:val="16"/>
          <w:color w:val="auto"/>
          <w:sz w:val="26"/>
          <w:szCs w:val="26"/>
        </w:rPr>
        <w:t>theory and practice</w:t>
      </w:r>
      <w:r>
        <w:rPr>
          <w:color w:val="auto"/>
          <w:sz w:val="26"/>
          <w:szCs w:val="26"/>
        </w:rPr>
        <w:t>. Jossey-Bass.</w:t>
      </w:r>
    </w:p>
    <w:p w14:paraId="27C0A608">
      <w:pPr>
        <w:pStyle w:val="20"/>
        <w:keepNext w:val="0"/>
        <w:keepLines w:val="0"/>
        <w:widowControl/>
        <w:suppressLineNumbers w:val="0"/>
        <w:jc w:val="both"/>
        <w:rPr>
          <w:color w:val="auto"/>
          <w:sz w:val="26"/>
          <w:szCs w:val="26"/>
        </w:rPr>
      </w:pPr>
      <w:r>
        <w:rPr>
          <w:color w:val="auto"/>
          <w:sz w:val="26"/>
          <w:szCs w:val="26"/>
        </w:rPr>
        <w:t xml:space="preserve">Cazan, M., &amp; Schiopca, A. (2013). Self-directed learning, personality traits and </w:t>
      </w:r>
      <w:r>
        <w:rPr>
          <w:rFonts w:hint="default"/>
          <w:color w:val="auto"/>
          <w:sz w:val="26"/>
          <w:szCs w:val="26"/>
          <w:lang w:val="en-US"/>
        </w:rPr>
        <w:tab/>
      </w:r>
      <w:r>
        <w:rPr>
          <w:color w:val="auto"/>
          <w:sz w:val="26"/>
          <w:szCs w:val="26"/>
        </w:rPr>
        <w:t xml:space="preserve">academic achievement. </w:t>
      </w:r>
      <w:r>
        <w:rPr>
          <w:rStyle w:val="16"/>
          <w:color w:val="auto"/>
          <w:sz w:val="26"/>
          <w:szCs w:val="26"/>
        </w:rPr>
        <w:t>Procedia - Social and Behavioral Sciences, 127</w:t>
      </w:r>
      <w:r>
        <w:rPr>
          <w:color w:val="auto"/>
          <w:sz w:val="26"/>
          <w:szCs w:val="26"/>
        </w:rPr>
        <w:t xml:space="preserve">, </w:t>
      </w:r>
      <w:r>
        <w:rPr>
          <w:rFonts w:hint="default"/>
          <w:color w:val="auto"/>
          <w:sz w:val="26"/>
          <w:szCs w:val="26"/>
          <w:lang w:val="en-US"/>
        </w:rPr>
        <w:tab/>
      </w:r>
      <w:r>
        <w:rPr>
          <w:color w:val="auto"/>
          <w:sz w:val="26"/>
          <w:szCs w:val="26"/>
        </w:rPr>
        <w:t xml:space="preserve">640–644. </w:t>
      </w:r>
      <w:r>
        <w:rPr>
          <w:color w:val="auto"/>
          <w:sz w:val="26"/>
          <w:szCs w:val="26"/>
        </w:rPr>
        <w:fldChar w:fldCharType="begin"/>
      </w:r>
      <w:r>
        <w:rPr>
          <w:color w:val="auto"/>
          <w:sz w:val="26"/>
          <w:szCs w:val="26"/>
        </w:rPr>
        <w:instrText xml:space="preserve"> HYPERLINK "https://doi.org/10.1016/j.sbspro.2014.03.327" \t "_new" </w:instrText>
      </w:r>
      <w:r>
        <w:rPr>
          <w:color w:val="auto"/>
          <w:sz w:val="26"/>
          <w:szCs w:val="26"/>
        </w:rPr>
        <w:fldChar w:fldCharType="separate"/>
      </w:r>
      <w:r>
        <w:rPr>
          <w:rStyle w:val="19"/>
          <w:color w:val="auto"/>
          <w:sz w:val="26"/>
          <w:szCs w:val="26"/>
        </w:rPr>
        <w:t>https://doi.org/10.1016/j.sbspro.2014.03.327</w:t>
      </w:r>
      <w:r>
        <w:rPr>
          <w:color w:val="auto"/>
          <w:sz w:val="26"/>
          <w:szCs w:val="26"/>
        </w:rPr>
        <w:fldChar w:fldCharType="end"/>
      </w:r>
    </w:p>
    <w:p w14:paraId="54F0A01C">
      <w:pPr>
        <w:pStyle w:val="20"/>
        <w:keepNext w:val="0"/>
        <w:keepLines w:val="0"/>
        <w:widowControl/>
        <w:suppressLineNumbers w:val="0"/>
        <w:jc w:val="both"/>
        <w:rPr>
          <w:color w:val="auto"/>
          <w:sz w:val="26"/>
          <w:szCs w:val="26"/>
        </w:rPr>
      </w:pPr>
      <w:r>
        <w:rPr>
          <w:color w:val="auto"/>
          <w:sz w:val="26"/>
          <w:szCs w:val="26"/>
        </w:rPr>
        <w:t>Diễm, N. N., T</w:t>
      </w:r>
      <w:r>
        <w:rPr>
          <w:rFonts w:hint="default" w:ascii="Times New Roman" w:hAnsi="Times New Roman" w:cs="Times New Roman"/>
          <w:color w:val="auto"/>
          <w:sz w:val="26"/>
          <w:szCs w:val="26"/>
        </w:rPr>
        <w:t xml:space="preserve">uyết, V. T., Hạnh, Đ. M., Anh, N. T., Thương, N. T. T., &amp; Dung, N. </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rPr>
        <w:t xml:space="preserve">M. M. (2023). Mức độ sẵn sàng tự định hướng học tập của sinh viên điều </w:t>
      </w:r>
      <w:r>
        <w:rPr>
          <w:rFonts w:hint="default" w:ascii="Times New Roman" w:hAnsi="Times New Roman" w:cs="Times New Roman"/>
          <w:color w:val="auto"/>
          <w:sz w:val="26"/>
          <w:szCs w:val="26"/>
          <w:lang w:val="en-US"/>
        </w:rPr>
        <w:tab/>
      </w:r>
      <w:r>
        <w:rPr>
          <w:rFonts w:hint="default" w:ascii="Times New Roman" w:hAnsi="Times New Roman" w:cs="Times New Roman"/>
          <w:color w:val="auto"/>
          <w:sz w:val="26"/>
          <w:szCs w:val="26"/>
        </w:rPr>
        <w:t>d</w:t>
      </w:r>
      <w:r>
        <w:rPr>
          <w:rStyle w:val="49"/>
          <w:rFonts w:hint="default" w:ascii="Times New Roman" w:hAnsi="Times New Roman" w:cs="Times New Roman"/>
          <w:color w:val="auto"/>
        </w:rPr>
        <w:t xml:space="preserve">ưỡng tại các trường đại học và một số yếu tố liên quan. TNU Journal </w:t>
      </w:r>
      <w:r>
        <w:rPr>
          <w:rStyle w:val="49"/>
          <w:rFonts w:hint="default" w:cs="Times New Roman"/>
          <w:color w:val="auto"/>
          <w:lang w:val="en-US"/>
        </w:rPr>
        <w:tab/>
      </w:r>
      <w:r>
        <w:rPr>
          <w:rStyle w:val="49"/>
          <w:rFonts w:hint="default" w:ascii="Times New Roman" w:hAnsi="Times New Roman" w:cs="Times New Roman"/>
          <w:color w:val="auto"/>
        </w:rPr>
        <w:t xml:space="preserve">of </w:t>
      </w:r>
      <w:r>
        <w:rPr>
          <w:rStyle w:val="49"/>
          <w:rFonts w:hint="default" w:ascii="Times New Roman" w:hAnsi="Times New Roman" w:cs="Times New Roman"/>
          <w:color w:val="auto"/>
          <w:lang w:val="en-US"/>
        </w:rPr>
        <w:tab/>
      </w:r>
      <w:r>
        <w:rPr>
          <w:rStyle w:val="49"/>
          <w:rFonts w:hint="default" w:ascii="Times New Roman" w:hAnsi="Times New Roman" w:cs="Times New Roman"/>
          <w:color w:val="auto"/>
        </w:rPr>
        <w:t>Science</w:t>
      </w:r>
      <w:r>
        <w:rPr>
          <w:rStyle w:val="49"/>
          <w:rFonts w:hint="default" w:ascii="Times New Roman" w:hAnsi="Times New Roman" w:cs="Times New Roman"/>
          <w:color w:val="auto"/>
          <w:lang w:val="en-US"/>
        </w:rPr>
        <w:t xml:space="preserve"> </w:t>
      </w:r>
      <w:r>
        <w:rPr>
          <w:rStyle w:val="49"/>
          <w:rFonts w:hint="default" w:ascii="Times New Roman" w:hAnsi="Times New Roman" w:cs="Times New Roman"/>
          <w:color w:val="auto"/>
        </w:rPr>
        <w:t>and Technology,</w:t>
      </w:r>
      <w:r>
        <w:rPr>
          <w:rStyle w:val="49"/>
          <w:rFonts w:hint="default" w:ascii="Times New Roman" w:hAnsi="Times New Roman" w:cs="Times New Roman"/>
          <w:color w:val="auto"/>
          <w:lang w:val="en-US"/>
        </w:rPr>
        <w:t xml:space="preserve"> </w:t>
      </w:r>
      <w:r>
        <w:rPr>
          <w:rStyle w:val="49"/>
          <w:rFonts w:hint="default" w:ascii="Times New Roman" w:hAnsi="Times New Roman" w:cs="Times New Roman"/>
          <w:color w:val="auto"/>
        </w:rPr>
        <w:t>228(12),</w:t>
      </w:r>
      <w:r>
        <w:rPr>
          <w:rStyle w:val="49"/>
          <w:rFonts w:hint="default" w:ascii="Times New Roman" w:hAnsi="Times New Roman" w:cs="Times New Roman"/>
          <w:color w:val="auto"/>
          <w:lang w:val="en-US"/>
        </w:rPr>
        <w:t xml:space="preserve"> </w:t>
      </w:r>
      <w:r>
        <w:rPr>
          <w:rStyle w:val="49"/>
          <w:rFonts w:hint="default" w:ascii="Times New Roman" w:hAnsi="Times New Roman" w:cs="Times New Roman"/>
          <w:color w:val="auto"/>
        </w:rPr>
        <w:t>46–52.</w:t>
      </w:r>
      <w:r>
        <w:rPr>
          <w:rStyle w:val="49"/>
          <w:rFonts w:hint="default" w:ascii="Times New Roman" w:hAnsi="Times New Roman" w:cs="Times New Roman"/>
          <w:color w:val="auto"/>
          <w:lang w:val="en-US"/>
        </w:rPr>
        <w:t xml:space="preserve"> </w:t>
      </w:r>
      <w:r>
        <w:rPr>
          <w:rFonts w:hint="default"/>
          <w:color w:val="auto"/>
          <w:sz w:val="26"/>
          <w:szCs w:val="26"/>
          <w:lang w:val="en-US"/>
        </w:rPr>
        <w:tab/>
      </w:r>
      <w:r>
        <w:rPr>
          <w:rFonts w:hint="default"/>
          <w:color w:val="auto"/>
          <w:sz w:val="26"/>
          <w:szCs w:val="26"/>
          <w:lang w:val="en-US"/>
        </w:rPr>
        <w:tab/>
      </w:r>
      <w:r>
        <w:rPr>
          <w:color w:val="auto"/>
          <w:sz w:val="26"/>
          <w:szCs w:val="26"/>
        </w:rPr>
        <w:fldChar w:fldCharType="begin"/>
      </w:r>
      <w:r>
        <w:rPr>
          <w:color w:val="auto"/>
          <w:sz w:val="26"/>
          <w:szCs w:val="26"/>
        </w:rPr>
        <w:instrText xml:space="preserve"> HYPERLINK "https://doi.org/10.34238/tnu-jst.8244" \t "_new" </w:instrText>
      </w:r>
      <w:r>
        <w:rPr>
          <w:color w:val="auto"/>
          <w:sz w:val="26"/>
          <w:szCs w:val="26"/>
        </w:rPr>
        <w:fldChar w:fldCharType="separate"/>
      </w:r>
      <w:r>
        <w:rPr>
          <w:rStyle w:val="19"/>
          <w:color w:val="auto"/>
          <w:sz w:val="26"/>
          <w:szCs w:val="26"/>
        </w:rPr>
        <w:t>https://doi.org/10.34238/tnujst.8244</w:t>
      </w:r>
      <w:r>
        <w:rPr>
          <w:color w:val="auto"/>
          <w:sz w:val="26"/>
          <w:szCs w:val="26"/>
        </w:rPr>
        <w:fldChar w:fldCharType="end"/>
      </w:r>
    </w:p>
    <w:p w14:paraId="459A3752">
      <w:pPr>
        <w:pStyle w:val="20"/>
        <w:keepNext w:val="0"/>
        <w:keepLines w:val="0"/>
        <w:widowControl/>
        <w:suppressLineNumbers w:val="0"/>
        <w:jc w:val="both"/>
        <w:rPr>
          <w:color w:val="auto"/>
          <w:sz w:val="26"/>
          <w:szCs w:val="26"/>
        </w:rPr>
      </w:pPr>
      <w:r>
        <w:rPr>
          <w:color w:val="auto"/>
          <w:sz w:val="26"/>
          <w:szCs w:val="26"/>
        </w:rPr>
        <w:t>Gabrielle, D. M., Guglielmino, L. M., &amp; Guglielmino, P. J. (2006). Developing self-</w:t>
      </w:r>
      <w:r>
        <w:rPr>
          <w:rFonts w:hint="default"/>
          <w:color w:val="auto"/>
          <w:sz w:val="26"/>
          <w:szCs w:val="26"/>
          <w:lang w:val="en-US"/>
        </w:rPr>
        <w:tab/>
      </w:r>
      <w:r>
        <w:rPr>
          <w:color w:val="auto"/>
          <w:sz w:val="26"/>
          <w:szCs w:val="26"/>
        </w:rPr>
        <w:t xml:space="preserve">directed learning readiness of future leaders in a military college through </w:t>
      </w:r>
      <w:r>
        <w:rPr>
          <w:rFonts w:hint="default"/>
          <w:color w:val="auto"/>
          <w:sz w:val="26"/>
          <w:szCs w:val="26"/>
          <w:lang w:val="en-US"/>
        </w:rPr>
        <w:tab/>
      </w:r>
      <w:r>
        <w:rPr>
          <w:color w:val="auto"/>
          <w:sz w:val="26"/>
          <w:szCs w:val="26"/>
        </w:rPr>
        <w:t xml:space="preserve">instructional innovation. </w:t>
      </w:r>
      <w:r>
        <w:rPr>
          <w:rStyle w:val="16"/>
          <w:color w:val="auto"/>
          <w:sz w:val="26"/>
          <w:szCs w:val="26"/>
        </w:rPr>
        <w:t xml:space="preserve">International Journal of Self-Directed Learning, </w:t>
      </w:r>
      <w:r>
        <w:rPr>
          <w:rStyle w:val="16"/>
          <w:rFonts w:hint="default"/>
          <w:color w:val="auto"/>
          <w:sz w:val="26"/>
          <w:szCs w:val="26"/>
          <w:lang w:val="en-US"/>
        </w:rPr>
        <w:tab/>
      </w:r>
      <w:r>
        <w:rPr>
          <w:rStyle w:val="16"/>
          <w:color w:val="auto"/>
          <w:sz w:val="26"/>
          <w:szCs w:val="26"/>
        </w:rPr>
        <w:t>3</w:t>
      </w:r>
      <w:r>
        <w:rPr>
          <w:color w:val="auto"/>
          <w:sz w:val="26"/>
          <w:szCs w:val="26"/>
        </w:rPr>
        <w:t>(1), 24–35.</w:t>
      </w:r>
    </w:p>
    <w:p w14:paraId="391019C7">
      <w:pPr>
        <w:pStyle w:val="20"/>
        <w:keepNext w:val="0"/>
        <w:keepLines w:val="0"/>
        <w:widowControl/>
        <w:suppressLineNumbers w:val="0"/>
        <w:ind w:left="390" w:hanging="390" w:hangingChars="150"/>
        <w:jc w:val="both"/>
        <w:rPr>
          <w:color w:val="auto"/>
          <w:sz w:val="26"/>
          <w:szCs w:val="26"/>
        </w:rPr>
      </w:pPr>
      <w:r>
        <w:rPr>
          <w:color w:val="auto"/>
          <w:sz w:val="26"/>
          <w:szCs w:val="26"/>
        </w:rPr>
        <w:t>Garrison, D. R. (1997). Self-directed learning: Toward a comprehensive model.</w:t>
      </w:r>
      <w:r>
        <w:rPr>
          <w:rFonts w:hint="default"/>
          <w:color w:val="auto"/>
          <w:sz w:val="26"/>
          <w:szCs w:val="26"/>
          <w:lang w:val="en-US"/>
        </w:rPr>
        <w:t xml:space="preserve"> </w:t>
      </w:r>
      <w:r>
        <w:rPr>
          <w:rFonts w:hint="default"/>
          <w:color w:val="auto"/>
          <w:sz w:val="26"/>
          <w:szCs w:val="26"/>
          <w:lang w:val="en-US"/>
        </w:rPr>
        <w:tab/>
      </w:r>
      <w:r>
        <w:rPr>
          <w:rStyle w:val="16"/>
          <w:color w:val="auto"/>
          <w:sz w:val="26"/>
          <w:szCs w:val="26"/>
        </w:rPr>
        <w:t>Adult Education Quarterly, 48</w:t>
      </w:r>
      <w:r>
        <w:rPr>
          <w:color w:val="auto"/>
          <w:sz w:val="26"/>
          <w:szCs w:val="26"/>
        </w:rPr>
        <w:t>(1), 18–33.</w:t>
      </w:r>
    </w:p>
    <w:p w14:paraId="74600AE6">
      <w:pPr>
        <w:pStyle w:val="20"/>
        <w:keepNext w:val="0"/>
        <w:keepLines w:val="0"/>
        <w:widowControl/>
        <w:suppressLineNumbers w:val="0"/>
        <w:jc w:val="both"/>
        <w:rPr>
          <w:color w:val="auto"/>
          <w:sz w:val="26"/>
          <w:szCs w:val="26"/>
        </w:rPr>
      </w:pPr>
      <w:r>
        <w:rPr>
          <w:color w:val="auto"/>
          <w:sz w:val="26"/>
          <w:szCs w:val="26"/>
        </w:rPr>
        <w:t xml:space="preserve">Hoa, Đ. T., Tú, N. N., Quân, P. T., Hà, D. T., &amp; Điệp, B. T. (2023). Năng lực tự học </w:t>
      </w:r>
      <w:r>
        <w:rPr>
          <w:rFonts w:hint="default"/>
          <w:color w:val="auto"/>
          <w:sz w:val="26"/>
          <w:szCs w:val="26"/>
          <w:lang w:val="en-US"/>
        </w:rPr>
        <w:tab/>
      </w:r>
      <w:r>
        <w:rPr>
          <w:color w:val="auto"/>
          <w:sz w:val="26"/>
          <w:szCs w:val="26"/>
        </w:rPr>
        <w:t xml:space="preserve">và một số yếu tố liên quan: Nghiên cứu trường hợp sinh viên Trường Đại học </w:t>
      </w:r>
      <w:r>
        <w:rPr>
          <w:rFonts w:hint="default"/>
          <w:color w:val="auto"/>
          <w:sz w:val="26"/>
          <w:szCs w:val="26"/>
          <w:lang w:val="en-US"/>
        </w:rPr>
        <w:tab/>
      </w:r>
      <w:r>
        <w:rPr>
          <w:color w:val="auto"/>
          <w:sz w:val="26"/>
          <w:szCs w:val="26"/>
        </w:rPr>
        <w:t xml:space="preserve">Sư phạm Hà Nội 2. </w:t>
      </w:r>
      <w:r>
        <w:rPr>
          <w:rStyle w:val="16"/>
          <w:color w:val="auto"/>
          <w:sz w:val="26"/>
          <w:szCs w:val="26"/>
        </w:rPr>
        <w:t>Tạp chí Khoa học Giáo dục Việt Nam, 19</w:t>
      </w:r>
      <w:r>
        <w:rPr>
          <w:color w:val="auto"/>
          <w:sz w:val="26"/>
          <w:szCs w:val="26"/>
        </w:rPr>
        <w:t xml:space="preserve">(10), 51–56. </w:t>
      </w:r>
      <w:r>
        <w:rPr>
          <w:rFonts w:hint="default"/>
          <w:color w:val="auto"/>
          <w:sz w:val="26"/>
          <w:szCs w:val="26"/>
          <w:lang w:val="en-US"/>
        </w:rPr>
        <w:tab/>
      </w:r>
      <w:r>
        <w:rPr>
          <w:color w:val="auto"/>
          <w:sz w:val="26"/>
          <w:szCs w:val="26"/>
        </w:rPr>
        <w:fldChar w:fldCharType="begin"/>
      </w:r>
      <w:r>
        <w:rPr>
          <w:color w:val="auto"/>
          <w:sz w:val="26"/>
          <w:szCs w:val="26"/>
        </w:rPr>
        <w:instrText xml:space="preserve"> HYPERLINK "https://byvn.net/qQEc" \t "_new" </w:instrText>
      </w:r>
      <w:r>
        <w:rPr>
          <w:color w:val="auto"/>
          <w:sz w:val="26"/>
          <w:szCs w:val="26"/>
        </w:rPr>
        <w:fldChar w:fldCharType="separate"/>
      </w:r>
      <w:r>
        <w:rPr>
          <w:rStyle w:val="19"/>
          <w:color w:val="auto"/>
          <w:sz w:val="26"/>
          <w:szCs w:val="26"/>
        </w:rPr>
        <w:t>https://byvn.net/qQEc</w:t>
      </w:r>
      <w:r>
        <w:rPr>
          <w:color w:val="auto"/>
          <w:sz w:val="26"/>
          <w:szCs w:val="26"/>
        </w:rPr>
        <w:fldChar w:fldCharType="end"/>
      </w:r>
    </w:p>
    <w:p w14:paraId="18CA80A8">
      <w:pPr>
        <w:pStyle w:val="20"/>
        <w:keepNext w:val="0"/>
        <w:keepLines w:val="0"/>
        <w:widowControl/>
        <w:suppressLineNumbers w:val="0"/>
        <w:jc w:val="both"/>
        <w:rPr>
          <w:color w:val="auto"/>
          <w:sz w:val="26"/>
          <w:szCs w:val="26"/>
        </w:rPr>
      </w:pPr>
      <w:r>
        <w:rPr>
          <w:color w:val="auto"/>
          <w:sz w:val="26"/>
          <w:szCs w:val="26"/>
        </w:rPr>
        <w:t xml:space="preserve">Huyền, Đ. T. T., &amp; Phương, N. Á. M. (2021). Giải pháp nâng cao hoạt động tự học </w:t>
      </w:r>
      <w:r>
        <w:rPr>
          <w:rFonts w:hint="default"/>
          <w:color w:val="auto"/>
          <w:sz w:val="26"/>
          <w:szCs w:val="26"/>
          <w:lang w:val="en-US"/>
        </w:rPr>
        <w:tab/>
      </w:r>
      <w:r>
        <w:rPr>
          <w:color w:val="auto"/>
          <w:sz w:val="26"/>
          <w:szCs w:val="26"/>
        </w:rPr>
        <w:t xml:space="preserve">của sinh viên trường đại học công nghiệp thành phố Hồ Chí Minh trong bối </w:t>
      </w:r>
      <w:r>
        <w:rPr>
          <w:rFonts w:hint="default"/>
          <w:color w:val="auto"/>
          <w:sz w:val="26"/>
          <w:szCs w:val="26"/>
          <w:lang w:val="en-US"/>
        </w:rPr>
        <w:tab/>
      </w:r>
      <w:r>
        <w:rPr>
          <w:color w:val="auto"/>
          <w:sz w:val="26"/>
          <w:szCs w:val="26"/>
        </w:rPr>
        <w:t xml:space="preserve">cảnh học tập suốt đời. </w:t>
      </w:r>
      <w:r>
        <w:rPr>
          <w:rStyle w:val="16"/>
          <w:color w:val="auto"/>
          <w:sz w:val="26"/>
          <w:szCs w:val="26"/>
        </w:rPr>
        <w:t>Journal of Science and Technology – IUH, 53</w:t>
      </w:r>
      <w:r>
        <w:rPr>
          <w:color w:val="auto"/>
          <w:sz w:val="26"/>
          <w:szCs w:val="26"/>
        </w:rPr>
        <w:t xml:space="preserve">(05). </w:t>
      </w:r>
      <w:r>
        <w:rPr>
          <w:rFonts w:hint="default"/>
          <w:color w:val="auto"/>
          <w:sz w:val="26"/>
          <w:szCs w:val="26"/>
          <w:lang w:val="en-US"/>
        </w:rPr>
        <w:tab/>
      </w:r>
      <w:r>
        <w:rPr>
          <w:color w:val="auto"/>
          <w:sz w:val="26"/>
          <w:szCs w:val="26"/>
        </w:rPr>
        <w:fldChar w:fldCharType="begin"/>
      </w:r>
      <w:r>
        <w:rPr>
          <w:color w:val="auto"/>
          <w:sz w:val="26"/>
          <w:szCs w:val="26"/>
        </w:rPr>
        <w:instrText xml:space="preserve"> HYPERLINK "https://doi.org/10.46242/jstiuh.v53i05.4148" \t "_new" </w:instrText>
      </w:r>
      <w:r>
        <w:rPr>
          <w:color w:val="auto"/>
          <w:sz w:val="26"/>
          <w:szCs w:val="26"/>
        </w:rPr>
        <w:fldChar w:fldCharType="separate"/>
      </w:r>
      <w:r>
        <w:rPr>
          <w:rStyle w:val="19"/>
          <w:color w:val="auto"/>
          <w:sz w:val="26"/>
          <w:szCs w:val="26"/>
        </w:rPr>
        <w:t>https://doi.org/10.46242/jstiuh.v53i05.4148</w:t>
      </w:r>
      <w:r>
        <w:rPr>
          <w:color w:val="auto"/>
          <w:sz w:val="26"/>
          <w:szCs w:val="26"/>
        </w:rPr>
        <w:fldChar w:fldCharType="end"/>
      </w:r>
    </w:p>
    <w:p w14:paraId="524AE30A">
      <w:pPr>
        <w:pStyle w:val="20"/>
        <w:keepNext w:val="0"/>
        <w:keepLines w:val="0"/>
        <w:widowControl/>
        <w:suppressLineNumbers w:val="0"/>
        <w:jc w:val="both"/>
        <w:rPr>
          <w:color w:val="auto"/>
          <w:sz w:val="26"/>
          <w:szCs w:val="26"/>
        </w:rPr>
      </w:pPr>
      <w:r>
        <w:rPr>
          <w:color w:val="auto"/>
          <w:sz w:val="26"/>
          <w:szCs w:val="26"/>
        </w:rPr>
        <w:t>Jeong, S. Y., &amp; Uhm, C. J. (2022). The moderating effect of academic self-efficacy</w:t>
      </w:r>
      <w:r>
        <w:rPr>
          <w:rFonts w:hint="default"/>
          <w:color w:val="auto"/>
          <w:sz w:val="26"/>
          <w:szCs w:val="26"/>
          <w:lang w:val="en-US"/>
        </w:rPr>
        <w:t xml:space="preserve"> </w:t>
      </w:r>
      <w:r>
        <w:rPr>
          <w:rFonts w:hint="default"/>
          <w:color w:val="auto"/>
          <w:sz w:val="26"/>
          <w:szCs w:val="26"/>
          <w:lang w:val="en-US"/>
        </w:rPr>
        <w:tab/>
      </w:r>
      <w:r>
        <w:rPr>
          <w:color w:val="auto"/>
          <w:sz w:val="26"/>
          <w:szCs w:val="26"/>
        </w:rPr>
        <w:t>on the relationship between self-directed learning ability and learning</w:t>
      </w:r>
      <w:r>
        <w:rPr>
          <w:rFonts w:hint="default"/>
          <w:color w:val="auto"/>
          <w:sz w:val="26"/>
          <w:szCs w:val="26"/>
          <w:lang w:val="en-US"/>
        </w:rPr>
        <w:t xml:space="preserve"> </w:t>
      </w:r>
      <w:r>
        <w:rPr>
          <w:rFonts w:hint="default"/>
          <w:color w:val="auto"/>
          <w:sz w:val="26"/>
          <w:szCs w:val="26"/>
          <w:lang w:val="en-US"/>
        </w:rPr>
        <w:tab/>
      </w:r>
      <w:r>
        <w:rPr>
          <w:rFonts w:hint="default"/>
          <w:color w:val="auto"/>
          <w:sz w:val="26"/>
          <w:szCs w:val="26"/>
          <w:lang w:val="en-US"/>
        </w:rPr>
        <w:tab/>
      </w:r>
      <w:r>
        <w:rPr>
          <w:color w:val="auto"/>
          <w:sz w:val="26"/>
          <w:szCs w:val="26"/>
        </w:rPr>
        <w:t xml:space="preserve">performance in online college English class. </w:t>
      </w:r>
      <w:r>
        <w:rPr>
          <w:rStyle w:val="16"/>
          <w:color w:val="auto"/>
          <w:sz w:val="26"/>
          <w:szCs w:val="26"/>
        </w:rPr>
        <w:t>Journal of Learner-Centered</w:t>
      </w:r>
      <w:r>
        <w:rPr>
          <w:rStyle w:val="16"/>
          <w:rFonts w:hint="default"/>
          <w:color w:val="auto"/>
          <w:sz w:val="26"/>
          <w:szCs w:val="26"/>
          <w:lang w:val="en-US"/>
        </w:rPr>
        <w:t xml:space="preserve"> </w:t>
      </w:r>
      <w:r>
        <w:rPr>
          <w:rStyle w:val="16"/>
          <w:rFonts w:hint="default"/>
          <w:color w:val="auto"/>
          <w:sz w:val="26"/>
          <w:szCs w:val="26"/>
          <w:lang w:val="en-US"/>
        </w:rPr>
        <w:tab/>
      </w:r>
      <w:r>
        <w:rPr>
          <w:rStyle w:val="16"/>
          <w:color w:val="auto"/>
          <w:sz w:val="26"/>
          <w:szCs w:val="26"/>
        </w:rPr>
        <w:t>Curriculum</w:t>
      </w:r>
      <w:r>
        <w:rPr>
          <w:rStyle w:val="16"/>
          <w:rFonts w:hint="default"/>
          <w:color w:val="auto"/>
          <w:sz w:val="26"/>
          <w:szCs w:val="26"/>
          <w:lang w:val="en-US"/>
        </w:rPr>
        <w:t xml:space="preserve"> </w:t>
      </w:r>
      <w:r>
        <w:rPr>
          <w:rStyle w:val="16"/>
          <w:color w:val="auto"/>
          <w:sz w:val="26"/>
          <w:szCs w:val="26"/>
        </w:rPr>
        <w:t>and</w:t>
      </w:r>
      <w:r>
        <w:rPr>
          <w:rStyle w:val="16"/>
          <w:rFonts w:hint="default"/>
          <w:color w:val="auto"/>
          <w:sz w:val="26"/>
          <w:szCs w:val="26"/>
          <w:lang w:val="en-US"/>
        </w:rPr>
        <w:t xml:space="preserve"> </w:t>
      </w:r>
      <w:r>
        <w:rPr>
          <w:rStyle w:val="16"/>
          <w:color w:val="auto"/>
          <w:sz w:val="26"/>
          <w:szCs w:val="26"/>
        </w:rPr>
        <w:t>Instruction, 22</w:t>
      </w:r>
      <w:r>
        <w:rPr>
          <w:color w:val="auto"/>
          <w:sz w:val="26"/>
          <w:szCs w:val="26"/>
        </w:rPr>
        <w:t>(21), 359–376.</w:t>
      </w:r>
      <w:r>
        <w:rPr>
          <w:rFonts w:hint="default"/>
          <w:color w:val="auto"/>
          <w:sz w:val="26"/>
          <w:szCs w:val="26"/>
          <w:lang w:val="en-US"/>
        </w:rPr>
        <w:tab/>
      </w:r>
      <w:r>
        <w:rPr>
          <w:color w:val="auto"/>
          <w:sz w:val="26"/>
          <w:szCs w:val="26"/>
        </w:rPr>
        <w:fldChar w:fldCharType="begin"/>
      </w:r>
      <w:r>
        <w:rPr>
          <w:color w:val="auto"/>
          <w:sz w:val="26"/>
          <w:szCs w:val="26"/>
        </w:rPr>
        <w:instrText xml:space="preserve"> HYPERLINK "https://doi.org/10.22251/jlcci.2022.22.21.359" \t "_new" </w:instrText>
      </w:r>
      <w:r>
        <w:rPr>
          <w:color w:val="auto"/>
          <w:sz w:val="26"/>
          <w:szCs w:val="26"/>
        </w:rPr>
        <w:fldChar w:fldCharType="separate"/>
      </w:r>
      <w:r>
        <w:rPr>
          <w:rStyle w:val="19"/>
          <w:color w:val="auto"/>
          <w:sz w:val="26"/>
          <w:szCs w:val="26"/>
        </w:rPr>
        <w:t>https://doi.org/10.22251/jlcci.2022.22.21.359</w:t>
      </w:r>
      <w:r>
        <w:rPr>
          <w:color w:val="auto"/>
          <w:sz w:val="26"/>
          <w:szCs w:val="26"/>
        </w:rPr>
        <w:fldChar w:fldCharType="end"/>
      </w:r>
    </w:p>
    <w:p w14:paraId="45F65676">
      <w:pPr>
        <w:pStyle w:val="20"/>
        <w:keepNext w:val="0"/>
        <w:keepLines w:val="0"/>
        <w:widowControl/>
        <w:suppressLineNumbers w:val="0"/>
        <w:ind w:left="130" w:hanging="130" w:hangingChars="50"/>
        <w:jc w:val="both"/>
        <w:rPr>
          <w:color w:val="auto"/>
          <w:sz w:val="26"/>
          <w:szCs w:val="26"/>
        </w:rPr>
      </w:pPr>
      <w:r>
        <w:rPr>
          <w:color w:val="auto"/>
          <w:sz w:val="26"/>
          <w:szCs w:val="26"/>
        </w:rPr>
        <w:t xml:space="preserve">Khalid, M., Bashir, S., &amp; Amin, H. (2020). Relationship between self-directed </w:t>
      </w:r>
      <w:r>
        <w:rPr>
          <w:rFonts w:hint="default"/>
          <w:color w:val="auto"/>
          <w:sz w:val="26"/>
          <w:szCs w:val="26"/>
          <w:lang w:val="en-US"/>
        </w:rPr>
        <w:tab/>
      </w:r>
      <w:r>
        <w:rPr>
          <w:rFonts w:hint="default"/>
          <w:color w:val="auto"/>
          <w:sz w:val="26"/>
          <w:szCs w:val="26"/>
          <w:lang w:val="en-US"/>
        </w:rPr>
        <w:tab/>
      </w:r>
      <w:r>
        <w:rPr>
          <w:color w:val="auto"/>
          <w:sz w:val="26"/>
          <w:szCs w:val="26"/>
        </w:rPr>
        <w:t xml:space="preserve">learning (SDL) and academic achievement of university students: A case of </w:t>
      </w:r>
      <w:r>
        <w:rPr>
          <w:rFonts w:hint="default"/>
          <w:color w:val="auto"/>
          <w:sz w:val="26"/>
          <w:szCs w:val="26"/>
          <w:lang w:val="en-US"/>
        </w:rPr>
        <w:tab/>
      </w:r>
      <w:r>
        <w:rPr>
          <w:color w:val="auto"/>
          <w:sz w:val="26"/>
          <w:szCs w:val="26"/>
        </w:rPr>
        <w:t xml:space="preserve">online distance learning and traditional universities. </w:t>
      </w:r>
      <w:r>
        <w:rPr>
          <w:rStyle w:val="16"/>
          <w:color w:val="auto"/>
          <w:sz w:val="26"/>
          <w:szCs w:val="26"/>
        </w:rPr>
        <w:t xml:space="preserve">Bulletin of Education </w:t>
      </w:r>
      <w:r>
        <w:rPr>
          <w:rStyle w:val="16"/>
          <w:rFonts w:hint="default"/>
          <w:color w:val="auto"/>
          <w:sz w:val="26"/>
          <w:szCs w:val="26"/>
          <w:lang w:val="en-US"/>
        </w:rPr>
        <w:tab/>
      </w:r>
      <w:r>
        <w:rPr>
          <w:rStyle w:val="16"/>
          <w:color w:val="auto"/>
          <w:sz w:val="26"/>
          <w:szCs w:val="26"/>
        </w:rPr>
        <w:t>and Research, 42</w:t>
      </w:r>
      <w:r>
        <w:rPr>
          <w:color w:val="auto"/>
          <w:sz w:val="26"/>
          <w:szCs w:val="26"/>
        </w:rPr>
        <w:t>(2), 131–148. https://eric.ed.gov/?id=EJ1281053</w:t>
      </w:r>
    </w:p>
    <w:p w14:paraId="1CC663F1">
      <w:pPr>
        <w:pStyle w:val="20"/>
        <w:keepNext w:val="0"/>
        <w:keepLines w:val="0"/>
        <w:widowControl/>
        <w:suppressLineNumbers w:val="0"/>
        <w:jc w:val="both"/>
        <w:rPr>
          <w:color w:val="auto"/>
          <w:sz w:val="26"/>
          <w:szCs w:val="26"/>
        </w:rPr>
      </w:pPr>
      <w:r>
        <w:rPr>
          <w:color w:val="auto"/>
          <w:sz w:val="26"/>
          <w:szCs w:val="26"/>
        </w:rPr>
        <w:t xml:space="preserve">Khiat, H. (2017). Academic performance and the practice of self-directed learning: </w:t>
      </w:r>
      <w:r>
        <w:rPr>
          <w:rFonts w:hint="default"/>
          <w:color w:val="auto"/>
          <w:sz w:val="26"/>
          <w:szCs w:val="26"/>
          <w:lang w:val="en-US"/>
        </w:rPr>
        <w:tab/>
      </w:r>
      <w:r>
        <w:rPr>
          <w:color w:val="auto"/>
          <w:sz w:val="26"/>
          <w:szCs w:val="26"/>
        </w:rPr>
        <w:t xml:space="preserve">The adult student perspective. </w:t>
      </w:r>
      <w:r>
        <w:rPr>
          <w:rStyle w:val="16"/>
          <w:color w:val="auto"/>
          <w:sz w:val="26"/>
          <w:szCs w:val="26"/>
        </w:rPr>
        <w:t xml:space="preserve">Journal of Further and Higher Education, </w:t>
      </w:r>
      <w:r>
        <w:rPr>
          <w:rStyle w:val="16"/>
          <w:rFonts w:hint="default"/>
          <w:color w:val="auto"/>
          <w:sz w:val="26"/>
          <w:szCs w:val="26"/>
          <w:lang w:val="en-US"/>
        </w:rPr>
        <w:tab/>
      </w:r>
      <w:r>
        <w:rPr>
          <w:rStyle w:val="16"/>
          <w:color w:val="auto"/>
          <w:sz w:val="26"/>
          <w:szCs w:val="26"/>
        </w:rPr>
        <w:t>41</w:t>
      </w:r>
      <w:r>
        <w:rPr>
          <w:color w:val="auto"/>
          <w:sz w:val="26"/>
          <w:szCs w:val="26"/>
        </w:rPr>
        <w:t xml:space="preserve">(1), 44–59. </w:t>
      </w:r>
      <w:r>
        <w:rPr>
          <w:color w:val="auto"/>
          <w:sz w:val="26"/>
          <w:szCs w:val="26"/>
        </w:rPr>
        <w:fldChar w:fldCharType="begin"/>
      </w:r>
      <w:r>
        <w:rPr>
          <w:color w:val="auto"/>
          <w:sz w:val="26"/>
          <w:szCs w:val="26"/>
        </w:rPr>
        <w:instrText xml:space="preserve"> HYPERLINK "https://doi.org/10.1080/0309877X.2015.1062849" \t "_new" </w:instrText>
      </w:r>
      <w:r>
        <w:rPr>
          <w:color w:val="auto"/>
          <w:sz w:val="26"/>
          <w:szCs w:val="26"/>
        </w:rPr>
        <w:fldChar w:fldCharType="separate"/>
      </w:r>
      <w:r>
        <w:rPr>
          <w:rStyle w:val="19"/>
          <w:color w:val="auto"/>
          <w:sz w:val="26"/>
          <w:szCs w:val="26"/>
        </w:rPr>
        <w:t>https://doi.org/10.1080/0309877X.2015.1062849</w:t>
      </w:r>
      <w:r>
        <w:rPr>
          <w:color w:val="auto"/>
          <w:sz w:val="26"/>
          <w:szCs w:val="26"/>
        </w:rPr>
        <w:fldChar w:fldCharType="end"/>
      </w:r>
    </w:p>
    <w:p w14:paraId="7D7CEE03">
      <w:pPr>
        <w:pStyle w:val="20"/>
        <w:keepNext w:val="0"/>
        <w:keepLines w:val="0"/>
        <w:widowControl/>
        <w:suppressLineNumbers w:val="0"/>
        <w:jc w:val="both"/>
        <w:rPr>
          <w:color w:val="auto"/>
          <w:sz w:val="26"/>
          <w:szCs w:val="26"/>
        </w:rPr>
      </w:pPr>
      <w:r>
        <w:rPr>
          <w:color w:val="auto"/>
          <w:sz w:val="26"/>
          <w:szCs w:val="26"/>
        </w:rPr>
        <w:t xml:space="preserve">Knowles, M. S. (1975). </w:t>
      </w:r>
      <w:r>
        <w:rPr>
          <w:rStyle w:val="16"/>
          <w:color w:val="auto"/>
          <w:sz w:val="26"/>
          <w:szCs w:val="26"/>
        </w:rPr>
        <w:t>Self-directed learning: A guide for learners and teachers</w:t>
      </w:r>
      <w:r>
        <w:rPr>
          <w:color w:val="auto"/>
          <w:sz w:val="26"/>
          <w:szCs w:val="26"/>
        </w:rPr>
        <w:t xml:space="preserve">. </w:t>
      </w:r>
      <w:r>
        <w:rPr>
          <w:rFonts w:hint="default"/>
          <w:color w:val="auto"/>
          <w:sz w:val="26"/>
          <w:szCs w:val="26"/>
          <w:lang w:val="en-US"/>
        </w:rPr>
        <w:tab/>
      </w:r>
      <w:r>
        <w:rPr>
          <w:color w:val="auto"/>
          <w:sz w:val="26"/>
          <w:szCs w:val="26"/>
        </w:rPr>
        <w:t>The Adult Education Company.</w:t>
      </w:r>
    </w:p>
    <w:p w14:paraId="2ADDAFB4">
      <w:pPr>
        <w:pStyle w:val="20"/>
        <w:keepNext w:val="0"/>
        <w:keepLines w:val="0"/>
        <w:widowControl/>
        <w:suppressLineNumbers w:val="0"/>
        <w:jc w:val="both"/>
        <w:rPr>
          <w:color w:val="auto"/>
          <w:sz w:val="26"/>
          <w:szCs w:val="26"/>
        </w:rPr>
      </w:pPr>
      <w:r>
        <w:rPr>
          <w:color w:val="auto"/>
          <w:sz w:val="26"/>
          <w:szCs w:val="26"/>
        </w:rPr>
        <w:t xml:space="preserve">Lounsbury, J. W., Levy, J. J., Park, S. H., Gibson, L. W., &amp; Smith, R. (2009). An </w:t>
      </w:r>
      <w:r>
        <w:rPr>
          <w:rFonts w:hint="default"/>
          <w:color w:val="auto"/>
          <w:sz w:val="26"/>
          <w:szCs w:val="26"/>
          <w:lang w:val="en-US"/>
        </w:rPr>
        <w:tab/>
      </w:r>
      <w:r>
        <w:rPr>
          <w:rFonts w:hint="default"/>
          <w:color w:val="auto"/>
          <w:sz w:val="26"/>
          <w:szCs w:val="26"/>
          <w:lang w:val="en-US"/>
        </w:rPr>
        <w:tab/>
      </w:r>
      <w:r>
        <w:rPr>
          <w:color w:val="auto"/>
          <w:sz w:val="26"/>
          <w:szCs w:val="26"/>
        </w:rPr>
        <w:t xml:space="preserve">investigation of the construct validity of the personality trait of self-directed </w:t>
      </w:r>
      <w:r>
        <w:rPr>
          <w:rFonts w:hint="default"/>
          <w:color w:val="auto"/>
          <w:sz w:val="26"/>
          <w:szCs w:val="26"/>
          <w:lang w:val="en-US"/>
        </w:rPr>
        <w:tab/>
      </w:r>
      <w:r>
        <w:rPr>
          <w:color w:val="auto"/>
          <w:sz w:val="26"/>
          <w:szCs w:val="26"/>
        </w:rPr>
        <w:t xml:space="preserve">learning. </w:t>
      </w:r>
      <w:r>
        <w:rPr>
          <w:rStyle w:val="16"/>
          <w:color w:val="auto"/>
          <w:sz w:val="26"/>
          <w:szCs w:val="26"/>
        </w:rPr>
        <w:t>Learning and Individual Differences, 19</w:t>
      </w:r>
      <w:r>
        <w:rPr>
          <w:color w:val="auto"/>
          <w:sz w:val="26"/>
          <w:szCs w:val="26"/>
        </w:rPr>
        <w:t xml:space="preserve">(4), 411–418. </w:t>
      </w:r>
      <w:r>
        <w:rPr>
          <w:rFonts w:hint="default"/>
          <w:color w:val="auto"/>
          <w:sz w:val="26"/>
          <w:szCs w:val="26"/>
          <w:lang w:val="en-US"/>
        </w:rPr>
        <w:tab/>
      </w:r>
      <w:r>
        <w:rPr>
          <w:rFonts w:hint="default"/>
          <w:color w:val="auto"/>
          <w:sz w:val="26"/>
          <w:szCs w:val="26"/>
          <w:lang w:val="en-US"/>
        </w:rPr>
        <w:tab/>
      </w:r>
      <w:r>
        <w:rPr>
          <w:color w:val="auto"/>
          <w:sz w:val="26"/>
          <w:szCs w:val="26"/>
        </w:rPr>
        <w:fldChar w:fldCharType="begin"/>
      </w:r>
      <w:r>
        <w:rPr>
          <w:color w:val="auto"/>
          <w:sz w:val="26"/>
          <w:szCs w:val="26"/>
        </w:rPr>
        <w:instrText xml:space="preserve"> HYPERLINK "https://doi.org/10.1016/j.lindif.2009.03.001" \t "_new" </w:instrText>
      </w:r>
      <w:r>
        <w:rPr>
          <w:color w:val="auto"/>
          <w:sz w:val="26"/>
          <w:szCs w:val="26"/>
        </w:rPr>
        <w:fldChar w:fldCharType="separate"/>
      </w:r>
      <w:r>
        <w:rPr>
          <w:rStyle w:val="19"/>
          <w:color w:val="auto"/>
          <w:sz w:val="26"/>
          <w:szCs w:val="26"/>
        </w:rPr>
        <w:t>https://doi.org/10.1016/j.lindif.2009.03.001</w:t>
      </w:r>
      <w:r>
        <w:rPr>
          <w:color w:val="auto"/>
          <w:sz w:val="26"/>
          <w:szCs w:val="26"/>
        </w:rPr>
        <w:fldChar w:fldCharType="end"/>
      </w:r>
    </w:p>
    <w:p w14:paraId="00BFE544">
      <w:pPr>
        <w:pStyle w:val="20"/>
        <w:keepNext w:val="0"/>
        <w:keepLines w:val="0"/>
        <w:widowControl/>
        <w:suppressLineNumbers w:val="0"/>
        <w:jc w:val="both"/>
        <w:rPr>
          <w:color w:val="auto"/>
          <w:sz w:val="26"/>
          <w:szCs w:val="26"/>
        </w:rPr>
      </w:pPr>
      <w:r>
        <w:rPr>
          <w:color w:val="auto"/>
          <w:sz w:val="26"/>
          <w:szCs w:val="26"/>
        </w:rPr>
        <w:t>Nguyen, T. C. V. (2021). To develop students’ scientific research skills by self-</w:t>
      </w:r>
      <w:r>
        <w:rPr>
          <w:rFonts w:hint="default"/>
          <w:color w:val="auto"/>
          <w:sz w:val="26"/>
          <w:szCs w:val="26"/>
          <w:lang w:val="en-US"/>
        </w:rPr>
        <w:tab/>
      </w:r>
      <w:r>
        <w:rPr>
          <w:rFonts w:hint="default"/>
          <w:color w:val="auto"/>
          <w:sz w:val="26"/>
          <w:szCs w:val="26"/>
          <w:lang w:val="en-US"/>
        </w:rPr>
        <w:tab/>
      </w:r>
      <w:r>
        <w:rPr>
          <w:color w:val="auto"/>
          <w:sz w:val="26"/>
          <w:szCs w:val="26"/>
        </w:rPr>
        <w:t xml:space="preserve">directed learning method. </w:t>
      </w:r>
      <w:r>
        <w:rPr>
          <w:rStyle w:val="16"/>
          <w:color w:val="auto"/>
          <w:sz w:val="26"/>
          <w:szCs w:val="26"/>
        </w:rPr>
        <w:t>Journal of Technical Education Science, 6</w:t>
      </w:r>
      <w:r>
        <w:rPr>
          <w:color w:val="auto"/>
          <w:sz w:val="26"/>
          <w:szCs w:val="26"/>
        </w:rPr>
        <w:t>(4), 40–</w:t>
      </w:r>
      <w:r>
        <w:rPr>
          <w:rFonts w:hint="default"/>
          <w:color w:val="auto"/>
          <w:sz w:val="26"/>
          <w:szCs w:val="26"/>
          <w:lang w:val="en-US"/>
        </w:rPr>
        <w:tab/>
      </w:r>
      <w:r>
        <w:rPr>
          <w:color w:val="auto"/>
          <w:sz w:val="26"/>
          <w:szCs w:val="26"/>
        </w:rPr>
        <w:t xml:space="preserve">43. </w:t>
      </w:r>
      <w:r>
        <w:rPr>
          <w:color w:val="auto"/>
          <w:sz w:val="26"/>
          <w:szCs w:val="26"/>
        </w:rPr>
        <w:fldChar w:fldCharType="begin"/>
      </w:r>
      <w:r>
        <w:rPr>
          <w:color w:val="auto"/>
          <w:sz w:val="26"/>
          <w:szCs w:val="26"/>
        </w:rPr>
        <w:instrText xml:space="preserve"> HYPERLINK "https://jte.edu.vn/index.php/jte/article/view/721" \t "_new" </w:instrText>
      </w:r>
      <w:r>
        <w:rPr>
          <w:color w:val="auto"/>
          <w:sz w:val="26"/>
          <w:szCs w:val="26"/>
        </w:rPr>
        <w:fldChar w:fldCharType="separate"/>
      </w:r>
      <w:r>
        <w:rPr>
          <w:rStyle w:val="19"/>
          <w:color w:val="auto"/>
          <w:sz w:val="26"/>
          <w:szCs w:val="26"/>
        </w:rPr>
        <w:t>https://jte.edu.vn/index.php/jte/article/view/721</w:t>
      </w:r>
      <w:r>
        <w:rPr>
          <w:color w:val="auto"/>
          <w:sz w:val="26"/>
          <w:szCs w:val="26"/>
        </w:rPr>
        <w:fldChar w:fldCharType="end"/>
      </w:r>
    </w:p>
    <w:p w14:paraId="06688ED9">
      <w:pPr>
        <w:pStyle w:val="20"/>
        <w:keepNext w:val="0"/>
        <w:keepLines w:val="0"/>
        <w:widowControl/>
        <w:suppressLineNumbers w:val="0"/>
        <w:jc w:val="both"/>
        <w:rPr>
          <w:color w:val="auto"/>
          <w:sz w:val="26"/>
          <w:szCs w:val="26"/>
        </w:rPr>
      </w:pPr>
      <w:r>
        <w:rPr>
          <w:color w:val="auto"/>
          <w:sz w:val="26"/>
          <w:szCs w:val="26"/>
        </w:rPr>
        <w:t>Robles Arboleda, G. A., Gallardo Rodríguez, M. P., &amp; Vega Iza, J. I. (2024). Self-</w:t>
      </w:r>
      <w:r>
        <w:rPr>
          <w:rFonts w:hint="default"/>
          <w:color w:val="auto"/>
          <w:sz w:val="26"/>
          <w:szCs w:val="26"/>
          <w:lang w:val="en-US"/>
        </w:rPr>
        <w:tab/>
      </w:r>
      <w:r>
        <w:rPr>
          <w:color w:val="auto"/>
          <w:sz w:val="26"/>
          <w:szCs w:val="26"/>
        </w:rPr>
        <w:t xml:space="preserve">directed learning in adult second language acquisition. </w:t>
      </w:r>
      <w:r>
        <w:rPr>
          <w:rStyle w:val="16"/>
          <w:color w:val="auto"/>
          <w:sz w:val="26"/>
          <w:szCs w:val="26"/>
        </w:rPr>
        <w:t>Runas. Journal of</w:t>
      </w:r>
      <w:r>
        <w:rPr>
          <w:rStyle w:val="16"/>
          <w:rFonts w:hint="default"/>
          <w:color w:val="auto"/>
          <w:sz w:val="26"/>
          <w:szCs w:val="26"/>
          <w:lang w:val="en-US"/>
        </w:rPr>
        <w:t xml:space="preserve"> </w:t>
      </w:r>
      <w:r>
        <w:rPr>
          <w:rStyle w:val="16"/>
          <w:rFonts w:hint="default"/>
          <w:color w:val="auto"/>
          <w:sz w:val="26"/>
          <w:szCs w:val="26"/>
          <w:lang w:val="en-US"/>
        </w:rPr>
        <w:tab/>
      </w:r>
      <w:r>
        <w:rPr>
          <w:rStyle w:val="16"/>
          <w:color w:val="auto"/>
          <w:sz w:val="26"/>
          <w:szCs w:val="26"/>
        </w:rPr>
        <w:t>Education and Culture, 5</w:t>
      </w:r>
      <w:r>
        <w:rPr>
          <w:color w:val="auto"/>
          <w:sz w:val="26"/>
          <w:szCs w:val="26"/>
        </w:rPr>
        <w:t>(9), e240192.</w:t>
      </w:r>
      <w:r>
        <w:rPr>
          <w:rFonts w:hint="default"/>
          <w:color w:val="auto"/>
          <w:sz w:val="26"/>
          <w:szCs w:val="26"/>
          <w:lang w:val="en-US"/>
        </w:rPr>
        <w:t xml:space="preserve"> </w:t>
      </w:r>
      <w:r>
        <w:rPr>
          <w:rFonts w:hint="default"/>
          <w:color w:val="auto"/>
          <w:sz w:val="26"/>
          <w:szCs w:val="26"/>
          <w:lang w:val="en-US"/>
        </w:rPr>
        <w:tab/>
      </w:r>
      <w:r>
        <w:rPr>
          <w:color w:val="auto"/>
          <w:sz w:val="26"/>
          <w:szCs w:val="26"/>
        </w:rPr>
        <w:fldChar w:fldCharType="begin"/>
      </w:r>
      <w:r>
        <w:rPr>
          <w:color w:val="auto"/>
          <w:sz w:val="26"/>
          <w:szCs w:val="26"/>
        </w:rPr>
        <w:instrText xml:space="preserve"> HYPERLINK "https://doi.org/10.46652/runas.v5i9.192" \t "_new" </w:instrText>
      </w:r>
      <w:r>
        <w:rPr>
          <w:color w:val="auto"/>
          <w:sz w:val="26"/>
          <w:szCs w:val="26"/>
        </w:rPr>
        <w:fldChar w:fldCharType="separate"/>
      </w:r>
      <w:r>
        <w:rPr>
          <w:rStyle w:val="19"/>
          <w:color w:val="auto"/>
          <w:sz w:val="26"/>
          <w:szCs w:val="26"/>
        </w:rPr>
        <w:t>https://doi.org/10.46652/runas.v5i9.192</w:t>
      </w:r>
      <w:r>
        <w:rPr>
          <w:color w:val="auto"/>
          <w:sz w:val="26"/>
          <w:szCs w:val="26"/>
        </w:rPr>
        <w:fldChar w:fldCharType="end"/>
      </w:r>
    </w:p>
    <w:p w14:paraId="131B91FC">
      <w:pPr>
        <w:pStyle w:val="20"/>
        <w:keepNext w:val="0"/>
        <w:keepLines w:val="0"/>
        <w:widowControl/>
        <w:suppressLineNumbers w:val="0"/>
        <w:jc w:val="both"/>
        <w:rPr>
          <w:color w:val="auto"/>
          <w:sz w:val="26"/>
          <w:szCs w:val="26"/>
        </w:rPr>
      </w:pPr>
      <w:r>
        <w:rPr>
          <w:color w:val="auto"/>
          <w:sz w:val="26"/>
          <w:szCs w:val="26"/>
        </w:rPr>
        <w:t xml:space="preserve">Siswanto, S. (2024). The effect of self-directed learning (SDL) in higher education: </w:t>
      </w:r>
      <w:r>
        <w:rPr>
          <w:rFonts w:hint="default"/>
          <w:color w:val="auto"/>
          <w:sz w:val="26"/>
          <w:szCs w:val="26"/>
          <w:lang w:val="en-US"/>
        </w:rPr>
        <w:tab/>
      </w:r>
      <w:r>
        <w:rPr>
          <w:color w:val="auto"/>
          <w:sz w:val="26"/>
          <w:szCs w:val="26"/>
        </w:rPr>
        <w:t xml:space="preserve">Increasing student independence and achievement. </w:t>
      </w:r>
      <w:r>
        <w:rPr>
          <w:rStyle w:val="16"/>
          <w:color w:val="auto"/>
          <w:sz w:val="26"/>
          <w:szCs w:val="26"/>
        </w:rPr>
        <w:t xml:space="preserve">Jurnal Inovasi Teknologi </w:t>
      </w:r>
      <w:r>
        <w:rPr>
          <w:rStyle w:val="16"/>
          <w:rFonts w:hint="default"/>
          <w:color w:val="auto"/>
          <w:sz w:val="26"/>
          <w:szCs w:val="26"/>
          <w:lang w:val="en-US"/>
        </w:rPr>
        <w:tab/>
      </w:r>
      <w:r>
        <w:rPr>
          <w:rStyle w:val="16"/>
          <w:color w:val="auto"/>
          <w:sz w:val="26"/>
          <w:szCs w:val="26"/>
        </w:rPr>
        <w:t>Pendidikan, 11</w:t>
      </w:r>
      <w:r>
        <w:rPr>
          <w:color w:val="auto"/>
          <w:sz w:val="26"/>
          <w:szCs w:val="26"/>
        </w:rPr>
        <w:t xml:space="preserve">(1), 35–43. </w:t>
      </w:r>
      <w:r>
        <w:rPr>
          <w:rStyle w:val="16"/>
          <w:color w:val="auto"/>
          <w:sz w:val="26"/>
          <w:szCs w:val="26"/>
        </w:rPr>
        <w:t>(Add DOI or URL if available)</w:t>
      </w:r>
    </w:p>
    <w:p w14:paraId="641013A2">
      <w:pPr>
        <w:pStyle w:val="20"/>
        <w:keepNext w:val="0"/>
        <w:keepLines w:val="0"/>
        <w:widowControl/>
        <w:suppressLineNumbers w:val="0"/>
        <w:jc w:val="both"/>
        <w:rPr>
          <w:color w:val="auto"/>
          <w:sz w:val="26"/>
          <w:szCs w:val="26"/>
        </w:rPr>
      </w:pPr>
      <w:r>
        <w:rPr>
          <w:color w:val="auto"/>
          <w:sz w:val="26"/>
          <w:szCs w:val="26"/>
        </w:rPr>
        <w:t xml:space="preserve">Tekkol, İ. A., &amp; Demirel, M. (2018). An investigation of self-directed learning </w:t>
      </w:r>
      <w:r>
        <w:rPr>
          <w:rFonts w:hint="default"/>
          <w:color w:val="auto"/>
          <w:sz w:val="26"/>
          <w:szCs w:val="26"/>
          <w:lang w:val="en-US"/>
        </w:rPr>
        <w:tab/>
      </w:r>
      <w:r>
        <w:rPr>
          <w:color w:val="auto"/>
          <w:sz w:val="26"/>
          <w:szCs w:val="26"/>
        </w:rPr>
        <w:t xml:space="preserve">skills of undergraduate students. </w:t>
      </w:r>
      <w:r>
        <w:rPr>
          <w:rStyle w:val="16"/>
          <w:color w:val="auto"/>
          <w:sz w:val="26"/>
          <w:szCs w:val="26"/>
        </w:rPr>
        <w:t>Frontiers in Psychology, 9</w:t>
      </w:r>
      <w:r>
        <w:rPr>
          <w:color w:val="auto"/>
          <w:sz w:val="26"/>
          <w:szCs w:val="26"/>
        </w:rPr>
        <w:t xml:space="preserve">, 410879. </w:t>
      </w:r>
      <w:r>
        <w:rPr>
          <w:rFonts w:hint="default"/>
          <w:color w:val="auto"/>
          <w:sz w:val="26"/>
          <w:szCs w:val="26"/>
          <w:lang w:val="en-US"/>
        </w:rPr>
        <w:tab/>
      </w:r>
      <w:r>
        <w:rPr>
          <w:color w:val="auto"/>
          <w:sz w:val="26"/>
          <w:szCs w:val="26"/>
        </w:rPr>
        <w:fldChar w:fldCharType="begin"/>
      </w:r>
      <w:r>
        <w:rPr>
          <w:color w:val="auto"/>
          <w:sz w:val="26"/>
          <w:szCs w:val="26"/>
        </w:rPr>
        <w:instrText xml:space="preserve"> HYPERLINK "https://doi.org/10.3389/fpsyg.2018.02324" \t "_new" </w:instrText>
      </w:r>
      <w:r>
        <w:rPr>
          <w:color w:val="auto"/>
          <w:sz w:val="26"/>
          <w:szCs w:val="26"/>
        </w:rPr>
        <w:fldChar w:fldCharType="separate"/>
      </w:r>
      <w:r>
        <w:rPr>
          <w:rStyle w:val="19"/>
          <w:color w:val="auto"/>
          <w:sz w:val="26"/>
          <w:szCs w:val="26"/>
        </w:rPr>
        <w:t>https://doi.org/10.3389/fpsyg.2018.02324</w:t>
      </w:r>
      <w:r>
        <w:rPr>
          <w:color w:val="auto"/>
          <w:sz w:val="26"/>
          <w:szCs w:val="26"/>
        </w:rPr>
        <w:fldChar w:fldCharType="end"/>
      </w:r>
    </w:p>
    <w:p w14:paraId="5D7D4B07">
      <w:pPr>
        <w:pStyle w:val="20"/>
        <w:keepNext w:val="0"/>
        <w:keepLines w:val="0"/>
        <w:widowControl/>
        <w:suppressLineNumbers w:val="0"/>
        <w:jc w:val="both"/>
        <w:rPr>
          <w:color w:val="auto"/>
          <w:sz w:val="26"/>
          <w:szCs w:val="26"/>
        </w:rPr>
      </w:pPr>
      <w:r>
        <w:rPr>
          <w:color w:val="auto"/>
          <w:sz w:val="26"/>
          <w:szCs w:val="26"/>
        </w:rPr>
        <w:t xml:space="preserve">Towle, A., &amp; Cottrell, D. (1996). Self-directed learning. </w:t>
      </w:r>
      <w:r>
        <w:rPr>
          <w:rStyle w:val="16"/>
          <w:color w:val="auto"/>
          <w:sz w:val="26"/>
          <w:szCs w:val="26"/>
        </w:rPr>
        <w:t xml:space="preserve">Archives of Disease in </w:t>
      </w:r>
      <w:r>
        <w:rPr>
          <w:rStyle w:val="16"/>
          <w:rFonts w:hint="default"/>
          <w:color w:val="auto"/>
          <w:sz w:val="26"/>
          <w:szCs w:val="26"/>
          <w:lang w:val="en-US"/>
        </w:rPr>
        <w:tab/>
      </w:r>
      <w:r>
        <w:rPr>
          <w:rStyle w:val="16"/>
          <w:color w:val="auto"/>
          <w:sz w:val="26"/>
          <w:szCs w:val="26"/>
        </w:rPr>
        <w:t>Childhood, 74</w:t>
      </w:r>
      <w:r>
        <w:rPr>
          <w:color w:val="auto"/>
          <w:sz w:val="26"/>
          <w:szCs w:val="26"/>
        </w:rPr>
        <w:t xml:space="preserve">(4), 357–359. </w:t>
      </w:r>
      <w:r>
        <w:rPr>
          <w:color w:val="auto"/>
          <w:sz w:val="26"/>
          <w:szCs w:val="26"/>
        </w:rPr>
        <w:fldChar w:fldCharType="begin"/>
      </w:r>
      <w:r>
        <w:rPr>
          <w:color w:val="auto"/>
          <w:sz w:val="26"/>
          <w:szCs w:val="26"/>
        </w:rPr>
        <w:instrText xml:space="preserve"> HYPERLINK "https://doi.org/10.1136/adc.74.4.357" \t "_new" </w:instrText>
      </w:r>
      <w:r>
        <w:rPr>
          <w:color w:val="auto"/>
          <w:sz w:val="26"/>
          <w:szCs w:val="26"/>
        </w:rPr>
        <w:fldChar w:fldCharType="separate"/>
      </w:r>
      <w:r>
        <w:rPr>
          <w:rStyle w:val="19"/>
          <w:color w:val="auto"/>
          <w:sz w:val="26"/>
          <w:szCs w:val="26"/>
        </w:rPr>
        <w:t>https://doi.org/10.1136/adc.74.4.357</w:t>
      </w:r>
      <w:r>
        <w:rPr>
          <w:color w:val="auto"/>
          <w:sz w:val="26"/>
          <w:szCs w:val="26"/>
        </w:rPr>
        <w:fldChar w:fldCharType="end"/>
      </w:r>
    </w:p>
    <w:p w14:paraId="4EEA0721">
      <w:pPr>
        <w:pStyle w:val="20"/>
        <w:keepNext w:val="0"/>
        <w:keepLines w:val="0"/>
        <w:widowControl/>
        <w:suppressLineNumbers w:val="0"/>
        <w:jc w:val="both"/>
        <w:rPr>
          <w:color w:val="auto"/>
          <w:sz w:val="26"/>
          <w:szCs w:val="26"/>
        </w:rPr>
      </w:pPr>
      <w:r>
        <w:rPr>
          <w:color w:val="auto"/>
          <w:sz w:val="26"/>
          <w:szCs w:val="26"/>
        </w:rPr>
        <w:t xml:space="preserve">Visiers‐Jiménez, L., Palese, A., Brugnolli, A., Cadorin, L., Salminen, L., </w:t>
      </w:r>
      <w:r>
        <w:rPr>
          <w:rFonts w:hint="default"/>
          <w:color w:val="auto"/>
          <w:sz w:val="26"/>
          <w:szCs w:val="26"/>
          <w:lang w:val="en-US"/>
        </w:rPr>
        <w:tab/>
      </w:r>
      <w:r>
        <w:rPr>
          <w:color w:val="auto"/>
          <w:sz w:val="26"/>
          <w:szCs w:val="26"/>
        </w:rPr>
        <w:t xml:space="preserve">Leino‐Kilpi, H., … Compeunurse‐Consortium. (2022). Nursing students’ </w:t>
      </w:r>
      <w:r>
        <w:rPr>
          <w:rFonts w:hint="default"/>
          <w:color w:val="auto"/>
          <w:sz w:val="26"/>
          <w:szCs w:val="26"/>
          <w:lang w:val="en-US"/>
        </w:rPr>
        <w:tab/>
      </w:r>
      <w:r>
        <w:rPr>
          <w:color w:val="auto"/>
          <w:sz w:val="26"/>
          <w:szCs w:val="26"/>
        </w:rPr>
        <w:t xml:space="preserve">self‐directed learning abilities and related factors at graduation: A </w:t>
      </w:r>
      <w:r>
        <w:rPr>
          <w:rFonts w:hint="default"/>
          <w:color w:val="auto"/>
          <w:sz w:val="26"/>
          <w:szCs w:val="26"/>
          <w:lang w:val="en-US"/>
        </w:rPr>
        <w:tab/>
      </w:r>
      <w:r>
        <w:rPr>
          <w:color w:val="auto"/>
          <w:sz w:val="26"/>
          <w:szCs w:val="26"/>
        </w:rPr>
        <w:t xml:space="preserve">multi‐country cross‐sectional study. </w:t>
      </w:r>
      <w:r>
        <w:rPr>
          <w:rStyle w:val="16"/>
          <w:color w:val="auto"/>
          <w:sz w:val="26"/>
          <w:szCs w:val="26"/>
        </w:rPr>
        <w:t>Nursing Open, 9</w:t>
      </w:r>
      <w:r>
        <w:rPr>
          <w:color w:val="auto"/>
          <w:sz w:val="26"/>
          <w:szCs w:val="26"/>
        </w:rPr>
        <w:t xml:space="preserve">(3), 1688–1699. </w:t>
      </w:r>
      <w:r>
        <w:rPr>
          <w:rFonts w:hint="default"/>
          <w:color w:val="auto"/>
          <w:sz w:val="26"/>
          <w:szCs w:val="26"/>
          <w:lang w:val="en-US"/>
        </w:rPr>
        <w:tab/>
      </w:r>
      <w:r>
        <w:rPr>
          <w:color w:val="auto"/>
          <w:sz w:val="26"/>
          <w:szCs w:val="26"/>
        </w:rPr>
        <w:fldChar w:fldCharType="begin"/>
      </w:r>
      <w:r>
        <w:rPr>
          <w:color w:val="auto"/>
          <w:sz w:val="26"/>
          <w:szCs w:val="26"/>
        </w:rPr>
        <w:instrText xml:space="preserve"> HYPERLINK "https://doi.org/10.1002/nop2.1193" \t "_new" </w:instrText>
      </w:r>
      <w:r>
        <w:rPr>
          <w:color w:val="auto"/>
          <w:sz w:val="26"/>
          <w:szCs w:val="26"/>
        </w:rPr>
        <w:fldChar w:fldCharType="separate"/>
      </w:r>
      <w:r>
        <w:rPr>
          <w:rStyle w:val="19"/>
          <w:color w:val="auto"/>
          <w:sz w:val="26"/>
          <w:szCs w:val="26"/>
        </w:rPr>
        <w:t>https://doi.org/10.1002/nop2.1193</w:t>
      </w:r>
      <w:r>
        <w:rPr>
          <w:color w:val="auto"/>
          <w:sz w:val="26"/>
          <w:szCs w:val="26"/>
        </w:rPr>
        <w:fldChar w:fldCharType="end"/>
      </w:r>
    </w:p>
    <w:p w14:paraId="7E8AD241">
      <w:pPr>
        <w:pStyle w:val="20"/>
        <w:keepNext w:val="0"/>
        <w:keepLines w:val="0"/>
        <w:widowControl/>
        <w:suppressLineNumbers w:val="0"/>
        <w:jc w:val="both"/>
        <w:rPr>
          <w:color w:val="auto"/>
          <w:sz w:val="26"/>
          <w:szCs w:val="26"/>
        </w:rPr>
      </w:pPr>
      <w:r>
        <w:rPr>
          <w:color w:val="auto"/>
          <w:sz w:val="26"/>
          <w:szCs w:val="26"/>
        </w:rPr>
        <w:t xml:space="preserve">Yang, G. F., &amp; Jiang, X. Y. (2014). Self-directed learning readiness and nursing </w:t>
      </w:r>
      <w:r>
        <w:rPr>
          <w:rFonts w:hint="default"/>
          <w:color w:val="auto"/>
          <w:sz w:val="26"/>
          <w:szCs w:val="26"/>
          <w:lang w:val="en-US"/>
        </w:rPr>
        <w:tab/>
      </w:r>
      <w:r>
        <w:rPr>
          <w:rFonts w:hint="default"/>
          <w:color w:val="auto"/>
          <w:sz w:val="26"/>
          <w:szCs w:val="26"/>
          <w:lang w:val="en-US"/>
        </w:rPr>
        <w:t xml:space="preserve"> </w:t>
      </w:r>
      <w:r>
        <w:rPr>
          <w:rFonts w:hint="default"/>
          <w:color w:val="auto"/>
          <w:sz w:val="26"/>
          <w:szCs w:val="26"/>
          <w:lang w:val="en-US"/>
        </w:rPr>
        <w:tab/>
      </w:r>
      <w:r>
        <w:rPr>
          <w:color w:val="auto"/>
          <w:sz w:val="26"/>
          <w:szCs w:val="26"/>
        </w:rPr>
        <w:t xml:space="preserve">competency among undergraduate nursing students in Fujian province of </w:t>
      </w:r>
      <w:r>
        <w:rPr>
          <w:rFonts w:hint="default"/>
          <w:color w:val="auto"/>
          <w:sz w:val="26"/>
          <w:szCs w:val="26"/>
          <w:lang w:val="en-US"/>
        </w:rPr>
        <w:tab/>
      </w:r>
      <w:r>
        <w:rPr>
          <w:rFonts w:hint="default"/>
          <w:color w:val="auto"/>
          <w:sz w:val="26"/>
          <w:szCs w:val="26"/>
          <w:lang w:val="en-US"/>
        </w:rPr>
        <w:tab/>
      </w:r>
      <w:r>
        <w:rPr>
          <w:color w:val="auto"/>
          <w:sz w:val="26"/>
          <w:szCs w:val="26"/>
        </w:rPr>
        <w:t xml:space="preserve">China. </w:t>
      </w:r>
      <w:r>
        <w:rPr>
          <w:rStyle w:val="16"/>
          <w:color w:val="auto"/>
          <w:sz w:val="26"/>
          <w:szCs w:val="26"/>
        </w:rPr>
        <w:t>International Journal of Nursing Sciences, 1</w:t>
      </w:r>
      <w:r>
        <w:rPr>
          <w:color w:val="auto"/>
          <w:sz w:val="26"/>
          <w:szCs w:val="26"/>
        </w:rPr>
        <w:t xml:space="preserve">(3), 255–259. </w:t>
      </w:r>
      <w:r>
        <w:rPr>
          <w:rFonts w:hint="default"/>
          <w:color w:val="auto"/>
          <w:sz w:val="26"/>
          <w:szCs w:val="26"/>
          <w:lang w:val="en-US"/>
        </w:rPr>
        <w:tab/>
      </w:r>
      <w:r>
        <w:rPr>
          <w:rFonts w:hint="default"/>
          <w:color w:val="auto"/>
          <w:sz w:val="26"/>
          <w:szCs w:val="26"/>
          <w:lang w:val="en-US"/>
        </w:rPr>
        <w:tab/>
      </w:r>
      <w:r>
        <w:rPr>
          <w:color w:val="auto"/>
          <w:sz w:val="26"/>
          <w:szCs w:val="26"/>
        </w:rPr>
        <w:fldChar w:fldCharType="begin"/>
      </w:r>
      <w:r>
        <w:rPr>
          <w:color w:val="auto"/>
          <w:sz w:val="26"/>
          <w:szCs w:val="26"/>
        </w:rPr>
        <w:instrText xml:space="preserve"> HYPERLINK "https://doi.org/10.1016/j.ijnss.2014.05.021" \t "_new" </w:instrText>
      </w:r>
      <w:r>
        <w:rPr>
          <w:color w:val="auto"/>
          <w:sz w:val="26"/>
          <w:szCs w:val="26"/>
        </w:rPr>
        <w:fldChar w:fldCharType="separate"/>
      </w:r>
      <w:r>
        <w:rPr>
          <w:rStyle w:val="19"/>
          <w:color w:val="auto"/>
          <w:sz w:val="26"/>
          <w:szCs w:val="26"/>
        </w:rPr>
        <w:t>https://doi.org/10.1016/j.ijnss.2014.05.021</w:t>
      </w:r>
      <w:r>
        <w:rPr>
          <w:color w:val="auto"/>
          <w:sz w:val="26"/>
          <w:szCs w:val="26"/>
        </w:rPr>
        <w:fldChar w:fldCharType="end"/>
      </w:r>
    </w:p>
    <w:p w14:paraId="0E990BF1">
      <w:pPr>
        <w:pStyle w:val="55"/>
        <w:rPr>
          <w:rFonts w:asciiTheme="majorBidi" w:hAnsiTheme="majorBidi" w:eastAsiaTheme="minorHAnsi" w:cstheme="majorBidi"/>
          <w:b/>
          <w:bCs/>
          <w:sz w:val="26"/>
          <w:szCs w:val="26"/>
        </w:rPr>
      </w:pPr>
      <w:r>
        <w:rPr>
          <w:rFonts w:asciiTheme="majorBidi" w:hAnsiTheme="majorBidi" w:eastAsiaTheme="minorHAnsi" w:cstheme="majorBidi"/>
          <w:b/>
          <w:bCs/>
          <w:sz w:val="26"/>
          <w:szCs w:val="26"/>
        </w:rPr>
        <w:t>Bionote</w:t>
      </w:r>
    </w:p>
    <w:p w14:paraId="5B07BC56">
      <w:pPr>
        <w:spacing w:after="120" w:line="240" w:lineRule="auto"/>
        <w:jc w:val="both"/>
        <w:rPr>
          <w:rFonts w:hint="default" w:ascii="Times New Roman" w:hAnsi="Times New Roman" w:eastAsia="SimSun" w:cs="Times New Roman"/>
          <w:color w:val="auto"/>
          <w:sz w:val="26"/>
          <w:szCs w:val="26"/>
          <w:shd w:val="clear" w:color="auto" w:fill="FFFFFF"/>
        </w:rPr>
      </w:pPr>
      <w:r>
        <w:rPr>
          <w:rFonts w:hint="default" w:ascii="Times New Roman" w:hAnsi="Times New Roman" w:eastAsia="SimSun" w:cs="Times New Roman"/>
          <w:b/>
          <w:bCs/>
          <w:color w:val="auto"/>
          <w:sz w:val="26"/>
          <w:szCs w:val="26"/>
          <w:shd w:val="clear" w:color="auto" w:fill="FFFFFF"/>
        </w:rPr>
        <w:t>M.A.</w:t>
      </w:r>
      <w:r>
        <w:rPr>
          <w:rFonts w:hint="default" w:ascii="Times New Roman" w:hAnsi="Times New Roman" w:eastAsia="SimSun" w:cs="Times New Roman"/>
          <w:b/>
          <w:color w:val="auto"/>
          <w:sz w:val="26"/>
          <w:szCs w:val="26"/>
          <w:shd w:val="clear" w:color="auto" w:fill="FFFFFF"/>
        </w:rPr>
        <w:t xml:space="preserve"> Le Van Duc</w:t>
      </w:r>
      <w:r>
        <w:rPr>
          <w:rFonts w:hint="default" w:ascii="Times New Roman" w:hAnsi="Times New Roman" w:eastAsia="SimSun" w:cs="Times New Roman"/>
          <w:color w:val="auto"/>
          <w:sz w:val="26"/>
          <w:szCs w:val="26"/>
          <w:shd w:val="clear" w:color="auto" w:fill="FFFFFF"/>
        </w:rPr>
        <w:t xml:space="preserve"> is </w:t>
      </w:r>
      <w:r>
        <w:rPr>
          <w:rFonts w:hint="default" w:ascii="Times New Roman" w:hAnsi="Times New Roman" w:eastAsia="SimSun" w:cs="Times New Roman"/>
          <w:color w:val="auto"/>
          <w:sz w:val="26"/>
          <w:szCs w:val="26"/>
          <w:shd w:val="clear" w:color="auto" w:fill="FFFFFF"/>
          <w:lang w:val="en-US"/>
        </w:rPr>
        <w:t xml:space="preserve">currently </w:t>
      </w:r>
      <w:r>
        <w:rPr>
          <w:rFonts w:hint="default" w:ascii="Times New Roman" w:hAnsi="Times New Roman" w:eastAsia="SimSun" w:cs="Times New Roman"/>
          <w:color w:val="auto"/>
          <w:sz w:val="26"/>
          <w:szCs w:val="26"/>
          <w:shd w:val="clear" w:color="auto" w:fill="FFFFFF"/>
        </w:rPr>
        <w:t>a lecturer at the Institute of Foreign Language Training</w:t>
      </w:r>
      <w:r>
        <w:rPr>
          <w:rFonts w:hint="default" w:ascii="Times New Roman" w:hAnsi="Times New Roman" w:eastAsia="SimSun" w:cs="Times New Roman"/>
          <w:color w:val="auto"/>
          <w:sz w:val="26"/>
          <w:szCs w:val="26"/>
          <w:shd w:val="clear" w:color="auto" w:fill="FFFFFF"/>
          <w:lang w:val="en-US"/>
        </w:rPr>
        <w:t xml:space="preserve"> at </w:t>
      </w:r>
      <w:r>
        <w:rPr>
          <w:rFonts w:hint="default" w:ascii="Times New Roman" w:hAnsi="Times New Roman" w:eastAsia="SimSun" w:cs="Times New Roman"/>
          <w:color w:val="auto"/>
          <w:sz w:val="26"/>
          <w:szCs w:val="26"/>
          <w:shd w:val="clear" w:color="auto" w:fill="FFFFFF"/>
        </w:rPr>
        <w:t>Thu Dau Mot University</w:t>
      </w:r>
      <w:r>
        <w:rPr>
          <w:rFonts w:hint="default" w:ascii="Times New Roman" w:hAnsi="Times New Roman" w:eastAsia="SimSun" w:cs="Times New Roman"/>
          <w:color w:val="auto"/>
          <w:sz w:val="26"/>
          <w:szCs w:val="26"/>
          <w:shd w:val="clear" w:color="auto" w:fill="FFFFFF"/>
          <w:lang w:val="en-US"/>
        </w:rPr>
        <w:t xml:space="preserve"> in </w:t>
      </w:r>
      <w:r>
        <w:rPr>
          <w:rFonts w:hint="default" w:ascii="Times New Roman" w:hAnsi="Times New Roman" w:eastAsia="SimSun" w:cs="Times New Roman"/>
          <w:color w:val="auto"/>
          <w:sz w:val="26"/>
          <w:szCs w:val="26"/>
          <w:shd w:val="clear" w:color="auto" w:fill="FFFFFF"/>
        </w:rPr>
        <w:t>Vietnam. He holds a Master’s degree in English Linguistics. He is currently pursuing a Ph.D. in Contrastive Linguistics at the University of Social Sciences and Humanities, Vietnam National University. His primary research interests include pragmatics, discourse analysis, sociolinguistics, English language teaching methodologies, and applied linguistics. He has published works in both language pedagogy and linguistic studies.</w:t>
      </w:r>
    </w:p>
    <w:p w14:paraId="52D12148">
      <w:pPr>
        <w:spacing w:after="120" w:line="240" w:lineRule="auto"/>
        <w:jc w:val="both"/>
        <w:rPr>
          <w:rFonts w:hint="default" w:ascii="Times New Roman" w:hAnsi="Times New Roman" w:eastAsia="SimSun" w:cs="Times New Roman"/>
          <w:color w:val="auto"/>
          <w:sz w:val="26"/>
          <w:szCs w:val="26"/>
          <w:shd w:val="clear" w:color="auto" w:fill="FFFFFF"/>
        </w:rPr>
      </w:pPr>
      <w:r>
        <w:rPr>
          <w:rFonts w:hint="default" w:ascii="Times New Roman" w:hAnsi="Times New Roman" w:eastAsia="SimSun" w:cs="Times New Roman"/>
          <w:color w:val="auto"/>
          <w:sz w:val="26"/>
          <w:szCs w:val="26"/>
          <w:shd w:val="clear" w:color="auto" w:fill="FFFFFF"/>
        </w:rPr>
        <w:t>Email:</w:t>
      </w:r>
      <w:r>
        <w:rPr>
          <w:rFonts w:hint="default" w:ascii="Times New Roman" w:hAnsi="Times New Roman" w:eastAsia="SimSun" w:cs="Times New Roman"/>
          <w:color w:val="auto"/>
          <w:sz w:val="26"/>
          <w:szCs w:val="26"/>
          <w:shd w:val="clear" w:color="auto" w:fill="FFFFFF"/>
          <w:lang w:val="en-US"/>
        </w:rPr>
        <w:t xml:space="preserve"> </w:t>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HYPERLINK "mailto:duclv@tdmu.edu.vn%20" </w:instrText>
      </w:r>
      <w:r>
        <w:rPr>
          <w:rFonts w:hint="default" w:ascii="Times New Roman" w:hAnsi="Times New Roman" w:cs="Times New Roman"/>
          <w:color w:val="auto"/>
          <w:sz w:val="26"/>
          <w:szCs w:val="26"/>
        </w:rPr>
        <w:fldChar w:fldCharType="separate"/>
      </w:r>
      <w:r>
        <w:rPr>
          <w:rFonts w:hint="default" w:ascii="Times New Roman" w:hAnsi="Times New Roman" w:eastAsia="SimSun" w:cs="Times New Roman"/>
          <w:color w:val="auto"/>
          <w:sz w:val="26"/>
          <w:szCs w:val="26"/>
          <w:u w:val="single"/>
          <w:shd w:val="clear" w:color="auto" w:fill="FFFFFF"/>
        </w:rPr>
        <w:t xml:space="preserve">duclv@tdmu.edu.vn </w:t>
      </w:r>
      <w:r>
        <w:rPr>
          <w:rFonts w:hint="default" w:ascii="Times New Roman" w:hAnsi="Times New Roman" w:eastAsia="SimSun" w:cs="Times New Roman"/>
          <w:color w:val="auto"/>
          <w:sz w:val="26"/>
          <w:szCs w:val="26"/>
          <w:u w:val="single"/>
          <w:shd w:val="clear" w:color="auto" w:fill="FFFFFF"/>
        </w:rPr>
        <w:fldChar w:fldCharType="end"/>
      </w:r>
    </w:p>
    <w:p w14:paraId="3BF6B287">
      <w:pPr>
        <w:spacing w:after="120" w:line="240" w:lineRule="auto"/>
        <w:jc w:val="both"/>
        <w:rPr>
          <w:rFonts w:hint="default" w:ascii="Times New Roman" w:hAnsi="Times New Roman" w:cs="Times New Roman"/>
          <w:color w:val="auto"/>
          <w:sz w:val="26"/>
          <w:szCs w:val="26"/>
          <w:u w:val="single"/>
        </w:rPr>
      </w:pPr>
      <w:r>
        <w:rPr>
          <w:rFonts w:hint="default" w:ascii="Times New Roman" w:hAnsi="Times New Roman" w:eastAsia="SimSun" w:cs="Times New Roman"/>
          <w:color w:val="auto"/>
          <w:sz w:val="26"/>
          <w:szCs w:val="26"/>
          <w:shd w:val="clear" w:color="auto" w:fill="FFFFFF"/>
        </w:rPr>
        <w:t xml:space="preserve">ORCID: </w:t>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 HYPERLINK "https://orcid.org/0009-0008-9646-7014"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u w:val="single"/>
        </w:rPr>
        <w:t>https://orcid.org/0009-0008-9646-7014</w:t>
      </w:r>
      <w:r>
        <w:rPr>
          <w:rFonts w:hint="default" w:ascii="Times New Roman" w:hAnsi="Times New Roman" w:cs="Times New Roman"/>
          <w:color w:val="auto"/>
          <w:sz w:val="26"/>
          <w:szCs w:val="26"/>
          <w:u w:val="single"/>
        </w:rPr>
        <w:fldChar w:fldCharType="end"/>
      </w:r>
    </w:p>
    <w:p w14:paraId="55DDBF24">
      <w:pPr>
        <w:spacing w:before="80" w:after="80" w:line="400" w:lineRule="atLeast"/>
        <w:ind w:left="709" w:hanging="709"/>
        <w:jc w:val="both"/>
        <w:rPr>
          <w:rFonts w:ascii="Times New Roman" w:hAnsi="Times New Roman" w:cs="Times New Roman"/>
          <w:color w:val="auto"/>
          <w:sz w:val="26"/>
          <w:szCs w:val="26"/>
          <w:lang w:val="en-US" w:eastAsia="en-US"/>
        </w:rPr>
      </w:pPr>
    </w:p>
    <w:sectPr>
      <w:footerReference r:id="rId5" w:type="default"/>
      <w:pgSz w:w="11906" w:h="16838"/>
      <w:pgMar w:top="1134" w:right="1134" w:bottom="1134" w:left="1985" w:header="708" w:footer="708"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D82E5">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ABB2A"/>
    <w:multiLevelType w:val="singleLevel"/>
    <w:tmpl w:val="445ABB2A"/>
    <w:lvl w:ilvl="0" w:tentative="0">
      <w:start w:val="1"/>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2E"/>
    <w:rsid w:val="000153C8"/>
    <w:rsid w:val="0002107C"/>
    <w:rsid w:val="00023A8D"/>
    <w:rsid w:val="000260D5"/>
    <w:rsid w:val="0003448D"/>
    <w:rsid w:val="00037AF4"/>
    <w:rsid w:val="00044AFB"/>
    <w:rsid w:val="00046E99"/>
    <w:rsid w:val="000524F4"/>
    <w:rsid w:val="00053098"/>
    <w:rsid w:val="00060892"/>
    <w:rsid w:val="0007002B"/>
    <w:rsid w:val="000708AD"/>
    <w:rsid w:val="000A517E"/>
    <w:rsid w:val="000B3A7C"/>
    <w:rsid w:val="000B44A3"/>
    <w:rsid w:val="000C25C6"/>
    <w:rsid w:val="000C4DBD"/>
    <w:rsid w:val="000C56E9"/>
    <w:rsid w:val="000D4F45"/>
    <w:rsid w:val="000E0313"/>
    <w:rsid w:val="000F1426"/>
    <w:rsid w:val="00105576"/>
    <w:rsid w:val="00111AA1"/>
    <w:rsid w:val="00115A5E"/>
    <w:rsid w:val="00117761"/>
    <w:rsid w:val="00140822"/>
    <w:rsid w:val="00143037"/>
    <w:rsid w:val="00150DF8"/>
    <w:rsid w:val="00175218"/>
    <w:rsid w:val="00192157"/>
    <w:rsid w:val="001A236B"/>
    <w:rsid w:val="001B4E69"/>
    <w:rsid w:val="001B7E27"/>
    <w:rsid w:val="001C2B52"/>
    <w:rsid w:val="001D0E02"/>
    <w:rsid w:val="001E35AC"/>
    <w:rsid w:val="001F0F2D"/>
    <w:rsid w:val="001F1466"/>
    <w:rsid w:val="001F6456"/>
    <w:rsid w:val="0020535A"/>
    <w:rsid w:val="0022098C"/>
    <w:rsid w:val="00232A4C"/>
    <w:rsid w:val="00236CF3"/>
    <w:rsid w:val="00243C24"/>
    <w:rsid w:val="0025238A"/>
    <w:rsid w:val="00254FE7"/>
    <w:rsid w:val="00280B2A"/>
    <w:rsid w:val="00293094"/>
    <w:rsid w:val="002A6C3A"/>
    <w:rsid w:val="002B0F34"/>
    <w:rsid w:val="002B380C"/>
    <w:rsid w:val="002B657D"/>
    <w:rsid w:val="002D027E"/>
    <w:rsid w:val="002F120F"/>
    <w:rsid w:val="002F55B5"/>
    <w:rsid w:val="002F78A0"/>
    <w:rsid w:val="0030618D"/>
    <w:rsid w:val="00312CA4"/>
    <w:rsid w:val="003153CD"/>
    <w:rsid w:val="003201E3"/>
    <w:rsid w:val="003229C7"/>
    <w:rsid w:val="0032767E"/>
    <w:rsid w:val="00332E1F"/>
    <w:rsid w:val="00335E49"/>
    <w:rsid w:val="00337972"/>
    <w:rsid w:val="00353598"/>
    <w:rsid w:val="00360B4E"/>
    <w:rsid w:val="00366335"/>
    <w:rsid w:val="00390E30"/>
    <w:rsid w:val="003A243E"/>
    <w:rsid w:val="003A769C"/>
    <w:rsid w:val="003D0460"/>
    <w:rsid w:val="003D139C"/>
    <w:rsid w:val="003E1106"/>
    <w:rsid w:val="003F64A4"/>
    <w:rsid w:val="004025F2"/>
    <w:rsid w:val="004030D8"/>
    <w:rsid w:val="00415957"/>
    <w:rsid w:val="00420D0A"/>
    <w:rsid w:val="004272D3"/>
    <w:rsid w:val="004407A9"/>
    <w:rsid w:val="004730DF"/>
    <w:rsid w:val="0048529E"/>
    <w:rsid w:val="0049223A"/>
    <w:rsid w:val="00492F3C"/>
    <w:rsid w:val="004A3D52"/>
    <w:rsid w:val="004A779C"/>
    <w:rsid w:val="004C1376"/>
    <w:rsid w:val="004C7784"/>
    <w:rsid w:val="004E5A26"/>
    <w:rsid w:val="004F5CD8"/>
    <w:rsid w:val="00500957"/>
    <w:rsid w:val="005118F3"/>
    <w:rsid w:val="00545874"/>
    <w:rsid w:val="00550546"/>
    <w:rsid w:val="00557A94"/>
    <w:rsid w:val="0056555A"/>
    <w:rsid w:val="005803D2"/>
    <w:rsid w:val="0059030F"/>
    <w:rsid w:val="005938D9"/>
    <w:rsid w:val="005A57E4"/>
    <w:rsid w:val="005B1D58"/>
    <w:rsid w:val="005C0900"/>
    <w:rsid w:val="005C539F"/>
    <w:rsid w:val="005C7CC3"/>
    <w:rsid w:val="005E12CF"/>
    <w:rsid w:val="005E285F"/>
    <w:rsid w:val="005F611E"/>
    <w:rsid w:val="00606CDD"/>
    <w:rsid w:val="006125CF"/>
    <w:rsid w:val="00615C8E"/>
    <w:rsid w:val="006161D3"/>
    <w:rsid w:val="00630551"/>
    <w:rsid w:val="00631808"/>
    <w:rsid w:val="00631A03"/>
    <w:rsid w:val="006345EE"/>
    <w:rsid w:val="00636AC0"/>
    <w:rsid w:val="00656522"/>
    <w:rsid w:val="00662B59"/>
    <w:rsid w:val="00671F72"/>
    <w:rsid w:val="00672FF8"/>
    <w:rsid w:val="006774F8"/>
    <w:rsid w:val="006A4AE8"/>
    <w:rsid w:val="006A62C0"/>
    <w:rsid w:val="006B17D2"/>
    <w:rsid w:val="006B77CD"/>
    <w:rsid w:val="006D425A"/>
    <w:rsid w:val="006D5447"/>
    <w:rsid w:val="006F4DA6"/>
    <w:rsid w:val="007003DF"/>
    <w:rsid w:val="0070411C"/>
    <w:rsid w:val="007158FF"/>
    <w:rsid w:val="00731292"/>
    <w:rsid w:val="00736B17"/>
    <w:rsid w:val="00740FA6"/>
    <w:rsid w:val="0074347E"/>
    <w:rsid w:val="007452B5"/>
    <w:rsid w:val="00756EB4"/>
    <w:rsid w:val="007707AB"/>
    <w:rsid w:val="007734E0"/>
    <w:rsid w:val="007827B3"/>
    <w:rsid w:val="00785CFD"/>
    <w:rsid w:val="00787BFB"/>
    <w:rsid w:val="007945E8"/>
    <w:rsid w:val="007949D7"/>
    <w:rsid w:val="007B549B"/>
    <w:rsid w:val="007B6A10"/>
    <w:rsid w:val="007B736D"/>
    <w:rsid w:val="007D5348"/>
    <w:rsid w:val="007E26A9"/>
    <w:rsid w:val="007F08AC"/>
    <w:rsid w:val="00802F7D"/>
    <w:rsid w:val="0080738D"/>
    <w:rsid w:val="008122E4"/>
    <w:rsid w:val="00822B98"/>
    <w:rsid w:val="00824099"/>
    <w:rsid w:val="00832513"/>
    <w:rsid w:val="00841E23"/>
    <w:rsid w:val="00852519"/>
    <w:rsid w:val="00865BF7"/>
    <w:rsid w:val="0087194C"/>
    <w:rsid w:val="00872785"/>
    <w:rsid w:val="00896BE8"/>
    <w:rsid w:val="008A022C"/>
    <w:rsid w:val="008A098F"/>
    <w:rsid w:val="008A6FFF"/>
    <w:rsid w:val="008B0F6A"/>
    <w:rsid w:val="008D2CB3"/>
    <w:rsid w:val="008F0074"/>
    <w:rsid w:val="008F1FFC"/>
    <w:rsid w:val="008F58D0"/>
    <w:rsid w:val="008F5C40"/>
    <w:rsid w:val="00903D8B"/>
    <w:rsid w:val="00911E72"/>
    <w:rsid w:val="009276C2"/>
    <w:rsid w:val="00933230"/>
    <w:rsid w:val="00942B31"/>
    <w:rsid w:val="00964786"/>
    <w:rsid w:val="00965258"/>
    <w:rsid w:val="00995D0E"/>
    <w:rsid w:val="00997DBE"/>
    <w:rsid w:val="009A6DB5"/>
    <w:rsid w:val="009A7151"/>
    <w:rsid w:val="009C1705"/>
    <w:rsid w:val="009D005A"/>
    <w:rsid w:val="009D465E"/>
    <w:rsid w:val="009E5955"/>
    <w:rsid w:val="00A13665"/>
    <w:rsid w:val="00A2178C"/>
    <w:rsid w:val="00A235FF"/>
    <w:rsid w:val="00A24F4D"/>
    <w:rsid w:val="00A35316"/>
    <w:rsid w:val="00A60B2B"/>
    <w:rsid w:val="00A634CE"/>
    <w:rsid w:val="00A8146D"/>
    <w:rsid w:val="00A86BF1"/>
    <w:rsid w:val="00A90028"/>
    <w:rsid w:val="00A93036"/>
    <w:rsid w:val="00AA529A"/>
    <w:rsid w:val="00AC1191"/>
    <w:rsid w:val="00AC20F0"/>
    <w:rsid w:val="00AD640D"/>
    <w:rsid w:val="00AE18EA"/>
    <w:rsid w:val="00AE2045"/>
    <w:rsid w:val="00AE75D1"/>
    <w:rsid w:val="00AF3145"/>
    <w:rsid w:val="00B03BE1"/>
    <w:rsid w:val="00B07ACC"/>
    <w:rsid w:val="00B25C48"/>
    <w:rsid w:val="00B36E36"/>
    <w:rsid w:val="00B51D31"/>
    <w:rsid w:val="00B720EA"/>
    <w:rsid w:val="00B94D30"/>
    <w:rsid w:val="00B9658C"/>
    <w:rsid w:val="00BA12AF"/>
    <w:rsid w:val="00BA2FD3"/>
    <w:rsid w:val="00BA6341"/>
    <w:rsid w:val="00BC0A0D"/>
    <w:rsid w:val="00BC3988"/>
    <w:rsid w:val="00BD27BB"/>
    <w:rsid w:val="00BD7B98"/>
    <w:rsid w:val="00BE1E2D"/>
    <w:rsid w:val="00BF510D"/>
    <w:rsid w:val="00BF5748"/>
    <w:rsid w:val="00C0128B"/>
    <w:rsid w:val="00C267F7"/>
    <w:rsid w:val="00C41AAA"/>
    <w:rsid w:val="00C60C85"/>
    <w:rsid w:val="00C669B3"/>
    <w:rsid w:val="00C70B40"/>
    <w:rsid w:val="00CC7997"/>
    <w:rsid w:val="00CE3F70"/>
    <w:rsid w:val="00CF6D59"/>
    <w:rsid w:val="00CF7589"/>
    <w:rsid w:val="00D06C64"/>
    <w:rsid w:val="00D24744"/>
    <w:rsid w:val="00D34935"/>
    <w:rsid w:val="00D37177"/>
    <w:rsid w:val="00D42B27"/>
    <w:rsid w:val="00D62B84"/>
    <w:rsid w:val="00D6523B"/>
    <w:rsid w:val="00D83F53"/>
    <w:rsid w:val="00DA6BD8"/>
    <w:rsid w:val="00DA7009"/>
    <w:rsid w:val="00DA7CB6"/>
    <w:rsid w:val="00DB2C5D"/>
    <w:rsid w:val="00DC0E1B"/>
    <w:rsid w:val="00DD19B2"/>
    <w:rsid w:val="00DD5199"/>
    <w:rsid w:val="00DE41EC"/>
    <w:rsid w:val="00DF209A"/>
    <w:rsid w:val="00DF60A7"/>
    <w:rsid w:val="00DF62E8"/>
    <w:rsid w:val="00DF7CDF"/>
    <w:rsid w:val="00E0346A"/>
    <w:rsid w:val="00E04E5D"/>
    <w:rsid w:val="00E05E50"/>
    <w:rsid w:val="00E16D30"/>
    <w:rsid w:val="00E26F2F"/>
    <w:rsid w:val="00E31934"/>
    <w:rsid w:val="00E36817"/>
    <w:rsid w:val="00E463D6"/>
    <w:rsid w:val="00E52C4D"/>
    <w:rsid w:val="00E53B37"/>
    <w:rsid w:val="00E71B46"/>
    <w:rsid w:val="00E75E7D"/>
    <w:rsid w:val="00E810D2"/>
    <w:rsid w:val="00E966D6"/>
    <w:rsid w:val="00E97661"/>
    <w:rsid w:val="00EA4007"/>
    <w:rsid w:val="00EB38FC"/>
    <w:rsid w:val="00EC0D2E"/>
    <w:rsid w:val="00EC13A4"/>
    <w:rsid w:val="00EC45C0"/>
    <w:rsid w:val="00ED0EE3"/>
    <w:rsid w:val="00EF6911"/>
    <w:rsid w:val="00F025AD"/>
    <w:rsid w:val="00F2116C"/>
    <w:rsid w:val="00F228FE"/>
    <w:rsid w:val="00F26575"/>
    <w:rsid w:val="00F3799C"/>
    <w:rsid w:val="00F53272"/>
    <w:rsid w:val="00F560DF"/>
    <w:rsid w:val="00F6084C"/>
    <w:rsid w:val="00F67ACA"/>
    <w:rsid w:val="00F811C3"/>
    <w:rsid w:val="00F97B77"/>
    <w:rsid w:val="00F97FCA"/>
    <w:rsid w:val="00FB0316"/>
    <w:rsid w:val="00FB2CA9"/>
    <w:rsid w:val="00FB51A2"/>
    <w:rsid w:val="00FC4A5F"/>
    <w:rsid w:val="00FD362E"/>
    <w:rsid w:val="00FD5E47"/>
    <w:rsid w:val="00FE4F68"/>
    <w:rsid w:val="00FE6498"/>
    <w:rsid w:val="019756BE"/>
    <w:rsid w:val="02B161BA"/>
    <w:rsid w:val="03C3187F"/>
    <w:rsid w:val="07050B37"/>
    <w:rsid w:val="092F5F71"/>
    <w:rsid w:val="10F753E2"/>
    <w:rsid w:val="111E34ED"/>
    <w:rsid w:val="12FE3439"/>
    <w:rsid w:val="15752D24"/>
    <w:rsid w:val="17E25AE9"/>
    <w:rsid w:val="1849373C"/>
    <w:rsid w:val="192222D1"/>
    <w:rsid w:val="1BB30C6B"/>
    <w:rsid w:val="1C5875F9"/>
    <w:rsid w:val="1C876DFD"/>
    <w:rsid w:val="1ED32D22"/>
    <w:rsid w:val="226E08D3"/>
    <w:rsid w:val="269F41B3"/>
    <w:rsid w:val="281626CE"/>
    <w:rsid w:val="294B4FFE"/>
    <w:rsid w:val="2CF07C47"/>
    <w:rsid w:val="2F9349A5"/>
    <w:rsid w:val="31FB15FD"/>
    <w:rsid w:val="343162DF"/>
    <w:rsid w:val="38D64AC7"/>
    <w:rsid w:val="3E48136E"/>
    <w:rsid w:val="404969B7"/>
    <w:rsid w:val="42021C48"/>
    <w:rsid w:val="425E6429"/>
    <w:rsid w:val="43F27E72"/>
    <w:rsid w:val="4B160C01"/>
    <w:rsid w:val="4E996483"/>
    <w:rsid w:val="4EA0329B"/>
    <w:rsid w:val="517A1731"/>
    <w:rsid w:val="53E555A6"/>
    <w:rsid w:val="545A1762"/>
    <w:rsid w:val="5F5949AA"/>
    <w:rsid w:val="61367D71"/>
    <w:rsid w:val="628A07BE"/>
    <w:rsid w:val="64A05D25"/>
    <w:rsid w:val="67761306"/>
    <w:rsid w:val="6872268E"/>
    <w:rsid w:val="692355EA"/>
    <w:rsid w:val="6B3F73E8"/>
    <w:rsid w:val="6B63517E"/>
    <w:rsid w:val="6D202B85"/>
    <w:rsid w:val="6DC01BD9"/>
    <w:rsid w:val="722C320F"/>
    <w:rsid w:val="723904EB"/>
    <w:rsid w:val="799E0883"/>
    <w:rsid w:val="7A16385A"/>
    <w:rsid w:val="7A795839"/>
    <w:rsid w:val="7D0922EE"/>
    <w:rsid w:val="7E777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GB" w:eastAsia="zh-CN" w:bidi="ar-SA"/>
      <w14:ligatures w14:val="standardContextual"/>
    </w:rPr>
  </w:style>
  <w:style w:type="paragraph" w:styleId="2">
    <w:name w:val="heading 1"/>
    <w:basedOn w:val="1"/>
    <w:next w:val="1"/>
    <w:link w:val="29"/>
    <w:qFormat/>
    <w:uiPriority w:val="9"/>
    <w:pPr>
      <w:keepNext/>
      <w:keepLines/>
      <w:spacing w:before="360" w:after="80"/>
      <w:jc w:val="center"/>
      <w:outlineLvl w:val="0"/>
    </w:pPr>
    <w:rPr>
      <w:rFonts w:ascii="Times New Roman" w:hAnsi="Times New Roman" w:eastAsiaTheme="majorEastAsia" w:cstheme="majorBidi"/>
      <w:b/>
      <w:color w:val="000000" w:themeColor="text1"/>
      <w:sz w:val="32"/>
      <w:szCs w:val="40"/>
      <w14:textFill>
        <w14:solidFill>
          <w14:schemeClr w14:val="tx1"/>
        </w14:solidFill>
      </w14:textFill>
    </w:rPr>
  </w:style>
  <w:style w:type="paragraph" w:styleId="3">
    <w:name w:val="heading 2"/>
    <w:basedOn w:val="1"/>
    <w:next w:val="1"/>
    <w:link w:val="30"/>
    <w:autoRedefine/>
    <w:unhideWhenUsed/>
    <w:qFormat/>
    <w:uiPriority w:val="9"/>
    <w:pPr>
      <w:keepNext/>
      <w:keepLines/>
      <w:spacing w:before="80" w:after="80" w:line="400" w:lineRule="atLeast"/>
      <w:outlineLvl w:val="1"/>
    </w:pPr>
    <w:rPr>
      <w:rFonts w:ascii="Times New Roman" w:hAnsi="Times New Roman" w:cs="Times New Roman" w:eastAsiaTheme="majorEastAsia"/>
      <w:b/>
      <w:sz w:val="28"/>
      <w:szCs w:val="28"/>
      <w:lang w:val="vi-VN"/>
    </w:rPr>
  </w:style>
  <w:style w:type="paragraph" w:styleId="4">
    <w:name w:val="heading 3"/>
    <w:basedOn w:val="1"/>
    <w:next w:val="1"/>
    <w:link w:val="31"/>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32"/>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33"/>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3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3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link w:val="49"/>
    <w:qFormat/>
    <w:uiPriority w:val="0"/>
    <w:pPr>
      <w:spacing w:after="0" w:line="240" w:lineRule="auto"/>
    </w:pPr>
    <w:rPr>
      <w:rFonts w:ascii=".VnTime" w:hAnsi=".VnTime" w:eastAsia="Times New Roman" w:cs=".VnTime"/>
      <w:kern w:val="0"/>
      <w:sz w:val="28"/>
      <w:szCs w:val="28"/>
      <w:lang w:val="en-US" w:eastAsia="en-US"/>
      <w14:ligatures w14:val="none"/>
    </w:rPr>
  </w:style>
  <w:style w:type="paragraph" w:styleId="14">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5">
    <w:name w:val="Date"/>
    <w:basedOn w:val="1"/>
    <w:next w:val="1"/>
    <w:link w:val="52"/>
    <w:semiHidden/>
    <w:unhideWhenUsed/>
    <w:qFormat/>
    <w:uiPriority w:val="99"/>
  </w:style>
  <w:style w:type="character" w:styleId="16">
    <w:name w:val="Emphasis"/>
    <w:basedOn w:val="11"/>
    <w:qFormat/>
    <w:uiPriority w:val="20"/>
    <w:rPr>
      <w:i/>
      <w:iCs/>
    </w:rPr>
  </w:style>
  <w:style w:type="paragraph" w:styleId="17">
    <w:name w:val="footer"/>
    <w:basedOn w:val="1"/>
    <w:link w:val="48"/>
    <w:unhideWhenUsed/>
    <w:qFormat/>
    <w:uiPriority w:val="99"/>
    <w:pPr>
      <w:tabs>
        <w:tab w:val="center" w:pos="4680"/>
        <w:tab w:val="right" w:pos="9360"/>
      </w:tabs>
      <w:spacing w:after="0" w:line="240" w:lineRule="auto"/>
    </w:pPr>
  </w:style>
  <w:style w:type="paragraph" w:styleId="18">
    <w:name w:val="header"/>
    <w:basedOn w:val="1"/>
    <w:link w:val="47"/>
    <w:unhideWhenUsed/>
    <w:qFormat/>
    <w:uiPriority w:val="99"/>
    <w:pPr>
      <w:tabs>
        <w:tab w:val="center" w:pos="4680"/>
        <w:tab w:val="right" w:pos="9360"/>
      </w:tabs>
      <w:spacing w:after="0" w:line="240" w:lineRule="auto"/>
    </w:pPr>
  </w:style>
  <w:style w:type="character" w:styleId="19">
    <w:name w:val="Hyperlink"/>
    <w:basedOn w:val="11"/>
    <w:unhideWhenUsed/>
    <w:qFormat/>
    <w:uiPriority w:val="99"/>
    <w:rPr>
      <w:color w:val="0563C1" w:themeColor="hyperlink"/>
      <w:u w:val="single"/>
      <w14:textFill>
        <w14:solidFill>
          <w14:schemeClr w14:val="hlink"/>
        </w14:solidFill>
      </w14:textFill>
    </w:rPr>
  </w:style>
  <w:style w:type="paragraph" w:styleId="20">
    <w:name w:val="Normal (Web)"/>
    <w:basedOn w:val="1"/>
    <w:qFormat/>
    <w:uiPriority w:val="99"/>
    <w:pPr>
      <w:spacing w:beforeAutospacing="1" w:after="0" w:afterAutospacing="1" w:line="240" w:lineRule="auto"/>
    </w:pPr>
    <w:rPr>
      <w:rFonts w:ascii="Times New Roman" w:hAnsi="Times New Roman" w:eastAsia="SimSun" w:cs="Times New Roman"/>
      <w:kern w:val="0"/>
      <w:sz w:val="24"/>
      <w:szCs w:val="24"/>
      <w:lang w:val="en-US"/>
      <w14:ligatures w14:val="none"/>
    </w:rPr>
  </w:style>
  <w:style w:type="character" w:styleId="21">
    <w:name w:val="Strong"/>
    <w:basedOn w:val="11"/>
    <w:qFormat/>
    <w:uiPriority w:val="22"/>
    <w:rPr>
      <w:b/>
      <w:bCs/>
    </w:rPr>
  </w:style>
  <w:style w:type="paragraph" w:styleId="22">
    <w:name w:val="Subtitle"/>
    <w:basedOn w:val="1"/>
    <w:next w:val="1"/>
    <w:link w:val="3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2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table of figures"/>
    <w:basedOn w:val="1"/>
    <w:next w:val="1"/>
    <w:unhideWhenUsed/>
    <w:qFormat/>
    <w:uiPriority w:val="99"/>
    <w:pPr>
      <w:spacing w:after="0"/>
    </w:pPr>
  </w:style>
  <w:style w:type="paragraph" w:styleId="25">
    <w:name w:val="Title"/>
    <w:basedOn w:val="1"/>
    <w:next w:val="1"/>
    <w:link w:val="3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26">
    <w:name w:val="toc 1"/>
    <w:basedOn w:val="1"/>
    <w:next w:val="1"/>
    <w:autoRedefine/>
    <w:unhideWhenUsed/>
    <w:qFormat/>
    <w:uiPriority w:val="39"/>
    <w:pPr>
      <w:tabs>
        <w:tab w:val="right" w:leader="dot" w:pos="8777"/>
      </w:tabs>
      <w:spacing w:before="80" w:after="80" w:line="400" w:lineRule="atLeast"/>
      <w:ind w:firstLine="284"/>
    </w:pPr>
    <w:rPr>
      <w:rFonts w:ascii="Times New Roman" w:hAnsi="Times New Roman" w:cs="Times New Roman"/>
      <w:b/>
      <w:bCs/>
      <w:sz w:val="28"/>
      <w:szCs w:val="28"/>
    </w:rPr>
  </w:style>
  <w:style w:type="paragraph" w:styleId="27">
    <w:name w:val="toc 2"/>
    <w:basedOn w:val="1"/>
    <w:next w:val="1"/>
    <w:autoRedefine/>
    <w:unhideWhenUsed/>
    <w:qFormat/>
    <w:uiPriority w:val="39"/>
    <w:pPr>
      <w:tabs>
        <w:tab w:val="right" w:leader="dot" w:pos="8777"/>
      </w:tabs>
      <w:spacing w:after="100"/>
      <w:ind w:left="220"/>
    </w:pPr>
    <w:rPr>
      <w:rFonts w:ascii="Times New Roman" w:hAnsi="Times New Roman" w:cs="Times New Roman"/>
      <w:b/>
      <w:bCs/>
    </w:rPr>
  </w:style>
  <w:style w:type="paragraph" w:styleId="28">
    <w:name w:val="toc 3"/>
    <w:basedOn w:val="1"/>
    <w:next w:val="1"/>
    <w:autoRedefine/>
    <w:unhideWhenUsed/>
    <w:qFormat/>
    <w:uiPriority w:val="39"/>
    <w:pPr>
      <w:spacing w:after="100"/>
      <w:ind w:left="440"/>
    </w:pPr>
  </w:style>
  <w:style w:type="character" w:customStyle="1" w:styleId="29">
    <w:name w:val="Heading 1 Char"/>
    <w:basedOn w:val="11"/>
    <w:link w:val="2"/>
    <w:qFormat/>
    <w:uiPriority w:val="9"/>
    <w:rPr>
      <w:rFonts w:ascii="Times New Roman" w:hAnsi="Times New Roman" w:eastAsiaTheme="majorEastAsia" w:cstheme="majorBidi"/>
      <w:b/>
      <w:color w:val="000000" w:themeColor="text1"/>
      <w:sz w:val="32"/>
      <w:szCs w:val="40"/>
      <w:lang w:val="en-GB"/>
      <w14:textFill>
        <w14:solidFill>
          <w14:schemeClr w14:val="tx1"/>
        </w14:solidFill>
      </w14:textFill>
    </w:rPr>
  </w:style>
  <w:style w:type="character" w:customStyle="1" w:styleId="30">
    <w:name w:val="Heading 2 Char"/>
    <w:basedOn w:val="11"/>
    <w:link w:val="3"/>
    <w:qFormat/>
    <w:uiPriority w:val="9"/>
    <w:rPr>
      <w:rFonts w:ascii="Times New Roman" w:hAnsi="Times New Roman" w:cs="Times New Roman" w:eastAsiaTheme="majorEastAsia"/>
      <w:b/>
      <w:sz w:val="28"/>
      <w:szCs w:val="28"/>
      <w:lang w:val="vi-VN"/>
    </w:rPr>
  </w:style>
  <w:style w:type="character" w:customStyle="1" w:styleId="31">
    <w:name w:val="Heading 3 Char"/>
    <w:basedOn w:val="11"/>
    <w:link w:val="4"/>
    <w:semiHidden/>
    <w:qFormat/>
    <w:uiPriority w:val="9"/>
    <w:rPr>
      <w:rFonts w:eastAsiaTheme="majorEastAsia" w:cstheme="majorBidi"/>
      <w:color w:val="2F5597" w:themeColor="accent1" w:themeShade="BF"/>
      <w:sz w:val="28"/>
      <w:szCs w:val="28"/>
      <w:lang w:val="en-GB"/>
    </w:rPr>
  </w:style>
  <w:style w:type="character" w:customStyle="1" w:styleId="32">
    <w:name w:val="Heading 4 Char"/>
    <w:basedOn w:val="11"/>
    <w:link w:val="5"/>
    <w:semiHidden/>
    <w:qFormat/>
    <w:uiPriority w:val="9"/>
    <w:rPr>
      <w:rFonts w:eastAsiaTheme="majorEastAsia" w:cstheme="majorBidi"/>
      <w:i/>
      <w:iCs/>
      <w:color w:val="2F5597" w:themeColor="accent1" w:themeShade="BF"/>
      <w:lang w:val="en-GB"/>
    </w:rPr>
  </w:style>
  <w:style w:type="character" w:customStyle="1" w:styleId="33">
    <w:name w:val="Heading 5 Char"/>
    <w:basedOn w:val="11"/>
    <w:link w:val="6"/>
    <w:qFormat/>
    <w:uiPriority w:val="9"/>
    <w:rPr>
      <w:rFonts w:eastAsiaTheme="majorEastAsia" w:cstheme="majorBidi"/>
      <w:color w:val="2F5597" w:themeColor="accent1" w:themeShade="BF"/>
      <w:lang w:val="en-GB"/>
    </w:rPr>
  </w:style>
  <w:style w:type="character" w:customStyle="1" w:styleId="34">
    <w:name w:val="Heading 6 Char"/>
    <w:basedOn w:val="11"/>
    <w:link w:val="7"/>
    <w:semiHidden/>
    <w:qFormat/>
    <w:uiPriority w:val="9"/>
    <w:rPr>
      <w:rFonts w:eastAsiaTheme="majorEastAsia" w:cstheme="majorBidi"/>
      <w:i/>
      <w:iCs/>
      <w:color w:val="595959" w:themeColor="text1" w:themeTint="A6"/>
      <w:lang w:val="en-GB"/>
      <w14:textFill>
        <w14:solidFill>
          <w14:schemeClr w14:val="tx1">
            <w14:lumMod w14:val="65000"/>
            <w14:lumOff w14:val="35000"/>
          </w14:schemeClr>
        </w14:solidFill>
      </w14:textFill>
    </w:rPr>
  </w:style>
  <w:style w:type="character" w:customStyle="1" w:styleId="35">
    <w:name w:val="Heading 7 Char"/>
    <w:basedOn w:val="11"/>
    <w:link w:val="8"/>
    <w:semiHidden/>
    <w:qFormat/>
    <w:uiPriority w:val="9"/>
    <w:rPr>
      <w:rFonts w:eastAsiaTheme="majorEastAsia" w:cstheme="majorBidi"/>
      <w:color w:val="595959" w:themeColor="text1" w:themeTint="A6"/>
      <w:lang w:val="en-GB"/>
      <w14:textFill>
        <w14:solidFill>
          <w14:schemeClr w14:val="tx1">
            <w14:lumMod w14:val="65000"/>
            <w14:lumOff w14:val="35000"/>
          </w14:schemeClr>
        </w14:solidFill>
      </w14:textFill>
    </w:rPr>
  </w:style>
  <w:style w:type="character" w:customStyle="1" w:styleId="36">
    <w:name w:val="Heading 8 Char"/>
    <w:basedOn w:val="11"/>
    <w:link w:val="9"/>
    <w:semiHidden/>
    <w:qFormat/>
    <w:uiPriority w:val="9"/>
    <w:rPr>
      <w:rFonts w:eastAsiaTheme="majorEastAsia" w:cstheme="majorBidi"/>
      <w:i/>
      <w:iCs/>
      <w:color w:val="262626" w:themeColor="text1" w:themeTint="D9"/>
      <w:lang w:val="en-GB"/>
      <w14:textFill>
        <w14:solidFill>
          <w14:schemeClr w14:val="tx1">
            <w14:lumMod w14:val="85000"/>
            <w14:lumOff w14:val="15000"/>
          </w14:schemeClr>
        </w14:solidFill>
      </w14:textFill>
    </w:rPr>
  </w:style>
  <w:style w:type="character" w:customStyle="1" w:styleId="37">
    <w:name w:val="Heading 9 Char"/>
    <w:basedOn w:val="11"/>
    <w:link w:val="10"/>
    <w:semiHidden/>
    <w:qFormat/>
    <w:uiPriority w:val="9"/>
    <w:rPr>
      <w:rFonts w:eastAsiaTheme="majorEastAsia" w:cstheme="majorBidi"/>
      <w:color w:val="262626" w:themeColor="text1" w:themeTint="D9"/>
      <w:lang w:val="en-GB"/>
      <w14:textFill>
        <w14:solidFill>
          <w14:schemeClr w14:val="tx1">
            <w14:lumMod w14:val="85000"/>
            <w14:lumOff w14:val="15000"/>
          </w14:schemeClr>
        </w14:solidFill>
      </w14:textFill>
    </w:rPr>
  </w:style>
  <w:style w:type="character" w:customStyle="1" w:styleId="38">
    <w:name w:val="Title Char"/>
    <w:basedOn w:val="11"/>
    <w:link w:val="25"/>
    <w:qFormat/>
    <w:uiPriority w:val="10"/>
    <w:rPr>
      <w:rFonts w:asciiTheme="majorHAnsi" w:hAnsiTheme="majorHAnsi" w:eastAsiaTheme="majorEastAsia" w:cstheme="majorBidi"/>
      <w:spacing w:val="-10"/>
      <w:kern w:val="28"/>
      <w:sz w:val="56"/>
      <w:szCs w:val="56"/>
      <w:lang w:val="en-GB"/>
    </w:rPr>
  </w:style>
  <w:style w:type="character" w:customStyle="1" w:styleId="39">
    <w:name w:val="Subtitle Char"/>
    <w:basedOn w:val="11"/>
    <w:link w:val="22"/>
    <w:qFormat/>
    <w:uiPriority w:val="11"/>
    <w:rPr>
      <w:rFonts w:eastAsiaTheme="majorEastAsia" w:cstheme="majorBidi"/>
      <w:color w:val="595959" w:themeColor="text1" w:themeTint="A6"/>
      <w:spacing w:val="15"/>
      <w:sz w:val="28"/>
      <w:szCs w:val="28"/>
      <w:lang w:val="en-GB"/>
      <w14:textFill>
        <w14:solidFill>
          <w14:schemeClr w14:val="tx1">
            <w14:lumMod w14:val="65000"/>
            <w14:lumOff w14:val="35000"/>
          </w14:schemeClr>
        </w14:solidFill>
      </w14:textFill>
    </w:rPr>
  </w:style>
  <w:style w:type="paragraph" w:styleId="40">
    <w:name w:val="Quote"/>
    <w:basedOn w:val="1"/>
    <w:next w:val="1"/>
    <w:link w:val="4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1">
    <w:name w:val="Quote Char"/>
    <w:basedOn w:val="11"/>
    <w:link w:val="40"/>
    <w:qFormat/>
    <w:uiPriority w:val="29"/>
    <w:rPr>
      <w:i/>
      <w:iCs/>
      <w:color w:val="404040" w:themeColor="text1" w:themeTint="BF"/>
      <w:lang w:val="en-GB"/>
      <w14:textFill>
        <w14:solidFill>
          <w14:schemeClr w14:val="tx1">
            <w14:lumMod w14:val="75000"/>
            <w14:lumOff w14:val="25000"/>
          </w14:schemeClr>
        </w14:solidFill>
      </w14:textFill>
    </w:rPr>
  </w:style>
  <w:style w:type="paragraph" w:styleId="42">
    <w:name w:val="List Paragraph"/>
    <w:basedOn w:val="1"/>
    <w:qFormat/>
    <w:uiPriority w:val="34"/>
    <w:pPr>
      <w:ind w:left="720"/>
      <w:contextualSpacing/>
    </w:pPr>
  </w:style>
  <w:style w:type="character" w:customStyle="1" w:styleId="43">
    <w:name w:val="Intense Emphasis1"/>
    <w:basedOn w:val="11"/>
    <w:qFormat/>
    <w:uiPriority w:val="21"/>
    <w:rPr>
      <w:i/>
      <w:iCs/>
      <w:color w:val="2F5597" w:themeColor="accent1" w:themeShade="BF"/>
    </w:rPr>
  </w:style>
  <w:style w:type="paragraph" w:styleId="44">
    <w:name w:val="Intense Quote"/>
    <w:basedOn w:val="1"/>
    <w:next w:val="1"/>
    <w:link w:val="4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5">
    <w:name w:val="Intense Quote Char"/>
    <w:basedOn w:val="11"/>
    <w:link w:val="44"/>
    <w:qFormat/>
    <w:uiPriority w:val="30"/>
    <w:rPr>
      <w:i/>
      <w:iCs/>
      <w:color w:val="2F5597" w:themeColor="accent1" w:themeShade="BF"/>
      <w:lang w:val="en-GB"/>
    </w:rPr>
  </w:style>
  <w:style w:type="character" w:customStyle="1" w:styleId="46">
    <w:name w:val="Intense Reference1"/>
    <w:basedOn w:val="11"/>
    <w:qFormat/>
    <w:uiPriority w:val="32"/>
    <w:rPr>
      <w:b/>
      <w:bCs/>
      <w:smallCaps/>
      <w:color w:val="2F5597" w:themeColor="accent1" w:themeShade="BF"/>
      <w:spacing w:val="5"/>
    </w:rPr>
  </w:style>
  <w:style w:type="character" w:customStyle="1" w:styleId="47">
    <w:name w:val="Header Char"/>
    <w:basedOn w:val="11"/>
    <w:link w:val="18"/>
    <w:qFormat/>
    <w:uiPriority w:val="99"/>
    <w:rPr>
      <w:lang w:val="en-GB"/>
    </w:rPr>
  </w:style>
  <w:style w:type="character" w:customStyle="1" w:styleId="48">
    <w:name w:val="Footer Char"/>
    <w:basedOn w:val="11"/>
    <w:link w:val="17"/>
    <w:qFormat/>
    <w:uiPriority w:val="99"/>
    <w:rPr>
      <w:lang w:val="en-GB"/>
    </w:rPr>
  </w:style>
  <w:style w:type="character" w:customStyle="1" w:styleId="49">
    <w:name w:val="Body Text Char"/>
    <w:basedOn w:val="11"/>
    <w:link w:val="13"/>
    <w:qFormat/>
    <w:uiPriority w:val="0"/>
    <w:rPr>
      <w:rFonts w:ascii=".VnTime" w:hAnsi=".VnTime" w:eastAsia="Times New Roman" w:cs=".VnTime"/>
      <w:kern w:val="0"/>
      <w:sz w:val="28"/>
      <w:szCs w:val="28"/>
      <w:lang w:eastAsia="en-US"/>
      <w14:ligatures w14:val="none"/>
    </w:rPr>
  </w:style>
  <w:style w:type="paragraph" w:customStyle="1" w:styleId="50">
    <w:name w:val="TOC Heading1"/>
    <w:basedOn w:val="2"/>
    <w:next w:val="1"/>
    <w:unhideWhenUsed/>
    <w:qFormat/>
    <w:uiPriority w:val="39"/>
    <w:pPr>
      <w:spacing w:before="240" w:after="0"/>
      <w:jc w:val="left"/>
      <w:outlineLvl w:val="9"/>
    </w:pPr>
    <w:rPr>
      <w:rFonts w:asciiTheme="majorHAnsi" w:hAnsiTheme="majorHAnsi"/>
      <w:b w:val="0"/>
      <w:color w:val="2F5597" w:themeColor="accent1" w:themeShade="BF"/>
      <w:kern w:val="0"/>
      <w:szCs w:val="32"/>
      <w14:ligatures w14:val="none"/>
    </w:rPr>
  </w:style>
  <w:style w:type="character" w:customStyle="1" w:styleId="51">
    <w:name w:val="apple-tab-span"/>
    <w:basedOn w:val="11"/>
    <w:qFormat/>
    <w:uiPriority w:val="0"/>
  </w:style>
  <w:style w:type="character" w:customStyle="1" w:styleId="52">
    <w:name w:val="Date Char"/>
    <w:basedOn w:val="11"/>
    <w:link w:val="15"/>
    <w:semiHidden/>
    <w:qFormat/>
    <w:uiPriority w:val="99"/>
    <w:rPr>
      <w:lang w:val="en-GB"/>
    </w:rPr>
  </w:style>
  <w:style w:type="paragraph" w:customStyle="1" w:styleId="53">
    <w:name w:val="RALs-HeadingsNoIndent"/>
    <w:basedOn w:val="1"/>
    <w:next w:val="54"/>
    <w:qFormat/>
    <w:uiPriority w:val="0"/>
    <w:pPr>
      <w:keepNext/>
      <w:spacing w:before="240"/>
      <w:ind w:firstLine="0"/>
    </w:pPr>
    <w:rPr>
      <w:b/>
      <w:bCs/>
    </w:rPr>
  </w:style>
  <w:style w:type="paragraph" w:customStyle="1" w:styleId="54">
    <w:name w:val="RALs-Normal-NoIndent"/>
    <w:basedOn w:val="1"/>
    <w:qFormat/>
    <w:uiPriority w:val="0"/>
    <w:pPr>
      <w:ind w:firstLine="0"/>
    </w:pPr>
  </w:style>
  <w:style w:type="paragraph" w:customStyle="1" w:styleId="55">
    <w:name w:val="RALs-ReferencesList"/>
    <w:basedOn w:val="1"/>
    <w:qFormat/>
    <w:uiPriority w:val="0"/>
    <w:pPr>
      <w:spacing w:after="100"/>
      <w:ind w:left="426" w:hanging="426"/>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A0DBB-83CF-4CFD-ADBC-DEF0C0960A95}">
  <ds:schemaRefs/>
</ds:datastoreItem>
</file>

<file path=docProps/app.xml><?xml version="1.0" encoding="utf-8"?>
<Properties xmlns="http://schemas.openxmlformats.org/officeDocument/2006/extended-properties" xmlns:vt="http://schemas.openxmlformats.org/officeDocument/2006/docPropsVTypes">
  <Template>Normal</Template>
  <Pages>20</Pages>
  <Words>6070</Words>
  <Characters>34604</Characters>
  <Lines>288</Lines>
  <Paragraphs>81</Paragraphs>
  <TotalTime>71</TotalTime>
  <ScaleCrop>false</ScaleCrop>
  <LinksUpToDate>false</LinksUpToDate>
  <CharactersWithSpaces>40593</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2025-05-02T12:23:00Z</dcterms:created>
  <dc:creator>VAN TRUONG</dc:creator>
  <cp:lastModifiedBy>Duc Le</cp:lastModifiedBy>
  <cp:lastPrinted>2025-05-07T12:54:00Z</cp:lastPrinted>
  <dcterms:modified xsi:type="dcterms:W3CDTF">2025-07-09T08:39:48Z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FFEF313F64264BFF85861CD3577874B7_12</vt:lpwstr>
  </property>
</Properties>
</file>