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EAC5" w14:textId="1271A57C" w:rsidR="001247D4" w:rsidRDefault="009D286F" w:rsidP="009D286F">
      <w:pPr>
        <w:pStyle w:val="Title"/>
        <w:rPr>
          <w:lang w:val="en-US"/>
        </w:rPr>
      </w:pPr>
      <w:r w:rsidRPr="009D286F">
        <w:t>Breaking the translation barrier: Implementing the Direct Method to enhance communicative competence in Vietnamese higher education</w:t>
      </w:r>
    </w:p>
    <w:p w14:paraId="28F9A56C" w14:textId="77777777" w:rsidR="00AA7BF5" w:rsidRDefault="00BB6097" w:rsidP="00AA7BF5">
      <w:pPr>
        <w:spacing w:after="0" w:afterAutospacing="0"/>
        <w:jc w:val="center"/>
        <w:rPr>
          <w:sz w:val="22"/>
          <w:szCs w:val="16"/>
          <w:lang w:val="en-US"/>
        </w:rPr>
      </w:pPr>
      <w:r w:rsidRPr="00AA7BF5">
        <w:rPr>
          <w:sz w:val="22"/>
          <w:szCs w:val="16"/>
          <w:lang w:val="en-US"/>
        </w:rPr>
        <w:t>Nguyen Le Tuong Vy,</w:t>
      </w:r>
      <w:r w:rsidR="001F0BAE" w:rsidRPr="00AA7BF5">
        <w:rPr>
          <w:sz w:val="22"/>
          <w:szCs w:val="16"/>
          <w:lang w:val="en-US"/>
        </w:rPr>
        <w:t xml:space="preserve"> </w:t>
      </w:r>
      <w:r w:rsidR="00D03D1A" w:rsidRPr="00AA7BF5">
        <w:rPr>
          <w:sz w:val="22"/>
          <w:szCs w:val="16"/>
          <w:lang w:val="en-US"/>
        </w:rPr>
        <w:t>Master of Arts in English Linguistics</w:t>
      </w:r>
      <w:r w:rsidR="001F0BAE" w:rsidRPr="00AA7BF5">
        <w:rPr>
          <w:sz w:val="22"/>
          <w:szCs w:val="16"/>
          <w:lang w:val="en-US"/>
        </w:rPr>
        <w:t>,</w:t>
      </w:r>
    </w:p>
    <w:p w14:paraId="14761C3D" w14:textId="5D8095A4" w:rsidR="00BB6097" w:rsidRPr="00AA7BF5" w:rsidRDefault="00BB6097" w:rsidP="00D03D1A">
      <w:pPr>
        <w:jc w:val="center"/>
        <w:rPr>
          <w:sz w:val="22"/>
          <w:szCs w:val="16"/>
          <w:lang w:val="en-US"/>
        </w:rPr>
      </w:pPr>
      <w:r w:rsidRPr="00AA7BF5">
        <w:rPr>
          <w:sz w:val="22"/>
          <w:szCs w:val="16"/>
          <w:lang w:val="en-US"/>
        </w:rPr>
        <w:t>Victoria College of Aviation</w:t>
      </w:r>
      <w:r w:rsidR="001F0BAE" w:rsidRPr="00AA7BF5">
        <w:rPr>
          <w:sz w:val="22"/>
          <w:szCs w:val="16"/>
          <w:lang w:val="en-US"/>
        </w:rPr>
        <w:t xml:space="preserve"> and Technology</w:t>
      </w:r>
    </w:p>
    <w:p w14:paraId="7505C9F0" w14:textId="77777777" w:rsidR="00AA7BF5" w:rsidRDefault="00D03D1A" w:rsidP="00AA7BF5">
      <w:pPr>
        <w:spacing w:after="0" w:afterAutospacing="0"/>
        <w:jc w:val="center"/>
        <w:rPr>
          <w:sz w:val="22"/>
          <w:szCs w:val="16"/>
          <w:lang w:val="en-US"/>
        </w:rPr>
      </w:pPr>
      <w:r w:rsidRPr="00AA7BF5">
        <w:rPr>
          <w:sz w:val="22"/>
          <w:szCs w:val="16"/>
          <w:lang w:val="en-US"/>
        </w:rPr>
        <w:t xml:space="preserve">Marcos Ricardo Duarte Alcala, </w:t>
      </w:r>
      <w:r w:rsidRPr="00AA7BF5">
        <w:rPr>
          <w:sz w:val="22"/>
          <w:szCs w:val="16"/>
          <w:lang w:val="en-US"/>
        </w:rPr>
        <w:t>Master of Arts in Linguistics</w:t>
      </w:r>
      <w:r w:rsidRPr="00AA7BF5">
        <w:rPr>
          <w:sz w:val="22"/>
          <w:szCs w:val="16"/>
          <w:lang w:val="en-US"/>
        </w:rPr>
        <w:t>,</w:t>
      </w:r>
    </w:p>
    <w:p w14:paraId="19595795" w14:textId="57305A51" w:rsidR="00D03D1A" w:rsidRPr="00AA7BF5" w:rsidRDefault="00D03D1A" w:rsidP="00D03D1A">
      <w:pPr>
        <w:jc w:val="center"/>
        <w:rPr>
          <w:sz w:val="24"/>
          <w:szCs w:val="18"/>
          <w:lang w:val="en-US"/>
        </w:rPr>
      </w:pPr>
      <w:r w:rsidRPr="00AA7BF5">
        <w:rPr>
          <w:sz w:val="22"/>
          <w:szCs w:val="16"/>
          <w:lang w:val="en-US"/>
        </w:rPr>
        <w:t>Apollo Education and Training Organization Vietnam</w:t>
      </w:r>
    </w:p>
    <w:p w14:paraId="1B0DCF41" w14:textId="4C1F9C20" w:rsidR="009D286F" w:rsidRDefault="009D286F" w:rsidP="009D286F">
      <w:pPr>
        <w:pStyle w:val="Heading1"/>
        <w:rPr>
          <w:lang w:val="en-US"/>
        </w:rPr>
      </w:pPr>
      <w:r>
        <w:rPr>
          <w:lang w:val="en-US"/>
        </w:rPr>
        <w:t>Abstract</w:t>
      </w:r>
    </w:p>
    <w:p w14:paraId="561BBD22" w14:textId="6B253F3C" w:rsidR="004C5B3E" w:rsidRPr="004C5B3E" w:rsidRDefault="004C5B3E" w:rsidP="004C5B3E">
      <w:pPr>
        <w:ind w:firstLine="720"/>
        <w:rPr>
          <w:lang w:val="en-US"/>
        </w:rPr>
      </w:pPr>
      <w:r w:rsidRPr="004C5B3E">
        <w:rPr>
          <w:lang w:val="en-US"/>
        </w:rPr>
        <w:t xml:space="preserve">Despite years of mandatory instruction, many Vietnamese university graduates remain unable to communicate effectively in English, a failure largely attributable to the entrenched dominance of the Grammar-Translation method. This paper argues that the path to genuine fluency lies in the rigorous application of the Direct Method in teaching English to speakers of other languages (TESOL), moving beyond structural analysis to total linguistic immersion. We examine the cognitive interference caused by first language (L1) dependency, demonstrating how mental translation inhibits the development of spontaneous speech and listening reflexes. The study proposes a practical framework for implementing the Direct Method in the modern Vietnamese classroom, emphasizing the exclusive use of the target language, inductive grammar instruction, and the development of strategic competence through intensive question-and-answer exchanges. Furthermore, </w:t>
      </w:r>
      <w:r>
        <w:rPr>
          <w:lang w:val="en-US"/>
        </w:rPr>
        <w:t>the author</w:t>
      </w:r>
      <w:r w:rsidRPr="004C5B3E">
        <w:rPr>
          <w:lang w:val="en-US"/>
        </w:rPr>
        <w:t xml:space="preserve"> explore</w:t>
      </w:r>
      <w:r w:rsidR="001C099A">
        <w:rPr>
          <w:lang w:val="en-US"/>
        </w:rPr>
        <w:t>s</w:t>
      </w:r>
      <w:r w:rsidRPr="004C5B3E">
        <w:rPr>
          <w:lang w:val="en-US"/>
        </w:rPr>
        <w:t xml:space="preserve"> how digital transformation – specifically through Learning Management Systems (LMS) and gamified platforms – serves as a critical enabler of this method, providing the objective, high-frequency input necessary to bypass the safety bias inherent in traditional grading. By shifting the pedagogical focus from linguistic knowledge to communicative performance, this approach not only aligns with the biological reality of language acquisition but also empowers educators to evaluate students based on their actual proficiency rather than administrative caution.</w:t>
      </w:r>
    </w:p>
    <w:p w14:paraId="6BEE0DF5" w14:textId="77777777" w:rsidR="00A56BD8" w:rsidRDefault="004C5B3E" w:rsidP="004C5B3E">
      <w:pPr>
        <w:rPr>
          <w:lang w:val="en-US"/>
        </w:rPr>
        <w:sectPr w:rsidR="00A56BD8" w:rsidSect="00815E97">
          <w:headerReference w:type="default" r:id="rId8"/>
          <w:pgSz w:w="12240" w:h="15840"/>
          <w:pgMar w:top="1134" w:right="851" w:bottom="1134" w:left="1701" w:header="720" w:footer="720" w:gutter="0"/>
          <w:cols w:space="720"/>
          <w:docGrid w:linePitch="360"/>
        </w:sectPr>
      </w:pPr>
      <w:r w:rsidRPr="001C099A">
        <w:rPr>
          <w:i/>
          <w:iCs/>
          <w:lang w:val="en-US"/>
        </w:rPr>
        <w:t>Keywords</w:t>
      </w:r>
      <w:r w:rsidRPr="004C5B3E">
        <w:rPr>
          <w:lang w:val="en-US"/>
        </w:rPr>
        <w:t>: Direct Method, Higher Education in Vietnam, Communicative competence, LMS, TESOL</w:t>
      </w:r>
    </w:p>
    <w:p w14:paraId="523CB957" w14:textId="047071F4" w:rsidR="009D286F" w:rsidRDefault="008F5A13" w:rsidP="00A56BD8">
      <w:pPr>
        <w:pStyle w:val="Heading1"/>
        <w:rPr>
          <w:lang w:val="en-US"/>
        </w:rPr>
      </w:pPr>
      <w:r>
        <w:rPr>
          <w:lang w:val="en-US"/>
        </w:rPr>
        <w:lastRenderedPageBreak/>
        <w:t>1. Introduction</w:t>
      </w:r>
    </w:p>
    <w:p w14:paraId="1C7EA7E8" w14:textId="77777777" w:rsidR="00B10543" w:rsidRPr="00B10543" w:rsidRDefault="00B10543" w:rsidP="00064D2A">
      <w:pPr>
        <w:ind w:firstLine="720"/>
        <w:rPr>
          <w:lang w:val="en-US"/>
        </w:rPr>
      </w:pPr>
      <w:r w:rsidRPr="00B10543">
        <w:rPr>
          <w:lang w:val="en-US"/>
        </w:rPr>
        <w:t>Despite years of mandatory English instruction extending from primary education through university, a paradoxical phenomenon persists within Vietnamese higher education, often characterized as the persistent beginner syndrome. Many graduates, despite possessing extensive vocabularies, remain unable to communicate effectively or spontaneously in the target language. This pervasive failure is largely attributable to the entrenched dominance of the Grammar-Translation method. This traditional approach inadvertently forces students to treat English as a static discipline, compelling them to memorize grammatical structures as if they were rigid mathematical formulas.</w:t>
      </w:r>
    </w:p>
    <w:p w14:paraId="05298BF9" w14:textId="77777777" w:rsidR="00B10543" w:rsidRPr="00B10543" w:rsidRDefault="00B10543" w:rsidP="00064D2A">
      <w:pPr>
        <w:ind w:firstLine="720"/>
        <w:rPr>
          <w:lang w:val="en-US"/>
        </w:rPr>
      </w:pPr>
      <w:r w:rsidRPr="00B10543">
        <w:rPr>
          <w:lang w:val="en-US"/>
        </w:rPr>
        <w:t>Consequently, a profound psychological barrier takes root. Rather than engaging with English as a dynamic medium for communication, learners face intense hesitation and anxiety when attempting to construct sentences in real time. This preoccupation with structural accuracy over-activates the conscious mind, paralyzing students with the constant over-analysis of rules and severely impeding their spontaneous speech production.</w:t>
      </w:r>
    </w:p>
    <w:p w14:paraId="58D10810" w14:textId="77777777" w:rsidR="00B10543" w:rsidRPr="00B10543" w:rsidRDefault="00B10543" w:rsidP="00064D2A">
      <w:pPr>
        <w:ind w:firstLine="720"/>
        <w:rPr>
          <w:lang w:val="en-US"/>
        </w:rPr>
      </w:pPr>
      <w:r w:rsidRPr="00B10543">
        <w:rPr>
          <w:lang w:val="en-US"/>
        </w:rPr>
        <w:t>To overcome this cognitive translation barrier, the author argues for the rigorous implementation of the Direct Method. The core premise of this pedagogical framework relies on total linguistic immersion, strictly prohibiting the use of the mother tongue in the classroom. By forcing the learner to associate the target language directly with concepts and objects, the Direct Method completely bypasses the mental translation matrix. It demands immediate, immersive language use, transforming English from a foreign subject to be studied into a necessary, living tool for social interaction and academic survival.</w:t>
      </w:r>
    </w:p>
    <w:p w14:paraId="3A28024E" w14:textId="401DCAD6" w:rsidR="00B10543" w:rsidRPr="00B10543" w:rsidRDefault="00B10543" w:rsidP="00064D2A">
      <w:pPr>
        <w:ind w:firstLine="720"/>
        <w:rPr>
          <w:lang w:val="en-US"/>
        </w:rPr>
      </w:pPr>
      <w:r w:rsidRPr="00B10543">
        <w:rPr>
          <w:lang w:val="en-US"/>
        </w:rPr>
        <w:t>While the pedagogical benefits of total immersion are well-documented, enforcing such an environment can be highly demanding for the lecturer. Fortunately, modern digital transformation serves as a critical enabler, alleviating the dual cognitive burden typically imposed on educators who must otherwise constantly navigate translation and act as real-time bilingual dictionaries. Vietnamese institutions are already establishing the necessary digital infrastructure; for example, Ho Chi Minh City University of Foreign Languages and Information Technology utilizes specialized portals like courses.huflit.edu.vn and tari.huflit.edu.vn, while Tra Vinh University employs its central hub at lmstvu.onschool.edu.vn. By integrating gamified platforms such as Kahoot</w:t>
      </w:r>
      <w:r>
        <w:t>!</w:t>
      </w:r>
      <w:r w:rsidRPr="00B10543">
        <w:rPr>
          <w:lang w:val="en-US"/>
        </w:rPr>
        <w:t xml:space="preserve"> or Blooket into these </w:t>
      </w:r>
      <w:r>
        <w:t>LMS</w:t>
      </w:r>
      <w:r w:rsidRPr="00B10543">
        <w:rPr>
          <w:lang w:val="en-US"/>
        </w:rPr>
        <w:t>s, lecturers can demand rapid, reflexive responses from students. This integration not only breaks the native language translation habit but also delegates the repetitive mechanics of engagement to technology, freeing the lecturer to focus purely on communicative facilitation. As a secondary benefit, these digital platforms generate objective assessment data, helping educators gradually bypass the systemic conservative grading tendencies and risk-averse evaluation cultures inadvertently fostered by regulatory frameworks like Circular 08/2021/TT-BGDĐT.</w:t>
      </w:r>
    </w:p>
    <w:p w14:paraId="00C2678B" w14:textId="491AFB7C" w:rsidR="008E03FD" w:rsidRPr="008E03FD" w:rsidRDefault="00B10543" w:rsidP="00064D2A">
      <w:pPr>
        <w:ind w:firstLine="720"/>
        <w:rPr>
          <w:lang w:val="en-US"/>
        </w:rPr>
      </w:pPr>
      <w:r w:rsidRPr="00B10543">
        <w:rPr>
          <w:lang w:val="en-US"/>
        </w:rPr>
        <w:t xml:space="preserve">Ultimately, the path to genuine fluency requires a fundamental shift in how language is processed and practiced. By examining the cognitive interference caused by first-language </w:t>
      </w:r>
      <w:r w:rsidRPr="00B10543">
        <w:rPr>
          <w:lang w:val="en-US"/>
        </w:rPr>
        <w:lastRenderedPageBreak/>
        <w:t>dependency and proposing a digitally supported, immersive framework, this paper posits that lecturers can completely dismantle the translation barrier, moving beyond structural analysis to foster authentic, spontaneous communicative competence</w:t>
      </w:r>
      <w:r w:rsidR="0056390D" w:rsidRPr="0056390D">
        <w:rPr>
          <w:lang w:val="en-US"/>
        </w:rPr>
        <w:t>.</w:t>
      </w:r>
    </w:p>
    <w:p w14:paraId="187DB344" w14:textId="181F6931" w:rsidR="008F5A13" w:rsidRDefault="008F5A13">
      <w:pPr>
        <w:pStyle w:val="Heading1"/>
        <w:rPr>
          <w:lang w:val="en-US"/>
        </w:rPr>
      </w:pPr>
      <w:r>
        <w:rPr>
          <w:lang w:val="en-US"/>
        </w:rPr>
        <w:t>2. Literature review</w:t>
      </w:r>
    </w:p>
    <w:p w14:paraId="142A004F" w14:textId="497246D5" w:rsidR="00FB1DD4" w:rsidRPr="00FB1DD4" w:rsidRDefault="00FB1DD4" w:rsidP="00FB1DD4">
      <w:pPr>
        <w:pStyle w:val="Heading2"/>
        <w:rPr>
          <w:lang w:val="en-US"/>
        </w:rPr>
      </w:pPr>
      <w:r w:rsidRPr="00FB1DD4">
        <w:rPr>
          <w:lang w:val="en-US"/>
        </w:rPr>
        <w:t>2.1. Crosslinguistic influence and translation matrix</w:t>
      </w:r>
    </w:p>
    <w:p w14:paraId="289448FF" w14:textId="77777777" w:rsidR="006C4BBD" w:rsidRPr="006C4BBD" w:rsidRDefault="0026294A" w:rsidP="00064D2A">
      <w:pPr>
        <w:ind w:firstLine="720"/>
        <w:rPr>
          <w:lang w:val="en-US"/>
        </w:rPr>
      </w:pPr>
      <w:r w:rsidRPr="0026294A">
        <w:rPr>
          <w:lang w:val="en-US"/>
        </w:rPr>
        <w:t xml:space="preserve">A central obstacle to achieving communicative competence in Vietnamese higher education is the profound impact of crosslinguistic influence and </w:t>
      </w:r>
      <w:r>
        <w:t>L1</w:t>
      </w:r>
      <w:r w:rsidRPr="0026294A">
        <w:rPr>
          <w:lang w:val="en-US"/>
        </w:rPr>
        <w:t xml:space="preserve"> interference</w:t>
      </w:r>
      <w:r w:rsidR="00FB1DD4" w:rsidRPr="00FB1DD4">
        <w:rPr>
          <w:lang w:val="en-US"/>
        </w:rPr>
        <w:t xml:space="preserve"> </w:t>
      </w:r>
      <w:r w:rsidR="00E303DD">
        <w:rPr>
          <w:lang w:val="en-US"/>
        </w:rPr>
        <w:t>[</w:t>
      </w:r>
      <w:sdt>
        <w:sdtPr>
          <w:rPr>
            <w:lang w:val="en-US"/>
          </w:rPr>
          <w:id w:val="924688387"/>
          <w:citation/>
        </w:sdtPr>
        <w:sdtContent>
          <w:r w:rsidR="00E303DD">
            <w:rPr>
              <w:lang w:val="en-US"/>
            </w:rPr>
            <w:fldChar w:fldCharType="begin"/>
          </w:r>
          <w:r w:rsidR="00E303DD">
            <w:rPr>
              <w:lang w:val="en-US"/>
            </w:rPr>
            <w:instrText xml:space="preserve"> CITATION Ell94 \l 1033 </w:instrText>
          </w:r>
          <w:r w:rsidR="00E303DD">
            <w:rPr>
              <w:lang w:val="en-US"/>
            </w:rPr>
            <w:fldChar w:fldCharType="separate"/>
          </w:r>
          <w:r w:rsidR="00E303DD">
            <w:rPr>
              <w:lang w:val="en-US"/>
            </w:rPr>
            <w:t xml:space="preserve"> </w:t>
          </w:r>
          <w:r w:rsidR="00E303DD" w:rsidRPr="00E303DD">
            <w:rPr>
              <w:lang w:val="en-US"/>
            </w:rPr>
            <w:t>(Ellis, 1994)</w:t>
          </w:r>
          <w:r w:rsidR="00E303DD">
            <w:rPr>
              <w:lang w:val="en-US"/>
            </w:rPr>
            <w:fldChar w:fldCharType="end"/>
          </w:r>
        </w:sdtContent>
      </w:sdt>
      <w:r w:rsidR="00FB1DD4" w:rsidRPr="00FB1DD4">
        <w:rPr>
          <w:lang w:val="en-US"/>
        </w:rPr>
        <w:t xml:space="preserve">; </w:t>
      </w:r>
      <w:sdt>
        <w:sdtPr>
          <w:rPr>
            <w:lang w:val="en-US"/>
          </w:rPr>
          <w:id w:val="833424431"/>
          <w:citation/>
        </w:sdtPr>
        <w:sdtContent>
          <w:r w:rsidR="009F3908">
            <w:rPr>
              <w:lang w:val="en-US"/>
            </w:rPr>
            <w:fldChar w:fldCharType="begin"/>
          </w:r>
          <w:r w:rsidR="009F3908">
            <w:rPr>
              <w:lang w:val="en-US"/>
            </w:rPr>
            <w:instrText xml:space="preserve"> CITATION Lig \l 1033 </w:instrText>
          </w:r>
          <w:r w:rsidR="009F3908">
            <w:rPr>
              <w:lang w:val="en-US"/>
            </w:rPr>
            <w:fldChar w:fldCharType="separate"/>
          </w:r>
          <w:r w:rsidR="009F3908" w:rsidRPr="009F3908">
            <w:rPr>
              <w:lang w:val="en-US"/>
            </w:rPr>
            <w:t>(Lightbown &amp; Spada, 2006)</w:t>
          </w:r>
          <w:r w:rsidR="009F3908">
            <w:rPr>
              <w:lang w:val="en-US"/>
            </w:rPr>
            <w:fldChar w:fldCharType="end"/>
          </w:r>
        </w:sdtContent>
      </w:sdt>
      <w:r w:rsidR="00E303DD">
        <w:rPr>
          <w:lang w:val="en-US"/>
        </w:rPr>
        <w:t>]</w:t>
      </w:r>
      <w:r w:rsidR="00FB1DD4" w:rsidRPr="00FB1DD4">
        <w:rPr>
          <w:lang w:val="en-US"/>
        </w:rPr>
        <w:t xml:space="preserve">. </w:t>
      </w:r>
      <w:r w:rsidR="006C4BBD" w:rsidRPr="006C4BBD">
        <w:rPr>
          <w:lang w:val="en-US"/>
        </w:rPr>
        <w:t>In traditional Grammar-Translation classrooms, learners develop a detrimental cognitive dependency best conceptualized as the translation matrix. Instead of mapping a target language word directly to its real-world concept, the learner processes input through a convoluted intermediary step involving their native language. Specifically, English input is converted to a Vietnamese translation, which is then finally mapped to the conceptual realization, and the reverse occurs during speech production.</w:t>
      </w:r>
    </w:p>
    <w:p w14:paraId="6DCFD963" w14:textId="26BFA512" w:rsidR="00FB1DD4" w:rsidRPr="00FB1DD4" w:rsidRDefault="006C4BBD" w:rsidP="00064D2A">
      <w:pPr>
        <w:ind w:firstLine="720"/>
        <w:rPr>
          <w:lang w:val="en-US"/>
        </w:rPr>
      </w:pPr>
      <w:r w:rsidRPr="006C4BBD">
        <w:rPr>
          <w:lang w:val="en-US"/>
        </w:rPr>
        <w:t xml:space="preserve">This prolonged neurological routing inherently prevents the spontaneity required for natural conversation. As </w:t>
      </w:r>
      <w:sdt>
        <w:sdtPr>
          <w:rPr>
            <w:lang w:val="en-US"/>
          </w:rPr>
          <w:id w:val="-1627469803"/>
          <w:citation/>
        </w:sdtPr>
        <w:sdtContent>
          <w:r>
            <w:rPr>
              <w:lang w:val="en-US"/>
            </w:rPr>
            <w:fldChar w:fldCharType="begin"/>
          </w:r>
          <w:r>
            <w:instrText xml:space="preserve"> CITATION Loe11 \l 1066 </w:instrText>
          </w:r>
          <w:r>
            <w:rPr>
              <w:lang w:val="en-US"/>
            </w:rPr>
            <w:fldChar w:fldCharType="separate"/>
          </w:r>
          <w:r>
            <w:t>(Loewen &amp; Reinders, 2011)</w:t>
          </w:r>
          <w:r>
            <w:rPr>
              <w:lang w:val="en-US"/>
            </w:rPr>
            <w:fldChar w:fldCharType="end"/>
          </w:r>
        </w:sdtContent>
      </w:sdt>
      <w:r w:rsidRPr="006C4BBD">
        <w:rPr>
          <w:lang w:val="en-US"/>
        </w:rPr>
        <w:t xml:space="preserve"> note, an over-reliance on the first language inhibits the automaticity of second-language retrieval, trapping learners in a state of perpetual conscious translation and elevated psychological hesitation. The cognitive load required to maintain this tripartite processing system exhausts working memory, leading to communication breakdowns, severe anxiety, and unnatural pauses during real-time discourse</w:t>
      </w:r>
      <w:r w:rsidR="00FB1DD4" w:rsidRPr="00FB1DD4">
        <w:rPr>
          <w:lang w:val="en-US"/>
        </w:rPr>
        <w:t>.</w:t>
      </w:r>
    </w:p>
    <w:p w14:paraId="59D3AF70" w14:textId="23B25A37" w:rsidR="00FB1DD4" w:rsidRPr="00FB1DD4" w:rsidRDefault="00FB1DD4" w:rsidP="00FB1DD4">
      <w:pPr>
        <w:pStyle w:val="Heading2"/>
        <w:rPr>
          <w:lang w:val="en-US"/>
        </w:rPr>
      </w:pPr>
      <w:r w:rsidRPr="00FB1DD4">
        <w:rPr>
          <w:lang w:val="en-US"/>
        </w:rPr>
        <w:t>2.2. SLA theories: natural order, critical period, and communicative competence</w:t>
      </w:r>
    </w:p>
    <w:p w14:paraId="6271A178" w14:textId="6C631F20" w:rsidR="006C4BBD" w:rsidRPr="006C4BBD" w:rsidRDefault="006C4BBD" w:rsidP="00064D2A">
      <w:pPr>
        <w:ind w:firstLine="720"/>
        <w:rPr>
          <w:lang w:val="en-US"/>
        </w:rPr>
      </w:pPr>
      <w:r w:rsidRPr="006C4BBD">
        <w:rPr>
          <w:lang w:val="en-US"/>
        </w:rPr>
        <w:t xml:space="preserve">To dismantle this cognitive matrix, pedagogical approaches must align with the biological and developmental realities of language acquisition. The Critical Period Hypothesis posits that natural, native-like language acquisition becomes significantly more difficult after neurological maturation </w:t>
      </w:r>
      <w:r>
        <w:t>[</w:t>
      </w:r>
      <w:sdt>
        <w:sdtPr>
          <w:id w:val="257871591"/>
          <w:citation/>
        </w:sdtPr>
        <w:sdtContent>
          <w:r>
            <w:fldChar w:fldCharType="begin"/>
          </w:r>
          <w:r>
            <w:instrText xml:space="preserve"> CITATION Fry77 \l 1066 </w:instrText>
          </w:r>
          <w:r>
            <w:fldChar w:fldCharType="separate"/>
          </w:r>
          <w:r>
            <w:t xml:space="preserve"> (Fry, 1977)</w:t>
          </w:r>
          <w:r>
            <w:fldChar w:fldCharType="end"/>
          </w:r>
        </w:sdtContent>
      </w:sdt>
      <w:r w:rsidRPr="006C4BBD">
        <w:rPr>
          <w:lang w:val="en-US"/>
        </w:rPr>
        <w:t xml:space="preserve">; </w:t>
      </w:r>
      <w:sdt>
        <w:sdtPr>
          <w:rPr>
            <w:lang w:val="en-US"/>
          </w:rPr>
          <w:id w:val="-625623943"/>
          <w:citation/>
        </w:sdtPr>
        <w:sdtContent>
          <w:r>
            <w:rPr>
              <w:lang w:val="en-US"/>
            </w:rPr>
            <w:fldChar w:fldCharType="begin"/>
          </w:r>
          <w:r>
            <w:instrText xml:space="preserve"> CITATION Lig10 \l 1066 </w:instrText>
          </w:r>
          <w:r>
            <w:rPr>
              <w:lang w:val="en-US"/>
            </w:rPr>
            <w:fldChar w:fldCharType="separate"/>
          </w:r>
          <w:r>
            <w:t>(Lightfoot, 2010)</w:t>
          </w:r>
          <w:r>
            <w:rPr>
              <w:lang w:val="en-US"/>
            </w:rPr>
            <w:fldChar w:fldCharType="end"/>
          </w:r>
        </w:sdtContent>
      </w:sdt>
      <w:r>
        <w:t>]</w:t>
      </w:r>
      <w:r w:rsidRPr="006C4BBD">
        <w:rPr>
          <w:lang w:val="en-US"/>
        </w:rPr>
        <w:t xml:space="preserve">. Because university students have long passed this optimal biological window of neuroplasticity, their default cognitive mechanism is to rely heavily on their fully developed native language networks unless artificially constrained by the learning environment. Furthermore, research into the natural order of acquisition </w:t>
      </w:r>
      <w:r>
        <w:t>[</w:t>
      </w:r>
      <w:sdt>
        <w:sdtPr>
          <w:id w:val="1558285254"/>
          <w:citation/>
        </w:sdtPr>
        <w:sdtContent>
          <w:r>
            <w:fldChar w:fldCharType="begin"/>
          </w:r>
          <w:r>
            <w:instrText xml:space="preserve"> CITATION Bro73 \l 1066 </w:instrText>
          </w:r>
          <w:r>
            <w:fldChar w:fldCharType="separate"/>
          </w:r>
          <w:r>
            <w:t xml:space="preserve"> (Brown, 1973)</w:t>
          </w:r>
          <w:r>
            <w:fldChar w:fldCharType="end"/>
          </w:r>
        </w:sdtContent>
      </w:sdt>
      <w:r w:rsidRPr="006C4BBD">
        <w:rPr>
          <w:lang w:val="en-US"/>
        </w:rPr>
        <w:t xml:space="preserve">; </w:t>
      </w:r>
      <w:sdt>
        <w:sdtPr>
          <w:rPr>
            <w:lang w:val="en-US"/>
          </w:rPr>
          <w:id w:val="-465036265"/>
          <w:citation/>
        </w:sdtPr>
        <w:sdtContent>
          <w:r>
            <w:rPr>
              <w:lang w:val="en-US"/>
            </w:rPr>
            <w:fldChar w:fldCharType="begin"/>
          </w:r>
          <w:r w:rsidR="00A56309">
            <w:instrText xml:space="preserve">CITATION Dul73 \l 1066 </w:instrText>
          </w:r>
          <w:r>
            <w:rPr>
              <w:lang w:val="en-US"/>
            </w:rPr>
            <w:fldChar w:fldCharType="separate"/>
          </w:r>
          <w:r w:rsidR="00A56309">
            <w:t>(Dulay &amp; Burt, 1973)</w:t>
          </w:r>
          <w:r>
            <w:rPr>
              <w:lang w:val="en-US"/>
            </w:rPr>
            <w:fldChar w:fldCharType="end"/>
          </w:r>
        </w:sdtContent>
      </w:sdt>
      <w:r>
        <w:t>]</w:t>
      </w:r>
      <w:r w:rsidRPr="006C4BBD">
        <w:rPr>
          <w:lang w:val="en-US"/>
        </w:rPr>
        <w:t xml:space="preserve"> alongside the Monitor Model </w:t>
      </w:r>
      <w:sdt>
        <w:sdtPr>
          <w:rPr>
            <w:lang w:val="en-US"/>
          </w:rPr>
          <w:id w:val="-495111815"/>
          <w:citation/>
        </w:sdtPr>
        <w:sdtContent>
          <w:r w:rsidR="005E526C">
            <w:rPr>
              <w:lang w:val="en-US"/>
            </w:rPr>
            <w:fldChar w:fldCharType="begin"/>
          </w:r>
          <w:r w:rsidR="00DB194D">
            <w:instrText xml:space="preserve">CITATION Ste77 \l 1066 </w:instrText>
          </w:r>
          <w:r w:rsidR="005E526C">
            <w:rPr>
              <w:lang w:val="en-US"/>
            </w:rPr>
            <w:fldChar w:fldCharType="separate"/>
          </w:r>
          <w:r w:rsidR="00DB194D">
            <w:t>(Stephen, 1977)</w:t>
          </w:r>
          <w:r w:rsidR="005E526C">
            <w:rPr>
              <w:lang w:val="en-US"/>
            </w:rPr>
            <w:fldChar w:fldCharType="end"/>
          </w:r>
        </w:sdtContent>
      </w:sdt>
      <w:r w:rsidRPr="006C4BBD">
        <w:rPr>
          <w:lang w:val="en-US"/>
        </w:rPr>
        <w:t xml:space="preserve"> suggests that over-emphasizing explicit syntax instruction overburdens the conscious monitor of the learner. This hyper-focus on grammatical precision stifles natural output and elevates the affective filter, ensuring that students remain paralyzed by the fear of making structural errors.</w:t>
      </w:r>
    </w:p>
    <w:p w14:paraId="1CB14DD7" w14:textId="1385D534" w:rsidR="00FB1DD4" w:rsidRPr="00FB1DD4" w:rsidRDefault="006C4BBD" w:rsidP="00064D2A">
      <w:pPr>
        <w:ind w:firstLine="720"/>
        <w:rPr>
          <w:lang w:val="en-US"/>
        </w:rPr>
      </w:pPr>
      <w:r w:rsidRPr="006C4BBD">
        <w:rPr>
          <w:lang w:val="en-US"/>
        </w:rPr>
        <w:t xml:space="preserve">Rather than prioritizing mechanical accuracy, the ultimate objective of higher education language instruction must be the cultivation of comprehensive communicative competence. This paradigm shifts the focus from knowing theoretical facts about the language to functionally utilizing it in dynamic social contexts, as defined by foundational linguistic frameworks. </w:t>
      </w:r>
      <w:sdt>
        <w:sdtPr>
          <w:rPr>
            <w:lang w:val="en-US"/>
          </w:rPr>
          <w:id w:val="1100601834"/>
          <w:citation/>
        </w:sdtPr>
        <w:sdtContent>
          <w:r w:rsidR="005E526C">
            <w:rPr>
              <w:lang w:val="en-US"/>
            </w:rPr>
            <w:fldChar w:fldCharType="begin"/>
          </w:r>
          <w:r w:rsidR="005E526C">
            <w:instrText xml:space="preserve"> CITATION Can80 \l 1066 </w:instrText>
          </w:r>
          <w:r w:rsidR="005E526C">
            <w:rPr>
              <w:lang w:val="en-US"/>
            </w:rPr>
            <w:fldChar w:fldCharType="separate"/>
          </w:r>
          <w:r w:rsidR="005E526C">
            <w:t>(Canale &amp; Swain, 1980)</w:t>
          </w:r>
          <w:r w:rsidR="005E526C">
            <w:rPr>
              <w:lang w:val="en-US"/>
            </w:rPr>
            <w:fldChar w:fldCharType="end"/>
          </w:r>
        </w:sdtContent>
      </w:sdt>
      <w:r w:rsidRPr="006C4BBD">
        <w:rPr>
          <w:lang w:val="en-US"/>
        </w:rPr>
        <w:t xml:space="preserve"> advocate for a communicative approach that emphasizes sociolinguistic and strategic competencies alongside grammatical knowledge, arguing that learners must be equipped to negotiate meaning independently in unpredictable contexts. </w:t>
      </w:r>
      <w:sdt>
        <w:sdtPr>
          <w:rPr>
            <w:lang w:val="en-US"/>
          </w:rPr>
          <w:id w:val="295119145"/>
          <w:citation/>
        </w:sdtPr>
        <w:sdtContent>
          <w:r w:rsidR="005E526C">
            <w:rPr>
              <w:lang w:val="en-US"/>
            </w:rPr>
            <w:fldChar w:fldCharType="begin"/>
          </w:r>
          <w:r w:rsidR="005E526C">
            <w:instrText xml:space="preserve"> CITATION Bac90 \l 1066 </w:instrText>
          </w:r>
          <w:r w:rsidR="005E526C">
            <w:rPr>
              <w:lang w:val="en-US"/>
            </w:rPr>
            <w:fldChar w:fldCharType="separate"/>
          </w:r>
          <w:r w:rsidR="005E526C">
            <w:t>(Bachman, 1990)</w:t>
          </w:r>
          <w:r w:rsidR="005E526C">
            <w:rPr>
              <w:lang w:val="en-US"/>
            </w:rPr>
            <w:fldChar w:fldCharType="end"/>
          </w:r>
        </w:sdtContent>
      </w:sdt>
      <w:r w:rsidRPr="006C4BBD">
        <w:rPr>
          <w:lang w:val="en-US"/>
        </w:rPr>
        <w:t xml:space="preserve"> further expands this theoretical foundation in the Communicative Language Ability model. This framework integrates the physiological and psychological mechanisms of language execution, emphasizing that true proficiency requires the seamless, subconscious coordination of linguistic competencies in real-time scenarios, unhindered by native language interference</w:t>
      </w:r>
      <w:r w:rsidR="00FB1DD4" w:rsidRPr="00FB1DD4">
        <w:rPr>
          <w:lang w:val="en-US"/>
        </w:rPr>
        <w:t>.</w:t>
      </w:r>
    </w:p>
    <w:p w14:paraId="5903E57B" w14:textId="3321D305" w:rsidR="00FB1DD4" w:rsidRPr="00FB1DD4" w:rsidRDefault="00FB1DD4" w:rsidP="00FB1DD4">
      <w:pPr>
        <w:pStyle w:val="Heading2"/>
        <w:rPr>
          <w:lang w:val="en-US"/>
        </w:rPr>
      </w:pPr>
      <w:r w:rsidRPr="00FB1DD4">
        <w:rPr>
          <w:lang w:val="en-US"/>
        </w:rPr>
        <w:t>2.3. The Direct Method and time-pressured gamification</w:t>
      </w:r>
    </w:p>
    <w:p w14:paraId="22852279" w14:textId="69E51DA2" w:rsidR="005E526C" w:rsidRPr="005E526C" w:rsidRDefault="005E526C" w:rsidP="00064D2A">
      <w:pPr>
        <w:ind w:firstLine="720"/>
        <w:rPr>
          <w:lang w:val="en-US"/>
        </w:rPr>
      </w:pPr>
      <w:r w:rsidRPr="005E526C">
        <w:rPr>
          <w:lang w:val="en-US"/>
        </w:rPr>
        <w:t xml:space="preserve">To achieve the robust competencies outlined by </w:t>
      </w:r>
      <w:sdt>
        <w:sdtPr>
          <w:rPr>
            <w:lang w:val="en-US"/>
          </w:rPr>
          <w:id w:val="962002032"/>
          <w:citation/>
        </w:sdtPr>
        <w:sdtContent>
          <w:r>
            <w:rPr>
              <w:lang w:val="en-US"/>
            </w:rPr>
            <w:fldChar w:fldCharType="begin"/>
          </w:r>
          <w:r>
            <w:instrText xml:space="preserve"> CITATION Bac90 \l 1066 </w:instrText>
          </w:r>
          <w:r>
            <w:rPr>
              <w:lang w:val="en-US"/>
            </w:rPr>
            <w:fldChar w:fldCharType="separate"/>
          </w:r>
          <w:r>
            <w:t>(Bachman, 1990)</w:t>
          </w:r>
          <w:r>
            <w:rPr>
              <w:lang w:val="en-US"/>
            </w:rPr>
            <w:fldChar w:fldCharType="end"/>
          </w:r>
        </w:sdtContent>
      </w:sdt>
      <w:r w:rsidRPr="005E526C">
        <w:rPr>
          <w:lang w:val="en-US"/>
        </w:rPr>
        <w:t xml:space="preserve"> and </w:t>
      </w:r>
      <w:sdt>
        <w:sdtPr>
          <w:rPr>
            <w:lang w:val="en-US"/>
          </w:rPr>
          <w:id w:val="-141659186"/>
          <w:citation/>
        </w:sdtPr>
        <w:sdtContent>
          <w:r>
            <w:rPr>
              <w:lang w:val="en-US"/>
            </w:rPr>
            <w:fldChar w:fldCharType="begin"/>
          </w:r>
          <w:r>
            <w:instrText xml:space="preserve"> CITATION Can80 \l 1066 </w:instrText>
          </w:r>
          <w:r>
            <w:rPr>
              <w:lang w:val="en-US"/>
            </w:rPr>
            <w:fldChar w:fldCharType="separate"/>
          </w:r>
          <w:r>
            <w:t>(Canale &amp; Swain, 1980)</w:t>
          </w:r>
          <w:r>
            <w:rPr>
              <w:lang w:val="en-US"/>
            </w:rPr>
            <w:fldChar w:fldCharType="end"/>
          </w:r>
        </w:sdtContent>
      </w:sdt>
      <w:r w:rsidRPr="005E526C">
        <w:rPr>
          <w:lang w:val="en-US"/>
        </w:rPr>
        <w:t xml:space="preserve">, the author advocates for a pedagogical return to the Direct Method. Originally popularized as the Berlitz Method, this instructional approach strictly prohibits the use of the mother tongue, relying entirely on inductive grammar instruction and exclusive target-language immersion </w:t>
      </w:r>
      <w:r>
        <w:t>[</w:t>
      </w:r>
      <w:sdt>
        <w:sdtPr>
          <w:id w:val="388849795"/>
          <w:citation/>
        </w:sdtPr>
        <w:sdtContent>
          <w:r>
            <w:fldChar w:fldCharType="begin"/>
          </w:r>
          <w:r w:rsidR="00DB194D">
            <w:instrText xml:space="preserve">CITATION Bri26 \l 1066 </w:instrText>
          </w:r>
          <w:r>
            <w:fldChar w:fldCharType="separate"/>
          </w:r>
          <w:r w:rsidR="00DB194D">
            <w:t xml:space="preserve"> (British Council, 2026)</w:t>
          </w:r>
          <w:r>
            <w:fldChar w:fldCharType="end"/>
          </w:r>
        </w:sdtContent>
      </w:sdt>
      <w:r w:rsidRPr="005E526C">
        <w:rPr>
          <w:lang w:val="en-US"/>
        </w:rPr>
        <w:t xml:space="preserve">; </w:t>
      </w:r>
      <w:sdt>
        <w:sdtPr>
          <w:rPr>
            <w:lang w:val="en-US"/>
          </w:rPr>
          <w:id w:val="-429204109"/>
          <w:citation/>
        </w:sdtPr>
        <w:sdtContent>
          <w:r>
            <w:rPr>
              <w:lang w:val="en-US"/>
            </w:rPr>
            <w:fldChar w:fldCharType="begin"/>
          </w:r>
          <w:r>
            <w:instrText xml:space="preserve"> CITATION Kar78 \l 1066 </w:instrText>
          </w:r>
          <w:r>
            <w:rPr>
              <w:lang w:val="en-US"/>
            </w:rPr>
            <w:fldChar w:fldCharType="separate"/>
          </w:r>
          <w:r>
            <w:t>(Diller, 1978)</w:t>
          </w:r>
          <w:r>
            <w:rPr>
              <w:lang w:val="en-US"/>
            </w:rPr>
            <w:fldChar w:fldCharType="end"/>
          </w:r>
        </w:sdtContent>
      </w:sdt>
      <w:r w:rsidRPr="005E526C">
        <w:rPr>
          <w:lang w:val="en-US"/>
        </w:rPr>
        <w:t xml:space="preserve">; </w:t>
      </w:r>
      <w:sdt>
        <w:sdtPr>
          <w:rPr>
            <w:lang w:val="en-US"/>
          </w:rPr>
          <w:id w:val="662132817"/>
          <w:citation/>
        </w:sdtPr>
        <w:sdtContent>
          <w:r>
            <w:rPr>
              <w:lang w:val="en-US"/>
            </w:rPr>
            <w:fldChar w:fldCharType="begin"/>
          </w:r>
          <w:r>
            <w:instrText xml:space="preserve"> CITATION Jac01 \l 1066 </w:instrText>
          </w:r>
          <w:r>
            <w:rPr>
              <w:lang w:val="en-US"/>
            </w:rPr>
            <w:fldChar w:fldCharType="separate"/>
          </w:r>
          <w:r>
            <w:t>(Richards &amp; Rogers, 2001)</w:t>
          </w:r>
          <w:r>
            <w:rPr>
              <w:lang w:val="en-US"/>
            </w:rPr>
            <w:fldChar w:fldCharType="end"/>
          </w:r>
        </w:sdtContent>
      </w:sdt>
      <w:r>
        <w:t>]</w:t>
      </w:r>
      <w:r w:rsidRPr="005E526C">
        <w:rPr>
          <w:lang w:val="en-US"/>
        </w:rPr>
        <w:t xml:space="preserve">. Though occasionally critiqued in postmethod scholarly debates for its perceived rigidity </w:t>
      </w:r>
      <w:sdt>
        <w:sdtPr>
          <w:rPr>
            <w:lang w:val="en-US"/>
          </w:rPr>
          <w:id w:val="-378466572"/>
          <w:citation/>
        </w:sdtPr>
        <w:sdtContent>
          <w:r w:rsidR="00980AE2">
            <w:rPr>
              <w:lang w:val="en-US"/>
            </w:rPr>
            <w:fldChar w:fldCharType="begin"/>
          </w:r>
          <w:r w:rsidR="00980AE2">
            <w:instrText xml:space="preserve"> CITATION Dav03 \l 1066 </w:instrText>
          </w:r>
          <w:r w:rsidR="00980AE2">
            <w:rPr>
              <w:lang w:val="en-US"/>
            </w:rPr>
            <w:fldChar w:fldCharType="separate"/>
          </w:r>
          <w:r w:rsidR="00980AE2">
            <w:t>(Bell, 2003)</w:t>
          </w:r>
          <w:r w:rsidR="00980AE2">
            <w:rPr>
              <w:lang w:val="en-US"/>
            </w:rPr>
            <w:fldChar w:fldCharType="end"/>
          </w:r>
        </w:sdtContent>
      </w:sdt>
      <w:r w:rsidRPr="005E526C">
        <w:rPr>
          <w:lang w:val="en-US"/>
        </w:rPr>
        <w:t>, its fundamental tenet of forced direct conceptual mapping remains the most effective, biologically aligned antidote to the cognitive translation matrix.</w:t>
      </w:r>
    </w:p>
    <w:p w14:paraId="0223F7C6" w14:textId="4C84DC01" w:rsidR="00FB1DD4" w:rsidRPr="00FB1DD4" w:rsidRDefault="005E526C" w:rsidP="00064D2A">
      <w:pPr>
        <w:ind w:firstLine="720"/>
        <w:rPr>
          <w:lang w:val="en-US"/>
        </w:rPr>
      </w:pPr>
      <w:r w:rsidRPr="005E526C">
        <w:rPr>
          <w:lang w:val="en-US"/>
        </w:rPr>
        <w:t>In the contemporary educational landscape, the efficacy of the Direct Method is exponentially amplified by digital gamification. When educators utilize platforms such as Kahoot or Blooket, the psychological mechanism at play extends far beyond simple student engagement or novelty. These interactive tools rely on intense time constraints that fundamentally alter cognitive processing dynamics. Biologically, mental translation requires a measurable duration of cognitive processing time. By forcing rapid, split-second decisions, time-pressured gamification structurally prevents the brain from accessing established native language translation pathways. The learner is compelled to bypass the Vietnamese intermediary step entirely, cultivating a direct linguistic reflex that accurately mimics natural acquisition conditions and fosters genuine spontaneity</w:t>
      </w:r>
      <w:r w:rsidR="00FB1DD4" w:rsidRPr="00FB1DD4">
        <w:rPr>
          <w:lang w:val="en-US"/>
        </w:rPr>
        <w:t>.</w:t>
      </w:r>
    </w:p>
    <w:p w14:paraId="38E521D3" w14:textId="6F46607A" w:rsidR="00FB1DD4" w:rsidRPr="00FB1DD4" w:rsidRDefault="00FB1DD4" w:rsidP="00E303DD">
      <w:pPr>
        <w:pStyle w:val="Heading2"/>
        <w:rPr>
          <w:lang w:val="en-US"/>
        </w:rPr>
      </w:pPr>
      <w:r w:rsidRPr="00FB1DD4">
        <w:rPr>
          <w:lang w:val="en-US"/>
        </w:rPr>
        <w:t xml:space="preserve">2.4. Lecturer competence: the necessity of C1 </w:t>
      </w:r>
      <w:r>
        <w:rPr>
          <w:lang w:val="en-US"/>
        </w:rPr>
        <w:t>f</w:t>
      </w:r>
      <w:r w:rsidRPr="00FB1DD4">
        <w:rPr>
          <w:lang w:val="en-US"/>
        </w:rPr>
        <w:t>luency</w:t>
      </w:r>
    </w:p>
    <w:p w14:paraId="07081AB6" w14:textId="3D912847" w:rsidR="00FB1DD4" w:rsidRPr="00FB1DD4" w:rsidRDefault="00980AE2" w:rsidP="00064D2A">
      <w:pPr>
        <w:ind w:firstLine="720"/>
        <w:rPr>
          <w:lang w:val="en-US"/>
        </w:rPr>
      </w:pPr>
      <w:r w:rsidRPr="00980AE2">
        <w:rPr>
          <w:lang w:val="en-US"/>
        </w:rPr>
        <w:t>The rigorous application of the Direct Method inherently exposes a critical dependency within the educational ecosystem, specifically concerning the linguistic proficiency of the teaching workforce. Because the method relies on rapid, spontaneous question-and-answer exchanges rather than pre-scripted textbook exercises, it inevitably falters if the educator lacks advanced, unhesitating fluency. To sustain a total immersion environment effectively, lecturers must possess an unscripted, spontaneous proficiency equivalent to the C1 level on the Common European Framework of Reference for Languages</w:t>
      </w:r>
      <w:sdt>
        <w:sdtPr>
          <w:rPr>
            <w:lang w:val="en-US"/>
          </w:rPr>
          <w:id w:val="358084419"/>
          <w:citation/>
        </w:sdtPr>
        <w:sdtContent>
          <w:r>
            <w:rPr>
              <w:lang w:val="en-US"/>
            </w:rPr>
            <w:fldChar w:fldCharType="begin"/>
          </w:r>
          <w:r>
            <w:instrText xml:space="preserve"> CITATION Cou01 \l 1066 </w:instrText>
          </w:r>
          <w:r>
            <w:rPr>
              <w:lang w:val="en-US"/>
            </w:rPr>
            <w:fldChar w:fldCharType="separate"/>
          </w:r>
          <w:r>
            <w:t xml:space="preserve"> (Council of Europe, 2001)</w:t>
          </w:r>
          <w:r>
            <w:rPr>
              <w:lang w:val="en-US"/>
            </w:rPr>
            <w:fldChar w:fldCharType="end"/>
          </w:r>
        </w:sdtContent>
      </w:sdt>
      <w:r w:rsidRPr="00980AE2">
        <w:rPr>
          <w:lang w:val="en-US"/>
        </w:rPr>
        <w:t>. An educator operating at a lower proficiency threshold, or one who themselves relies on internal cognitive translation, cannot maintain the fluid communicative momentum required to force students out of their deeply ingrained native language habits. The success of the immersive environment is directly proportional to the linguistic agility and cognitive flexibility of the instructor facilitating it</w:t>
      </w:r>
      <w:r w:rsidR="00FB1DD4" w:rsidRPr="00FB1DD4">
        <w:rPr>
          <w:lang w:val="en-US"/>
        </w:rPr>
        <w:t>.</w:t>
      </w:r>
    </w:p>
    <w:p w14:paraId="5CF57C00" w14:textId="14CCACA9" w:rsidR="00FB1DD4" w:rsidRPr="00FB1DD4" w:rsidRDefault="00FB1DD4" w:rsidP="00E303DD">
      <w:pPr>
        <w:pStyle w:val="Heading2"/>
        <w:rPr>
          <w:lang w:val="en-US"/>
        </w:rPr>
      </w:pPr>
      <w:r w:rsidRPr="00FB1DD4">
        <w:rPr>
          <w:lang w:val="en-US"/>
        </w:rPr>
        <w:lastRenderedPageBreak/>
        <w:t>2.5. Administrative context: the "bucket effect" and objective assessment</w:t>
      </w:r>
    </w:p>
    <w:p w14:paraId="50B8A473" w14:textId="0F85B2BF" w:rsidR="00980AE2" w:rsidRPr="00980AE2" w:rsidRDefault="00980AE2" w:rsidP="00064D2A">
      <w:pPr>
        <w:ind w:firstLine="720"/>
        <w:rPr>
          <w:lang w:val="en-US"/>
        </w:rPr>
      </w:pPr>
      <w:r w:rsidRPr="00980AE2">
        <w:rPr>
          <w:lang w:val="en-US"/>
        </w:rPr>
        <w:t>This necessary pedagogical shift is also profoundly shaped by systemic administrative pressures prevalent in modern institutions. Within Vietnamese higher education, educators frequently experience a phenomenon best described as the bucket effect. Conceptually, each individual possesses a cognitive and administrative capacity resembling a bucket; as the volume of professional responsibilities increases, the load becomes heavier until the capacity is breached and overflows. Lecturers burdened with manually translating complex concepts for students, managing large academic cohorts, and adhering to strict regulatory frameworks, such as Circular 08/2021/TT-BGDĐT, rapidly reach this point of administrative exhaustion</w:t>
      </w:r>
      <w:sdt>
        <w:sdtPr>
          <w:rPr>
            <w:lang w:val="en-US"/>
          </w:rPr>
          <w:id w:val="1445349514"/>
          <w:citation/>
        </w:sdtPr>
        <w:sdtContent>
          <w:r w:rsidR="002F5E7F">
            <w:rPr>
              <w:lang w:val="en-US"/>
            </w:rPr>
            <w:fldChar w:fldCharType="begin"/>
          </w:r>
          <w:r w:rsidR="002F5E7F">
            <w:instrText xml:space="preserve"> CITATION Min21 \l 1066 </w:instrText>
          </w:r>
          <w:r w:rsidR="002F5E7F">
            <w:rPr>
              <w:lang w:val="en-US"/>
            </w:rPr>
            <w:fldChar w:fldCharType="separate"/>
          </w:r>
          <w:r w:rsidR="002F5E7F">
            <w:t xml:space="preserve"> (Ministry of Education and Training, 2021)</w:t>
          </w:r>
          <w:r w:rsidR="002F5E7F">
            <w:rPr>
              <w:lang w:val="en-US"/>
            </w:rPr>
            <w:fldChar w:fldCharType="end"/>
          </w:r>
        </w:sdtContent>
      </w:sdt>
      <w:r w:rsidRPr="00980AE2">
        <w:rPr>
          <w:lang w:val="en-US"/>
        </w:rPr>
        <w:t>.</w:t>
      </w:r>
    </w:p>
    <w:p w14:paraId="5A4C5ED5" w14:textId="7D0E639B" w:rsidR="00FB1DD4" w:rsidRPr="00FB1DD4" w:rsidRDefault="00980AE2" w:rsidP="00064D2A">
      <w:pPr>
        <w:ind w:firstLine="720"/>
        <w:rPr>
          <w:lang w:val="en-US"/>
        </w:rPr>
      </w:pPr>
      <w:r w:rsidRPr="00980AE2">
        <w:rPr>
          <w:lang w:val="en-US"/>
        </w:rPr>
        <w:t>This professional overload often breeds a systemic grading safety bias, wherein lecturers default to conservative, subjective scoring to avoid regulatory scrutiny, institutional audits, or the need for extensive administrative justification. Integrating the Direct Method within robust Learning Management Systems directly alleviates this systemic burden. Gamified platforms and digital management portals not only automate the immersive practice necessary to build communicative competence but also continuously generate objective, high-frequency assessment data. This continuous digital tracking provides lecturers with an empirical shield, enabling them to award high, internationally competitive grades based on unassailable quantitative metrics rather than subjective, risk-averse evaluation paradigms</w:t>
      </w:r>
      <w:r w:rsidR="00FB1DD4" w:rsidRPr="00FB1DD4">
        <w:rPr>
          <w:lang w:val="en-US"/>
        </w:rPr>
        <w:t>.</w:t>
      </w:r>
    </w:p>
    <w:p w14:paraId="08133F1E" w14:textId="66914C44" w:rsidR="008F5A13" w:rsidRDefault="008F5A13">
      <w:pPr>
        <w:pStyle w:val="Heading1"/>
        <w:rPr>
          <w:lang w:val="en-US"/>
        </w:rPr>
      </w:pPr>
      <w:r>
        <w:rPr>
          <w:lang w:val="en-US"/>
        </w:rPr>
        <w:t>3. Methodology</w:t>
      </w:r>
    </w:p>
    <w:p w14:paraId="1D093C05" w14:textId="5531AB53" w:rsidR="00AB75B9" w:rsidRPr="00AB75B9" w:rsidRDefault="00AB75B9" w:rsidP="00AB75B9">
      <w:pPr>
        <w:pStyle w:val="Heading2"/>
        <w:rPr>
          <w:lang w:val="en-US"/>
        </w:rPr>
      </w:pPr>
      <w:r w:rsidRPr="00AB75B9">
        <w:rPr>
          <w:lang w:val="en-US"/>
        </w:rPr>
        <w:t>3.1. Research design and literature selection</w:t>
      </w:r>
    </w:p>
    <w:p w14:paraId="5056F39D" w14:textId="77777777" w:rsidR="007558AD" w:rsidRPr="007558AD" w:rsidRDefault="007558AD" w:rsidP="00064D2A">
      <w:pPr>
        <w:ind w:firstLine="720"/>
        <w:rPr>
          <w:lang w:val="en-US"/>
        </w:rPr>
      </w:pPr>
      <w:r w:rsidRPr="007558AD">
        <w:rPr>
          <w:lang w:val="en-US"/>
        </w:rPr>
        <w:t>To transition the theoretical solutions proposed in the literature review into an actionable pedagogical model, this study employs a Conceptual Framework Analysis. This methodology allows for the systematic synthesis of established Second Language Acquisition theories with the affordances of contemporary digital educational infrastructure. The author deliberately selected theoretical frameworks that directly address the biological and cognitive realities of language processing. Stephen Krashen’s Monitor Hypothesis and the Natural Order of Acquisition were integrated to explain and mitigate the psychological hesitation and elevated affective filter caused by traditional grammar-centric instruction. Concurrently, Lyle F. Bachman’s Communicative Language Ability model and Michael Canale and Merrill Swain’s foundational frameworks were utilized to establish the ultimate objective of the instructional design: the generation of spontaneous, strategic, and sociolinguistically appropriate communication.</w:t>
      </w:r>
    </w:p>
    <w:p w14:paraId="06504630" w14:textId="6EB6008A" w:rsidR="00AB75B9" w:rsidRPr="00AB75B9" w:rsidRDefault="007558AD" w:rsidP="00064D2A">
      <w:pPr>
        <w:ind w:firstLine="720"/>
        <w:rPr>
          <w:lang w:val="en-US"/>
        </w:rPr>
      </w:pPr>
      <w:r w:rsidRPr="007558AD">
        <w:rPr>
          <w:lang w:val="en-US"/>
        </w:rPr>
        <w:t>By cross-referencing these foundational linguistic theories against the capabilities of modern learning management technologies, the author developed a structured, multi-phase implementation strategy. This strategy is specifically engineered to dismantle the cognitive translation matrix prevalent in the Vietnamese higher education context, replacing indirect processing with direct conceptual mapping</w:t>
      </w:r>
      <w:r w:rsidR="00AB75B9" w:rsidRPr="00AB75B9">
        <w:rPr>
          <w:lang w:val="en-US"/>
        </w:rPr>
        <w:t>.</w:t>
      </w:r>
    </w:p>
    <w:p w14:paraId="5AD3ABB3" w14:textId="2BB56C7C" w:rsidR="00AB75B9" w:rsidRPr="00AB75B9" w:rsidRDefault="00AB75B9" w:rsidP="00405A36">
      <w:pPr>
        <w:pStyle w:val="Heading2"/>
        <w:rPr>
          <w:lang w:val="en-US"/>
        </w:rPr>
      </w:pPr>
      <w:r w:rsidRPr="00AB75B9">
        <w:rPr>
          <w:lang w:val="en-US"/>
        </w:rPr>
        <w:lastRenderedPageBreak/>
        <w:t xml:space="preserve">3.2. Phase 1: Lecturer </w:t>
      </w:r>
      <w:r w:rsidR="00405A36" w:rsidRPr="00AB75B9">
        <w:rPr>
          <w:lang w:val="en-US"/>
        </w:rPr>
        <w:t>preparation and mental shift</w:t>
      </w:r>
    </w:p>
    <w:p w14:paraId="5EEA2544" w14:textId="77777777" w:rsidR="007558AD" w:rsidRPr="007558AD" w:rsidRDefault="007558AD" w:rsidP="00064D2A">
      <w:pPr>
        <w:ind w:firstLine="720"/>
        <w:rPr>
          <w:lang w:val="en-US"/>
        </w:rPr>
      </w:pPr>
      <w:r w:rsidRPr="007558AD">
        <w:rPr>
          <w:lang w:val="en-US"/>
        </w:rPr>
        <w:t>The successful implementation of the modernized Direct Method requires a foundational restructuring of the instructional approach. Before engaging with learners, lecturers must undergo a rigorous preparation phase focused on cognitive and pedagogical recalibration. Because Vietnamese educators are historically conditioned to function as bilingual facilitators, reverting to the native language to resolve comprehension bottlenecks constitutes an entrenched instructional habit. Lecturers must execute a conscious, systemic mental shift to entirely eradicate Vietnamese from the classroom ecosystem.</w:t>
      </w:r>
    </w:p>
    <w:p w14:paraId="056EE2B9" w14:textId="5F409158" w:rsidR="00AB75B9" w:rsidRPr="00AB75B9" w:rsidRDefault="007558AD" w:rsidP="00064D2A">
      <w:pPr>
        <w:ind w:firstLine="720"/>
        <w:rPr>
          <w:lang w:val="en-US"/>
        </w:rPr>
      </w:pPr>
      <w:r w:rsidRPr="007558AD">
        <w:rPr>
          <w:lang w:val="en-US"/>
        </w:rPr>
        <w:t>Practically, this preparation necessitates anticipating potential points of cognitive friction and pre-planning multimodal explanatory strategies, such as visual, kinetic, or contextual scaffolding, rather than relying on expedient native language translations. Furthermore, as established in the preceding literature, this methodology places immense cognitive demand on the instructor. It requires the lecturer to possess and sustain robust, spontaneous fluency equivalent to the C1 level on the Common European Framework of Reference. The instructor must navigate unscripted student inquiries and facilitate dynamic discourse without breaking the immersive environment, necessitating an exceptionally high degree of linguistic agility</w:t>
      </w:r>
      <w:r w:rsidR="00AB75B9" w:rsidRPr="00AB75B9">
        <w:rPr>
          <w:lang w:val="en-US"/>
        </w:rPr>
        <w:t>.</w:t>
      </w:r>
    </w:p>
    <w:p w14:paraId="38DBACD5" w14:textId="75D69B3D" w:rsidR="00AB75B9" w:rsidRPr="00AB75B9" w:rsidRDefault="00AB75B9" w:rsidP="00405A36">
      <w:pPr>
        <w:pStyle w:val="Heading2"/>
        <w:rPr>
          <w:lang w:val="en-US"/>
        </w:rPr>
      </w:pPr>
      <w:r w:rsidRPr="00AB75B9">
        <w:rPr>
          <w:lang w:val="en-US"/>
        </w:rPr>
        <w:t xml:space="preserve">3.3. Phase 2: LMS </w:t>
      </w:r>
      <w:r w:rsidR="00405A36" w:rsidRPr="00AB75B9">
        <w:rPr>
          <w:lang w:val="en-US"/>
        </w:rPr>
        <w:t>setup and pre-class vocabulary loading</w:t>
      </w:r>
    </w:p>
    <w:p w14:paraId="4EBCB3B1" w14:textId="77777777" w:rsidR="007558AD" w:rsidRPr="007558AD" w:rsidRDefault="007558AD" w:rsidP="00064D2A">
      <w:pPr>
        <w:ind w:firstLine="720"/>
        <w:rPr>
          <w:lang w:val="en-US"/>
        </w:rPr>
      </w:pPr>
      <w:r w:rsidRPr="007558AD">
        <w:rPr>
          <w:lang w:val="en-US"/>
        </w:rPr>
        <w:t>To maximize the efficacy of synchronous in-class immersion and prevent cognitive overload, the preliminary instructional burden must be reallocated to the institutional digital infrastructure. This phase leverages the concept of the flipped classroom through asynchronous lexical priming. Utilizing university-specific digital learning environments, such as courses.huflit.edu.vn or tari.huflit.edu.vn at Ho Chi Minh City University of Foreign Languages and Information Technology, and lmstvu.onschool.edu.vn at Tra Vinh University, lecturers must design and deploy dedicated pre-class modules.</w:t>
      </w:r>
    </w:p>
    <w:p w14:paraId="5E8234C7" w14:textId="0148923C" w:rsidR="00AB75B9" w:rsidRPr="00AB75B9" w:rsidRDefault="007558AD" w:rsidP="00064D2A">
      <w:pPr>
        <w:ind w:firstLine="720"/>
        <w:rPr>
          <w:lang w:val="en-US"/>
        </w:rPr>
      </w:pPr>
      <w:r w:rsidRPr="007558AD">
        <w:rPr>
          <w:lang w:val="en-US"/>
        </w:rPr>
        <w:t>These digital modules are engineered to introduce target lexical items through multimodal inputs, encompassing contextual images, native-speaker audio pronunciation, and target-language definitions, strictly prior to the synchronous physical or virtual class session. By mandating that students independently process and interact with target vocabulary via the learning management system, the lecturer ensures that synchronous classroom hours are preserved exclusively for active, high-velocity communicative practice. This asynchronous preparation acts as a cognitive buffer, significantly reducing the initial comprehension shock learners experience when entering a strictly monolingual environment</w:t>
      </w:r>
      <w:r w:rsidR="00AB75B9" w:rsidRPr="00AB75B9">
        <w:rPr>
          <w:lang w:val="en-US"/>
        </w:rPr>
        <w:t>.</w:t>
      </w:r>
    </w:p>
    <w:p w14:paraId="735F6FFD" w14:textId="53EE653E" w:rsidR="00AB75B9" w:rsidRPr="00AB75B9" w:rsidRDefault="00AB75B9" w:rsidP="00405A36">
      <w:pPr>
        <w:pStyle w:val="Heading2"/>
        <w:rPr>
          <w:lang w:val="en-US"/>
        </w:rPr>
      </w:pPr>
      <w:r w:rsidRPr="00AB75B9">
        <w:rPr>
          <w:lang w:val="en-US"/>
        </w:rPr>
        <w:t>3.4. Phase 3: Step-</w:t>
      </w:r>
      <w:r w:rsidR="00405A36" w:rsidRPr="00AB75B9">
        <w:rPr>
          <w:lang w:val="en-US"/>
        </w:rPr>
        <w:t>by-step classroom implementation</w:t>
      </w:r>
    </w:p>
    <w:p w14:paraId="2F584009" w14:textId="3808EA73" w:rsidR="00AB75B9" w:rsidRPr="00AB75B9" w:rsidRDefault="0042681E" w:rsidP="00064D2A">
      <w:pPr>
        <w:spacing w:after="0" w:afterAutospacing="0"/>
        <w:ind w:firstLine="360"/>
        <w:rPr>
          <w:lang w:val="en-US"/>
        </w:rPr>
      </w:pPr>
      <w:r w:rsidRPr="0042681E">
        <w:rPr>
          <w:lang w:val="en-US"/>
        </w:rPr>
        <w:t>The physical or synchronous virtual learning environment is subsequently orchestrated through a highly structured procedural sequence designed to enforce direct linguistic mapping and prevent native language reversion</w:t>
      </w:r>
      <w:r w:rsidR="00AB75B9" w:rsidRPr="00AB75B9">
        <w:rPr>
          <w:lang w:val="en-US"/>
        </w:rPr>
        <w:t>:</w:t>
      </w:r>
    </w:p>
    <w:p w14:paraId="5F9746E2" w14:textId="77777777" w:rsidR="0042681E" w:rsidRPr="0042681E" w:rsidRDefault="0042681E" w:rsidP="0042681E">
      <w:pPr>
        <w:pStyle w:val="ListParagraph"/>
        <w:numPr>
          <w:ilvl w:val="0"/>
          <w:numId w:val="1"/>
        </w:numPr>
        <w:rPr>
          <w:lang w:val="en-US"/>
        </w:rPr>
      </w:pPr>
      <w:r w:rsidRPr="0042681E">
        <w:rPr>
          <w:lang w:val="en-US"/>
        </w:rPr>
        <w:t xml:space="preserve">Step One establishes the monolingual ecosystem through the enforcement of an absolute prohibition of the first language. From the moment students enter the </w:t>
      </w:r>
      <w:r w:rsidRPr="0042681E">
        <w:rPr>
          <w:lang w:val="en-US"/>
        </w:rPr>
        <w:lastRenderedPageBreak/>
        <w:t>instructional space, the lecturer assumes the role of a monolingual English speaker, establishing the target language as the sole viable medium for academic survival and social interaction within that specific environment. This immediate boundary-setting signals to the learners that the native language translation pathway is inaccessible.</w:t>
      </w:r>
    </w:p>
    <w:p w14:paraId="61BE9519" w14:textId="77777777" w:rsidR="0042681E" w:rsidRPr="0042681E" w:rsidRDefault="0042681E" w:rsidP="0042681E">
      <w:pPr>
        <w:pStyle w:val="ListParagraph"/>
        <w:numPr>
          <w:ilvl w:val="0"/>
          <w:numId w:val="1"/>
        </w:numPr>
        <w:rPr>
          <w:lang w:val="en-US"/>
        </w:rPr>
      </w:pPr>
      <w:r w:rsidRPr="0042681E">
        <w:rPr>
          <w:lang w:val="en-US"/>
        </w:rPr>
        <w:t>Step Two focuses on resolving inevitable comprehension gaps through non-translation vocabulary strategies. When defining concrete lexical items, the lecturer utilizes realia, visual flashcards, or kinesthetic pantomime. For abstract concepts, the instructor relies on semantic association, synonyms, antonyms, or contextual scenarios explicitly drawn from the asynchronous learning management system modules. This step reinforces the direct association between the target language and the underlying concept.</w:t>
      </w:r>
    </w:p>
    <w:p w14:paraId="08BB32C0" w14:textId="77777777" w:rsidR="0042681E" w:rsidRPr="0042681E" w:rsidRDefault="0042681E" w:rsidP="0042681E">
      <w:pPr>
        <w:pStyle w:val="ListParagraph"/>
        <w:numPr>
          <w:ilvl w:val="0"/>
          <w:numId w:val="1"/>
        </w:numPr>
        <w:rPr>
          <w:lang w:val="en-US"/>
        </w:rPr>
      </w:pPr>
      <w:r w:rsidRPr="0042681E">
        <w:rPr>
          <w:lang w:val="en-US"/>
        </w:rPr>
        <w:t>Step Three involves inductive grammar acquisition. Grammatical syntax is never explicitly analyzed or deconstructed using the native language. Instead, structural rules are presented inductively. The lecturer provides continuous, high-frequency contextual examples of a target structure, guiding the learners to subconsciously recognize, abstract, and internalize the grammatical pattern through sustained exposure and forced communicative output.</w:t>
      </w:r>
    </w:p>
    <w:p w14:paraId="05A783B6" w14:textId="44071A10" w:rsidR="00AB75B9" w:rsidRPr="00405A36" w:rsidRDefault="0042681E" w:rsidP="0042681E">
      <w:pPr>
        <w:pStyle w:val="ListParagraph"/>
        <w:numPr>
          <w:ilvl w:val="0"/>
          <w:numId w:val="1"/>
        </w:numPr>
        <w:rPr>
          <w:lang w:val="en-US"/>
        </w:rPr>
      </w:pPr>
      <w:r w:rsidRPr="0042681E">
        <w:rPr>
          <w:lang w:val="en-US"/>
        </w:rPr>
        <w:t>Step Four solidifies the direct conceptual mapping through high-velocity, time-constrained gamification. To definitively prevent the learner's brain from accessing the dormant native language translation matrix, the lecturer integrates interactive platforms such as Kahoot</w:t>
      </w:r>
      <w:r>
        <w:t>!</w:t>
      </w:r>
      <w:r w:rsidRPr="0042681E">
        <w:rPr>
          <w:lang w:val="en-US"/>
        </w:rPr>
        <w:t xml:space="preserve"> or Blooket. Within this methodological framework, these tools are deployed not merely for student engagement, but for their critical time-pressure mechanics. By demanding split-second, reflexive responses to target-language prompts, the instructor biologically forces the student to bypass the time-consuming mental translation process. This continuous, accelerated retrieval practice cultivates genuine linguistic reflexes, ultimately leading to unmediated, spontaneous communicative competence</w:t>
      </w:r>
      <w:r w:rsidR="00AB75B9" w:rsidRPr="00405A36">
        <w:rPr>
          <w:lang w:val="en-US"/>
        </w:rPr>
        <w:t>.</w:t>
      </w:r>
    </w:p>
    <w:p w14:paraId="6F27AF75" w14:textId="35017F1E" w:rsidR="008F5A13" w:rsidRDefault="008F5A13">
      <w:pPr>
        <w:pStyle w:val="Heading1"/>
        <w:rPr>
          <w:lang w:val="en-US"/>
        </w:rPr>
      </w:pPr>
      <w:r>
        <w:rPr>
          <w:lang w:val="en-US"/>
        </w:rPr>
        <w:t>4. Results</w:t>
      </w:r>
    </w:p>
    <w:p w14:paraId="771E6729" w14:textId="267382C4" w:rsidR="006C2E4C" w:rsidRPr="006C2E4C" w:rsidRDefault="006C2E4C" w:rsidP="006C2E4C">
      <w:pPr>
        <w:pStyle w:val="Heading2"/>
        <w:rPr>
          <w:lang w:val="en-US"/>
        </w:rPr>
      </w:pPr>
      <w:r w:rsidRPr="006C2E4C">
        <w:rPr>
          <w:lang w:val="en-US"/>
        </w:rPr>
        <w:t xml:space="preserve">4.1. Cognitive and </w:t>
      </w:r>
      <w:r w:rsidR="00B50A6A" w:rsidRPr="006C2E4C">
        <w:rPr>
          <w:lang w:val="en-US"/>
        </w:rPr>
        <w:t>psychological transformation</w:t>
      </w:r>
    </w:p>
    <w:p w14:paraId="3BA9BCF2" w14:textId="77777777" w:rsidR="00E03317" w:rsidRPr="00E03317" w:rsidRDefault="00E03317" w:rsidP="00E03317">
      <w:pPr>
        <w:ind w:firstLine="720"/>
        <w:rPr>
          <w:lang w:val="en-US"/>
        </w:rPr>
      </w:pPr>
      <w:r w:rsidRPr="00E03317">
        <w:rPr>
          <w:lang w:val="en-US"/>
        </w:rPr>
        <w:t>The primary theoretical outcome of implementing the modernized Direct Method framework is a profound cognitive and psychological transformation within the learner, directly addressing the deeply ingrained persistent novice syndrome prevalent in Vietnamese higher education. Under the traditional Grammar-Translation regime, learners are conditioned to treat English not as a living medium of communication, but as a static science. This pedagogical misstep forces students into formulaic memorization, requiring them to mentally conjugate verbs and arrange syntax according to rigid, mathematical rules before uttering a single syllable. Consequently, when placed in real-time communicative situations, learners experience severe cognitive overload. This manifests as a debilitating psychological barrier characterized by intense hesitation, acute anxiety, and an inability to speak spontaneously. The conscious mind becomes trapped in an endless loop of self-correction and mental translation, paralyzing speech production.</w:t>
      </w:r>
    </w:p>
    <w:p w14:paraId="4E8027E3" w14:textId="2FDEDFA0" w:rsidR="006C2E4C" w:rsidRPr="006C2E4C" w:rsidRDefault="00E03317" w:rsidP="00E03317">
      <w:pPr>
        <w:ind w:firstLine="720"/>
        <w:rPr>
          <w:lang w:val="en-US"/>
        </w:rPr>
      </w:pPr>
      <w:r w:rsidRPr="00E03317">
        <w:rPr>
          <w:lang w:val="en-US"/>
        </w:rPr>
        <w:lastRenderedPageBreak/>
        <w:t>By enforcing the strict prohibition of the first language and relying on continuous, time-pressured gamification, this framework forcibly dismantles the translation matrix. The expected outcome is a rapid transition from a hesitant translator to a spontaneous communicator. Because the methodology systematically prevents the brain from accessing the native language pathway, students are reconditioned to map English vocabulary and structures directly to their corresponding concepts. As this direct mapping solidifies into a neurological reflex, the cognitive load associated with mental translation evaporates. Consequently, the affective filter of the learner is significantly lowered; the psychological anxiety that once accompanied spontaneous speech is replaced by communicative confidence and linguistic fluidity</w:t>
      </w:r>
      <w:r w:rsidR="006C2E4C" w:rsidRPr="006C2E4C">
        <w:rPr>
          <w:lang w:val="en-US"/>
        </w:rPr>
        <w:t>.</w:t>
      </w:r>
    </w:p>
    <w:p w14:paraId="4ACA0C7F" w14:textId="2C73820F" w:rsidR="006C2E4C" w:rsidRPr="006C2E4C" w:rsidRDefault="006C2E4C" w:rsidP="006C2E4C">
      <w:pPr>
        <w:pStyle w:val="Heading2"/>
        <w:rPr>
          <w:lang w:val="en-US"/>
        </w:rPr>
      </w:pPr>
      <w:r w:rsidRPr="006C2E4C">
        <w:rPr>
          <w:lang w:val="en-US"/>
        </w:rPr>
        <w:t>4.2. Comparative analysis of pedagogical frameworks</w:t>
      </w:r>
    </w:p>
    <w:p w14:paraId="444E3CB4" w14:textId="5474117F" w:rsidR="006C2E4C" w:rsidRDefault="00E03317" w:rsidP="00E03317">
      <w:pPr>
        <w:ind w:firstLine="720"/>
        <w:rPr>
          <w:lang w:val="en-US"/>
        </w:rPr>
      </w:pPr>
      <w:r w:rsidRPr="00E03317">
        <w:rPr>
          <w:lang w:val="en-US"/>
        </w:rPr>
        <w:t>To fully contextualize the transformative potential of this digital-direct approach, it is necessary to contrast the expected student performance outcomes under the legacy Grammar-Translation method with those generated by the proposed Direct Method framework</w:t>
      </w:r>
      <w:r w:rsidR="006C2E4C" w:rsidRPr="006C2E4C">
        <w:rPr>
          <w:lang w:val="en-US"/>
        </w:rPr>
        <w:t>.</w:t>
      </w:r>
    </w:p>
    <w:tbl>
      <w:tblPr>
        <w:tblStyle w:val="TableGrid"/>
        <w:tblW w:w="0" w:type="auto"/>
        <w:tblLook w:val="04A0" w:firstRow="1" w:lastRow="0" w:firstColumn="1" w:lastColumn="0" w:noHBand="0" w:noVBand="1"/>
      </w:tblPr>
      <w:tblGrid>
        <w:gridCol w:w="3226"/>
        <w:gridCol w:w="3226"/>
        <w:gridCol w:w="3226"/>
      </w:tblGrid>
      <w:tr w:rsidR="005845CD" w14:paraId="330F026A" w14:textId="77777777" w:rsidTr="00FA77E0">
        <w:trPr>
          <w:tblHeader/>
        </w:trPr>
        <w:tc>
          <w:tcPr>
            <w:tcW w:w="3226" w:type="dxa"/>
            <w:vAlign w:val="center"/>
          </w:tcPr>
          <w:p w14:paraId="1FE8BE34" w14:textId="30805720" w:rsidR="005845CD" w:rsidRPr="005845CD" w:rsidRDefault="00FA77E0" w:rsidP="00FA77E0">
            <w:pPr>
              <w:jc w:val="center"/>
              <w:rPr>
                <w:b/>
                <w:bCs/>
                <w:lang w:val="en-US"/>
              </w:rPr>
            </w:pPr>
            <w:r w:rsidRPr="00FA77E0">
              <w:rPr>
                <w:b/>
                <w:bCs/>
                <w:lang w:val="en-US"/>
              </w:rPr>
              <w:t>Dimension</w:t>
            </w:r>
          </w:p>
        </w:tc>
        <w:tc>
          <w:tcPr>
            <w:tcW w:w="3226" w:type="dxa"/>
            <w:vAlign w:val="center"/>
          </w:tcPr>
          <w:p w14:paraId="3ED5874A" w14:textId="4B8EC414" w:rsidR="005845CD" w:rsidRPr="005845CD" w:rsidRDefault="00FA77E0" w:rsidP="00FA77E0">
            <w:pPr>
              <w:jc w:val="center"/>
              <w:rPr>
                <w:b/>
                <w:bCs/>
                <w:lang w:val="en-US"/>
              </w:rPr>
            </w:pPr>
            <w:r w:rsidRPr="00FA77E0">
              <w:rPr>
                <w:b/>
                <w:bCs/>
                <w:lang w:val="en-US"/>
              </w:rPr>
              <w:t>Grammar-Translation Method</w:t>
            </w:r>
          </w:p>
        </w:tc>
        <w:tc>
          <w:tcPr>
            <w:tcW w:w="3226" w:type="dxa"/>
            <w:vAlign w:val="center"/>
          </w:tcPr>
          <w:p w14:paraId="20B3F6C7" w14:textId="02CDB591" w:rsidR="005845CD" w:rsidRPr="005845CD" w:rsidRDefault="00FA77E0" w:rsidP="00FA77E0">
            <w:pPr>
              <w:jc w:val="center"/>
              <w:rPr>
                <w:b/>
                <w:bCs/>
                <w:lang w:val="en-US"/>
              </w:rPr>
            </w:pPr>
            <w:r w:rsidRPr="00FA77E0">
              <w:rPr>
                <w:b/>
                <w:bCs/>
                <w:lang w:val="en-US"/>
              </w:rPr>
              <w:t>Proposed Direct Method Framework</w:t>
            </w:r>
          </w:p>
        </w:tc>
      </w:tr>
      <w:tr w:rsidR="005845CD" w14:paraId="37389B73" w14:textId="77777777" w:rsidTr="00E110F7">
        <w:tc>
          <w:tcPr>
            <w:tcW w:w="3226" w:type="dxa"/>
          </w:tcPr>
          <w:p w14:paraId="61DC7958" w14:textId="6F010BB9" w:rsidR="005845CD" w:rsidRDefault="00FA77E0" w:rsidP="00E110F7">
            <w:pPr>
              <w:jc w:val="left"/>
              <w:rPr>
                <w:lang w:val="en-US"/>
              </w:rPr>
            </w:pPr>
            <w:r w:rsidRPr="00FA77E0">
              <w:rPr>
                <w:lang w:val="en-US"/>
              </w:rPr>
              <w:t xml:space="preserve">Cognitive </w:t>
            </w:r>
            <w:r>
              <w:rPr>
                <w:lang w:val="en-US"/>
              </w:rPr>
              <w:t>r</w:t>
            </w:r>
            <w:r w:rsidRPr="00FA77E0">
              <w:rPr>
                <w:lang w:val="en-US"/>
              </w:rPr>
              <w:t>outing</w:t>
            </w:r>
          </w:p>
        </w:tc>
        <w:tc>
          <w:tcPr>
            <w:tcW w:w="3226" w:type="dxa"/>
          </w:tcPr>
          <w:p w14:paraId="622800D4" w14:textId="6A36BA2C" w:rsidR="005845CD" w:rsidRDefault="00E110F7" w:rsidP="00E110F7">
            <w:pPr>
              <w:jc w:val="left"/>
              <w:rPr>
                <w:lang w:val="en-US"/>
              </w:rPr>
            </w:pPr>
            <w:r w:rsidRPr="00E110F7">
              <w:rPr>
                <w:lang w:val="en-US"/>
              </w:rPr>
              <w:t>Indirect (English → Vietnamese → Concept)</w:t>
            </w:r>
          </w:p>
        </w:tc>
        <w:tc>
          <w:tcPr>
            <w:tcW w:w="3226" w:type="dxa"/>
          </w:tcPr>
          <w:p w14:paraId="33B4B961" w14:textId="48E2686D" w:rsidR="005845CD" w:rsidRDefault="00B81B7A" w:rsidP="00E110F7">
            <w:pPr>
              <w:jc w:val="left"/>
              <w:rPr>
                <w:lang w:val="en-US"/>
              </w:rPr>
            </w:pPr>
            <w:r w:rsidRPr="00B81B7A">
              <w:rPr>
                <w:lang w:val="en-US"/>
              </w:rPr>
              <w:t>Direct (English → Concept)</w:t>
            </w:r>
          </w:p>
        </w:tc>
      </w:tr>
      <w:tr w:rsidR="005845CD" w14:paraId="117E5EA2" w14:textId="77777777" w:rsidTr="00E110F7">
        <w:tc>
          <w:tcPr>
            <w:tcW w:w="3226" w:type="dxa"/>
          </w:tcPr>
          <w:p w14:paraId="11B0631F" w14:textId="38EBE08F" w:rsidR="005845CD" w:rsidRDefault="00FA77E0" w:rsidP="00E110F7">
            <w:pPr>
              <w:jc w:val="left"/>
              <w:rPr>
                <w:lang w:val="en-US"/>
              </w:rPr>
            </w:pPr>
            <w:r w:rsidRPr="00FA77E0">
              <w:rPr>
                <w:lang w:val="en-US"/>
              </w:rPr>
              <w:t xml:space="preserve">Psychological </w:t>
            </w:r>
            <w:r>
              <w:rPr>
                <w:lang w:val="en-US"/>
              </w:rPr>
              <w:t>s</w:t>
            </w:r>
            <w:r w:rsidRPr="00FA77E0">
              <w:rPr>
                <w:lang w:val="en-US"/>
              </w:rPr>
              <w:t>tate</w:t>
            </w:r>
          </w:p>
        </w:tc>
        <w:tc>
          <w:tcPr>
            <w:tcW w:w="3226" w:type="dxa"/>
          </w:tcPr>
          <w:p w14:paraId="36D755A8" w14:textId="2D2B7C92" w:rsidR="005845CD" w:rsidRDefault="00E110F7" w:rsidP="00E110F7">
            <w:pPr>
              <w:jc w:val="left"/>
              <w:rPr>
                <w:lang w:val="en-US"/>
              </w:rPr>
            </w:pPr>
            <w:r w:rsidRPr="00E110F7">
              <w:rPr>
                <w:lang w:val="en-US"/>
              </w:rPr>
              <w:t>High anxiety, hyper-awareness of structural errors, hesitant.</w:t>
            </w:r>
          </w:p>
        </w:tc>
        <w:tc>
          <w:tcPr>
            <w:tcW w:w="3226" w:type="dxa"/>
          </w:tcPr>
          <w:p w14:paraId="7DFDED1D" w14:textId="1DE79248" w:rsidR="005845CD" w:rsidRDefault="00B81B7A" w:rsidP="00E110F7">
            <w:pPr>
              <w:jc w:val="left"/>
              <w:rPr>
                <w:lang w:val="en-US"/>
              </w:rPr>
            </w:pPr>
            <w:r w:rsidRPr="00B81B7A">
              <w:rPr>
                <w:lang w:val="en-US"/>
              </w:rPr>
              <w:t>Low anxiety, focus on meaning and survival, spontaneous.</w:t>
            </w:r>
          </w:p>
        </w:tc>
      </w:tr>
      <w:tr w:rsidR="005845CD" w14:paraId="7C3BADE7" w14:textId="77777777" w:rsidTr="00E110F7">
        <w:tc>
          <w:tcPr>
            <w:tcW w:w="3226" w:type="dxa"/>
          </w:tcPr>
          <w:p w14:paraId="38013250" w14:textId="1BC67D16" w:rsidR="005845CD" w:rsidRDefault="00E110F7" w:rsidP="00E110F7">
            <w:pPr>
              <w:jc w:val="left"/>
              <w:rPr>
                <w:lang w:val="en-US"/>
              </w:rPr>
            </w:pPr>
            <w:r w:rsidRPr="00E110F7">
              <w:rPr>
                <w:lang w:val="en-US"/>
              </w:rPr>
              <w:t xml:space="preserve">Perception of </w:t>
            </w:r>
            <w:r>
              <w:rPr>
                <w:lang w:val="en-US"/>
              </w:rPr>
              <w:t>l</w:t>
            </w:r>
            <w:r w:rsidRPr="00E110F7">
              <w:rPr>
                <w:lang w:val="en-US"/>
              </w:rPr>
              <w:t>anguage</w:t>
            </w:r>
          </w:p>
        </w:tc>
        <w:tc>
          <w:tcPr>
            <w:tcW w:w="3226" w:type="dxa"/>
          </w:tcPr>
          <w:p w14:paraId="20F3E927" w14:textId="1A119C76" w:rsidR="005845CD" w:rsidRDefault="00E110F7" w:rsidP="00E110F7">
            <w:pPr>
              <w:jc w:val="left"/>
              <w:rPr>
                <w:lang w:val="en-US"/>
              </w:rPr>
            </w:pPr>
            <w:r w:rsidRPr="00E110F7">
              <w:rPr>
                <w:lang w:val="en-US"/>
              </w:rPr>
              <w:t>A static science requiring formulaic memorization.</w:t>
            </w:r>
          </w:p>
        </w:tc>
        <w:tc>
          <w:tcPr>
            <w:tcW w:w="3226" w:type="dxa"/>
          </w:tcPr>
          <w:p w14:paraId="48443896" w14:textId="3E294A72" w:rsidR="005845CD" w:rsidRDefault="00B076DA" w:rsidP="00E110F7">
            <w:pPr>
              <w:jc w:val="left"/>
              <w:rPr>
                <w:lang w:val="en-US"/>
              </w:rPr>
            </w:pPr>
            <w:r w:rsidRPr="00B076DA">
              <w:rPr>
                <w:lang w:val="en-US"/>
              </w:rPr>
              <w:t>A dynamic, living tool for social interaction and survival.</w:t>
            </w:r>
          </w:p>
        </w:tc>
      </w:tr>
      <w:tr w:rsidR="005845CD" w14:paraId="35FA47BC" w14:textId="77777777" w:rsidTr="00E110F7">
        <w:tc>
          <w:tcPr>
            <w:tcW w:w="3226" w:type="dxa"/>
          </w:tcPr>
          <w:p w14:paraId="188B67D6" w14:textId="54B6FFD2" w:rsidR="005845CD" w:rsidRDefault="00E110F7" w:rsidP="00E110F7">
            <w:pPr>
              <w:jc w:val="left"/>
              <w:rPr>
                <w:lang w:val="en-US"/>
              </w:rPr>
            </w:pPr>
            <w:r w:rsidRPr="00E110F7">
              <w:rPr>
                <w:lang w:val="en-US"/>
              </w:rPr>
              <w:t xml:space="preserve">Pacing of </w:t>
            </w:r>
            <w:r>
              <w:rPr>
                <w:lang w:val="en-US"/>
              </w:rPr>
              <w:t>o</w:t>
            </w:r>
            <w:r w:rsidRPr="00E110F7">
              <w:rPr>
                <w:lang w:val="en-US"/>
              </w:rPr>
              <w:t>utput</w:t>
            </w:r>
          </w:p>
        </w:tc>
        <w:tc>
          <w:tcPr>
            <w:tcW w:w="3226" w:type="dxa"/>
          </w:tcPr>
          <w:p w14:paraId="371B4C64" w14:textId="5F1981DF" w:rsidR="005845CD" w:rsidRDefault="00B81B7A" w:rsidP="00E110F7">
            <w:pPr>
              <w:jc w:val="left"/>
              <w:rPr>
                <w:lang w:val="en-US"/>
              </w:rPr>
            </w:pPr>
            <w:r w:rsidRPr="00B81B7A">
              <w:rPr>
                <w:lang w:val="en-US"/>
              </w:rPr>
              <w:t>Delayed; requires extensive processing time to construct sentences.</w:t>
            </w:r>
          </w:p>
        </w:tc>
        <w:tc>
          <w:tcPr>
            <w:tcW w:w="3226" w:type="dxa"/>
          </w:tcPr>
          <w:p w14:paraId="2D4E7564" w14:textId="739DEA42" w:rsidR="005845CD" w:rsidRDefault="00B076DA" w:rsidP="00E110F7">
            <w:pPr>
              <w:jc w:val="left"/>
              <w:rPr>
                <w:lang w:val="en-US"/>
              </w:rPr>
            </w:pPr>
            <w:r w:rsidRPr="00B076DA">
              <w:rPr>
                <w:lang w:val="en-US"/>
              </w:rPr>
              <w:t>Reflexive and immediate; driven by time-pressured gamification.</w:t>
            </w:r>
          </w:p>
        </w:tc>
      </w:tr>
      <w:tr w:rsidR="005845CD" w14:paraId="183A77CB" w14:textId="77777777" w:rsidTr="00E110F7">
        <w:tc>
          <w:tcPr>
            <w:tcW w:w="3226" w:type="dxa"/>
          </w:tcPr>
          <w:p w14:paraId="5D9EB8EF" w14:textId="11E38AA9" w:rsidR="005845CD" w:rsidRDefault="00E110F7" w:rsidP="00E110F7">
            <w:pPr>
              <w:jc w:val="left"/>
              <w:rPr>
                <w:lang w:val="en-US"/>
              </w:rPr>
            </w:pPr>
            <w:r w:rsidRPr="00E110F7">
              <w:rPr>
                <w:lang w:val="en-US"/>
              </w:rPr>
              <w:t xml:space="preserve">Grammar </w:t>
            </w:r>
            <w:r>
              <w:rPr>
                <w:lang w:val="en-US"/>
              </w:rPr>
              <w:t>a</w:t>
            </w:r>
            <w:r w:rsidRPr="00E110F7">
              <w:rPr>
                <w:lang w:val="en-US"/>
              </w:rPr>
              <w:t>cquisition</w:t>
            </w:r>
          </w:p>
        </w:tc>
        <w:tc>
          <w:tcPr>
            <w:tcW w:w="3226" w:type="dxa"/>
          </w:tcPr>
          <w:p w14:paraId="2D298729" w14:textId="1A16F8F7" w:rsidR="005845CD" w:rsidRDefault="00B81B7A" w:rsidP="00E110F7">
            <w:pPr>
              <w:jc w:val="left"/>
              <w:rPr>
                <w:lang w:val="en-US"/>
              </w:rPr>
            </w:pPr>
            <w:r w:rsidRPr="00B81B7A">
              <w:rPr>
                <w:lang w:val="en-US"/>
              </w:rPr>
              <w:t>Deductive; explicit rule memorization in L1.</w:t>
            </w:r>
          </w:p>
        </w:tc>
        <w:tc>
          <w:tcPr>
            <w:tcW w:w="3226" w:type="dxa"/>
          </w:tcPr>
          <w:p w14:paraId="2D32FDAC" w14:textId="594A6A8C" w:rsidR="005845CD" w:rsidRDefault="00B076DA" w:rsidP="00E110F7">
            <w:pPr>
              <w:jc w:val="left"/>
              <w:rPr>
                <w:lang w:val="en-US"/>
              </w:rPr>
            </w:pPr>
            <w:r w:rsidRPr="00B076DA">
              <w:rPr>
                <w:lang w:val="en-US"/>
              </w:rPr>
              <w:t>Inductive; subconscious pattern recognition through high-frequency L2 exposure.</w:t>
            </w:r>
          </w:p>
        </w:tc>
      </w:tr>
      <w:tr w:rsidR="005845CD" w14:paraId="0239F41E" w14:textId="77777777" w:rsidTr="00E110F7">
        <w:tc>
          <w:tcPr>
            <w:tcW w:w="3226" w:type="dxa"/>
          </w:tcPr>
          <w:p w14:paraId="16126517" w14:textId="79D455B5" w:rsidR="005845CD" w:rsidRDefault="00E110F7" w:rsidP="00E110F7">
            <w:pPr>
              <w:jc w:val="left"/>
              <w:rPr>
                <w:lang w:val="en-US"/>
              </w:rPr>
            </w:pPr>
            <w:r w:rsidRPr="00E110F7">
              <w:rPr>
                <w:lang w:val="en-US"/>
              </w:rPr>
              <w:t xml:space="preserve">Error </w:t>
            </w:r>
            <w:r>
              <w:rPr>
                <w:lang w:val="en-US"/>
              </w:rPr>
              <w:t>t</w:t>
            </w:r>
            <w:r w:rsidRPr="00E110F7">
              <w:rPr>
                <w:lang w:val="en-US"/>
              </w:rPr>
              <w:t>reatment</w:t>
            </w:r>
          </w:p>
        </w:tc>
        <w:tc>
          <w:tcPr>
            <w:tcW w:w="3226" w:type="dxa"/>
          </w:tcPr>
          <w:p w14:paraId="5ABCDBA0" w14:textId="3A3D8315" w:rsidR="005845CD" w:rsidRDefault="00B81B7A" w:rsidP="00E110F7">
            <w:pPr>
              <w:jc w:val="left"/>
              <w:rPr>
                <w:lang w:val="en-US"/>
              </w:rPr>
            </w:pPr>
            <w:r w:rsidRPr="00B81B7A">
              <w:rPr>
                <w:lang w:val="en-US"/>
              </w:rPr>
              <w:t>Punitive; errors are seen as failures of memorization.</w:t>
            </w:r>
          </w:p>
        </w:tc>
        <w:tc>
          <w:tcPr>
            <w:tcW w:w="3226" w:type="dxa"/>
          </w:tcPr>
          <w:p w14:paraId="1A4272C7" w14:textId="7BFA1FF2" w:rsidR="005845CD" w:rsidRDefault="00B076DA" w:rsidP="00E110F7">
            <w:pPr>
              <w:keepNext/>
              <w:jc w:val="left"/>
              <w:rPr>
                <w:lang w:val="en-US"/>
              </w:rPr>
            </w:pPr>
            <w:r w:rsidRPr="00B076DA">
              <w:rPr>
                <w:lang w:val="en-US"/>
              </w:rPr>
              <w:t>Developmental; errors are natural steps in negotiating meaning.</w:t>
            </w:r>
          </w:p>
        </w:tc>
      </w:tr>
    </w:tbl>
    <w:p w14:paraId="401CB868" w14:textId="5334EEDF" w:rsidR="00D712C6" w:rsidRPr="006C2E4C" w:rsidRDefault="005845CD" w:rsidP="005845CD">
      <w:pPr>
        <w:pStyle w:val="Caption"/>
        <w:rPr>
          <w:lang w:val="en-US"/>
        </w:rPr>
      </w:pPr>
      <w:r>
        <w:t xml:space="preserve">Table </w:t>
      </w:r>
      <w:r>
        <w:fldChar w:fldCharType="begin"/>
      </w:r>
      <w:r>
        <w:instrText xml:space="preserve"> SEQ Table \* ARABIC </w:instrText>
      </w:r>
      <w:r>
        <w:fldChar w:fldCharType="separate"/>
      </w:r>
      <w:r>
        <w:t>1</w:t>
      </w:r>
      <w:r>
        <w:fldChar w:fldCharType="end"/>
      </w:r>
      <w:r>
        <w:rPr>
          <w:lang w:val="en-US"/>
        </w:rPr>
        <w:t xml:space="preserve">: </w:t>
      </w:r>
      <w:r w:rsidRPr="003C7CC8">
        <w:rPr>
          <w:lang w:val="en-US"/>
        </w:rPr>
        <w:t xml:space="preserve">Theoretical omparison of </w:t>
      </w:r>
      <w:r>
        <w:rPr>
          <w:lang w:val="en-US"/>
        </w:rPr>
        <w:t>s</w:t>
      </w:r>
      <w:r w:rsidRPr="003C7CC8">
        <w:rPr>
          <w:lang w:val="en-US"/>
        </w:rPr>
        <w:t xml:space="preserve">tudent </w:t>
      </w:r>
      <w:r>
        <w:rPr>
          <w:lang w:val="en-US"/>
        </w:rPr>
        <w:t>p</w:t>
      </w:r>
      <w:r w:rsidRPr="003C7CC8">
        <w:rPr>
          <w:lang w:val="en-US"/>
        </w:rPr>
        <w:t xml:space="preserve">erformance and </w:t>
      </w:r>
      <w:r>
        <w:rPr>
          <w:lang w:val="en-US"/>
        </w:rPr>
        <w:t>c</w:t>
      </w:r>
      <w:r w:rsidRPr="003C7CC8">
        <w:rPr>
          <w:lang w:val="en-US"/>
        </w:rPr>
        <w:t xml:space="preserve">ognitive </w:t>
      </w:r>
      <w:r>
        <w:rPr>
          <w:lang w:val="en-US"/>
        </w:rPr>
        <w:t>p</w:t>
      </w:r>
      <w:r w:rsidRPr="003C7CC8">
        <w:rPr>
          <w:lang w:val="en-US"/>
        </w:rPr>
        <w:t>rocessing</w:t>
      </w:r>
    </w:p>
    <w:p w14:paraId="14AD1A6B" w14:textId="2FE52B18" w:rsidR="006C2E4C" w:rsidRPr="006C2E4C" w:rsidRDefault="006C2E4C" w:rsidP="006C2E4C">
      <w:pPr>
        <w:pStyle w:val="Heading2"/>
        <w:rPr>
          <w:lang w:val="en-US"/>
        </w:rPr>
      </w:pPr>
      <w:r w:rsidRPr="006C2E4C">
        <w:rPr>
          <w:lang w:val="en-US"/>
        </w:rPr>
        <w:t>4.3. Overcoming immersion shock through strategic competence</w:t>
      </w:r>
    </w:p>
    <w:p w14:paraId="47168727" w14:textId="77777777" w:rsidR="000F415B" w:rsidRPr="000F415B" w:rsidRDefault="000F415B" w:rsidP="000F415B">
      <w:pPr>
        <w:ind w:firstLine="720"/>
        <w:rPr>
          <w:lang w:val="en-US"/>
        </w:rPr>
      </w:pPr>
      <w:r w:rsidRPr="000F415B">
        <w:rPr>
          <w:lang w:val="en-US"/>
        </w:rPr>
        <w:t xml:space="preserve">Transitioning abruptly from a bilingual, translation-heavy environment to a strict monolingual ecosystem will inevitably trigger an initial immersion shock among Vietnamese students. When the native language prohibition is first introduced, learners frequently experience frustration and resistance, feeling as though their primary tool for comprehension </w:t>
      </w:r>
      <w:r w:rsidRPr="000F415B">
        <w:rPr>
          <w:lang w:val="en-US"/>
        </w:rPr>
        <w:lastRenderedPageBreak/>
        <w:t>has been unjustly removed. However, the proposed framework structurally mitigates this cognitive friction through two distinct mechanisms.</w:t>
      </w:r>
    </w:p>
    <w:p w14:paraId="60B05DA4" w14:textId="77777777" w:rsidR="000F415B" w:rsidRPr="000F415B" w:rsidRDefault="000F415B" w:rsidP="000F415B">
      <w:pPr>
        <w:ind w:firstLine="720"/>
        <w:rPr>
          <w:lang w:val="en-US"/>
        </w:rPr>
      </w:pPr>
      <w:r w:rsidRPr="000F415B">
        <w:rPr>
          <w:lang w:val="en-US"/>
        </w:rPr>
        <w:t>First, the integration of Learning Management Systems for pre-class vocabulary loading acts as a cognitive buffer. By allowing students to familiarize themselves with target lexical items and contextual inputs asynchronously before the synchronous class begins, the initial wave of incomprehension is drastically reduced.</w:t>
      </w:r>
    </w:p>
    <w:p w14:paraId="5B4159A9" w14:textId="0AB199C4" w:rsidR="006C2E4C" w:rsidRPr="006C2E4C" w:rsidRDefault="000F415B" w:rsidP="000F415B">
      <w:pPr>
        <w:ind w:firstLine="720"/>
        <w:rPr>
          <w:lang w:val="en-US"/>
        </w:rPr>
      </w:pPr>
      <w:r w:rsidRPr="000F415B">
        <w:rPr>
          <w:lang w:val="en-US"/>
        </w:rPr>
        <w:t>Second, and more crucially, the framework explicitly develops what Canale and Swain (1980) define as strategic competence. Rather than allowing students to revert to Vietnamese when they encounter a lexical gap, lecturers actively train learners in survival strategies, primarily circumlocution and paraphrasing. For instance, if a Vietnamese student cannot recall the specific English word for umbrella, they are guided to utilize their existing second-language repertoire to describe the function or appearance of the concept, such as stating the tool we use to stop the rain from making us wet. This strategic maneuvering ensures that the communicative momentum is maintained without breaking the monolingual rule. By mastering these compensatory strategies, students not only survive the initial immersion shock but also develop the resilience and adaptability required for authentic, unscripted discourse</w:t>
      </w:r>
      <w:r w:rsidR="006C2E4C" w:rsidRPr="006C2E4C">
        <w:rPr>
          <w:lang w:val="en-US"/>
        </w:rPr>
        <w:t>.</w:t>
      </w:r>
    </w:p>
    <w:p w14:paraId="70A89251" w14:textId="30471375" w:rsidR="006C2E4C" w:rsidRPr="006C2E4C" w:rsidRDefault="006C2E4C" w:rsidP="006C2E4C">
      <w:pPr>
        <w:pStyle w:val="Heading2"/>
        <w:rPr>
          <w:lang w:val="en-US"/>
        </w:rPr>
      </w:pPr>
      <w:r w:rsidRPr="006C2E4C">
        <w:rPr>
          <w:lang w:val="en-US"/>
        </w:rPr>
        <w:t>4.4. Administrative relief and the grading paradigm shift</w:t>
      </w:r>
    </w:p>
    <w:p w14:paraId="794851F9" w14:textId="77777777" w:rsidR="00A6209E" w:rsidRPr="00A6209E" w:rsidRDefault="00A6209E" w:rsidP="00064D2A">
      <w:pPr>
        <w:ind w:firstLine="720"/>
        <w:rPr>
          <w:lang w:val="en-US"/>
        </w:rPr>
      </w:pPr>
      <w:r w:rsidRPr="00A6209E">
        <w:rPr>
          <w:lang w:val="en-US"/>
        </w:rPr>
        <w:t>Beyond the cognitive benefits to the learner, the integration of digital Direct Method instruction yields significant administrative and systemic results. A pervasive issue within Vietnamese higher education is the reluctance of lecturers to award high grades. It is vital to clarify that this issue does not stem from inherent flaws within the regulatory framework itself; Circular 08/2021/TT-BGDĐT is fundamentally sound in its legislative intent. However, friction arises because the circular lacks a detailed, standardized formula for converting the traditional Vietnamese ten-point scale to the international four-point scale required when students apply for international academic programs. The universally accepted conversion formula dictates that one must multiply the numerical grade value of each course, such as an A equaling 4.0 or a B equaling 3.0, by its credit hours to yield total grade points. Subsequently, one must sum all grade points and divide the sum by the total credit hours attempted. For example, a student achieving a three-credit A valued at 4.0 and a three-credit B valued at 3.0 would calculate their score as twelve plus nine, divided by six, resulting in a 3.5 Grade Point Average.</w:t>
      </w:r>
    </w:p>
    <w:p w14:paraId="7E01EF3F" w14:textId="77777777" w:rsidR="00A6209E" w:rsidRPr="00A6209E" w:rsidRDefault="00A6209E" w:rsidP="00064D2A">
      <w:pPr>
        <w:ind w:firstLine="720"/>
        <w:rPr>
          <w:lang w:val="en-US"/>
        </w:rPr>
      </w:pPr>
      <w:r w:rsidRPr="00A6209E">
        <w:rPr>
          <w:lang w:val="en-US"/>
        </w:rPr>
        <w:t>Despite the mathematical clarity of this conversion, a profound safety bias persists among educators. Because lecturers are culturally and institutionally accustomed to the ten-point grading system where upper-tier scores are historically rare, they artificially restrict high grades. This reluctance is driven by an unfounded apprehension that the Faculty Management Board or the University Board of Directors will question the rigor and fairness of the grading system if a high volume of top scores is recorded.</w:t>
      </w:r>
    </w:p>
    <w:p w14:paraId="730F2E08" w14:textId="77777777" w:rsidR="00A6209E" w:rsidRPr="00A6209E" w:rsidRDefault="00A6209E" w:rsidP="00064D2A">
      <w:pPr>
        <w:ind w:firstLine="720"/>
        <w:rPr>
          <w:lang w:val="en-US"/>
        </w:rPr>
      </w:pPr>
      <w:r w:rsidRPr="00A6209E">
        <w:rPr>
          <w:lang w:val="en-US"/>
        </w:rPr>
        <w:lastRenderedPageBreak/>
        <w:t>The proposed framework neutralizes this apprehension by generating highly objective, continuous assessment data through the learning management system and gamified platforms. When a lecturer can produce an indisputable digital log of rapid, reflexive communicative responses from a student, the bucket effect of administrative anxiety is relieved. The continuous data serves as an empirical shield against systemic scrutiny.</w:t>
      </w:r>
    </w:p>
    <w:p w14:paraId="73A6C52C" w14:textId="65D569B6" w:rsidR="006C2E4C" w:rsidRPr="006C2E4C" w:rsidRDefault="00A6209E" w:rsidP="00064D2A">
      <w:pPr>
        <w:ind w:firstLine="720"/>
        <w:rPr>
          <w:lang w:val="en-US"/>
        </w:rPr>
      </w:pPr>
      <w:r w:rsidRPr="00A6209E">
        <w:rPr>
          <w:lang w:val="en-US"/>
        </w:rPr>
        <w:t>Furthermore, this objective data collection paves the way for a necessary paradigm shift in assessment ideology. The author posits that administrators, ranging from the Ministry of Education and Training to individual University Boards of Directors and Faculty Management Boards, must fundamentally change their grading mindset regarding language acquisition. Because communicative competence is a functional skill rather than a static academic subject, institutions should transition to assessing language ability through categorical Pass or Fail ratings rather than nuanced numerical scores. Implementing a binary evaluation system based on objective digital data would completely eradicate the grading hesitation of lecturers, align institutional evaluation with the biological realities of language learning, and ultimately produce graduates who are evaluated on their genuine ability to communicate rather than administrative caution</w:t>
      </w:r>
      <w:r w:rsidR="006C2E4C" w:rsidRPr="006C2E4C">
        <w:rPr>
          <w:lang w:val="en-US"/>
        </w:rPr>
        <w:t>.</w:t>
      </w:r>
    </w:p>
    <w:p w14:paraId="15766590" w14:textId="51A044D5" w:rsidR="008F5A13" w:rsidRDefault="008F5A13">
      <w:pPr>
        <w:pStyle w:val="Heading1"/>
        <w:rPr>
          <w:lang w:val="en-US"/>
        </w:rPr>
      </w:pPr>
      <w:r>
        <w:rPr>
          <w:lang w:val="en-US"/>
        </w:rPr>
        <w:t>5. Conclusion</w:t>
      </w:r>
    </w:p>
    <w:p w14:paraId="6A915E09" w14:textId="77777777" w:rsidR="004D4CD6" w:rsidRPr="004D4CD6" w:rsidRDefault="004D4CD6" w:rsidP="00064D2A">
      <w:pPr>
        <w:ind w:firstLine="720"/>
        <w:rPr>
          <w:lang w:val="en-US"/>
        </w:rPr>
      </w:pPr>
      <w:r w:rsidRPr="004D4CD6">
        <w:rPr>
          <w:lang w:val="en-US"/>
        </w:rPr>
        <w:t>The central premise of this theoretical synthesis posits that the path to overcoming the persistent novice syndrome in Vietnamese higher education does not lie in further refining grammatical instruction, but rather in fundamentally altering the pedagogical environment through a symbiotic integration of the Direct Method and modern digital tools. This pedagogical evolution represents a critical advancement in English Language Teaching. By structurally merging the strict, monolingual immersion of the Direct Method with the asynchronous scaffolding and rapid cognitive demands of Learning Management Systems and gamified platforms, educators can systematically dismantle the detrimental translation matrix. This integrated digital-direct synergy not only relieves the extensive administrative and cognitive burdens placed on lecturers but also forces learners to bypass their native language entirely, forging direct neurological connections between target-language vocabulary and real-world concepts.</w:t>
      </w:r>
    </w:p>
    <w:p w14:paraId="315ED345" w14:textId="77777777" w:rsidR="004D4CD6" w:rsidRPr="004D4CD6" w:rsidRDefault="004D4CD6" w:rsidP="00064D2A">
      <w:pPr>
        <w:ind w:firstLine="720"/>
        <w:rPr>
          <w:lang w:val="en-US"/>
        </w:rPr>
      </w:pPr>
      <w:r w:rsidRPr="004D4CD6">
        <w:rPr>
          <w:lang w:val="en-US"/>
        </w:rPr>
        <w:t>For language lecturers operating within these instructional contexts, the ultimate call to action is one of pedagogical resolve. Educators are strongly encouraged to navigate the inevitable immersion shock that occurs when the mother tongue is abruptly removed from the learning environment. While student resistance and initial frustration are expected psychological responses, lecturers must remain steadfast in strictly prohibiting the native language within the classroom. Relenting to the comfort of first-language translation merely reinforces the cognitive paralysis that has historically hindered communicative development among Vietnamese graduates. By maintaining an absolute prohibition on native language usage and leaning heavily on strategic competence and digital scaffolding, lecturers can successfully guide their students through the discomfort of immersion toward the realization of genuine, spontaneous communicative fluency.</w:t>
      </w:r>
    </w:p>
    <w:p w14:paraId="1156663D" w14:textId="77777777" w:rsidR="004D4CD6" w:rsidRPr="004D4CD6" w:rsidRDefault="004D4CD6" w:rsidP="00064D2A">
      <w:pPr>
        <w:ind w:firstLine="720"/>
        <w:rPr>
          <w:lang w:val="en-US"/>
        </w:rPr>
      </w:pPr>
      <w:r w:rsidRPr="004D4CD6">
        <w:rPr>
          <w:lang w:val="en-US"/>
        </w:rPr>
        <w:lastRenderedPageBreak/>
        <w:t>Realizing the full potential of this pedagogical shift concurrently requires a structural paradigm shift at the administrative level. Institutional administrators, encompassing the Ministry of Education and Training, University Boards of Directors, and Faculty Management Boards, are strongly advised to comprehensively restructure language assessment by transitioning away from the traditional ten-point scale. Because language is a dynamic, functional skill rather than a static academic discipline, proficiency should ideally be evaluated through a binary Pass or Fail assessment model. Transitioning to this binary system, substantiated by the objective continuous data generated through digital platforms, will definitively neutralize the grading safety bias. This shift frees lecturers from the apprehension of administrative scrutiny regarding high grade distributions and optimally aligns institutional evaluation with the biological and practical realities of language acquisition.</w:t>
      </w:r>
    </w:p>
    <w:p w14:paraId="318C9F98" w14:textId="77777777" w:rsidR="004D4CD6" w:rsidRPr="004D4CD6" w:rsidRDefault="004D4CD6" w:rsidP="00064D2A">
      <w:pPr>
        <w:ind w:firstLine="720"/>
        <w:rPr>
          <w:lang w:val="en-US"/>
        </w:rPr>
      </w:pPr>
      <w:r w:rsidRPr="004D4CD6">
        <w:rPr>
          <w:lang w:val="en-US"/>
        </w:rPr>
        <w:t>Despite the transformative potential of this instructional framework, this conceptual analysis acknowledges several inherent limitations that must be addressed in broader systemic applications. First, the rigorous execution of the modernized Direct Method mandates that lecturers possess an unscripted, spontaneous proficiency equivalent to the C1 level on the Common European Framework of Reference. Sourcing a sufficient volume of educators capable of maintaining this immersive, high-velocity environment without relying on internal mental translation remains a significant systemic challenge. Second, the heavy reliance on digital infrastructure, specifically robust learning management portals and the high-speed connectivity required for synchronous gamification, highlights a potential digital divide. While established academic institutions possess the necessary technological architecture, less-resourced or rural universities may lack the infrastructure required to fully support this integrated approach.</w:t>
      </w:r>
    </w:p>
    <w:p w14:paraId="706414D1" w14:textId="066012FD" w:rsidR="003C2093" w:rsidRDefault="004D4CD6" w:rsidP="00064D2A">
      <w:pPr>
        <w:ind w:firstLine="720"/>
        <w:rPr>
          <w:lang w:val="en-US"/>
        </w:rPr>
      </w:pPr>
      <w:r w:rsidRPr="004D4CD6">
        <w:rPr>
          <w:lang w:val="en-US"/>
        </w:rPr>
        <w:t>Moving forward, future research must pivot from conceptual frameworks to rigorous empirical investigations focusing specifically on the monolingual approach in English Language Teaching. Researchers should design longitudinal and cross-sectional studies that mandate the exclusive use of English in diverse classroom settings to quantitatively and qualitatively measure the precise efficacy of total immersion. Future inquiries must deeply analyze how effectively the strict prohibition of the native language prevents first-language reliance, mathematically track the developmental timeline of overcoming immersion shock, and measure the subsequent neurological development of spontaneous communicative reflexes. Through sustained empirical validation, the Direct Method, enhanced by digital innovation, can be definitively established as the primary solution to breaking the translation barrier in Vietnamese higher education</w:t>
      </w:r>
      <w:r w:rsidR="00185D73" w:rsidRPr="00185D73">
        <w:rPr>
          <w:lang w:val="en-US"/>
        </w:rPr>
        <w:t>.</w:t>
      </w:r>
    </w:p>
    <w:p w14:paraId="2EC519D3" w14:textId="77777777" w:rsidR="003C2093" w:rsidRDefault="003C2093">
      <w:pPr>
        <w:spacing w:line="360" w:lineRule="auto"/>
        <w:rPr>
          <w:lang w:val="en-US"/>
        </w:rPr>
      </w:pPr>
      <w:r>
        <w:rPr>
          <w:lang w:val="en-US"/>
        </w:rPr>
        <w:br w:type="page"/>
      </w:r>
    </w:p>
    <w:p w14:paraId="0C7D7BD8" w14:textId="264926E3" w:rsidR="008F5A13" w:rsidRDefault="00C76865">
      <w:pPr>
        <w:pStyle w:val="Heading1"/>
      </w:pPr>
      <w:r>
        <w:rPr>
          <w:lang w:val="en-US"/>
        </w:rPr>
        <w:lastRenderedPageBreak/>
        <w:t>6. Reference</w:t>
      </w:r>
    </w:p>
    <w:p w14:paraId="701AB8B4" w14:textId="77777777" w:rsidR="00A56309" w:rsidRDefault="003C2093" w:rsidP="00287835">
      <w:pPr>
        <w:pStyle w:val="Bibliography"/>
        <w:numPr>
          <w:ilvl w:val="0"/>
          <w:numId w:val="3"/>
        </w:numPr>
        <w:rPr>
          <w:sz w:val="24"/>
          <w:szCs w:val="24"/>
        </w:rPr>
      </w:pPr>
      <w:r>
        <w:fldChar w:fldCharType="begin"/>
      </w:r>
      <w:r>
        <w:instrText xml:space="preserve"> BIBLIOGRAPHY  \l 1066 </w:instrText>
      </w:r>
      <w:r>
        <w:fldChar w:fldCharType="separate"/>
      </w:r>
      <w:r w:rsidR="00A56309">
        <w:t xml:space="preserve">Bachman, L. F. (1990). </w:t>
      </w:r>
      <w:r w:rsidR="00A56309">
        <w:rPr>
          <w:i/>
          <w:iCs/>
        </w:rPr>
        <w:t>Fundamental Considerations in Language Testing.</w:t>
      </w:r>
      <w:r w:rsidR="00A56309">
        <w:t xml:space="preserve"> Oxford, Oxfordshire, England: Oxford University Press.</w:t>
      </w:r>
    </w:p>
    <w:p w14:paraId="4C2CCC59" w14:textId="77777777" w:rsidR="00A56309" w:rsidRDefault="00A56309" w:rsidP="00287835">
      <w:pPr>
        <w:pStyle w:val="Bibliography"/>
        <w:numPr>
          <w:ilvl w:val="0"/>
          <w:numId w:val="3"/>
        </w:numPr>
      </w:pPr>
      <w:r>
        <w:t xml:space="preserve">Bell, D. M. (2003). Method and Postmethod: Are They Really So Incompatible? </w:t>
      </w:r>
      <w:r>
        <w:rPr>
          <w:i/>
          <w:iCs/>
        </w:rPr>
        <w:t>The Forum</w:t>
      </w:r>
      <w:r>
        <w:t>, 325-336.</w:t>
      </w:r>
    </w:p>
    <w:p w14:paraId="6DA84F04" w14:textId="77777777" w:rsidR="00A56309" w:rsidRDefault="00A56309" w:rsidP="00287835">
      <w:pPr>
        <w:pStyle w:val="Bibliography"/>
        <w:numPr>
          <w:ilvl w:val="0"/>
          <w:numId w:val="3"/>
        </w:numPr>
      </w:pPr>
      <w:r>
        <w:t xml:space="preserve">British Council. (2026, January 23). </w:t>
      </w:r>
      <w:r>
        <w:rPr>
          <w:i/>
          <w:iCs/>
        </w:rPr>
        <w:t>Direct method</w:t>
      </w:r>
      <w:r>
        <w:t>. Retrieved January 30, 2026, from British Council Teaching: https://www.teachingenglish.org.uk/professional-development/teachers/teaching-knowledge-database/d-h/direct-method</w:t>
      </w:r>
    </w:p>
    <w:p w14:paraId="6CEC40BD" w14:textId="77777777" w:rsidR="00A56309" w:rsidRDefault="00A56309" w:rsidP="00287835">
      <w:pPr>
        <w:pStyle w:val="Bibliography"/>
        <w:numPr>
          <w:ilvl w:val="0"/>
          <w:numId w:val="3"/>
        </w:numPr>
      </w:pPr>
      <w:r>
        <w:t xml:space="preserve">Brown, R. (1973). </w:t>
      </w:r>
      <w:r>
        <w:rPr>
          <w:i/>
          <w:iCs/>
        </w:rPr>
        <w:t>A first language: The early stages.</w:t>
      </w:r>
      <w:r>
        <w:t xml:space="preserve"> Cambridge, Massachusetts, United States: Harvard University Press.</w:t>
      </w:r>
    </w:p>
    <w:p w14:paraId="3E7C8F44" w14:textId="77777777" w:rsidR="00A56309" w:rsidRDefault="00A56309" w:rsidP="00287835">
      <w:pPr>
        <w:pStyle w:val="Bibliography"/>
        <w:numPr>
          <w:ilvl w:val="0"/>
          <w:numId w:val="3"/>
        </w:numPr>
      </w:pPr>
      <w:r>
        <w:t xml:space="preserve">Canale, M., &amp; Swain, M. (1980, March 1). Theoretical Bases of Communicative Approaches to Second Language Teaching and Testing. </w:t>
      </w:r>
      <w:r>
        <w:rPr>
          <w:i/>
          <w:iCs/>
        </w:rPr>
        <w:t>Applied Linguistics, 1</w:t>
      </w:r>
      <w:r>
        <w:t>(1), trang 30-31.</w:t>
      </w:r>
    </w:p>
    <w:p w14:paraId="4B91003D" w14:textId="77777777" w:rsidR="00A56309" w:rsidRDefault="00A56309" w:rsidP="00287835">
      <w:pPr>
        <w:pStyle w:val="Bibliography"/>
        <w:numPr>
          <w:ilvl w:val="0"/>
          <w:numId w:val="3"/>
        </w:numPr>
        <w:rPr>
          <w:lang w:val="en-US"/>
        </w:rPr>
      </w:pPr>
      <w:r>
        <w:t xml:space="preserve">Council of Europe. (2001). </w:t>
      </w:r>
      <w:r>
        <w:rPr>
          <w:i/>
          <w:iCs/>
        </w:rPr>
        <w:t>Self-assessment Grids (CEFR).</w:t>
      </w:r>
      <w:r>
        <w:t xml:space="preserve"> Strasbourg, Grand Est, France: Council of Europe. Retrieved from https://www.coe.int/en/web/portfolio/self-assessment-grid</w:t>
      </w:r>
    </w:p>
    <w:p w14:paraId="14C30A84" w14:textId="77777777" w:rsidR="00A56309" w:rsidRDefault="00A56309" w:rsidP="00287835">
      <w:pPr>
        <w:pStyle w:val="Bibliography"/>
        <w:numPr>
          <w:ilvl w:val="0"/>
          <w:numId w:val="3"/>
        </w:numPr>
      </w:pPr>
      <w:r>
        <w:t xml:space="preserve">Diller, K. C. (1978). </w:t>
      </w:r>
      <w:r>
        <w:rPr>
          <w:i/>
          <w:iCs/>
        </w:rPr>
        <w:t>The language teaching controversy.</w:t>
      </w:r>
      <w:r>
        <w:t xml:space="preserve"> Rowley, Massachusetts, United States: Newbury House Publishers.</w:t>
      </w:r>
    </w:p>
    <w:p w14:paraId="19772214" w14:textId="77777777" w:rsidR="00A56309" w:rsidRDefault="00A56309" w:rsidP="00287835">
      <w:pPr>
        <w:pStyle w:val="Bibliography"/>
        <w:numPr>
          <w:ilvl w:val="0"/>
          <w:numId w:val="3"/>
        </w:numPr>
      </w:pPr>
      <w:r>
        <w:t xml:space="preserve">Dulay, H. C., &amp; Burt, M. K. (1973, December). Should We Teach Children Syntax? </w:t>
      </w:r>
      <w:r>
        <w:rPr>
          <w:i/>
          <w:iCs/>
        </w:rPr>
        <w:t>Language Learning, 23</w:t>
      </w:r>
      <w:r>
        <w:t>(2), pp. 245–258.</w:t>
      </w:r>
    </w:p>
    <w:p w14:paraId="0A630E9E" w14:textId="77777777" w:rsidR="00A56309" w:rsidRDefault="00A56309" w:rsidP="00287835">
      <w:pPr>
        <w:pStyle w:val="Bibliography"/>
        <w:numPr>
          <w:ilvl w:val="0"/>
          <w:numId w:val="3"/>
        </w:numPr>
      </w:pPr>
      <w:r>
        <w:t xml:space="preserve">Ellis, R. (1994). </w:t>
      </w:r>
      <w:r>
        <w:rPr>
          <w:i/>
          <w:iCs/>
        </w:rPr>
        <w:t>The Study of Second Language Acquisition.</w:t>
      </w:r>
      <w:r>
        <w:t xml:space="preserve"> Oxford, Oxfordshire, England: Oxford University Press.</w:t>
      </w:r>
    </w:p>
    <w:p w14:paraId="15348377" w14:textId="77777777" w:rsidR="00A56309" w:rsidRDefault="00A56309" w:rsidP="00287835">
      <w:pPr>
        <w:pStyle w:val="Bibliography"/>
        <w:numPr>
          <w:ilvl w:val="0"/>
          <w:numId w:val="3"/>
        </w:numPr>
      </w:pPr>
      <w:r>
        <w:t xml:space="preserve">Fry, D. (1977). </w:t>
      </w:r>
      <w:r>
        <w:rPr>
          <w:i/>
          <w:iCs/>
        </w:rPr>
        <w:t>Homo loquens, Man as a talking animal.</w:t>
      </w:r>
      <w:r>
        <w:t xml:space="preserve"> Cambridge, Cambridgeshire, England: Cambridge University Press.</w:t>
      </w:r>
    </w:p>
    <w:p w14:paraId="1AA42B53" w14:textId="77777777" w:rsidR="00A56309" w:rsidRDefault="00A56309" w:rsidP="00287835">
      <w:pPr>
        <w:pStyle w:val="Bibliography"/>
        <w:numPr>
          <w:ilvl w:val="0"/>
          <w:numId w:val="3"/>
        </w:numPr>
      </w:pPr>
      <w:r>
        <w:t xml:space="preserve">Lightbown, P. M., &amp; Spada, N. (2006). </w:t>
      </w:r>
      <w:r>
        <w:rPr>
          <w:i/>
          <w:iCs/>
        </w:rPr>
        <w:t>How Languages Are Learned</w:t>
      </w:r>
      <w:r>
        <w:t xml:space="preserve"> (3rd ed.). New York City, United States of America: Oxford University Press.</w:t>
      </w:r>
    </w:p>
    <w:p w14:paraId="271EC062" w14:textId="77777777" w:rsidR="00A56309" w:rsidRDefault="00A56309" w:rsidP="00287835">
      <w:pPr>
        <w:pStyle w:val="Bibliography"/>
        <w:numPr>
          <w:ilvl w:val="0"/>
          <w:numId w:val="3"/>
        </w:numPr>
      </w:pPr>
      <w:r>
        <w:t xml:space="preserve">Lightfoot, D. (2010, September). Language acquisition and language change. </w:t>
      </w:r>
      <w:r>
        <w:rPr>
          <w:i/>
          <w:iCs/>
        </w:rPr>
        <w:t>Wiley Interdisciplinary Reviews: Cognitive Science, 1</w:t>
      </w:r>
      <w:r>
        <w:t>(5), 677–684.</w:t>
      </w:r>
    </w:p>
    <w:p w14:paraId="61C7300A" w14:textId="77777777" w:rsidR="00A56309" w:rsidRDefault="00A56309" w:rsidP="00287835">
      <w:pPr>
        <w:pStyle w:val="Bibliography"/>
        <w:numPr>
          <w:ilvl w:val="0"/>
          <w:numId w:val="3"/>
        </w:numPr>
      </w:pPr>
      <w:r>
        <w:t xml:space="preserve">Loewen, S., &amp; Reinders, H. (2011). </w:t>
      </w:r>
      <w:r>
        <w:rPr>
          <w:i/>
          <w:iCs/>
        </w:rPr>
        <w:t>Key concepts in second language acquisition.</w:t>
      </w:r>
      <w:r>
        <w:t xml:space="preserve"> Hampshire, South East England, England: Palgrave Macmillan.</w:t>
      </w:r>
    </w:p>
    <w:p w14:paraId="318AD191" w14:textId="77777777" w:rsidR="00A56309" w:rsidRDefault="00A56309" w:rsidP="00287835">
      <w:pPr>
        <w:pStyle w:val="Bibliography"/>
        <w:numPr>
          <w:ilvl w:val="0"/>
          <w:numId w:val="3"/>
        </w:numPr>
      </w:pPr>
      <w:r>
        <w:t xml:space="preserve">Ministry of Education and Training. (2021). </w:t>
      </w:r>
      <w:r>
        <w:rPr>
          <w:i/>
          <w:iCs/>
        </w:rPr>
        <w:t>Promulgating the Regulations on University-level Training.</w:t>
      </w:r>
      <w:r>
        <w:t xml:space="preserve"> Hanoi, Vietnam: National Assembly of Vietnam.</w:t>
      </w:r>
    </w:p>
    <w:p w14:paraId="35966AAA" w14:textId="77777777" w:rsidR="00A56309" w:rsidRDefault="00A56309" w:rsidP="00287835">
      <w:pPr>
        <w:pStyle w:val="Bibliography"/>
        <w:numPr>
          <w:ilvl w:val="0"/>
          <w:numId w:val="3"/>
        </w:numPr>
        <w:rPr>
          <w:lang w:val="en-US"/>
        </w:rPr>
      </w:pPr>
      <w:r>
        <w:t xml:space="preserve">Richards, J. C., &amp; Rogers, T. S. (2001). Approaches and Methods in Language Teaching. In </w:t>
      </w:r>
      <w:r>
        <w:rPr>
          <w:i/>
          <w:iCs/>
        </w:rPr>
        <w:t>Cambridge Language Teaching Library.</w:t>
      </w:r>
      <w:r>
        <w:t xml:space="preserve"> Cambridge: Cambridge University Press.</w:t>
      </w:r>
    </w:p>
    <w:p w14:paraId="6686BE11" w14:textId="77777777" w:rsidR="00A56309" w:rsidRDefault="00A56309" w:rsidP="00287835">
      <w:pPr>
        <w:pStyle w:val="Bibliography"/>
        <w:numPr>
          <w:ilvl w:val="0"/>
          <w:numId w:val="3"/>
        </w:numPr>
      </w:pPr>
      <w:r>
        <w:t xml:space="preserve">Stephen, K. (1977). Some issues relating to the monitor model. In H. D. Brown, C. A. Yorio, &amp; R. H. Crymes (Ed.), </w:t>
      </w:r>
      <w:r>
        <w:rPr>
          <w:i/>
          <w:iCs/>
        </w:rPr>
        <w:t>TESOL Annual Convention</w:t>
      </w:r>
      <w:r>
        <w:t xml:space="preserve"> (pp. 144-158). Miami: Educational Resources Information Center.</w:t>
      </w:r>
    </w:p>
    <w:p w14:paraId="234F9F41" w14:textId="46C47983" w:rsidR="003C2093" w:rsidRPr="003C2093" w:rsidRDefault="003C2093" w:rsidP="00A56309">
      <w:r>
        <w:fldChar w:fldCharType="end"/>
      </w:r>
    </w:p>
    <w:sectPr w:rsidR="003C2093" w:rsidRPr="003C2093" w:rsidSect="00815E9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9DBD" w14:textId="77777777" w:rsidR="009F449C" w:rsidRDefault="009F449C" w:rsidP="00FC46D0">
      <w:pPr>
        <w:spacing w:after="0"/>
      </w:pPr>
      <w:r>
        <w:separator/>
      </w:r>
    </w:p>
  </w:endnote>
  <w:endnote w:type="continuationSeparator" w:id="0">
    <w:p w14:paraId="0840E6F0" w14:textId="77777777" w:rsidR="009F449C" w:rsidRDefault="009F449C" w:rsidP="00FC46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FB34" w14:textId="77777777" w:rsidR="009F449C" w:rsidRDefault="009F449C" w:rsidP="00FC46D0">
      <w:pPr>
        <w:spacing w:after="0"/>
      </w:pPr>
      <w:r>
        <w:separator/>
      </w:r>
    </w:p>
  </w:footnote>
  <w:footnote w:type="continuationSeparator" w:id="0">
    <w:p w14:paraId="209AE543" w14:textId="77777777" w:rsidR="009F449C" w:rsidRDefault="009F449C" w:rsidP="00FC46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33570118"/>
      <w:docPartObj>
        <w:docPartGallery w:val="Page Numbers (Top of Page)"/>
        <w:docPartUnique/>
      </w:docPartObj>
    </w:sdtPr>
    <w:sdtEndPr>
      <w:rPr>
        <w:noProof/>
      </w:rPr>
    </w:sdtEndPr>
    <w:sdtContent>
      <w:p w14:paraId="1B268917" w14:textId="77F5B21A" w:rsidR="00FC46D0" w:rsidRDefault="00FC46D0">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1311F7AE" w14:textId="77777777" w:rsidR="00FC46D0" w:rsidRDefault="00FC4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D39DB"/>
    <w:multiLevelType w:val="hybridMultilevel"/>
    <w:tmpl w:val="7FDEE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4F57AD"/>
    <w:multiLevelType w:val="hybridMultilevel"/>
    <w:tmpl w:val="A9BE4BAA"/>
    <w:lvl w:ilvl="0" w:tplc="2A5082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85397D"/>
    <w:multiLevelType w:val="hybridMultilevel"/>
    <w:tmpl w:val="7AFA5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8739707">
    <w:abstractNumId w:val="1"/>
  </w:num>
  <w:num w:numId="2" w16cid:durableId="2108236556">
    <w:abstractNumId w:val="0"/>
  </w:num>
  <w:num w:numId="3" w16cid:durableId="139929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6F"/>
    <w:rsid w:val="0000039F"/>
    <w:rsid w:val="000106D2"/>
    <w:rsid w:val="00064D2A"/>
    <w:rsid w:val="00066AE2"/>
    <w:rsid w:val="00080784"/>
    <w:rsid w:val="000F415B"/>
    <w:rsid w:val="001247D4"/>
    <w:rsid w:val="00185D73"/>
    <w:rsid w:val="001C099A"/>
    <w:rsid w:val="001C34D7"/>
    <w:rsid w:val="001C3DC0"/>
    <w:rsid w:val="001F0BAE"/>
    <w:rsid w:val="0026294A"/>
    <w:rsid w:val="0027112C"/>
    <w:rsid w:val="00287835"/>
    <w:rsid w:val="00290E9C"/>
    <w:rsid w:val="00293D05"/>
    <w:rsid w:val="002A4CD6"/>
    <w:rsid w:val="002F5E7F"/>
    <w:rsid w:val="002F6FA6"/>
    <w:rsid w:val="00352FC7"/>
    <w:rsid w:val="003C2093"/>
    <w:rsid w:val="003D1474"/>
    <w:rsid w:val="00403EDA"/>
    <w:rsid w:val="00405A36"/>
    <w:rsid w:val="00416940"/>
    <w:rsid w:val="0042681E"/>
    <w:rsid w:val="00431EAE"/>
    <w:rsid w:val="004374BC"/>
    <w:rsid w:val="004437AD"/>
    <w:rsid w:val="00457A22"/>
    <w:rsid w:val="004C196D"/>
    <w:rsid w:val="004C5B3E"/>
    <w:rsid w:val="004D4CD6"/>
    <w:rsid w:val="005521D8"/>
    <w:rsid w:val="0056390D"/>
    <w:rsid w:val="005845CD"/>
    <w:rsid w:val="005E526C"/>
    <w:rsid w:val="006769AD"/>
    <w:rsid w:val="006B1C06"/>
    <w:rsid w:val="006C2E4C"/>
    <w:rsid w:val="006C4BBD"/>
    <w:rsid w:val="00700BF6"/>
    <w:rsid w:val="00731974"/>
    <w:rsid w:val="007558AD"/>
    <w:rsid w:val="007E4290"/>
    <w:rsid w:val="007F2E89"/>
    <w:rsid w:val="00815E97"/>
    <w:rsid w:val="008A3B2C"/>
    <w:rsid w:val="008E03FD"/>
    <w:rsid w:val="008F5A13"/>
    <w:rsid w:val="009771DF"/>
    <w:rsid w:val="00980AE2"/>
    <w:rsid w:val="00987072"/>
    <w:rsid w:val="0099169C"/>
    <w:rsid w:val="009D286F"/>
    <w:rsid w:val="009F3908"/>
    <w:rsid w:val="009F449C"/>
    <w:rsid w:val="00A56309"/>
    <w:rsid w:val="00A56BD8"/>
    <w:rsid w:val="00A6209E"/>
    <w:rsid w:val="00A97D3B"/>
    <w:rsid w:val="00AA7BF5"/>
    <w:rsid w:val="00AB75B9"/>
    <w:rsid w:val="00AD4902"/>
    <w:rsid w:val="00B076DA"/>
    <w:rsid w:val="00B10543"/>
    <w:rsid w:val="00B50A6A"/>
    <w:rsid w:val="00B80893"/>
    <w:rsid w:val="00B81B7A"/>
    <w:rsid w:val="00BB6097"/>
    <w:rsid w:val="00BC110C"/>
    <w:rsid w:val="00C76865"/>
    <w:rsid w:val="00CB438A"/>
    <w:rsid w:val="00D03D1A"/>
    <w:rsid w:val="00D11337"/>
    <w:rsid w:val="00D34BAF"/>
    <w:rsid w:val="00D62603"/>
    <w:rsid w:val="00D712C6"/>
    <w:rsid w:val="00DB194D"/>
    <w:rsid w:val="00DF7B0E"/>
    <w:rsid w:val="00E03317"/>
    <w:rsid w:val="00E110F7"/>
    <w:rsid w:val="00E303DD"/>
    <w:rsid w:val="00F023E0"/>
    <w:rsid w:val="00FA77E0"/>
    <w:rsid w:val="00FB0D57"/>
    <w:rsid w:val="00FB1DD4"/>
    <w:rsid w:val="00FC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D686"/>
  <w15:chartTrackingRefBased/>
  <w15:docId w15:val="{F3A2E19E-DB99-478E-9C33-257DECA1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6"/>
        <w:szCs w:val="26"/>
        <w:lang w:val="en-US" w:eastAsia="en-US" w:bidi="ar-SA"/>
        <w14:ligatures w14:val="standardContextual"/>
      </w:rPr>
    </w:rPrDefault>
    <w:pPrDefault>
      <w:pPr>
        <w:spacing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D8"/>
    <w:pPr>
      <w:spacing w:line="240" w:lineRule="auto"/>
    </w:pPr>
    <w:rPr>
      <w:rFonts w:cs="Times New Roman"/>
      <w:noProof/>
      <w:kern w:val="0"/>
      <w:szCs w:val="20"/>
      <w:lang w:val="vi-VN"/>
      <w14:ligatures w14:val="none"/>
    </w:rPr>
  </w:style>
  <w:style w:type="paragraph" w:styleId="Heading1">
    <w:name w:val="heading 1"/>
    <w:basedOn w:val="Normal"/>
    <w:next w:val="Normal"/>
    <w:link w:val="Heading1Char"/>
    <w:uiPriority w:val="9"/>
    <w:qFormat/>
    <w:rsid w:val="009D286F"/>
    <w:pPr>
      <w:keepNext/>
      <w:keepLines/>
      <w:spacing w:after="0" w:afterAutospacing="0"/>
      <w:jc w:val="center"/>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uiPriority w:val="9"/>
    <w:unhideWhenUsed/>
    <w:qFormat/>
    <w:rsid w:val="00FB0D57"/>
    <w:pPr>
      <w:keepNext/>
      <w:keepLines/>
      <w:spacing w:after="0" w:afterAutospacing="0"/>
      <w:jc w:val="left"/>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uiPriority w:val="9"/>
    <w:semiHidden/>
    <w:unhideWhenUsed/>
    <w:qFormat/>
    <w:rsid w:val="00987072"/>
    <w:pPr>
      <w:keepNext/>
      <w:keepLines/>
      <w:spacing w:after="0" w:afterAutospacing="0"/>
      <w:outlineLvl w:val="2"/>
    </w:pPr>
    <w:rPr>
      <w:rFonts w:eastAsiaTheme="majorEastAsia" w:cstheme="majorBidi"/>
      <w:b/>
      <w:kern w:val="2"/>
      <w:szCs w:val="24"/>
      <w14:ligatures w14:val="standardContextual"/>
    </w:rPr>
  </w:style>
  <w:style w:type="paragraph" w:styleId="Heading4">
    <w:name w:val="heading 4"/>
    <w:basedOn w:val="Normal"/>
    <w:next w:val="Normal"/>
    <w:link w:val="Heading4Char"/>
    <w:uiPriority w:val="9"/>
    <w:semiHidden/>
    <w:unhideWhenUsed/>
    <w:qFormat/>
    <w:rsid w:val="009D28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603"/>
    <w:pPr>
      <w:keepNext/>
      <w:keepLines/>
      <w:spacing w:after="0" w:afterAutospacing="0"/>
      <w:outlineLvl w:val="4"/>
    </w:pPr>
    <w:rPr>
      <w:rFonts w:eastAsiaTheme="majorEastAsia" w:cstheme="majorBidi"/>
      <w:b/>
      <w:i/>
      <w:kern w:val="2"/>
      <w:szCs w:val="26"/>
      <w14:ligatures w14:val="standardContextual"/>
    </w:rPr>
  </w:style>
  <w:style w:type="paragraph" w:styleId="Heading6">
    <w:name w:val="heading 6"/>
    <w:basedOn w:val="Normal"/>
    <w:next w:val="Normal"/>
    <w:link w:val="Heading6Char"/>
    <w:uiPriority w:val="9"/>
    <w:semiHidden/>
    <w:unhideWhenUsed/>
    <w:qFormat/>
    <w:rsid w:val="009D28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28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28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28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7072"/>
    <w:pPr>
      <w:spacing w:before="100" w:beforeAutospacing="1"/>
      <w:jc w:val="center"/>
    </w:pPr>
    <w:rPr>
      <w:rFonts w:eastAsiaTheme="majorEastAsia" w:cstheme="majorBidi"/>
      <w:b/>
      <w:spacing w:val="-10"/>
      <w:kern w:val="28"/>
      <w:sz w:val="32"/>
      <w:szCs w:val="56"/>
      <w14:ligatures w14:val="standardContextual"/>
    </w:rPr>
  </w:style>
  <w:style w:type="character" w:customStyle="1" w:styleId="TitleChar">
    <w:name w:val="Title Char"/>
    <w:basedOn w:val="DefaultParagraphFont"/>
    <w:link w:val="Title"/>
    <w:uiPriority w:val="10"/>
    <w:rsid w:val="00987072"/>
    <w:rPr>
      <w:rFonts w:eastAsiaTheme="majorEastAsia" w:cstheme="majorBidi"/>
      <w:b/>
      <w:noProof/>
      <w:spacing w:val="-10"/>
      <w:kern w:val="28"/>
      <w:sz w:val="32"/>
      <w:szCs w:val="56"/>
      <w:lang w:val="vi-VN"/>
    </w:rPr>
  </w:style>
  <w:style w:type="character" w:customStyle="1" w:styleId="Heading1Char">
    <w:name w:val="Heading 1 Char"/>
    <w:basedOn w:val="DefaultParagraphFont"/>
    <w:link w:val="Heading1"/>
    <w:uiPriority w:val="9"/>
    <w:rsid w:val="009D286F"/>
    <w:rPr>
      <w:rFonts w:eastAsiaTheme="majorEastAsia" w:cstheme="majorBidi"/>
      <w:b/>
      <w:noProof/>
      <w:szCs w:val="32"/>
      <w:lang w:val="vi-VN"/>
    </w:rPr>
  </w:style>
  <w:style w:type="character" w:customStyle="1" w:styleId="Heading2Char">
    <w:name w:val="Heading 2 Char"/>
    <w:basedOn w:val="DefaultParagraphFont"/>
    <w:link w:val="Heading2"/>
    <w:uiPriority w:val="9"/>
    <w:rsid w:val="00FB0D57"/>
    <w:rPr>
      <w:rFonts w:eastAsiaTheme="majorEastAsia" w:cstheme="majorBidi"/>
      <w:b/>
      <w:noProof/>
      <w:lang w:val="vi-VN"/>
    </w:rPr>
  </w:style>
  <w:style w:type="character" w:customStyle="1" w:styleId="Heading3Char">
    <w:name w:val="Heading 3 Char"/>
    <w:basedOn w:val="DefaultParagraphFont"/>
    <w:link w:val="Heading3"/>
    <w:uiPriority w:val="9"/>
    <w:semiHidden/>
    <w:rsid w:val="00987072"/>
    <w:rPr>
      <w:rFonts w:eastAsiaTheme="majorEastAsia" w:cstheme="majorBidi"/>
      <w:b/>
      <w:noProof/>
      <w:szCs w:val="24"/>
      <w:lang w:val="vi-VN"/>
    </w:rPr>
  </w:style>
  <w:style w:type="character" w:customStyle="1" w:styleId="Heading5Char">
    <w:name w:val="Heading 5 Char"/>
    <w:basedOn w:val="DefaultParagraphFont"/>
    <w:link w:val="Heading5"/>
    <w:uiPriority w:val="9"/>
    <w:semiHidden/>
    <w:rsid w:val="00D62603"/>
    <w:rPr>
      <w:rFonts w:eastAsiaTheme="majorEastAsia" w:cstheme="majorBidi"/>
      <w:b/>
      <w:i/>
      <w:noProof/>
      <w:lang w:val="vi-VN"/>
    </w:rPr>
  </w:style>
  <w:style w:type="character" w:customStyle="1" w:styleId="Heading4Char">
    <w:name w:val="Heading 4 Char"/>
    <w:basedOn w:val="DefaultParagraphFont"/>
    <w:link w:val="Heading4"/>
    <w:uiPriority w:val="9"/>
    <w:semiHidden/>
    <w:rsid w:val="009D286F"/>
    <w:rPr>
      <w:rFonts w:asciiTheme="minorHAnsi" w:eastAsiaTheme="majorEastAsia" w:hAnsiTheme="minorHAnsi" w:cstheme="majorBidi"/>
      <w:i/>
      <w:iCs/>
      <w:noProof/>
      <w:color w:val="0F4761" w:themeColor="accent1" w:themeShade="BF"/>
      <w:kern w:val="0"/>
      <w:szCs w:val="20"/>
      <w:lang w:val="vi-VN"/>
      <w14:ligatures w14:val="none"/>
    </w:rPr>
  </w:style>
  <w:style w:type="character" w:customStyle="1" w:styleId="Heading6Char">
    <w:name w:val="Heading 6 Char"/>
    <w:basedOn w:val="DefaultParagraphFont"/>
    <w:link w:val="Heading6"/>
    <w:uiPriority w:val="9"/>
    <w:semiHidden/>
    <w:rsid w:val="009D286F"/>
    <w:rPr>
      <w:rFonts w:asciiTheme="minorHAnsi" w:eastAsiaTheme="majorEastAsia" w:hAnsiTheme="minorHAnsi" w:cstheme="majorBidi"/>
      <w:i/>
      <w:iCs/>
      <w:noProof/>
      <w:color w:val="595959" w:themeColor="text1" w:themeTint="A6"/>
      <w:kern w:val="0"/>
      <w:szCs w:val="20"/>
      <w:lang w:val="vi-VN"/>
      <w14:ligatures w14:val="none"/>
    </w:rPr>
  </w:style>
  <w:style w:type="character" w:customStyle="1" w:styleId="Heading7Char">
    <w:name w:val="Heading 7 Char"/>
    <w:basedOn w:val="DefaultParagraphFont"/>
    <w:link w:val="Heading7"/>
    <w:uiPriority w:val="9"/>
    <w:semiHidden/>
    <w:rsid w:val="009D286F"/>
    <w:rPr>
      <w:rFonts w:asciiTheme="minorHAnsi" w:eastAsiaTheme="majorEastAsia" w:hAnsiTheme="minorHAnsi" w:cstheme="majorBidi"/>
      <w:noProof/>
      <w:color w:val="595959" w:themeColor="text1" w:themeTint="A6"/>
      <w:kern w:val="0"/>
      <w:szCs w:val="20"/>
      <w:lang w:val="vi-VN"/>
      <w14:ligatures w14:val="none"/>
    </w:rPr>
  </w:style>
  <w:style w:type="character" w:customStyle="1" w:styleId="Heading8Char">
    <w:name w:val="Heading 8 Char"/>
    <w:basedOn w:val="DefaultParagraphFont"/>
    <w:link w:val="Heading8"/>
    <w:uiPriority w:val="9"/>
    <w:semiHidden/>
    <w:rsid w:val="009D286F"/>
    <w:rPr>
      <w:rFonts w:asciiTheme="minorHAnsi" w:eastAsiaTheme="majorEastAsia" w:hAnsiTheme="minorHAnsi" w:cstheme="majorBidi"/>
      <w:i/>
      <w:iCs/>
      <w:noProof/>
      <w:color w:val="272727" w:themeColor="text1" w:themeTint="D8"/>
      <w:kern w:val="0"/>
      <w:szCs w:val="20"/>
      <w:lang w:val="vi-VN"/>
      <w14:ligatures w14:val="none"/>
    </w:rPr>
  </w:style>
  <w:style w:type="character" w:customStyle="1" w:styleId="Heading9Char">
    <w:name w:val="Heading 9 Char"/>
    <w:basedOn w:val="DefaultParagraphFont"/>
    <w:link w:val="Heading9"/>
    <w:uiPriority w:val="9"/>
    <w:semiHidden/>
    <w:rsid w:val="009D286F"/>
    <w:rPr>
      <w:rFonts w:asciiTheme="minorHAnsi" w:eastAsiaTheme="majorEastAsia" w:hAnsiTheme="minorHAnsi" w:cstheme="majorBidi"/>
      <w:noProof/>
      <w:color w:val="272727" w:themeColor="text1" w:themeTint="D8"/>
      <w:kern w:val="0"/>
      <w:szCs w:val="20"/>
      <w:lang w:val="vi-VN"/>
      <w14:ligatures w14:val="none"/>
    </w:rPr>
  </w:style>
  <w:style w:type="paragraph" w:styleId="Subtitle">
    <w:name w:val="Subtitle"/>
    <w:basedOn w:val="Normal"/>
    <w:next w:val="Normal"/>
    <w:link w:val="SubtitleChar"/>
    <w:uiPriority w:val="11"/>
    <w:qFormat/>
    <w:rsid w:val="009D28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86F"/>
    <w:rPr>
      <w:rFonts w:asciiTheme="minorHAnsi" w:eastAsiaTheme="majorEastAsia" w:hAnsiTheme="minorHAnsi" w:cstheme="majorBidi"/>
      <w:noProof/>
      <w:color w:val="595959" w:themeColor="text1" w:themeTint="A6"/>
      <w:spacing w:val="15"/>
      <w:kern w:val="0"/>
      <w:sz w:val="28"/>
      <w:szCs w:val="28"/>
      <w:lang w:val="vi-VN"/>
      <w14:ligatures w14:val="none"/>
    </w:rPr>
  </w:style>
  <w:style w:type="paragraph" w:styleId="Quote">
    <w:name w:val="Quote"/>
    <w:basedOn w:val="Normal"/>
    <w:next w:val="Normal"/>
    <w:link w:val="QuoteChar"/>
    <w:uiPriority w:val="29"/>
    <w:qFormat/>
    <w:rsid w:val="009D28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86F"/>
    <w:rPr>
      <w:rFonts w:cs="Times New Roman"/>
      <w:i/>
      <w:iCs/>
      <w:noProof/>
      <w:color w:val="404040" w:themeColor="text1" w:themeTint="BF"/>
      <w:kern w:val="0"/>
      <w:szCs w:val="20"/>
      <w:lang w:val="vi-VN"/>
      <w14:ligatures w14:val="none"/>
    </w:rPr>
  </w:style>
  <w:style w:type="paragraph" w:styleId="ListParagraph">
    <w:name w:val="List Paragraph"/>
    <w:basedOn w:val="Normal"/>
    <w:uiPriority w:val="34"/>
    <w:qFormat/>
    <w:rsid w:val="009D286F"/>
    <w:pPr>
      <w:ind w:left="720"/>
      <w:contextualSpacing/>
    </w:pPr>
  </w:style>
  <w:style w:type="character" w:styleId="IntenseEmphasis">
    <w:name w:val="Intense Emphasis"/>
    <w:basedOn w:val="DefaultParagraphFont"/>
    <w:uiPriority w:val="21"/>
    <w:qFormat/>
    <w:rsid w:val="009D286F"/>
    <w:rPr>
      <w:i/>
      <w:iCs/>
      <w:color w:val="0F4761" w:themeColor="accent1" w:themeShade="BF"/>
    </w:rPr>
  </w:style>
  <w:style w:type="paragraph" w:styleId="IntenseQuote">
    <w:name w:val="Intense Quote"/>
    <w:basedOn w:val="Normal"/>
    <w:next w:val="Normal"/>
    <w:link w:val="IntenseQuoteChar"/>
    <w:uiPriority w:val="30"/>
    <w:qFormat/>
    <w:rsid w:val="009D2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86F"/>
    <w:rPr>
      <w:rFonts w:cs="Times New Roman"/>
      <w:i/>
      <w:iCs/>
      <w:noProof/>
      <w:color w:val="0F4761" w:themeColor="accent1" w:themeShade="BF"/>
      <w:kern w:val="0"/>
      <w:szCs w:val="20"/>
      <w:lang w:val="vi-VN"/>
      <w14:ligatures w14:val="none"/>
    </w:rPr>
  </w:style>
  <w:style w:type="character" w:styleId="IntenseReference">
    <w:name w:val="Intense Reference"/>
    <w:basedOn w:val="DefaultParagraphFont"/>
    <w:uiPriority w:val="32"/>
    <w:qFormat/>
    <w:rsid w:val="009D286F"/>
    <w:rPr>
      <w:b/>
      <w:bCs/>
      <w:smallCaps/>
      <w:color w:val="0F4761" w:themeColor="accent1" w:themeShade="BF"/>
      <w:spacing w:val="5"/>
    </w:rPr>
  </w:style>
  <w:style w:type="table" w:styleId="TableGrid">
    <w:name w:val="Table Grid"/>
    <w:basedOn w:val="TableNormal"/>
    <w:uiPriority w:val="39"/>
    <w:rsid w:val="00584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45CD"/>
    <w:pPr>
      <w:spacing w:after="200"/>
    </w:pPr>
    <w:rPr>
      <w:i/>
      <w:iCs/>
      <w:color w:val="0E2841" w:themeColor="text2"/>
      <w:sz w:val="18"/>
      <w:szCs w:val="18"/>
    </w:rPr>
  </w:style>
  <w:style w:type="paragraph" w:styleId="Bibliography">
    <w:name w:val="Bibliography"/>
    <w:basedOn w:val="Normal"/>
    <w:next w:val="Normal"/>
    <w:uiPriority w:val="37"/>
    <w:unhideWhenUsed/>
    <w:rsid w:val="003C2093"/>
  </w:style>
  <w:style w:type="paragraph" w:styleId="Header">
    <w:name w:val="header"/>
    <w:basedOn w:val="Normal"/>
    <w:link w:val="HeaderChar"/>
    <w:uiPriority w:val="99"/>
    <w:unhideWhenUsed/>
    <w:rsid w:val="00FC46D0"/>
    <w:pPr>
      <w:tabs>
        <w:tab w:val="center" w:pos="4680"/>
        <w:tab w:val="right" w:pos="9360"/>
      </w:tabs>
      <w:spacing w:after="0"/>
    </w:pPr>
  </w:style>
  <w:style w:type="character" w:customStyle="1" w:styleId="HeaderChar">
    <w:name w:val="Header Char"/>
    <w:basedOn w:val="DefaultParagraphFont"/>
    <w:link w:val="Header"/>
    <w:uiPriority w:val="99"/>
    <w:rsid w:val="00FC46D0"/>
    <w:rPr>
      <w:rFonts w:cs="Times New Roman"/>
      <w:noProof/>
      <w:kern w:val="0"/>
      <w:szCs w:val="20"/>
      <w:lang w:val="vi-VN"/>
      <w14:ligatures w14:val="none"/>
    </w:rPr>
  </w:style>
  <w:style w:type="paragraph" w:styleId="Footer">
    <w:name w:val="footer"/>
    <w:basedOn w:val="Normal"/>
    <w:link w:val="FooterChar"/>
    <w:uiPriority w:val="99"/>
    <w:unhideWhenUsed/>
    <w:rsid w:val="00FC46D0"/>
    <w:pPr>
      <w:tabs>
        <w:tab w:val="center" w:pos="4680"/>
        <w:tab w:val="right" w:pos="9360"/>
      </w:tabs>
      <w:spacing w:after="0"/>
    </w:pPr>
  </w:style>
  <w:style w:type="character" w:customStyle="1" w:styleId="FooterChar">
    <w:name w:val="Footer Char"/>
    <w:basedOn w:val="DefaultParagraphFont"/>
    <w:link w:val="Footer"/>
    <w:uiPriority w:val="99"/>
    <w:rsid w:val="00FC46D0"/>
    <w:rPr>
      <w:rFonts w:cs="Times New Roman"/>
      <w:noProof/>
      <w:kern w:val="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00">
      <w:bodyDiv w:val="1"/>
      <w:marLeft w:val="0"/>
      <w:marRight w:val="0"/>
      <w:marTop w:val="0"/>
      <w:marBottom w:val="0"/>
      <w:divBdr>
        <w:top w:val="none" w:sz="0" w:space="0" w:color="auto"/>
        <w:left w:val="none" w:sz="0" w:space="0" w:color="auto"/>
        <w:bottom w:val="none" w:sz="0" w:space="0" w:color="auto"/>
        <w:right w:val="none" w:sz="0" w:space="0" w:color="auto"/>
      </w:divBdr>
    </w:div>
    <w:div w:id="43717001">
      <w:bodyDiv w:val="1"/>
      <w:marLeft w:val="0"/>
      <w:marRight w:val="0"/>
      <w:marTop w:val="0"/>
      <w:marBottom w:val="0"/>
      <w:divBdr>
        <w:top w:val="none" w:sz="0" w:space="0" w:color="auto"/>
        <w:left w:val="none" w:sz="0" w:space="0" w:color="auto"/>
        <w:bottom w:val="none" w:sz="0" w:space="0" w:color="auto"/>
        <w:right w:val="none" w:sz="0" w:space="0" w:color="auto"/>
      </w:divBdr>
    </w:div>
    <w:div w:id="71700814">
      <w:bodyDiv w:val="1"/>
      <w:marLeft w:val="0"/>
      <w:marRight w:val="0"/>
      <w:marTop w:val="0"/>
      <w:marBottom w:val="0"/>
      <w:divBdr>
        <w:top w:val="none" w:sz="0" w:space="0" w:color="auto"/>
        <w:left w:val="none" w:sz="0" w:space="0" w:color="auto"/>
        <w:bottom w:val="none" w:sz="0" w:space="0" w:color="auto"/>
        <w:right w:val="none" w:sz="0" w:space="0" w:color="auto"/>
      </w:divBdr>
    </w:div>
    <w:div w:id="114642827">
      <w:bodyDiv w:val="1"/>
      <w:marLeft w:val="0"/>
      <w:marRight w:val="0"/>
      <w:marTop w:val="0"/>
      <w:marBottom w:val="0"/>
      <w:divBdr>
        <w:top w:val="none" w:sz="0" w:space="0" w:color="auto"/>
        <w:left w:val="none" w:sz="0" w:space="0" w:color="auto"/>
        <w:bottom w:val="none" w:sz="0" w:space="0" w:color="auto"/>
        <w:right w:val="none" w:sz="0" w:space="0" w:color="auto"/>
      </w:divBdr>
    </w:div>
    <w:div w:id="252781623">
      <w:bodyDiv w:val="1"/>
      <w:marLeft w:val="0"/>
      <w:marRight w:val="0"/>
      <w:marTop w:val="0"/>
      <w:marBottom w:val="0"/>
      <w:divBdr>
        <w:top w:val="none" w:sz="0" w:space="0" w:color="auto"/>
        <w:left w:val="none" w:sz="0" w:space="0" w:color="auto"/>
        <w:bottom w:val="none" w:sz="0" w:space="0" w:color="auto"/>
        <w:right w:val="none" w:sz="0" w:space="0" w:color="auto"/>
      </w:divBdr>
    </w:div>
    <w:div w:id="261455741">
      <w:bodyDiv w:val="1"/>
      <w:marLeft w:val="0"/>
      <w:marRight w:val="0"/>
      <w:marTop w:val="0"/>
      <w:marBottom w:val="0"/>
      <w:divBdr>
        <w:top w:val="none" w:sz="0" w:space="0" w:color="auto"/>
        <w:left w:val="none" w:sz="0" w:space="0" w:color="auto"/>
        <w:bottom w:val="none" w:sz="0" w:space="0" w:color="auto"/>
        <w:right w:val="none" w:sz="0" w:space="0" w:color="auto"/>
      </w:divBdr>
    </w:div>
    <w:div w:id="330304561">
      <w:bodyDiv w:val="1"/>
      <w:marLeft w:val="0"/>
      <w:marRight w:val="0"/>
      <w:marTop w:val="0"/>
      <w:marBottom w:val="0"/>
      <w:divBdr>
        <w:top w:val="none" w:sz="0" w:space="0" w:color="auto"/>
        <w:left w:val="none" w:sz="0" w:space="0" w:color="auto"/>
        <w:bottom w:val="none" w:sz="0" w:space="0" w:color="auto"/>
        <w:right w:val="none" w:sz="0" w:space="0" w:color="auto"/>
      </w:divBdr>
    </w:div>
    <w:div w:id="355424712">
      <w:bodyDiv w:val="1"/>
      <w:marLeft w:val="0"/>
      <w:marRight w:val="0"/>
      <w:marTop w:val="0"/>
      <w:marBottom w:val="0"/>
      <w:divBdr>
        <w:top w:val="none" w:sz="0" w:space="0" w:color="auto"/>
        <w:left w:val="none" w:sz="0" w:space="0" w:color="auto"/>
        <w:bottom w:val="none" w:sz="0" w:space="0" w:color="auto"/>
        <w:right w:val="none" w:sz="0" w:space="0" w:color="auto"/>
      </w:divBdr>
    </w:div>
    <w:div w:id="385568734">
      <w:bodyDiv w:val="1"/>
      <w:marLeft w:val="0"/>
      <w:marRight w:val="0"/>
      <w:marTop w:val="0"/>
      <w:marBottom w:val="0"/>
      <w:divBdr>
        <w:top w:val="none" w:sz="0" w:space="0" w:color="auto"/>
        <w:left w:val="none" w:sz="0" w:space="0" w:color="auto"/>
        <w:bottom w:val="none" w:sz="0" w:space="0" w:color="auto"/>
        <w:right w:val="none" w:sz="0" w:space="0" w:color="auto"/>
      </w:divBdr>
    </w:div>
    <w:div w:id="591472664">
      <w:bodyDiv w:val="1"/>
      <w:marLeft w:val="0"/>
      <w:marRight w:val="0"/>
      <w:marTop w:val="0"/>
      <w:marBottom w:val="0"/>
      <w:divBdr>
        <w:top w:val="none" w:sz="0" w:space="0" w:color="auto"/>
        <w:left w:val="none" w:sz="0" w:space="0" w:color="auto"/>
        <w:bottom w:val="none" w:sz="0" w:space="0" w:color="auto"/>
        <w:right w:val="none" w:sz="0" w:space="0" w:color="auto"/>
      </w:divBdr>
    </w:div>
    <w:div w:id="643000900">
      <w:bodyDiv w:val="1"/>
      <w:marLeft w:val="0"/>
      <w:marRight w:val="0"/>
      <w:marTop w:val="0"/>
      <w:marBottom w:val="0"/>
      <w:divBdr>
        <w:top w:val="none" w:sz="0" w:space="0" w:color="auto"/>
        <w:left w:val="none" w:sz="0" w:space="0" w:color="auto"/>
        <w:bottom w:val="none" w:sz="0" w:space="0" w:color="auto"/>
        <w:right w:val="none" w:sz="0" w:space="0" w:color="auto"/>
      </w:divBdr>
    </w:div>
    <w:div w:id="692993753">
      <w:bodyDiv w:val="1"/>
      <w:marLeft w:val="0"/>
      <w:marRight w:val="0"/>
      <w:marTop w:val="0"/>
      <w:marBottom w:val="0"/>
      <w:divBdr>
        <w:top w:val="none" w:sz="0" w:space="0" w:color="auto"/>
        <w:left w:val="none" w:sz="0" w:space="0" w:color="auto"/>
        <w:bottom w:val="none" w:sz="0" w:space="0" w:color="auto"/>
        <w:right w:val="none" w:sz="0" w:space="0" w:color="auto"/>
      </w:divBdr>
    </w:div>
    <w:div w:id="765423355">
      <w:bodyDiv w:val="1"/>
      <w:marLeft w:val="0"/>
      <w:marRight w:val="0"/>
      <w:marTop w:val="0"/>
      <w:marBottom w:val="0"/>
      <w:divBdr>
        <w:top w:val="none" w:sz="0" w:space="0" w:color="auto"/>
        <w:left w:val="none" w:sz="0" w:space="0" w:color="auto"/>
        <w:bottom w:val="none" w:sz="0" w:space="0" w:color="auto"/>
        <w:right w:val="none" w:sz="0" w:space="0" w:color="auto"/>
      </w:divBdr>
    </w:div>
    <w:div w:id="804547138">
      <w:bodyDiv w:val="1"/>
      <w:marLeft w:val="0"/>
      <w:marRight w:val="0"/>
      <w:marTop w:val="0"/>
      <w:marBottom w:val="0"/>
      <w:divBdr>
        <w:top w:val="none" w:sz="0" w:space="0" w:color="auto"/>
        <w:left w:val="none" w:sz="0" w:space="0" w:color="auto"/>
        <w:bottom w:val="none" w:sz="0" w:space="0" w:color="auto"/>
        <w:right w:val="none" w:sz="0" w:space="0" w:color="auto"/>
      </w:divBdr>
    </w:div>
    <w:div w:id="924611302">
      <w:bodyDiv w:val="1"/>
      <w:marLeft w:val="0"/>
      <w:marRight w:val="0"/>
      <w:marTop w:val="0"/>
      <w:marBottom w:val="0"/>
      <w:divBdr>
        <w:top w:val="none" w:sz="0" w:space="0" w:color="auto"/>
        <w:left w:val="none" w:sz="0" w:space="0" w:color="auto"/>
        <w:bottom w:val="none" w:sz="0" w:space="0" w:color="auto"/>
        <w:right w:val="none" w:sz="0" w:space="0" w:color="auto"/>
      </w:divBdr>
    </w:div>
    <w:div w:id="987785211">
      <w:bodyDiv w:val="1"/>
      <w:marLeft w:val="0"/>
      <w:marRight w:val="0"/>
      <w:marTop w:val="0"/>
      <w:marBottom w:val="0"/>
      <w:divBdr>
        <w:top w:val="none" w:sz="0" w:space="0" w:color="auto"/>
        <w:left w:val="none" w:sz="0" w:space="0" w:color="auto"/>
        <w:bottom w:val="none" w:sz="0" w:space="0" w:color="auto"/>
        <w:right w:val="none" w:sz="0" w:space="0" w:color="auto"/>
      </w:divBdr>
    </w:div>
    <w:div w:id="999427944">
      <w:bodyDiv w:val="1"/>
      <w:marLeft w:val="0"/>
      <w:marRight w:val="0"/>
      <w:marTop w:val="0"/>
      <w:marBottom w:val="0"/>
      <w:divBdr>
        <w:top w:val="none" w:sz="0" w:space="0" w:color="auto"/>
        <w:left w:val="none" w:sz="0" w:space="0" w:color="auto"/>
        <w:bottom w:val="none" w:sz="0" w:space="0" w:color="auto"/>
        <w:right w:val="none" w:sz="0" w:space="0" w:color="auto"/>
      </w:divBdr>
    </w:div>
    <w:div w:id="1038436295">
      <w:bodyDiv w:val="1"/>
      <w:marLeft w:val="0"/>
      <w:marRight w:val="0"/>
      <w:marTop w:val="0"/>
      <w:marBottom w:val="0"/>
      <w:divBdr>
        <w:top w:val="none" w:sz="0" w:space="0" w:color="auto"/>
        <w:left w:val="none" w:sz="0" w:space="0" w:color="auto"/>
        <w:bottom w:val="none" w:sz="0" w:space="0" w:color="auto"/>
        <w:right w:val="none" w:sz="0" w:space="0" w:color="auto"/>
      </w:divBdr>
    </w:div>
    <w:div w:id="1121461701">
      <w:bodyDiv w:val="1"/>
      <w:marLeft w:val="0"/>
      <w:marRight w:val="0"/>
      <w:marTop w:val="0"/>
      <w:marBottom w:val="0"/>
      <w:divBdr>
        <w:top w:val="none" w:sz="0" w:space="0" w:color="auto"/>
        <w:left w:val="none" w:sz="0" w:space="0" w:color="auto"/>
        <w:bottom w:val="none" w:sz="0" w:space="0" w:color="auto"/>
        <w:right w:val="none" w:sz="0" w:space="0" w:color="auto"/>
      </w:divBdr>
    </w:div>
    <w:div w:id="1228685017">
      <w:bodyDiv w:val="1"/>
      <w:marLeft w:val="0"/>
      <w:marRight w:val="0"/>
      <w:marTop w:val="0"/>
      <w:marBottom w:val="0"/>
      <w:divBdr>
        <w:top w:val="none" w:sz="0" w:space="0" w:color="auto"/>
        <w:left w:val="none" w:sz="0" w:space="0" w:color="auto"/>
        <w:bottom w:val="none" w:sz="0" w:space="0" w:color="auto"/>
        <w:right w:val="none" w:sz="0" w:space="0" w:color="auto"/>
      </w:divBdr>
    </w:div>
    <w:div w:id="1234850640">
      <w:bodyDiv w:val="1"/>
      <w:marLeft w:val="0"/>
      <w:marRight w:val="0"/>
      <w:marTop w:val="0"/>
      <w:marBottom w:val="0"/>
      <w:divBdr>
        <w:top w:val="none" w:sz="0" w:space="0" w:color="auto"/>
        <w:left w:val="none" w:sz="0" w:space="0" w:color="auto"/>
        <w:bottom w:val="none" w:sz="0" w:space="0" w:color="auto"/>
        <w:right w:val="none" w:sz="0" w:space="0" w:color="auto"/>
      </w:divBdr>
    </w:div>
    <w:div w:id="1278952419">
      <w:bodyDiv w:val="1"/>
      <w:marLeft w:val="0"/>
      <w:marRight w:val="0"/>
      <w:marTop w:val="0"/>
      <w:marBottom w:val="0"/>
      <w:divBdr>
        <w:top w:val="none" w:sz="0" w:space="0" w:color="auto"/>
        <w:left w:val="none" w:sz="0" w:space="0" w:color="auto"/>
        <w:bottom w:val="none" w:sz="0" w:space="0" w:color="auto"/>
        <w:right w:val="none" w:sz="0" w:space="0" w:color="auto"/>
      </w:divBdr>
    </w:div>
    <w:div w:id="1343509054">
      <w:bodyDiv w:val="1"/>
      <w:marLeft w:val="0"/>
      <w:marRight w:val="0"/>
      <w:marTop w:val="0"/>
      <w:marBottom w:val="0"/>
      <w:divBdr>
        <w:top w:val="none" w:sz="0" w:space="0" w:color="auto"/>
        <w:left w:val="none" w:sz="0" w:space="0" w:color="auto"/>
        <w:bottom w:val="none" w:sz="0" w:space="0" w:color="auto"/>
        <w:right w:val="none" w:sz="0" w:space="0" w:color="auto"/>
      </w:divBdr>
    </w:div>
    <w:div w:id="1363247009">
      <w:bodyDiv w:val="1"/>
      <w:marLeft w:val="0"/>
      <w:marRight w:val="0"/>
      <w:marTop w:val="0"/>
      <w:marBottom w:val="0"/>
      <w:divBdr>
        <w:top w:val="none" w:sz="0" w:space="0" w:color="auto"/>
        <w:left w:val="none" w:sz="0" w:space="0" w:color="auto"/>
        <w:bottom w:val="none" w:sz="0" w:space="0" w:color="auto"/>
        <w:right w:val="none" w:sz="0" w:space="0" w:color="auto"/>
      </w:divBdr>
    </w:div>
    <w:div w:id="1428304323">
      <w:bodyDiv w:val="1"/>
      <w:marLeft w:val="0"/>
      <w:marRight w:val="0"/>
      <w:marTop w:val="0"/>
      <w:marBottom w:val="0"/>
      <w:divBdr>
        <w:top w:val="none" w:sz="0" w:space="0" w:color="auto"/>
        <w:left w:val="none" w:sz="0" w:space="0" w:color="auto"/>
        <w:bottom w:val="none" w:sz="0" w:space="0" w:color="auto"/>
        <w:right w:val="none" w:sz="0" w:space="0" w:color="auto"/>
      </w:divBdr>
    </w:div>
    <w:div w:id="1464613871">
      <w:bodyDiv w:val="1"/>
      <w:marLeft w:val="0"/>
      <w:marRight w:val="0"/>
      <w:marTop w:val="0"/>
      <w:marBottom w:val="0"/>
      <w:divBdr>
        <w:top w:val="none" w:sz="0" w:space="0" w:color="auto"/>
        <w:left w:val="none" w:sz="0" w:space="0" w:color="auto"/>
        <w:bottom w:val="none" w:sz="0" w:space="0" w:color="auto"/>
        <w:right w:val="none" w:sz="0" w:space="0" w:color="auto"/>
      </w:divBdr>
    </w:div>
    <w:div w:id="1467162155">
      <w:bodyDiv w:val="1"/>
      <w:marLeft w:val="0"/>
      <w:marRight w:val="0"/>
      <w:marTop w:val="0"/>
      <w:marBottom w:val="0"/>
      <w:divBdr>
        <w:top w:val="none" w:sz="0" w:space="0" w:color="auto"/>
        <w:left w:val="none" w:sz="0" w:space="0" w:color="auto"/>
        <w:bottom w:val="none" w:sz="0" w:space="0" w:color="auto"/>
        <w:right w:val="none" w:sz="0" w:space="0" w:color="auto"/>
      </w:divBdr>
    </w:div>
    <w:div w:id="1560358722">
      <w:bodyDiv w:val="1"/>
      <w:marLeft w:val="0"/>
      <w:marRight w:val="0"/>
      <w:marTop w:val="0"/>
      <w:marBottom w:val="0"/>
      <w:divBdr>
        <w:top w:val="none" w:sz="0" w:space="0" w:color="auto"/>
        <w:left w:val="none" w:sz="0" w:space="0" w:color="auto"/>
        <w:bottom w:val="none" w:sz="0" w:space="0" w:color="auto"/>
        <w:right w:val="none" w:sz="0" w:space="0" w:color="auto"/>
      </w:divBdr>
    </w:div>
    <w:div w:id="1583877972">
      <w:bodyDiv w:val="1"/>
      <w:marLeft w:val="0"/>
      <w:marRight w:val="0"/>
      <w:marTop w:val="0"/>
      <w:marBottom w:val="0"/>
      <w:divBdr>
        <w:top w:val="none" w:sz="0" w:space="0" w:color="auto"/>
        <w:left w:val="none" w:sz="0" w:space="0" w:color="auto"/>
        <w:bottom w:val="none" w:sz="0" w:space="0" w:color="auto"/>
        <w:right w:val="none" w:sz="0" w:space="0" w:color="auto"/>
      </w:divBdr>
    </w:div>
    <w:div w:id="1667442451">
      <w:bodyDiv w:val="1"/>
      <w:marLeft w:val="0"/>
      <w:marRight w:val="0"/>
      <w:marTop w:val="0"/>
      <w:marBottom w:val="0"/>
      <w:divBdr>
        <w:top w:val="none" w:sz="0" w:space="0" w:color="auto"/>
        <w:left w:val="none" w:sz="0" w:space="0" w:color="auto"/>
        <w:bottom w:val="none" w:sz="0" w:space="0" w:color="auto"/>
        <w:right w:val="none" w:sz="0" w:space="0" w:color="auto"/>
      </w:divBdr>
    </w:div>
    <w:div w:id="1726635483">
      <w:bodyDiv w:val="1"/>
      <w:marLeft w:val="0"/>
      <w:marRight w:val="0"/>
      <w:marTop w:val="0"/>
      <w:marBottom w:val="0"/>
      <w:divBdr>
        <w:top w:val="none" w:sz="0" w:space="0" w:color="auto"/>
        <w:left w:val="none" w:sz="0" w:space="0" w:color="auto"/>
        <w:bottom w:val="none" w:sz="0" w:space="0" w:color="auto"/>
        <w:right w:val="none" w:sz="0" w:space="0" w:color="auto"/>
      </w:divBdr>
    </w:div>
    <w:div w:id="1747994469">
      <w:bodyDiv w:val="1"/>
      <w:marLeft w:val="0"/>
      <w:marRight w:val="0"/>
      <w:marTop w:val="0"/>
      <w:marBottom w:val="0"/>
      <w:divBdr>
        <w:top w:val="none" w:sz="0" w:space="0" w:color="auto"/>
        <w:left w:val="none" w:sz="0" w:space="0" w:color="auto"/>
        <w:bottom w:val="none" w:sz="0" w:space="0" w:color="auto"/>
        <w:right w:val="none" w:sz="0" w:space="0" w:color="auto"/>
      </w:divBdr>
    </w:div>
    <w:div w:id="1822965088">
      <w:bodyDiv w:val="1"/>
      <w:marLeft w:val="0"/>
      <w:marRight w:val="0"/>
      <w:marTop w:val="0"/>
      <w:marBottom w:val="0"/>
      <w:divBdr>
        <w:top w:val="none" w:sz="0" w:space="0" w:color="auto"/>
        <w:left w:val="none" w:sz="0" w:space="0" w:color="auto"/>
        <w:bottom w:val="none" w:sz="0" w:space="0" w:color="auto"/>
        <w:right w:val="none" w:sz="0" w:space="0" w:color="auto"/>
      </w:divBdr>
    </w:div>
    <w:div w:id="1862477338">
      <w:bodyDiv w:val="1"/>
      <w:marLeft w:val="0"/>
      <w:marRight w:val="0"/>
      <w:marTop w:val="0"/>
      <w:marBottom w:val="0"/>
      <w:divBdr>
        <w:top w:val="none" w:sz="0" w:space="0" w:color="auto"/>
        <w:left w:val="none" w:sz="0" w:space="0" w:color="auto"/>
        <w:bottom w:val="none" w:sz="0" w:space="0" w:color="auto"/>
        <w:right w:val="none" w:sz="0" w:space="0" w:color="auto"/>
      </w:divBdr>
    </w:div>
    <w:div w:id="1965699057">
      <w:bodyDiv w:val="1"/>
      <w:marLeft w:val="0"/>
      <w:marRight w:val="0"/>
      <w:marTop w:val="0"/>
      <w:marBottom w:val="0"/>
      <w:divBdr>
        <w:top w:val="none" w:sz="0" w:space="0" w:color="auto"/>
        <w:left w:val="none" w:sz="0" w:space="0" w:color="auto"/>
        <w:bottom w:val="none" w:sz="0" w:space="0" w:color="auto"/>
        <w:right w:val="none" w:sz="0" w:space="0" w:color="auto"/>
      </w:divBdr>
    </w:div>
    <w:div w:id="1976762974">
      <w:bodyDiv w:val="1"/>
      <w:marLeft w:val="0"/>
      <w:marRight w:val="0"/>
      <w:marTop w:val="0"/>
      <w:marBottom w:val="0"/>
      <w:divBdr>
        <w:top w:val="none" w:sz="0" w:space="0" w:color="auto"/>
        <w:left w:val="none" w:sz="0" w:space="0" w:color="auto"/>
        <w:bottom w:val="none" w:sz="0" w:space="0" w:color="auto"/>
        <w:right w:val="none" w:sz="0" w:space="0" w:color="auto"/>
      </w:divBdr>
    </w:div>
    <w:div w:id="1977177768">
      <w:bodyDiv w:val="1"/>
      <w:marLeft w:val="0"/>
      <w:marRight w:val="0"/>
      <w:marTop w:val="0"/>
      <w:marBottom w:val="0"/>
      <w:divBdr>
        <w:top w:val="none" w:sz="0" w:space="0" w:color="auto"/>
        <w:left w:val="none" w:sz="0" w:space="0" w:color="auto"/>
        <w:bottom w:val="none" w:sz="0" w:space="0" w:color="auto"/>
        <w:right w:val="none" w:sz="0" w:space="0" w:color="auto"/>
      </w:divBdr>
    </w:div>
    <w:div w:id="1984040946">
      <w:bodyDiv w:val="1"/>
      <w:marLeft w:val="0"/>
      <w:marRight w:val="0"/>
      <w:marTop w:val="0"/>
      <w:marBottom w:val="0"/>
      <w:divBdr>
        <w:top w:val="none" w:sz="0" w:space="0" w:color="auto"/>
        <w:left w:val="none" w:sz="0" w:space="0" w:color="auto"/>
        <w:bottom w:val="none" w:sz="0" w:space="0" w:color="auto"/>
        <w:right w:val="none" w:sz="0" w:space="0" w:color="auto"/>
      </w:divBdr>
    </w:div>
    <w:div w:id="1994604885">
      <w:bodyDiv w:val="1"/>
      <w:marLeft w:val="0"/>
      <w:marRight w:val="0"/>
      <w:marTop w:val="0"/>
      <w:marBottom w:val="0"/>
      <w:divBdr>
        <w:top w:val="none" w:sz="0" w:space="0" w:color="auto"/>
        <w:left w:val="none" w:sz="0" w:space="0" w:color="auto"/>
        <w:bottom w:val="none" w:sz="0" w:space="0" w:color="auto"/>
        <w:right w:val="none" w:sz="0" w:space="0" w:color="auto"/>
      </w:divBdr>
    </w:div>
    <w:div w:id="2010011988">
      <w:bodyDiv w:val="1"/>
      <w:marLeft w:val="0"/>
      <w:marRight w:val="0"/>
      <w:marTop w:val="0"/>
      <w:marBottom w:val="0"/>
      <w:divBdr>
        <w:top w:val="none" w:sz="0" w:space="0" w:color="auto"/>
        <w:left w:val="none" w:sz="0" w:space="0" w:color="auto"/>
        <w:bottom w:val="none" w:sz="0" w:space="0" w:color="auto"/>
        <w:right w:val="none" w:sz="0" w:space="0" w:color="auto"/>
      </w:divBdr>
    </w:div>
    <w:div w:id="2041081052">
      <w:bodyDiv w:val="1"/>
      <w:marLeft w:val="0"/>
      <w:marRight w:val="0"/>
      <w:marTop w:val="0"/>
      <w:marBottom w:val="0"/>
      <w:divBdr>
        <w:top w:val="none" w:sz="0" w:space="0" w:color="auto"/>
        <w:left w:val="none" w:sz="0" w:space="0" w:color="auto"/>
        <w:bottom w:val="none" w:sz="0" w:space="0" w:color="auto"/>
        <w:right w:val="none" w:sz="0" w:space="0" w:color="auto"/>
      </w:divBdr>
    </w:div>
    <w:div w:id="214253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Cou01</b:Tag>
    <b:SourceType>Book</b:SourceType>
    <b:Guid>{EBD44E50-924B-4884-BBD1-86160DCDFC1B}</b:Guid>
    <b:Title>Self-assessment Grids (CEFR)</b:Title>
    <b:Year>2001</b:Year>
    <b:City>Strasbourg</b:City>
    <b:Publisher>Council of Europe</b:Publisher>
    <b:StateProvince>Grand Est</b:StateProvince>
    <b:CountryRegion>France</b:CountryRegion>
    <b:URL>https://www.coe.int/en/web/portfolio/self-assessment-grid</b:URL>
    <b:Author>
      <b:Author>
        <b:Corporate>Council of Europe</b:Corporate>
      </b:Author>
    </b:Author>
    <b:LCID>en-US</b:LCID>
    <b:RefOrder>15</b:RefOrder>
  </b:Source>
  <b:Source>
    <b:Tag>Bac90</b:Tag>
    <b:SourceType>Book</b:SourceType>
    <b:Guid>{64EA26D7-2FC2-4142-8D4C-5D92E083CD81}</b:Guid>
    <b:Title>Fundamental Considerations in Language Testing</b:Title>
    <b:Year>1990</b:Year>
    <b:Author>
      <b:Author>
        <b:NameList>
          <b:Person>
            <b:Last>Bachman</b:Last>
            <b:Middle>F.</b:Middle>
            <b:First>Lyle</b:First>
          </b:Person>
        </b:NameList>
      </b:Author>
    </b:Author>
    <b:City>Oxford</b:City>
    <b:Publisher>Oxford University Press</b:Publisher>
    <b:LCID>en-US</b:LCID>
    <b:StateProvince>Oxfordshire</b:StateProvince>
    <b:CountryRegion>England</b:CountryRegion>
    <b:StandardNumber>9780194370035</b:StandardNumber>
    <b:RefOrder>10</b:RefOrder>
  </b:Source>
  <b:Source>
    <b:Tag>Dav03</b:Tag>
    <b:SourceType>JournalArticle</b:SourceType>
    <b:Guid>{1A99725F-DC15-4B17-B343-03D92CE335C6}</b:Guid>
    <b:Title>Method and Postmethod: Are They Really So Incompatible?</b:Title>
    <b:JournalName>The Forum</b:JournalName>
    <b:Year>2003</b:Year>
    <b:Pages>325-336</b:Pages>
    <b:Author>
      <b:Author>
        <b:NameList>
          <b:Person>
            <b:Last>Bell</b:Last>
            <b:Middle>M.</b:Middle>
            <b:First>David</b:First>
          </b:Person>
        </b:NameList>
      </b:Author>
    </b:Author>
    <b:LCID>en-US</b:LCID>
    <b:RefOrder>14</b:RefOrder>
  </b:Source>
  <b:Source>
    <b:Tag>Bro73</b:Tag>
    <b:SourceType>Book</b:SourceType>
    <b:Guid>{62D1830A-6AD7-41F1-8AE5-A02088FFF2DD}</b:Guid>
    <b:Title>A first language: The early stages</b:Title>
    <b:Year>1973</b:Year>
    <b:City>Cambridge</b:City>
    <b:Publisher>Harvard University Press</b:Publisher>
    <b:Author>
      <b:Author>
        <b:NameList>
          <b:Person>
            <b:Last>Brown</b:Last>
            <b:First>Roger</b:First>
          </b:Person>
        </b:NameList>
      </b:Author>
    </b:Author>
    <b:StateProvince>Massachusetts</b:StateProvince>
    <b:CountryRegion>United States</b:CountryRegion>
    <b:RefOrder>6</b:RefOrder>
  </b:Source>
  <b:Source>
    <b:Tag>Can80</b:Tag>
    <b:SourceType>ArticleInAPeriodical</b:SourceType>
    <b:Guid>{305ABDFE-6DC0-4A50-9D2D-0CFB7EF9D46C}</b:Guid>
    <b:Title>Theoretical Bases of Communicative Approaches to Second Language Teaching and Testing</b:Title>
    <b:PeriodicalTitle>Applied Linguistics</b:PeriodicalTitle>
    <b:Year>1980</b:Year>
    <b:Month>March</b:Month>
    <b:Day>1</b:Day>
    <b:Pages>30-31</b:Pages>
    <b:Author>
      <b:Author>
        <b:NameList>
          <b:Person>
            <b:Last>Canale</b:Last>
            <b:First>Michael</b:First>
          </b:Person>
          <b:Person>
            <b:Last>Swain</b:Last>
            <b:First>Merrill</b:First>
          </b:Person>
        </b:NameList>
      </b:Author>
    </b:Author>
    <b:Volume>1</b:Volume>
    <b:Issue>1</b:Issue>
    <b:RefOrder>9</b:RefOrder>
  </b:Source>
  <b:Source>
    <b:Tag>Kar78</b:Tag>
    <b:SourceType>Book</b:SourceType>
    <b:Guid>{0E4540A3-C122-42D6-A877-7D3CB57EE9C9}</b:Guid>
    <b:Title>The language teaching controversy</b:Title>
    <b:Year>1978</b:Year>
    <b:City>Rowley</b:City>
    <b:Publisher>Newbury House Publishers</b:Publisher>
    <b:Author>
      <b:Author>
        <b:NameList>
          <b:Person>
            <b:Last>Diller</b:Last>
            <b:Middle>Conrad</b:Middle>
            <b:First>Karl</b:First>
          </b:Person>
        </b:NameList>
      </b:Author>
    </b:Author>
    <b:LCID>en-US</b:LCID>
    <b:StateProvince>Massachusetts</b:StateProvince>
    <b:CountryRegion>United States</b:CountryRegion>
    <b:RefOrder>12</b:RefOrder>
  </b:Source>
  <b:Source>
    <b:Tag>Ell94</b:Tag>
    <b:SourceType>Book</b:SourceType>
    <b:Guid>{542C559B-EFD3-436B-9A6C-551D44FE9B30}</b:Guid>
    <b:Title>The Study of Second Language Acquisition</b:Title>
    <b:Year>1994</b:Year>
    <b:City>Oxford</b:City>
    <b:Publisher>Oxford University Press</b:Publisher>
    <b:Author>
      <b:Author>
        <b:NameList>
          <b:Person>
            <b:Last>Ellis</b:Last>
            <b:First>Rod</b:First>
          </b:Person>
        </b:NameList>
      </b:Author>
    </b:Author>
    <b:LCID>en-US</b:LCID>
    <b:StateProvince>Oxfordshire</b:StateProvince>
    <b:CountryRegion>England</b:CountryRegion>
    <b:StandardNumber>978-0-19-437189-6</b:StandardNumber>
    <b:RefOrder>1</b:RefOrder>
  </b:Source>
  <b:Source>
    <b:Tag>Fry77</b:Tag>
    <b:SourceType>Book</b:SourceType>
    <b:Guid>{6D546DE3-3C1E-4B7C-8BD7-64F8EA784BE3}</b:Guid>
    <b:Title>Homo loquens, Man as a talking animal</b:Title>
    <b:Year>1977</b:Year>
    <b:Pages>107-108</b:Pages>
    <b:City>Cambridge</b:City>
    <b:Publisher>Cambridge University Press</b:Publisher>
    <b:Author>
      <b:Author>
        <b:NameList>
          <b:Person>
            <b:Last>Fry</b:Last>
            <b:First>Dennis</b:First>
          </b:Person>
        </b:NameList>
      </b:Author>
    </b:Author>
    <b:LCID>en-US</b:LCID>
    <b:StateProvince>Cambridgeshire</b:StateProvince>
    <b:CountryRegion>England</b:CountryRegion>
    <b:StandardNumber>978-0-521-29239-9</b:StandardNumber>
    <b:RefOrder>4</b:RefOrder>
  </b:Source>
  <b:Source>
    <b:Tag>Lig</b:Tag>
    <b:SourceType>Book</b:SourceType>
    <b:Guid>{B6057728-A253-4D06-B026-970D4FDBF6E5}</b:Guid>
    <b:Author>
      <b:Author>
        <b:NameList>
          <b:Person>
            <b:Last>Lightbown</b:Last>
            <b:Middle>Martin</b:Middle>
            <b:First>Patsy</b:First>
          </b:Person>
          <b:Person>
            <b:Last>Spada</b:Last>
            <b:First>Nina</b:First>
          </b:Person>
        </b:NameList>
      </b:Author>
    </b:Author>
    <b:Title>How Languages Are Learned</b:Title>
    <b:Year>2006</b:Year>
    <b:City>New York City</b:City>
    <b:Publisher>Oxford University Press</b:Publisher>
    <b:LCID>en-US</b:LCID>
    <b:CountryRegion>United States of America</b:CountryRegion>
    <b:StandardNumber>978-0-19-442224-6</b:StandardNumber>
    <b:Edition>3rd</b:Edition>
    <b:RefOrder>2</b:RefOrder>
  </b:Source>
  <b:Source>
    <b:Tag>Lig10</b:Tag>
    <b:SourceType>JournalArticle</b:SourceType>
    <b:Guid>{653D06AF-38DB-4E95-9198-3E54511DE432}</b:Guid>
    <b:Title>Language acquisition and language change</b:Title>
    <b:JournalName>Wiley Interdisciplinary Reviews: Cognitive Science</b:JournalName>
    <b:Year>2010</b:Year>
    <b:Pages>677–684</b:Pages>
    <b:Author>
      <b:Author>
        <b:NameList>
          <b:Person>
            <b:Last>Lightfoot</b:Last>
            <b:First>David</b:First>
          </b:Person>
        </b:NameList>
      </b:Author>
    </b:Author>
    <b:LCID>en-US</b:LCID>
    <b:City>New York City</b:City>
    <b:Month>September</b:Month>
    <b:Publisher>John Wiley &amp; Sons</b:Publisher>
    <b:Volume>1</b:Volume>
    <b:Issue>5</b:Issue>
    <b:RefOrder>5</b:RefOrder>
  </b:Source>
  <b:Source>
    <b:Tag>Loe11</b:Tag>
    <b:SourceType>Book</b:SourceType>
    <b:Guid>{E5B0AEF9-47C2-40E4-80FF-C8A2982223C5}</b:Guid>
    <b:Title>Key concepts in second language acquisition</b:Title>
    <b:Year>2011</b:Year>
    <b:City>Hampshire</b:City>
    <b:Publisher>Palgrave Macmillan</b:Publisher>
    <b:Author>
      <b:Author>
        <b:NameList>
          <b:Person>
            <b:Last>Loewen</b:Last>
            <b:First>Shawn</b:First>
          </b:Person>
          <b:Person>
            <b:Last>Reinders</b:Last>
            <b:First>Hayo</b:First>
          </b:Person>
        </b:NameList>
      </b:Author>
    </b:Author>
    <b:LCID>en-US</b:LCID>
    <b:StateProvince>South East England</b:StateProvince>
    <b:CountryRegion>England</b:CountryRegion>
    <b:StandardNumber>978-0-230-23018-7</b:StandardNumber>
    <b:RefOrder>3</b:RefOrder>
  </b:Source>
  <b:Source>
    <b:Tag>Min21</b:Tag>
    <b:SourceType>Book</b:SourceType>
    <b:Guid>{8DDC0FAA-25EA-409E-8236-2E6B5F112BA7}</b:Guid>
    <b:Title>Promulgating the Regulations on University-level Training</b:Title>
    <b:Year>2021</b:Year>
    <b:City>Hanoi</b:City>
    <b:Publisher>National Assembly of Vietnam</b:Publisher>
    <b:LCID>vi-VN</b:LCID>
    <b:CountryRegion>Vietnam</b:CountryRegion>
    <b:Author>
      <b:Author>
        <b:NameList>
          <b:Person>
            <b:Last>Ministry of Education and Training</b:Last>
          </b:Person>
        </b:NameList>
      </b:Author>
    </b:Author>
    <b:RefOrder>16</b:RefOrder>
  </b:Source>
  <b:Source>
    <b:Tag>Jac01</b:Tag>
    <b:SourceType>BookSection</b:SourceType>
    <b:Guid>{4C504838-4EE5-4265-8F56-56AA28EEF44F}</b:Guid>
    <b:Title>Approaches and Methods in Language Teaching</b:Title>
    <b:Year>2001</b:Year>
    <b:City>Cambridge</b:City>
    <b:Publisher>Cambridge University Press</b:Publisher>
    <b:Author>
      <b:Author>
        <b:NameList>
          <b:Person>
            <b:Last>Richards</b:Last>
            <b:Middle>C.</b:Middle>
            <b:First>Jack</b:First>
          </b:Person>
          <b:Person>
            <b:Last>Rogers</b:Last>
            <b:Middle>S.</b:Middle>
            <b:First>Theodore</b:First>
          </b:Person>
        </b:NameList>
      </b:Author>
    </b:Author>
    <b:BookTitle>Cambridge Language Teaching Library</b:BookTitle>
    <b:LCID>en-US</b:LCID>
    <b:RefOrder>13</b:RefOrder>
  </b:Source>
  <b:Source>
    <b:Tag>Bri26</b:Tag>
    <b:SourceType>InternetSite</b:SourceType>
    <b:Guid>{2F6AA42D-D199-4DBF-AB09-972EB9D9B107}</b:Guid>
    <b:Title>Direct method</b:Title>
    <b:InternetSiteTitle>British Council Teaching</b:InternetSiteTitle>
    <b:Year>2026</b:Year>
    <b:Month>January</b:Month>
    <b:Day>23</b:Day>
    <b:URL>https://www.teachingenglish.org.uk/professional-development/teachers/teaching-knowledge-database/d-h/direct-method</b:URL>
    <b:Author>
      <b:Author>
        <b:Corporate>British Council</b:Corporate>
      </b:Author>
    </b:Author>
    <b:YearAccessed>2026</b:YearAccessed>
    <b:MonthAccessed>January</b:MonthAccessed>
    <b:DayAccessed>30</b:DayAccessed>
    <b:LCID>en-US</b:LCID>
    <b:RefOrder>11</b:RefOrder>
  </b:Source>
  <b:Source>
    <b:Tag>Ste77</b:Tag>
    <b:SourceType>ConferenceProceedings</b:SourceType>
    <b:Guid>{8FA1C113-CF98-4D0D-BFD4-F730AB1B576F}</b:Guid>
    <b:Title>Some issues relating to the monitor model</b:Title>
    <b:Year>1977</b:Year>
    <b:City>Miami</b:City>
    <b:Publisher>Educational Resources Information Center</b:Publisher>
    <b:Author>
      <b:Author>
        <b:NameList>
          <b:Person>
            <b:Last>Stephen</b:Last>
            <b:First>Krashen</b:First>
          </b:Person>
        </b:NameList>
      </b:Author>
      <b:Editor>
        <b:NameList>
          <b:Person>
            <b:Last>Brown</b:Last>
            <b:Middle>Douglas</b:Middle>
            <b:First>Henry</b:First>
          </b:Person>
          <b:Person>
            <b:Last>Yorio</b:Last>
            <b:Middle>Alfredo</b:Middle>
            <b:First>Carlos</b:First>
          </b:Person>
          <b:Person>
            <b:Last>Crymes</b:Last>
            <b:Middle>H.</b:Middle>
            <b:First>Ruth</b:First>
          </b:Person>
        </b:NameList>
      </b:Editor>
    </b:Author>
    <b:Pages>144-158</b:Pages>
    <b:ConferenceName>TESOL Annual Convention</b:ConferenceName>
    <b:LCID>en-US</b:LCID>
    <b:RefOrder>8</b:RefOrder>
  </b:Source>
  <b:Source>
    <b:Tag>Dul73</b:Tag>
    <b:SourceType>ArticleInAPeriodical</b:SourceType>
    <b:Guid>{1F770629-BB66-4A43-9D8D-0D22A18DF45A}</b:Guid>
    <b:Title>Should We Teach Children Syntax?</b:Title>
    <b:Year>1973</b:Year>
    <b:Author>
      <b:Author>
        <b:NameList>
          <b:Person>
            <b:Last>Dulay</b:Last>
            <b:Middle>C.</b:Middle>
            <b:First>Heidi</b:First>
          </b:Person>
          <b:Person>
            <b:Last>Burt</b:Last>
            <b:Middle>K.</b:Middle>
            <b:First>Marina</b:First>
          </b:Person>
        </b:NameList>
      </b:Author>
    </b:Author>
    <b:PeriodicalTitle>Language Learning</b:PeriodicalTitle>
    <b:Month>December</b:Month>
    <b:Pages>245–258</b:Pages>
    <b:Volume>23</b:Volume>
    <b:Issue>2</b:Issue>
    <b:StandardNumber>1467-9922</b:StandardNumber>
    <b:LCID>en-US</b:LCID>
    <b:RefOrder>7</b:RefOrder>
  </b:Source>
</b:Sources>
</file>

<file path=customXml/itemProps1.xml><?xml version="1.0" encoding="utf-8"?>
<ds:datastoreItem xmlns:ds="http://schemas.openxmlformats.org/officeDocument/2006/customXml" ds:itemID="{DB5ECF03-8D63-41F1-BE6C-35F1B49A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5355</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Tường Vy</dc:creator>
  <cp:keywords/>
  <dc:description/>
  <cp:lastModifiedBy>Nguyễn Lê Tường Vy</cp:lastModifiedBy>
  <cp:revision>19</cp:revision>
  <dcterms:created xsi:type="dcterms:W3CDTF">2026-03-09T08:15:00Z</dcterms:created>
  <dcterms:modified xsi:type="dcterms:W3CDTF">2026-05-07T03:36:00Z</dcterms:modified>
</cp:coreProperties>
</file>