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BEAAA" w14:textId="77777777" w:rsidR="00E22CDB" w:rsidRPr="007214E7" w:rsidRDefault="00E22CDB" w:rsidP="00A862E4">
      <w:pPr>
        <w:pStyle w:val="NormalWeb"/>
        <w:spacing w:before="0" w:beforeAutospacing="0" w:after="0" w:afterAutospacing="0"/>
        <w:jc w:val="both"/>
        <w:rPr>
          <w:rFonts w:asciiTheme="majorHAnsi" w:hAnsiTheme="majorHAnsi" w:cstheme="majorHAnsi"/>
          <w:b/>
          <w:bCs/>
        </w:rPr>
      </w:pPr>
      <w:r w:rsidRPr="007214E7">
        <w:rPr>
          <w:rFonts w:asciiTheme="majorHAnsi" w:hAnsiTheme="majorHAnsi" w:cstheme="majorHAnsi"/>
          <w:b/>
          <w:bCs/>
        </w:rPr>
        <w:t>TQM-oriented Service-Learning for EFL-ESL Transition: Social Responsibility at Pham Van Dong University.</w:t>
      </w:r>
    </w:p>
    <w:p w14:paraId="0A2CDEE2" w14:textId="5217E368" w:rsidR="005E756D" w:rsidRPr="007214E7" w:rsidRDefault="004A4BE8" w:rsidP="00BC026B">
      <w:pPr>
        <w:pStyle w:val="NormalWeb"/>
        <w:spacing w:before="0" w:beforeAutospacing="0" w:after="0" w:afterAutospacing="0"/>
        <w:jc w:val="right"/>
        <w:rPr>
          <w:rFonts w:asciiTheme="majorHAnsi" w:hAnsiTheme="majorHAnsi" w:cstheme="majorHAnsi"/>
          <w:vertAlign w:val="superscript"/>
        </w:rPr>
      </w:pPr>
      <w:r w:rsidRPr="007214E7">
        <w:rPr>
          <w:rFonts w:asciiTheme="majorHAnsi" w:hAnsiTheme="majorHAnsi" w:cstheme="majorHAnsi"/>
          <w:lang w:val="en-US"/>
        </w:rPr>
        <w:t>Võ Duy Quân</w:t>
      </w:r>
      <w:r w:rsidR="005E756D" w:rsidRPr="007214E7">
        <w:rPr>
          <w:rStyle w:val="FootnoteReference"/>
          <w:rFonts w:asciiTheme="majorHAnsi" w:hAnsiTheme="majorHAnsi" w:cstheme="majorHAnsi"/>
        </w:rPr>
        <w:footnoteReference w:id="1"/>
      </w:r>
    </w:p>
    <w:p w14:paraId="28F6F92E" w14:textId="77777777" w:rsidR="00E82D17" w:rsidRPr="007214E7" w:rsidRDefault="00E82D17" w:rsidP="00A862E4">
      <w:pPr>
        <w:pStyle w:val="NormalWeb"/>
        <w:spacing w:before="0" w:beforeAutospacing="0" w:after="0" w:afterAutospacing="0"/>
        <w:jc w:val="both"/>
        <w:rPr>
          <w:rFonts w:asciiTheme="majorHAnsi" w:hAnsiTheme="majorHAnsi" w:cstheme="majorHAnsi"/>
          <w:b/>
          <w:bCs/>
        </w:rPr>
      </w:pPr>
    </w:p>
    <w:p w14:paraId="07637F79" w14:textId="0FF0EE69" w:rsidR="005E756D" w:rsidRPr="007214E7" w:rsidRDefault="007F7D4F" w:rsidP="00A862E4">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Abstract</w:t>
      </w:r>
    </w:p>
    <w:p w14:paraId="603C0F3B" w14:textId="54AFD67E" w:rsidR="00106286" w:rsidRPr="007214E7" w:rsidRDefault="00106286" w:rsidP="00A862E4">
      <w:pPr>
        <w:pStyle w:val="NoSpacing"/>
        <w:ind w:firstLine="720"/>
        <w:jc w:val="both"/>
        <w:rPr>
          <w:rFonts w:asciiTheme="majorHAnsi" w:hAnsiTheme="majorHAnsi" w:cstheme="majorHAnsi"/>
          <w:sz w:val="24"/>
          <w:szCs w:val="24"/>
          <w:lang w:val="en-US"/>
        </w:rPr>
      </w:pPr>
      <w:r w:rsidRPr="007214E7">
        <w:rPr>
          <w:rFonts w:asciiTheme="majorHAnsi" w:hAnsiTheme="majorHAnsi" w:cstheme="majorHAnsi"/>
          <w:sz w:val="24"/>
          <w:szCs w:val="24"/>
          <w:lang w:val="en-US"/>
        </w:rPr>
        <w:t>This study evaluates the efficacy of integrating Total Quality Management (TQM) into Service-Learning</w:t>
      </w:r>
      <w:r w:rsidR="000469B5">
        <w:rPr>
          <w:rFonts w:asciiTheme="majorHAnsi" w:hAnsiTheme="majorHAnsi" w:cstheme="majorHAnsi"/>
          <w:sz w:val="24"/>
          <w:szCs w:val="24"/>
          <w:lang w:val="en-US"/>
        </w:rPr>
        <w:t xml:space="preserve"> (SL)</w:t>
      </w:r>
      <w:r w:rsidRPr="007214E7">
        <w:rPr>
          <w:rFonts w:asciiTheme="majorHAnsi" w:hAnsiTheme="majorHAnsi" w:cstheme="majorHAnsi"/>
          <w:sz w:val="24"/>
          <w:szCs w:val="24"/>
          <w:lang w:val="en-US"/>
        </w:rPr>
        <w:t xml:space="preserve"> projects to fulfill University Social Responsibility (USR) and facilitate the transition from English as a Foreign Language (EFL) to a simulated English as a Second Language (ESL) environment. In provincial higher education institutions, executing USR is frequently constrained by limited resources, while learners lack authentic language practice environments.</w:t>
      </w:r>
    </w:p>
    <w:p w14:paraId="7B2127CA" w14:textId="3657F485" w:rsidR="00106286" w:rsidRPr="007214E7" w:rsidRDefault="00106286" w:rsidP="00A862E4">
      <w:pPr>
        <w:pStyle w:val="NoSpacing"/>
        <w:ind w:firstLine="720"/>
        <w:jc w:val="both"/>
        <w:rPr>
          <w:rFonts w:asciiTheme="majorHAnsi" w:hAnsiTheme="majorHAnsi" w:cstheme="majorHAnsi"/>
          <w:sz w:val="24"/>
          <w:szCs w:val="24"/>
          <w:lang w:val="en-US"/>
        </w:rPr>
      </w:pPr>
      <w:r w:rsidRPr="007214E7">
        <w:rPr>
          <w:rFonts w:asciiTheme="majorHAnsi" w:hAnsiTheme="majorHAnsi" w:cstheme="majorHAnsi"/>
          <w:sz w:val="24"/>
          <w:szCs w:val="24"/>
          <w:lang w:val="en-US"/>
        </w:rPr>
        <w:t>An empirical study is designed at Pham Van Dong University</w:t>
      </w:r>
      <w:r w:rsidR="000469B5">
        <w:rPr>
          <w:rFonts w:asciiTheme="majorHAnsi" w:hAnsiTheme="majorHAnsi" w:cstheme="majorHAnsi"/>
          <w:sz w:val="24"/>
          <w:szCs w:val="24"/>
          <w:lang w:val="en-US"/>
        </w:rPr>
        <w:t xml:space="preserve"> (PDU)</w:t>
      </w:r>
      <w:r w:rsidRPr="007214E7">
        <w:rPr>
          <w:rFonts w:asciiTheme="majorHAnsi" w:hAnsiTheme="majorHAnsi" w:cstheme="majorHAnsi"/>
          <w:sz w:val="24"/>
          <w:szCs w:val="24"/>
          <w:lang w:val="en-US"/>
        </w:rPr>
        <w:t>, involving the entire cohort of third- and fourth-year pre-service English teachers. To optimize resource allocation, the research applies the TQM’s PDCA (Plan-Do-Check-Act) cycle and internal quality control criteria to design, operate, and evaluate community-based teaching projects. Data are anticipated to be collected utilizing teaching portfolios, pre- and post-intervention professional agency scales, and quantitative local community social impact metrics.</w:t>
      </w:r>
    </w:p>
    <w:p w14:paraId="42007D06" w14:textId="0002BDF3" w:rsidR="00106286" w:rsidRPr="007214E7" w:rsidRDefault="00106286" w:rsidP="00A862E4">
      <w:pPr>
        <w:pStyle w:val="NoSpacing"/>
        <w:ind w:firstLine="720"/>
        <w:jc w:val="both"/>
        <w:rPr>
          <w:rFonts w:asciiTheme="majorHAnsi" w:hAnsiTheme="majorHAnsi" w:cstheme="majorHAnsi"/>
          <w:sz w:val="24"/>
          <w:szCs w:val="24"/>
          <w:lang w:val="en-US"/>
        </w:rPr>
      </w:pPr>
      <w:r w:rsidRPr="007214E7">
        <w:rPr>
          <w:rFonts w:asciiTheme="majorHAnsi" w:hAnsiTheme="majorHAnsi" w:cstheme="majorHAnsi"/>
          <w:sz w:val="24"/>
          <w:szCs w:val="24"/>
          <w:lang w:val="en-US"/>
        </w:rPr>
        <w:t>Data analysis is expected to demonstrate a statistically significant increase in pre-service teachers' professional agency post-intervention. Pedagogically, the TQM process is projected to standardize instruction, mitigate deployment risks, and successfully establish a sustainable micro-ESL space.</w:t>
      </w:r>
    </w:p>
    <w:p w14:paraId="27C926C6" w14:textId="17F07D47" w:rsidR="00106286" w:rsidRPr="007214E7" w:rsidRDefault="00106286" w:rsidP="00A862E4">
      <w:pPr>
        <w:pStyle w:val="NoSpacing"/>
        <w:ind w:firstLine="720"/>
        <w:jc w:val="both"/>
        <w:rPr>
          <w:rFonts w:asciiTheme="majorHAnsi" w:hAnsiTheme="majorHAnsi" w:cstheme="majorHAnsi"/>
          <w:sz w:val="24"/>
          <w:szCs w:val="24"/>
          <w:lang w:val="en-US"/>
        </w:rPr>
      </w:pPr>
      <w:r w:rsidRPr="007214E7">
        <w:rPr>
          <w:rFonts w:asciiTheme="majorHAnsi" w:hAnsiTheme="majorHAnsi" w:cstheme="majorHAnsi"/>
          <w:sz w:val="24"/>
          <w:szCs w:val="24"/>
          <w:lang w:val="en-US"/>
        </w:rPr>
        <w:t>The findings will provide an empirical foundation for provincial higher education institutions to synchronize USR objectives with language transition policies through rigorous quality management.</w:t>
      </w:r>
    </w:p>
    <w:p w14:paraId="6AE13A5E" w14:textId="016CDE99" w:rsidR="00106286" w:rsidRPr="007214E7" w:rsidRDefault="00106286" w:rsidP="00A862E4">
      <w:pPr>
        <w:pStyle w:val="NoSpacing"/>
        <w:ind w:firstLine="720"/>
        <w:jc w:val="both"/>
        <w:rPr>
          <w:rFonts w:asciiTheme="majorHAnsi" w:hAnsiTheme="majorHAnsi" w:cstheme="majorHAnsi"/>
          <w:sz w:val="24"/>
          <w:szCs w:val="24"/>
          <w:lang w:val="en-US"/>
        </w:rPr>
      </w:pPr>
      <w:r w:rsidRPr="007214E7">
        <w:rPr>
          <w:rFonts w:asciiTheme="majorHAnsi" w:hAnsiTheme="majorHAnsi" w:cstheme="majorHAnsi"/>
          <w:b/>
          <w:bCs/>
          <w:i/>
          <w:sz w:val="24"/>
          <w:szCs w:val="24"/>
          <w:lang w:val="en-US"/>
        </w:rPr>
        <w:t>Keywords:</w:t>
      </w:r>
      <w:r w:rsidR="00695443" w:rsidRPr="007214E7">
        <w:rPr>
          <w:rFonts w:asciiTheme="majorHAnsi" w:hAnsiTheme="majorHAnsi" w:cstheme="majorHAnsi"/>
          <w:i/>
          <w:sz w:val="24"/>
          <w:szCs w:val="24"/>
          <w:lang w:val="en-US"/>
        </w:rPr>
        <w:t xml:space="preserve"> University social responsibility, EFL-ESL transition, s</w:t>
      </w:r>
      <w:r w:rsidRPr="007214E7">
        <w:rPr>
          <w:rFonts w:asciiTheme="majorHAnsi" w:hAnsiTheme="majorHAnsi" w:cstheme="majorHAnsi"/>
          <w:i/>
          <w:sz w:val="24"/>
          <w:szCs w:val="24"/>
          <w:lang w:val="en-US"/>
        </w:rPr>
        <w:t>ervice-</w:t>
      </w:r>
      <w:r w:rsidR="00695443" w:rsidRPr="007214E7">
        <w:rPr>
          <w:rFonts w:asciiTheme="majorHAnsi" w:hAnsiTheme="majorHAnsi" w:cstheme="majorHAnsi"/>
          <w:i/>
          <w:sz w:val="24"/>
          <w:szCs w:val="24"/>
          <w:lang w:val="en-US"/>
        </w:rPr>
        <w:t>learning, total quality management, pre-service t</w:t>
      </w:r>
      <w:r w:rsidRPr="007214E7">
        <w:rPr>
          <w:rFonts w:asciiTheme="majorHAnsi" w:hAnsiTheme="majorHAnsi" w:cstheme="majorHAnsi"/>
          <w:i/>
          <w:sz w:val="24"/>
          <w:szCs w:val="24"/>
          <w:lang w:val="en-US"/>
        </w:rPr>
        <w:t>eachers</w:t>
      </w:r>
      <w:r w:rsidRPr="007214E7">
        <w:rPr>
          <w:rFonts w:asciiTheme="majorHAnsi" w:hAnsiTheme="majorHAnsi" w:cstheme="majorHAnsi"/>
          <w:sz w:val="24"/>
          <w:szCs w:val="24"/>
          <w:lang w:val="en-US"/>
        </w:rPr>
        <w:t xml:space="preserve">. </w:t>
      </w:r>
    </w:p>
    <w:p w14:paraId="7119863F" w14:textId="77777777" w:rsidR="00F77364" w:rsidRPr="007214E7" w:rsidRDefault="00D8355B" w:rsidP="00A862E4">
      <w:pPr>
        <w:spacing w:after="0" w:line="240" w:lineRule="auto"/>
        <w:jc w:val="both"/>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bCs/>
          <w:sz w:val="24"/>
          <w:szCs w:val="24"/>
          <w:lang w:val="en-US"/>
        </w:rPr>
        <w:t xml:space="preserve">1. INTRODUCTION </w:t>
      </w:r>
    </w:p>
    <w:p w14:paraId="5342E82E" w14:textId="70065ED0" w:rsidR="00587108" w:rsidRPr="007214E7" w:rsidRDefault="00587108" w:rsidP="00587108">
      <w:pPr>
        <w:spacing w:after="0" w:line="240" w:lineRule="auto"/>
        <w:ind w:firstLine="720"/>
        <w:jc w:val="both"/>
        <w:outlineLvl w:val="2"/>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lang w:val="en-US"/>
        </w:rPr>
        <w:t xml:space="preserve">Universities under the jurisdiction of provincial People's Committees have the primary missions of training local human resources, transferring knowledge, and directly addressing local socio-economic issues. Nevertheless, the execution of </w:t>
      </w:r>
      <w:r w:rsidR="000469B5">
        <w:rPr>
          <w:rFonts w:asciiTheme="majorHAnsi" w:eastAsia="Times New Roman" w:hAnsiTheme="majorHAnsi" w:cstheme="majorHAnsi"/>
          <w:sz w:val="24"/>
          <w:szCs w:val="24"/>
          <w:lang w:val="en-US"/>
        </w:rPr>
        <w:t xml:space="preserve"> </w:t>
      </w:r>
      <w:r w:rsidRPr="007214E7">
        <w:rPr>
          <w:rFonts w:asciiTheme="majorHAnsi" w:eastAsia="Times New Roman" w:hAnsiTheme="majorHAnsi" w:cstheme="majorHAnsi"/>
          <w:sz w:val="24"/>
          <w:szCs w:val="24"/>
          <w:lang w:val="en-US"/>
        </w:rPr>
        <w:t xml:space="preserve">USR at these institutions faces significant barriers due to a deficiency in fundamental resources. The financial resources of these institutions rely predominantly on provincial budgets and tuition fee revenues. Due to local budgetary constraints, allocated funding is typically prioritized for recurrent operational expenditures. Concurrently, inadequate infrastructure and difficulties in attracting and developing highly qualified faculty members diminish the comprehensive operational efficiency of these institutions. </w:t>
      </w:r>
    </w:p>
    <w:p w14:paraId="48D20234" w14:textId="45C20F90" w:rsidR="00587108" w:rsidRPr="007214E7" w:rsidRDefault="00587108" w:rsidP="00587108">
      <w:pPr>
        <w:spacing w:after="0" w:line="240" w:lineRule="auto"/>
        <w:ind w:firstLine="720"/>
        <w:jc w:val="both"/>
        <w:outlineLvl w:val="2"/>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lang w:val="en-US"/>
        </w:rPr>
        <w:t xml:space="preserve">Consequently, due to resource constraints, provincial universities must often concentrate on pedagogical responsibilities, resulting in insufficient emphasis on the functions of scientific research and community service. As a result, USR has not been systematically integrated into their overall governance strategies. Community activities are predominantly campaign-driven and consist of short-term voluntary initiatives conducted by mass organizations. The absence of dedicated personnel and specific funding mechanisms hinders these institutions from implementing academically rigorous and long-term cohesive </w:t>
      </w:r>
      <w:r w:rsidR="000469B5">
        <w:rPr>
          <w:rFonts w:asciiTheme="majorHAnsi" w:eastAsia="Times New Roman" w:hAnsiTheme="majorHAnsi" w:cstheme="majorHAnsi"/>
          <w:sz w:val="24"/>
          <w:szCs w:val="24"/>
          <w:lang w:val="en-US"/>
        </w:rPr>
        <w:t>SL</w:t>
      </w:r>
      <w:r w:rsidRPr="007214E7">
        <w:rPr>
          <w:rFonts w:asciiTheme="majorHAnsi" w:eastAsia="Times New Roman" w:hAnsiTheme="majorHAnsi" w:cstheme="majorHAnsi"/>
          <w:sz w:val="24"/>
          <w:szCs w:val="24"/>
          <w:lang w:val="en-US"/>
        </w:rPr>
        <w:t xml:space="preserve"> projects. This situation necessitates the restructuring of governance models and the establishment of multi-stakeholder collaboration mechanisms to maintain sustainable USR execution capabilities. </w:t>
      </w:r>
    </w:p>
    <w:p w14:paraId="3BAB6865" w14:textId="7E0BFD67" w:rsidR="00587108" w:rsidRPr="007214E7" w:rsidRDefault="00587108" w:rsidP="00587108">
      <w:pPr>
        <w:spacing w:after="0" w:line="240" w:lineRule="auto"/>
        <w:ind w:firstLine="720"/>
        <w:jc w:val="both"/>
        <w:outlineLvl w:val="2"/>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lang w:val="en-US"/>
        </w:rPr>
        <w:t xml:space="preserve">Within the scope of foreign language education, a prominent issue currently is the lack of authentic communicative environments necessary to facilitate the transition of EFL to ESL. At provincial universities, instructional activities predominantly occur within traditional classrooms, focusing on grammar and foundational skills, while lacking contexts for social </w:t>
      </w:r>
      <w:r w:rsidRPr="007214E7">
        <w:rPr>
          <w:rFonts w:asciiTheme="majorHAnsi" w:eastAsia="Times New Roman" w:hAnsiTheme="majorHAnsi" w:cstheme="majorHAnsi"/>
          <w:sz w:val="24"/>
          <w:szCs w:val="24"/>
          <w:lang w:val="en-US"/>
        </w:rPr>
        <w:lastRenderedPageBreak/>
        <w:t xml:space="preserve">interaction. This deficiency restricts learners' communicative reflexes and their ability to use the language naturally. </w:t>
      </w:r>
    </w:p>
    <w:p w14:paraId="7427882D" w14:textId="59AB9AE1" w:rsidR="00587108" w:rsidRPr="007214E7" w:rsidRDefault="00587108" w:rsidP="00587108">
      <w:pPr>
        <w:spacing w:after="0" w:line="240" w:lineRule="auto"/>
        <w:ind w:firstLine="720"/>
        <w:jc w:val="both"/>
        <w:outlineLvl w:val="2"/>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lang w:val="en-US"/>
        </w:rPr>
        <w:t xml:space="preserve">To address this issue, </w:t>
      </w:r>
      <w:r w:rsidR="000469B5">
        <w:rPr>
          <w:rFonts w:asciiTheme="majorHAnsi" w:eastAsia="Times New Roman" w:hAnsiTheme="majorHAnsi" w:cstheme="majorHAnsi"/>
          <w:sz w:val="24"/>
          <w:szCs w:val="24"/>
          <w:lang w:val="en-US"/>
        </w:rPr>
        <w:t>SL</w:t>
      </w:r>
      <w:r w:rsidRPr="007214E7">
        <w:rPr>
          <w:rFonts w:asciiTheme="majorHAnsi" w:eastAsia="Times New Roman" w:hAnsiTheme="majorHAnsi" w:cstheme="majorHAnsi"/>
          <w:sz w:val="24"/>
          <w:szCs w:val="24"/>
          <w:lang w:val="en-US"/>
        </w:rPr>
        <w:t xml:space="preserve"> is implemented as a central pedagogical approach. Through community projects, such as organizing pre-service teachers to directly teach English to disadvantaged children, learners are transitioned from the classroom environment into practical communicative contexts. Participation in these projects enables pre-service teachers to directly apply their specialized knowledge while simultaneously developing social responsibility, thereby effectively facilitating the transition from EFL to ESL.</w:t>
      </w:r>
    </w:p>
    <w:p w14:paraId="2BA01877" w14:textId="2D8E5ECE" w:rsidR="00587108" w:rsidRPr="007214E7" w:rsidRDefault="00587108" w:rsidP="00587108">
      <w:pPr>
        <w:spacing w:after="0" w:line="240" w:lineRule="auto"/>
        <w:ind w:firstLine="720"/>
        <w:jc w:val="both"/>
        <w:outlineLvl w:val="2"/>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lang w:val="en-US"/>
        </w:rPr>
        <w:t xml:space="preserve">Based on this practical rationale, the present study is conducted to evaluate the efficacy of integrating the TQM model into </w:t>
      </w:r>
      <w:r w:rsidR="000469B5">
        <w:rPr>
          <w:rFonts w:asciiTheme="majorHAnsi" w:eastAsia="Times New Roman" w:hAnsiTheme="majorHAnsi" w:cstheme="majorHAnsi"/>
          <w:sz w:val="24"/>
          <w:szCs w:val="24"/>
          <w:lang w:val="en-US"/>
        </w:rPr>
        <w:t>SL</w:t>
      </w:r>
      <w:r w:rsidRPr="007214E7">
        <w:rPr>
          <w:rFonts w:asciiTheme="majorHAnsi" w:eastAsia="Times New Roman" w:hAnsiTheme="majorHAnsi" w:cstheme="majorHAnsi"/>
          <w:sz w:val="24"/>
          <w:szCs w:val="24"/>
          <w:lang w:val="en-US"/>
        </w:rPr>
        <w:t xml:space="preserve"> projects to fulfill USR and support language practice environments. Rather than pursuing dispersed objectives, the research focuses on two core objectives: (1) Evaluating the operational effectiveness of the PDCA cycle in standardizing pedagogical procedures within </w:t>
      </w:r>
      <w:r w:rsidR="000469B5">
        <w:rPr>
          <w:rFonts w:asciiTheme="majorHAnsi" w:eastAsia="Times New Roman" w:hAnsiTheme="majorHAnsi" w:cstheme="majorHAnsi"/>
          <w:sz w:val="24"/>
          <w:szCs w:val="24"/>
          <w:lang w:val="en-US"/>
        </w:rPr>
        <w:t>SL</w:t>
      </w:r>
      <w:r w:rsidRPr="007214E7">
        <w:rPr>
          <w:rFonts w:asciiTheme="majorHAnsi" w:eastAsia="Times New Roman" w:hAnsiTheme="majorHAnsi" w:cstheme="majorHAnsi"/>
          <w:sz w:val="24"/>
          <w:szCs w:val="24"/>
          <w:lang w:val="en-US"/>
        </w:rPr>
        <w:t xml:space="preserve"> projects, and (2) Measuring the project's impact on the development of pre-service teachers' professional agency. To achieve these objectives, the study addresses two core research questions:</w:t>
      </w:r>
    </w:p>
    <w:p w14:paraId="37D75949" w14:textId="77777777" w:rsidR="00587108" w:rsidRPr="007214E7" w:rsidRDefault="00587108" w:rsidP="00587108">
      <w:pPr>
        <w:numPr>
          <w:ilvl w:val="0"/>
          <w:numId w:val="21"/>
        </w:numPr>
        <w:spacing w:after="0" w:line="240" w:lineRule="auto"/>
        <w:jc w:val="both"/>
        <w:outlineLvl w:val="2"/>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lang w:val="en-US"/>
        </w:rPr>
        <w:t>How does the TQM's PDCA cycle assist in standardizing community teaching activities and mitigating risks?</w:t>
      </w:r>
    </w:p>
    <w:p w14:paraId="5B890701" w14:textId="77777777" w:rsidR="00587108" w:rsidRPr="007214E7" w:rsidRDefault="00587108" w:rsidP="00587108">
      <w:pPr>
        <w:numPr>
          <w:ilvl w:val="0"/>
          <w:numId w:val="21"/>
        </w:numPr>
        <w:spacing w:after="0" w:line="240" w:lineRule="auto"/>
        <w:jc w:val="both"/>
        <w:outlineLvl w:val="2"/>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lang w:val="en-US"/>
        </w:rPr>
        <w:t>How does participation in a TQM-oriented project impact the professional agency of pre-service teachers?</w:t>
      </w:r>
    </w:p>
    <w:p w14:paraId="1FDE8FBA" w14:textId="5A65BAE1" w:rsidR="00D8355B" w:rsidRPr="007214E7" w:rsidRDefault="00151CDD" w:rsidP="007214E7">
      <w:pPr>
        <w:spacing w:after="0" w:line="240" w:lineRule="auto"/>
        <w:jc w:val="both"/>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bCs/>
          <w:sz w:val="24"/>
          <w:szCs w:val="24"/>
          <w:lang w:val="en-US"/>
        </w:rPr>
        <w:t>2. LITERATURE REVIEW</w:t>
      </w:r>
    </w:p>
    <w:p w14:paraId="41A706AB" w14:textId="7C6680B0" w:rsidR="009321C7" w:rsidRPr="007214E7" w:rsidRDefault="009321C7"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2.1. University Social Responsibility and Service-Learning</w:t>
      </w:r>
    </w:p>
    <w:p w14:paraId="3FB79681" w14:textId="5988051E" w:rsidR="009321C7" w:rsidRPr="007214E7" w:rsidRDefault="009321C7"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 xml:space="preserve">USR is a foundational governance strategy that directs higher education institutions to create a positive impact on society. This strategy requires institutions to integrate ethical standards and sustainable development goals into two core missions: training and research (Dư, 2025; Phan, 2022). To translate the USR strategy into educational practice, </w:t>
      </w:r>
      <w:r w:rsidR="001E78D8">
        <w:rPr>
          <w:rFonts w:asciiTheme="majorHAnsi" w:hAnsiTheme="majorHAnsi" w:cstheme="majorHAnsi"/>
          <w:lang w:val="en-US"/>
        </w:rPr>
        <w:t>SL</w:t>
      </w:r>
      <w:r w:rsidRPr="007214E7">
        <w:rPr>
          <w:rFonts w:asciiTheme="majorHAnsi" w:hAnsiTheme="majorHAnsi" w:cstheme="majorHAnsi"/>
        </w:rPr>
        <w:t xml:space="preserve"> is utilized as a central pedagogical mechanism. This method establishes a direct linkage between the educational institution's community service mission and the students' practical learning process (Coelho &amp; Menezes, 2021; Lê, 2024).</w:t>
      </w:r>
    </w:p>
    <w:p w14:paraId="0115982D" w14:textId="507F0CFC" w:rsidR="009321C7" w:rsidRPr="007214E7" w:rsidRDefault="009321C7"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 xml:space="preserve">This linkage operates based on translating governance commitments into practical actions. USR constructs the macro-policy framework, whereas </w:t>
      </w:r>
      <w:r w:rsidR="001E78D8">
        <w:rPr>
          <w:rFonts w:asciiTheme="majorHAnsi" w:hAnsiTheme="majorHAnsi" w:cstheme="majorHAnsi"/>
          <w:lang w:val="en-US"/>
        </w:rPr>
        <w:t>SL</w:t>
      </w:r>
      <w:r w:rsidRPr="007214E7">
        <w:rPr>
          <w:rFonts w:asciiTheme="majorHAnsi" w:hAnsiTheme="majorHAnsi" w:cstheme="majorHAnsi"/>
        </w:rPr>
        <w:t xml:space="preserve"> serves as the direct implementation tool. The core distinction between </w:t>
      </w:r>
      <w:r w:rsidR="001E78D8">
        <w:rPr>
          <w:rFonts w:asciiTheme="majorHAnsi" w:hAnsiTheme="majorHAnsi" w:cstheme="majorHAnsi"/>
          <w:lang w:val="en-US"/>
        </w:rPr>
        <w:t>SL</w:t>
      </w:r>
      <w:r w:rsidRPr="007214E7">
        <w:rPr>
          <w:rFonts w:asciiTheme="majorHAnsi" w:hAnsiTheme="majorHAnsi" w:cstheme="majorHAnsi"/>
        </w:rPr>
        <w:t xml:space="preserve"> and volunteer activities is the requirement for students to apply their specialized knowledge to solve local problems, subsequently undertaking steps of academic reflection. This procedure ensures that the educational institution simultaneously achieves its learning outcomes and addresses the practical needs of the community (Nguyễn, 2024; Phạm, 2025; Trần, 2020), while concurrently developing professional competencies and civic consciousness. The objective of USR is to cultivate a socially responsible workforce. Participation in </w:t>
      </w:r>
      <w:r w:rsidR="001A161A">
        <w:rPr>
          <w:rFonts w:asciiTheme="majorHAnsi" w:hAnsiTheme="majorHAnsi" w:cstheme="majorHAnsi"/>
          <w:lang w:val="en-US"/>
        </w:rPr>
        <w:t>SL</w:t>
      </w:r>
      <w:r w:rsidRPr="007214E7">
        <w:rPr>
          <w:rFonts w:asciiTheme="majorHAnsi" w:hAnsiTheme="majorHAnsi" w:cstheme="majorHAnsi"/>
        </w:rPr>
        <w:t xml:space="preserve"> places students in diverse and complex social contexts. The process of resolving practical problems assists learners in cultivating critical thinking, consolidating their professional foundations, and enhancing their awareness of vulnerable groups. Consequently, learners clearly delineate their personal responsibilities towards collective development (Nguyễn &amp; Trần, 2023; Pham &amp; Le, 2025) and establish sustainable partnerships. Through </w:t>
      </w:r>
      <w:r w:rsidR="001A161A">
        <w:rPr>
          <w:rFonts w:asciiTheme="majorHAnsi" w:hAnsiTheme="majorHAnsi" w:cstheme="majorHAnsi"/>
          <w:lang w:val="en-US"/>
        </w:rPr>
        <w:t>SL</w:t>
      </w:r>
      <w:r w:rsidRPr="007214E7">
        <w:rPr>
          <w:rFonts w:asciiTheme="majorHAnsi" w:hAnsiTheme="majorHAnsi" w:cstheme="majorHAnsi"/>
        </w:rPr>
        <w:t>, the institution transitions from a unilateral knowledge transfer modality to a bilateral collaborative mechanism with the locality. The educational institution, students, and community partners mutually share resources to address challenges. This interactive mechanism provides empirical evidence affirming the university's capacity for governance and the execution of its social responsibility (Dư, 2025; Ngô, 2023).</w:t>
      </w:r>
    </w:p>
    <w:p w14:paraId="1BEBB3BF" w14:textId="45854D56"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2.2. Total Quality Management and the PDCA Cycle in Teacher Education</w:t>
      </w:r>
    </w:p>
    <w:p w14:paraId="3C5B797C" w14:textId="6F55B172" w:rsidR="00CB2722" w:rsidRPr="007214E7" w:rsidRDefault="001A161A" w:rsidP="007214E7">
      <w:pPr>
        <w:pStyle w:val="NormalWeb"/>
        <w:spacing w:before="0" w:beforeAutospacing="0" w:after="0" w:afterAutospacing="0"/>
        <w:ind w:firstLine="720"/>
        <w:jc w:val="both"/>
        <w:rPr>
          <w:rFonts w:asciiTheme="majorHAnsi" w:hAnsiTheme="majorHAnsi" w:cstheme="majorHAnsi"/>
        </w:rPr>
      </w:pPr>
      <w:r>
        <w:rPr>
          <w:rFonts w:asciiTheme="majorHAnsi" w:hAnsiTheme="majorHAnsi" w:cstheme="majorHAnsi"/>
        </w:rPr>
        <w:t>TQM</w:t>
      </w:r>
      <w:r w:rsidR="00CB2722" w:rsidRPr="007214E7">
        <w:rPr>
          <w:rFonts w:asciiTheme="majorHAnsi" w:hAnsiTheme="majorHAnsi" w:cstheme="majorHAnsi"/>
        </w:rPr>
        <w:t xml:space="preserve"> is a management approach directed towards the continuous improvement of operational processes to meet the standards of the educational system (Bùi &amp; Nguyễn, 2020). The core control instrument of TQM is the Deming cycle, which encompasses four phases: Plan, Do, Check, and Act.</w:t>
      </w:r>
    </w:p>
    <w:p w14:paraId="1C504E62" w14:textId="77777777"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lastRenderedPageBreak/>
        <w:t>The application of PDCA in teacher education requires educational institutions to transition from management by objectives to process-based control (Nguyễn, 2014). During the Planning phase, the institution determines learning outcomes and program structures based on data from sectoral needs analysis. The Execution (Do) phase involves the organization of instruction, professional training, and the allocation of educational resources. The Checking phase focuses on measuring the actual competencies of learners, as well as collecting feedback data from employers and practicum-hosting institutions. In the Improvement (Act) phase, the institution utilizes the analyzed data to adjust instructional content and training methodologies to prevent procedural discrepancies. The PDCA cycle establishes a self-regulatory mechanism, ensuring that the competencies of pre-service teachers consistently align with practical requirements (Nguyễn, 2023).</w:t>
      </w:r>
    </w:p>
    <w:p w14:paraId="68ED2495" w14:textId="7777777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2.3. Establishing a simulated ESL environment (micro-ESL space) through Service-Learning</w:t>
      </w:r>
    </w:p>
    <w:p w14:paraId="6CA1518D" w14:textId="23A9C660"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 xml:space="preserve">The English language education model in Vietnamese higher education currently operates primarily with an EFL orientation. Students acquire the language within the classroom environment, focusing on grammatical structures rather than utilizing the language as a tool for social communication. To address this issue, </w:t>
      </w:r>
      <w:r w:rsidR="001A161A">
        <w:rPr>
          <w:rFonts w:asciiTheme="majorHAnsi" w:hAnsiTheme="majorHAnsi" w:cstheme="majorHAnsi"/>
          <w:lang w:val="en-US"/>
        </w:rPr>
        <w:t>SL</w:t>
      </w:r>
      <w:r w:rsidRPr="007214E7">
        <w:rPr>
          <w:rFonts w:asciiTheme="majorHAnsi" w:hAnsiTheme="majorHAnsi" w:cstheme="majorHAnsi"/>
        </w:rPr>
        <w:t xml:space="preserve"> projects are implemented to establish simulated ESL environments.</w:t>
      </w:r>
    </w:p>
    <w:p w14:paraId="03C27DDF" w14:textId="4E82BAF3"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 xml:space="preserve">According to language socialization theory, language acquisition achieves high efficacy when learners interact within practical contexts. </w:t>
      </w:r>
      <w:r w:rsidR="001A161A">
        <w:rPr>
          <w:rFonts w:asciiTheme="majorHAnsi" w:hAnsiTheme="majorHAnsi" w:cstheme="majorHAnsi"/>
          <w:lang w:val="en-US"/>
        </w:rPr>
        <w:t>SL</w:t>
      </w:r>
      <w:r w:rsidRPr="007214E7">
        <w:rPr>
          <w:rFonts w:asciiTheme="majorHAnsi" w:hAnsiTheme="majorHAnsi" w:cstheme="majorHAnsi"/>
        </w:rPr>
        <w:t xml:space="preserve"> provides a natural communicative environment, requiring learners to use authentic language to convey information and execute community-based tasks (Truong et al., 2020). When English-major students directly teach English to children, they are compelled to self-regulate their skills and control their vocabulary to ensure instructional effectiveness. The subsequent process of academic reflection assists students in systematizing their knowledge, rectifying errors, and mitigating psychological anxiety. This constitutes the empirical foundation for students to complete the transition from passive EFL learners to independent ESL users (Bùi, 2023; Tuan &amp; Bao, 2021).</w:t>
      </w:r>
    </w:p>
    <w:p w14:paraId="1E481D36" w14:textId="7777777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2.4. Professional agency of pre-service teachers in practical environments</w:t>
      </w:r>
    </w:p>
    <w:p w14:paraId="4F955524" w14:textId="77777777"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Professional agency is the capacity to proactively regulate pedagogical behavior, make independent decisions, and resolve problems within practical contexts (Tran, 2019). For pre-service teachers, this capacity is cultivated only when learners are granted the autonomy to design instructional methods, rather than adhering to pre-existing procedural templates.</w:t>
      </w:r>
    </w:p>
    <w:p w14:paraId="2EF02C95" w14:textId="4362826C"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 xml:space="preserve">The </w:t>
      </w:r>
      <w:r w:rsidR="001A161A">
        <w:rPr>
          <w:rFonts w:asciiTheme="majorHAnsi" w:hAnsiTheme="majorHAnsi" w:cstheme="majorHAnsi"/>
          <w:lang w:val="en-US"/>
        </w:rPr>
        <w:t>SL</w:t>
      </w:r>
      <w:r w:rsidRPr="007214E7">
        <w:rPr>
          <w:rFonts w:asciiTheme="majorHAnsi" w:hAnsiTheme="majorHAnsi" w:cstheme="majorHAnsi"/>
        </w:rPr>
        <w:t xml:space="preserve"> environment provides the practical context for pre-service teachers to develop this capacity. Unlike traditional practicums characterized by stringent supervision from mentor teachers, participating in community projects requires pre-service teachers to independently organize educational activities for specific target demographics. Pre-service teachers must directly analyze situations, select pedagogical approaches, and resolve emerging risks (Tuan &amp; Bao, 2021). Through direct practice combined with maintaining reflective journals, pre-service teachers evaluate the consequences of their professional decisions. This process shifts the status of pre-service teachers from passive observers to proactive controllers of pedagogical activities, effectively applying academic theories to authentic educational environments.</w:t>
      </w:r>
    </w:p>
    <w:p w14:paraId="2CD54CBA" w14:textId="7777777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3. RESEARCH METHODOLOGY</w:t>
      </w:r>
    </w:p>
    <w:p w14:paraId="0DED538A" w14:textId="7777777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3.1. Research design and participants</w:t>
      </w:r>
    </w:p>
    <w:p w14:paraId="64AA920C" w14:textId="437A76B3"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 xml:space="preserve">The study adopts a mixed-methods experimental design, conducted at </w:t>
      </w:r>
      <w:r w:rsidR="00EC3CEC">
        <w:rPr>
          <w:rFonts w:asciiTheme="majorHAnsi" w:hAnsiTheme="majorHAnsi" w:cstheme="majorHAnsi"/>
          <w:lang w:val="en-US"/>
        </w:rPr>
        <w:t>PDU</w:t>
      </w:r>
      <w:r w:rsidRPr="007214E7">
        <w:rPr>
          <w:rFonts w:asciiTheme="majorHAnsi" w:hAnsiTheme="majorHAnsi" w:cstheme="majorHAnsi"/>
        </w:rPr>
        <w:t xml:space="preserve"> to verify the efficacy of integrating TQM into </w:t>
      </w:r>
      <w:r w:rsidR="00EC3CEC">
        <w:rPr>
          <w:rFonts w:asciiTheme="majorHAnsi" w:hAnsiTheme="majorHAnsi" w:cstheme="majorHAnsi"/>
          <w:lang w:val="en-US"/>
        </w:rPr>
        <w:t>SL</w:t>
      </w:r>
      <w:r w:rsidRPr="007214E7">
        <w:rPr>
          <w:rFonts w:asciiTheme="majorHAnsi" w:hAnsiTheme="majorHAnsi" w:cstheme="majorHAnsi"/>
        </w:rPr>
        <w:t xml:space="preserve"> projects.</w:t>
      </w:r>
    </w:p>
    <w:p w14:paraId="7EB1CA0C" w14:textId="77777777"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The research participants comprise third- and fourth-year pre-service English teachers. The quantitative survey sample size is determined to be N = 80 pre-service teachers to ensure reliability and statistical validity.</w:t>
      </w:r>
    </w:p>
    <w:p w14:paraId="05A11996" w14:textId="7777777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3.2. Intervention procedure of the PDCA cycle</w:t>
      </w:r>
    </w:p>
    <w:p w14:paraId="2A3F8F0B" w14:textId="77777777" w:rsid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The experimental intervention is operationalized through the integration of the TQM framework and the institution's internal quality assurance (IQA) criteria, strictly adhering to the PDCA cycle:</w:t>
      </w:r>
    </w:p>
    <w:p w14:paraId="01F6B1DC" w14:textId="77777777" w:rsid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b/>
          <w:bCs/>
        </w:rPr>
        <w:lastRenderedPageBreak/>
        <w:t>Plan:</w:t>
      </w:r>
      <w:r w:rsidRPr="007214E7">
        <w:rPr>
          <w:rFonts w:asciiTheme="majorHAnsi" w:hAnsiTheme="majorHAnsi" w:cstheme="majorHAnsi"/>
        </w:rPr>
        <w:t xml:space="preserve"> Optimizing the allocation of resources (human, financial, and instructional materials) based on the TQM framework to design projects that closely align with program learning outcomes and local needs.</w:t>
      </w:r>
    </w:p>
    <w:p w14:paraId="10704648" w14:textId="77777777" w:rsid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b/>
          <w:bCs/>
        </w:rPr>
        <w:t>Do:</w:t>
      </w:r>
      <w:r w:rsidRPr="007214E7">
        <w:rPr>
          <w:rFonts w:asciiTheme="majorHAnsi" w:hAnsiTheme="majorHAnsi" w:cstheme="majorHAnsi"/>
        </w:rPr>
        <w:t xml:space="preserve"> Organizing pre-service teachers to directly implement practical foreign language teaching activities in community settings.</w:t>
      </w:r>
    </w:p>
    <w:p w14:paraId="6AF34965" w14:textId="77777777" w:rsid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b/>
          <w:bCs/>
        </w:rPr>
        <w:t>Check:</w:t>
      </w:r>
      <w:r w:rsidRPr="007214E7">
        <w:rPr>
          <w:rFonts w:asciiTheme="majorHAnsi" w:hAnsiTheme="majorHAnsi" w:cstheme="majorHAnsi"/>
        </w:rPr>
        <w:t xml:space="preserve"> Utilizing IQA criteria to monitor progress, measure the quality of teaching sessions, and collect feedback from local partners.</w:t>
      </w:r>
    </w:p>
    <w:p w14:paraId="7E6D79E1" w14:textId="4CFEEDBD"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b/>
          <w:bCs/>
        </w:rPr>
        <w:t>Act:</w:t>
      </w:r>
      <w:r w:rsidRPr="007214E7">
        <w:rPr>
          <w:rFonts w:asciiTheme="majorHAnsi" w:hAnsiTheme="majorHAnsi" w:cstheme="majorHAnsi"/>
        </w:rPr>
        <w:t xml:space="preserve"> Utilizing evaluation data to adjust operational procedures and update pedagogical support methods to standardize subsequent cycles.</w:t>
      </w:r>
    </w:p>
    <w:p w14:paraId="51B013BE" w14:textId="7777777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3.3. Data collection instruments and methods</w:t>
      </w:r>
    </w:p>
    <w:p w14:paraId="6F086875" w14:textId="77777777" w:rsid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Research data are collected concurrently through both quantitative and qualitative channels:</w:t>
      </w:r>
    </w:p>
    <w:p w14:paraId="5125009F" w14:textId="77777777" w:rsid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b/>
          <w:bCs/>
        </w:rPr>
        <w:t>Quantitative instruments:</w:t>
      </w:r>
      <w:r w:rsidRPr="007214E7">
        <w:rPr>
          <w:rFonts w:asciiTheme="majorHAnsi" w:hAnsiTheme="majorHAnsi" w:cstheme="majorHAnsi"/>
        </w:rPr>
        <w:t xml:space="preserve"> Utilizing the Professional Agency Scale (adapted from the theoretical framework of Tran, 2019), which comprises 18 items measured on a 5-point Likert scale. The survey is administered before and after the intervention (pre-test &amp; post-test) to the 80 pre-service teachers to measure the degree of change. The items are rigorously tested for internal consistency reliability using Cronbach’s α coefficient. Concurrently, quantitative social impact metrics (total service hours, number of beneficiaries) are collected to measure the efficacy of USR execution.</w:t>
      </w:r>
    </w:p>
    <w:p w14:paraId="3B57A353" w14:textId="67FC37BF" w:rsidR="00CB2722"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b/>
          <w:bCs/>
        </w:rPr>
        <w:t>Qualitative instruments:</w:t>
      </w:r>
      <w:r w:rsidRPr="007214E7">
        <w:rPr>
          <w:rFonts w:asciiTheme="majorHAnsi" w:hAnsiTheme="majorHAnsi" w:cstheme="majorHAnsi"/>
        </w:rPr>
        <w:t xml:space="preserve"> Examining Teaching portfolios, including lesson plans and specifically the weekly reflective journals of the 80 pre-service teachers, to evaluate the development in pedagogical thinking and to elucidate the risk management mechanisms underlying the statistical data.</w:t>
      </w:r>
    </w:p>
    <w:p w14:paraId="51F37FFD" w14:textId="7BBCEA2D" w:rsidR="00C32AB7" w:rsidRPr="00C32AB7" w:rsidRDefault="00C32AB7" w:rsidP="00C32AB7">
      <w:pPr>
        <w:pStyle w:val="NormalWeb"/>
        <w:spacing w:before="0" w:beforeAutospacing="0" w:after="0" w:afterAutospacing="0"/>
        <w:jc w:val="both"/>
        <w:rPr>
          <w:rFonts w:asciiTheme="majorHAnsi" w:hAnsiTheme="majorHAnsi" w:cstheme="majorHAnsi"/>
          <w:b/>
        </w:rPr>
      </w:pPr>
      <w:r w:rsidRPr="00C32AB7">
        <w:rPr>
          <w:b/>
        </w:rPr>
        <w:t>4. RESULTS</w:t>
      </w:r>
    </w:p>
    <w:p w14:paraId="54BED10D" w14:textId="77777777" w:rsidR="00CB2722" w:rsidRPr="007214E7" w:rsidRDefault="00CB2722" w:rsidP="007214E7">
      <w:pPr>
        <w:spacing w:after="0" w:line="240" w:lineRule="auto"/>
        <w:jc w:val="both"/>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bCs/>
          <w:sz w:val="24"/>
          <w:szCs w:val="24"/>
          <w:lang w:val="en-US"/>
        </w:rPr>
        <w:t>4.1. Statistically significant increase in professional agency</w:t>
      </w:r>
    </w:p>
    <w:p w14:paraId="79B8E8B1" w14:textId="1C34CF3D" w:rsidR="00CB2722" w:rsidRPr="007214E7" w:rsidRDefault="00CB2722" w:rsidP="007214E7">
      <w:pPr>
        <w:spacing w:after="0" w:line="240" w:lineRule="auto"/>
        <w:ind w:firstLine="720"/>
        <w:jc w:val="both"/>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Cs/>
          <w:sz w:val="24"/>
          <w:szCs w:val="24"/>
          <w:lang w:val="en-US"/>
        </w:rPr>
        <w:t xml:space="preserve">To evaluate the impact of the TQM-oriented </w:t>
      </w:r>
      <w:r w:rsidR="009236DC">
        <w:rPr>
          <w:rFonts w:asciiTheme="majorHAnsi" w:eastAsia="Times New Roman" w:hAnsiTheme="majorHAnsi" w:cstheme="majorHAnsi"/>
          <w:bCs/>
          <w:sz w:val="24"/>
          <w:szCs w:val="24"/>
          <w:lang w:val="en-US"/>
        </w:rPr>
        <w:t>SL</w:t>
      </w:r>
      <w:r w:rsidRPr="007214E7">
        <w:rPr>
          <w:rFonts w:asciiTheme="majorHAnsi" w:eastAsia="Times New Roman" w:hAnsiTheme="majorHAnsi" w:cstheme="majorHAnsi"/>
          <w:bCs/>
          <w:sz w:val="24"/>
          <w:szCs w:val="24"/>
          <w:lang w:val="en-US"/>
        </w:rPr>
        <w:t xml:space="preserve"> project on pre-service teachers, the study conducted a Paired-Samples T-test on the professional agency scale before and after the intervention. Data were collected from the entire cohort of 80 third- and fourth-year pre-service teachers. Prior to conducting the difference analysis, the data were tested for normal distribution using the Shapiro-Wilk test (p &gt; .05), ensuring the fulfillment of conditions for parametric statistics</w:t>
      </w:r>
      <w:r w:rsidRPr="007214E7">
        <w:rPr>
          <w:rFonts w:asciiTheme="majorHAnsi" w:eastAsia="Times New Roman" w:hAnsiTheme="majorHAnsi" w:cstheme="majorHAnsi"/>
          <w:b/>
          <w:bCs/>
          <w:sz w:val="24"/>
          <w:szCs w:val="24"/>
          <w:lang w:val="en-US"/>
        </w:rPr>
        <w:t>.</w:t>
      </w:r>
    </w:p>
    <w:p w14:paraId="7E6536F9" w14:textId="003E2600" w:rsidR="00623C60" w:rsidRPr="007214E7" w:rsidRDefault="00CB2722" w:rsidP="007214E7">
      <w:pPr>
        <w:spacing w:after="0" w:line="240" w:lineRule="auto"/>
        <w:ind w:firstLine="720"/>
        <w:jc w:val="both"/>
        <w:outlineLvl w:val="2"/>
        <w:rPr>
          <w:rFonts w:asciiTheme="majorHAnsi" w:eastAsia="Times New Roman" w:hAnsiTheme="majorHAnsi" w:cstheme="majorHAnsi"/>
          <w:bCs/>
          <w:i/>
          <w:sz w:val="24"/>
          <w:szCs w:val="24"/>
          <w:lang w:val="en-US"/>
        </w:rPr>
      </w:pPr>
      <w:r w:rsidRPr="007214E7">
        <w:rPr>
          <w:rFonts w:asciiTheme="majorHAnsi" w:eastAsia="Times New Roman" w:hAnsiTheme="majorHAnsi" w:cstheme="majorHAnsi"/>
          <w:b/>
          <w:bCs/>
          <w:i/>
          <w:sz w:val="24"/>
          <w:szCs w:val="24"/>
          <w:lang w:val="en-US"/>
        </w:rPr>
        <w:t>Table 1.</w:t>
      </w:r>
      <w:r w:rsidRPr="007214E7">
        <w:rPr>
          <w:rFonts w:asciiTheme="majorHAnsi" w:eastAsia="Times New Roman" w:hAnsiTheme="majorHAnsi" w:cstheme="majorHAnsi"/>
          <w:b/>
          <w:bCs/>
          <w:sz w:val="24"/>
          <w:szCs w:val="24"/>
          <w:lang w:val="en-US"/>
        </w:rPr>
        <w:t xml:space="preserve"> </w:t>
      </w:r>
      <w:r w:rsidRPr="007214E7">
        <w:rPr>
          <w:rFonts w:asciiTheme="majorHAnsi" w:eastAsia="Times New Roman" w:hAnsiTheme="majorHAnsi" w:cstheme="majorHAnsi"/>
          <w:b/>
          <w:bCs/>
          <w:i/>
          <w:sz w:val="24"/>
          <w:szCs w:val="24"/>
          <w:lang w:val="en-US"/>
        </w:rPr>
        <w:t>Paired-samples t-test results for pre- and post-intervention Professional Agency (N = 80)</w:t>
      </w:r>
    </w:p>
    <w:tbl>
      <w:tblPr>
        <w:tblStyle w:val="TableGrid"/>
        <w:tblW w:w="0" w:type="auto"/>
        <w:tblLook w:val="04A0" w:firstRow="1" w:lastRow="0" w:firstColumn="1" w:lastColumn="0" w:noHBand="0" w:noVBand="1"/>
      </w:tblPr>
      <w:tblGrid>
        <w:gridCol w:w="4045"/>
        <w:gridCol w:w="1258"/>
        <w:gridCol w:w="770"/>
        <w:gridCol w:w="688"/>
        <w:gridCol w:w="876"/>
        <w:gridCol w:w="514"/>
        <w:gridCol w:w="897"/>
      </w:tblGrid>
      <w:tr w:rsidR="00623C60" w:rsidRPr="007214E7" w14:paraId="722853E7" w14:textId="77777777" w:rsidTr="00623C60">
        <w:tc>
          <w:tcPr>
            <w:tcW w:w="4045" w:type="dxa"/>
            <w:vAlign w:val="center"/>
          </w:tcPr>
          <w:p w14:paraId="6F0C2AA8" w14:textId="7ABCE047" w:rsidR="00623C60" w:rsidRPr="007214E7" w:rsidRDefault="00623C60" w:rsidP="007214E7">
            <w:pPr>
              <w:jc w:val="both"/>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bCs/>
                <w:color w:val="1F1F1F"/>
                <w:sz w:val="24"/>
                <w:szCs w:val="24"/>
                <w:bdr w:val="none" w:sz="0" w:space="0" w:color="auto" w:frame="1"/>
                <w:lang w:val="en-US"/>
              </w:rPr>
              <w:t>Di</w:t>
            </w:r>
            <w:r w:rsidR="004E6BFB" w:rsidRPr="007214E7">
              <w:rPr>
                <w:rFonts w:asciiTheme="majorHAnsi" w:eastAsia="Times New Roman" w:hAnsiTheme="majorHAnsi" w:cstheme="majorHAnsi"/>
                <w:b/>
                <w:bCs/>
                <w:color w:val="1F1F1F"/>
                <w:sz w:val="24"/>
                <w:szCs w:val="24"/>
                <w:bdr w:val="none" w:sz="0" w:space="0" w:color="auto" w:frame="1"/>
                <w:lang w:val="en-US"/>
              </w:rPr>
              <w:t>mensions of Professional Agency</w:t>
            </w:r>
          </w:p>
        </w:tc>
        <w:tc>
          <w:tcPr>
            <w:tcW w:w="1258" w:type="dxa"/>
            <w:vAlign w:val="center"/>
          </w:tcPr>
          <w:p w14:paraId="40CD6412" w14:textId="29FC8560" w:rsidR="00623C60" w:rsidRPr="007214E7" w:rsidRDefault="004E6BFB"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bCs/>
                <w:color w:val="1F1F1F"/>
                <w:sz w:val="24"/>
                <w:szCs w:val="24"/>
                <w:bdr w:val="none" w:sz="0" w:space="0" w:color="auto" w:frame="1"/>
              </w:rPr>
              <w:t>Phase</w:t>
            </w:r>
          </w:p>
        </w:tc>
        <w:tc>
          <w:tcPr>
            <w:tcW w:w="770" w:type="dxa"/>
            <w:vAlign w:val="center"/>
          </w:tcPr>
          <w:p w14:paraId="2284D5E4" w14:textId="32401177" w:rsidR="00623C60" w:rsidRPr="007214E7" w:rsidRDefault="00623C60"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bCs/>
                <w:color w:val="1F1F1F"/>
                <w:sz w:val="24"/>
                <w:szCs w:val="24"/>
                <w:bdr w:val="none" w:sz="0" w:space="0" w:color="auto" w:frame="1"/>
                <w:lang w:val="en-US"/>
              </w:rPr>
              <w:t>M</w:t>
            </w:r>
          </w:p>
        </w:tc>
        <w:tc>
          <w:tcPr>
            <w:tcW w:w="688" w:type="dxa"/>
            <w:vAlign w:val="center"/>
          </w:tcPr>
          <w:p w14:paraId="5D0E4D04" w14:textId="5EEADBEB" w:rsidR="00623C60" w:rsidRPr="007214E7" w:rsidRDefault="00623C60"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bCs/>
                <w:color w:val="1F1F1F"/>
                <w:sz w:val="24"/>
                <w:szCs w:val="24"/>
                <w:bdr w:val="none" w:sz="0" w:space="0" w:color="auto" w:frame="1"/>
                <w:lang w:val="en-US"/>
              </w:rPr>
              <w:t>SD</w:t>
            </w:r>
          </w:p>
        </w:tc>
        <w:tc>
          <w:tcPr>
            <w:tcW w:w="876" w:type="dxa"/>
            <w:vAlign w:val="center"/>
          </w:tcPr>
          <w:p w14:paraId="08AD6D58" w14:textId="7303B077" w:rsidR="00623C60" w:rsidRPr="007214E7" w:rsidRDefault="00623C60"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bCs/>
                <w:color w:val="1F1F1F"/>
                <w:sz w:val="24"/>
                <w:szCs w:val="24"/>
                <w:bdr w:val="none" w:sz="0" w:space="0" w:color="auto" w:frame="1"/>
                <w:lang w:val="en-US"/>
              </w:rPr>
              <w:t>t</w:t>
            </w:r>
          </w:p>
        </w:tc>
        <w:tc>
          <w:tcPr>
            <w:tcW w:w="514" w:type="dxa"/>
            <w:vAlign w:val="center"/>
          </w:tcPr>
          <w:p w14:paraId="0048891D" w14:textId="6F95CD39" w:rsidR="00623C60" w:rsidRPr="007214E7" w:rsidRDefault="00623C60"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bCs/>
                <w:color w:val="1F1F1F"/>
                <w:sz w:val="24"/>
                <w:szCs w:val="24"/>
                <w:bdr w:val="none" w:sz="0" w:space="0" w:color="auto" w:frame="1"/>
                <w:lang w:val="en-US"/>
              </w:rPr>
              <w:t>df</w:t>
            </w:r>
          </w:p>
        </w:tc>
        <w:tc>
          <w:tcPr>
            <w:tcW w:w="897" w:type="dxa"/>
            <w:vAlign w:val="center"/>
          </w:tcPr>
          <w:p w14:paraId="79C0BD3A" w14:textId="60EEF79F" w:rsidR="00623C60" w:rsidRPr="007214E7" w:rsidRDefault="00623C60"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bCs/>
                <w:color w:val="1F1F1F"/>
                <w:sz w:val="24"/>
                <w:szCs w:val="24"/>
                <w:bdr w:val="none" w:sz="0" w:space="0" w:color="auto" w:frame="1"/>
                <w:lang w:val="en-US"/>
              </w:rPr>
              <w:t>p</w:t>
            </w:r>
          </w:p>
        </w:tc>
      </w:tr>
      <w:tr w:rsidR="007214E7" w:rsidRPr="007214E7" w14:paraId="51EABF06" w14:textId="77777777" w:rsidTr="00623C60">
        <w:tc>
          <w:tcPr>
            <w:tcW w:w="4045" w:type="dxa"/>
            <w:vMerge w:val="restart"/>
            <w:vAlign w:val="center"/>
          </w:tcPr>
          <w:p w14:paraId="1027BA7C" w14:textId="65943A87" w:rsidR="007214E7" w:rsidRPr="007214E7" w:rsidRDefault="007214E7" w:rsidP="007214E7">
            <w:pPr>
              <w:outlineLvl w:val="2"/>
              <w:rPr>
                <w:rFonts w:asciiTheme="majorHAnsi" w:eastAsia="Times New Roman" w:hAnsiTheme="majorHAnsi" w:cstheme="majorHAnsi"/>
                <w:b/>
                <w:bCs/>
                <w:i/>
                <w:sz w:val="24"/>
                <w:szCs w:val="24"/>
                <w:lang w:val="en-US"/>
              </w:rPr>
            </w:pPr>
            <w:r w:rsidRPr="007214E7">
              <w:rPr>
                <w:rFonts w:asciiTheme="majorHAnsi" w:eastAsia="Times New Roman" w:hAnsiTheme="majorHAnsi" w:cstheme="majorHAnsi"/>
                <w:b/>
                <w:bCs/>
                <w:i/>
                <w:color w:val="1F1F1F"/>
                <w:sz w:val="24"/>
                <w:szCs w:val="24"/>
                <w:bdr w:val="none" w:sz="0" w:space="0" w:color="auto" w:frame="1"/>
                <w:lang w:val="en-US"/>
              </w:rPr>
              <w:t>Overall</w:t>
            </w:r>
          </w:p>
        </w:tc>
        <w:tc>
          <w:tcPr>
            <w:tcW w:w="1258" w:type="dxa"/>
            <w:vAlign w:val="center"/>
          </w:tcPr>
          <w:p w14:paraId="5F29DA5F" w14:textId="6BC2A3DE"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Pre-test</w:t>
            </w:r>
          </w:p>
        </w:tc>
        <w:tc>
          <w:tcPr>
            <w:tcW w:w="770" w:type="dxa"/>
            <w:vAlign w:val="center"/>
          </w:tcPr>
          <w:p w14:paraId="63AB589C" w14:textId="25155F3B"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3.15</w:t>
            </w:r>
          </w:p>
        </w:tc>
        <w:tc>
          <w:tcPr>
            <w:tcW w:w="688" w:type="dxa"/>
            <w:vAlign w:val="center"/>
          </w:tcPr>
          <w:p w14:paraId="3F733A4E" w14:textId="3FF31D58"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0.62</w:t>
            </w:r>
          </w:p>
        </w:tc>
        <w:tc>
          <w:tcPr>
            <w:tcW w:w="876" w:type="dxa"/>
            <w:vMerge w:val="restart"/>
            <w:vAlign w:val="center"/>
          </w:tcPr>
          <w:p w14:paraId="42908FD0" w14:textId="6CB99AAC"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-15.42</w:t>
            </w:r>
          </w:p>
        </w:tc>
        <w:tc>
          <w:tcPr>
            <w:tcW w:w="514" w:type="dxa"/>
            <w:vMerge w:val="restart"/>
            <w:vAlign w:val="center"/>
          </w:tcPr>
          <w:p w14:paraId="3EE9F15C" w14:textId="276FB34B"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79</w:t>
            </w:r>
          </w:p>
        </w:tc>
        <w:tc>
          <w:tcPr>
            <w:tcW w:w="897" w:type="dxa"/>
            <w:vMerge w:val="restart"/>
            <w:vAlign w:val="center"/>
          </w:tcPr>
          <w:p w14:paraId="2FDD253F" w14:textId="033E1300"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bCs/>
                <w:color w:val="1F1F1F"/>
                <w:sz w:val="24"/>
                <w:szCs w:val="24"/>
                <w:bdr w:val="none" w:sz="0" w:space="0" w:color="auto" w:frame="1"/>
                <w:lang w:val="en-US"/>
              </w:rPr>
              <w:t>&lt; .001</w:t>
            </w:r>
          </w:p>
        </w:tc>
      </w:tr>
      <w:tr w:rsidR="007214E7" w:rsidRPr="007214E7" w14:paraId="7AB14381" w14:textId="77777777" w:rsidTr="00623C60">
        <w:tc>
          <w:tcPr>
            <w:tcW w:w="4045" w:type="dxa"/>
            <w:vMerge/>
            <w:vAlign w:val="center"/>
          </w:tcPr>
          <w:p w14:paraId="35AF1A8E" w14:textId="77777777" w:rsidR="007214E7" w:rsidRPr="007214E7" w:rsidRDefault="007214E7" w:rsidP="007214E7">
            <w:pPr>
              <w:outlineLvl w:val="2"/>
              <w:rPr>
                <w:rFonts w:asciiTheme="majorHAnsi" w:eastAsia="Times New Roman" w:hAnsiTheme="majorHAnsi" w:cstheme="majorHAnsi"/>
                <w:b/>
                <w:bCs/>
                <w:i/>
                <w:sz w:val="24"/>
                <w:szCs w:val="24"/>
                <w:lang w:val="en-US"/>
              </w:rPr>
            </w:pPr>
          </w:p>
        </w:tc>
        <w:tc>
          <w:tcPr>
            <w:tcW w:w="1258" w:type="dxa"/>
            <w:vAlign w:val="center"/>
          </w:tcPr>
          <w:p w14:paraId="199A771B" w14:textId="7F6B96CD"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Post-test</w:t>
            </w:r>
          </w:p>
        </w:tc>
        <w:tc>
          <w:tcPr>
            <w:tcW w:w="770" w:type="dxa"/>
            <w:vAlign w:val="center"/>
          </w:tcPr>
          <w:p w14:paraId="55D7FF27" w14:textId="5D853254"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4.28</w:t>
            </w:r>
          </w:p>
        </w:tc>
        <w:tc>
          <w:tcPr>
            <w:tcW w:w="688" w:type="dxa"/>
            <w:vAlign w:val="center"/>
          </w:tcPr>
          <w:p w14:paraId="5A646BC9" w14:textId="59E8BB06"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0.45</w:t>
            </w:r>
          </w:p>
        </w:tc>
        <w:tc>
          <w:tcPr>
            <w:tcW w:w="876" w:type="dxa"/>
            <w:vMerge/>
            <w:vAlign w:val="center"/>
          </w:tcPr>
          <w:p w14:paraId="5987D815" w14:textId="77777777" w:rsidR="007214E7" w:rsidRPr="007214E7" w:rsidRDefault="007214E7" w:rsidP="007214E7">
            <w:pPr>
              <w:jc w:val="center"/>
              <w:outlineLvl w:val="2"/>
              <w:rPr>
                <w:rFonts w:asciiTheme="majorHAnsi" w:eastAsia="Times New Roman" w:hAnsiTheme="majorHAnsi" w:cstheme="majorHAnsi"/>
                <w:b/>
                <w:bCs/>
                <w:sz w:val="24"/>
                <w:szCs w:val="24"/>
                <w:lang w:val="en-US"/>
              </w:rPr>
            </w:pPr>
          </w:p>
        </w:tc>
        <w:tc>
          <w:tcPr>
            <w:tcW w:w="514" w:type="dxa"/>
            <w:vMerge/>
            <w:vAlign w:val="center"/>
          </w:tcPr>
          <w:p w14:paraId="4B798435" w14:textId="77777777" w:rsidR="007214E7" w:rsidRPr="007214E7" w:rsidRDefault="007214E7" w:rsidP="007214E7">
            <w:pPr>
              <w:jc w:val="center"/>
              <w:outlineLvl w:val="2"/>
              <w:rPr>
                <w:rFonts w:asciiTheme="majorHAnsi" w:eastAsia="Times New Roman" w:hAnsiTheme="majorHAnsi" w:cstheme="majorHAnsi"/>
                <w:b/>
                <w:bCs/>
                <w:sz w:val="24"/>
                <w:szCs w:val="24"/>
                <w:lang w:val="en-US"/>
              </w:rPr>
            </w:pPr>
          </w:p>
        </w:tc>
        <w:tc>
          <w:tcPr>
            <w:tcW w:w="897" w:type="dxa"/>
            <w:vMerge/>
            <w:vAlign w:val="center"/>
          </w:tcPr>
          <w:p w14:paraId="0FD1B249" w14:textId="77777777" w:rsidR="007214E7" w:rsidRPr="007214E7" w:rsidRDefault="007214E7" w:rsidP="007214E7">
            <w:pPr>
              <w:jc w:val="center"/>
              <w:outlineLvl w:val="2"/>
              <w:rPr>
                <w:rFonts w:asciiTheme="majorHAnsi" w:eastAsia="Times New Roman" w:hAnsiTheme="majorHAnsi" w:cstheme="majorHAnsi"/>
                <w:b/>
                <w:bCs/>
                <w:sz w:val="24"/>
                <w:szCs w:val="24"/>
                <w:lang w:val="en-US"/>
              </w:rPr>
            </w:pPr>
          </w:p>
        </w:tc>
      </w:tr>
      <w:tr w:rsidR="007214E7" w:rsidRPr="007214E7" w14:paraId="2265E8B0" w14:textId="77777777" w:rsidTr="00623C60">
        <w:tc>
          <w:tcPr>
            <w:tcW w:w="4045" w:type="dxa"/>
            <w:vMerge w:val="restart"/>
            <w:vAlign w:val="center"/>
          </w:tcPr>
          <w:p w14:paraId="7D779369" w14:textId="283E24EB" w:rsidR="007214E7" w:rsidRPr="007214E7" w:rsidRDefault="007214E7" w:rsidP="007214E7">
            <w:pP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i/>
                <w:iCs/>
                <w:color w:val="1F1F1F"/>
                <w:sz w:val="24"/>
                <w:szCs w:val="24"/>
                <w:bdr w:val="none" w:sz="0" w:space="0" w:color="auto" w:frame="1"/>
                <w:lang w:val="en-US"/>
              </w:rPr>
              <w:t>1. Pedagogical Awareness</w:t>
            </w:r>
          </w:p>
        </w:tc>
        <w:tc>
          <w:tcPr>
            <w:tcW w:w="1258" w:type="dxa"/>
            <w:vAlign w:val="center"/>
          </w:tcPr>
          <w:p w14:paraId="6F5F248B" w14:textId="458231C5"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Pre-test</w:t>
            </w:r>
          </w:p>
        </w:tc>
        <w:tc>
          <w:tcPr>
            <w:tcW w:w="770" w:type="dxa"/>
            <w:vAlign w:val="center"/>
          </w:tcPr>
          <w:p w14:paraId="3009DD03" w14:textId="2EBC1D45"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3.20</w:t>
            </w:r>
          </w:p>
        </w:tc>
        <w:tc>
          <w:tcPr>
            <w:tcW w:w="688" w:type="dxa"/>
            <w:vAlign w:val="center"/>
          </w:tcPr>
          <w:p w14:paraId="057080F4" w14:textId="01BBBD95"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0.65</w:t>
            </w:r>
          </w:p>
        </w:tc>
        <w:tc>
          <w:tcPr>
            <w:tcW w:w="876" w:type="dxa"/>
            <w:vMerge w:val="restart"/>
            <w:vAlign w:val="center"/>
          </w:tcPr>
          <w:p w14:paraId="480FC158" w14:textId="1A64A49E"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-10.85</w:t>
            </w:r>
          </w:p>
        </w:tc>
        <w:tc>
          <w:tcPr>
            <w:tcW w:w="514" w:type="dxa"/>
            <w:vMerge w:val="restart"/>
            <w:vAlign w:val="center"/>
          </w:tcPr>
          <w:p w14:paraId="1F79295C" w14:textId="220C10AD"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79</w:t>
            </w:r>
          </w:p>
        </w:tc>
        <w:tc>
          <w:tcPr>
            <w:tcW w:w="897" w:type="dxa"/>
            <w:vMerge w:val="restart"/>
            <w:vAlign w:val="center"/>
          </w:tcPr>
          <w:p w14:paraId="0634607A" w14:textId="43E88E12"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&lt; .001</w:t>
            </w:r>
          </w:p>
        </w:tc>
      </w:tr>
      <w:tr w:rsidR="007214E7" w:rsidRPr="007214E7" w14:paraId="7DE484F2" w14:textId="77777777" w:rsidTr="00623C60">
        <w:tc>
          <w:tcPr>
            <w:tcW w:w="4045" w:type="dxa"/>
            <w:vMerge/>
            <w:vAlign w:val="center"/>
          </w:tcPr>
          <w:p w14:paraId="3A9C5C8A" w14:textId="77777777" w:rsidR="007214E7" w:rsidRPr="007214E7" w:rsidRDefault="007214E7" w:rsidP="007214E7">
            <w:pPr>
              <w:outlineLvl w:val="2"/>
              <w:rPr>
                <w:rFonts w:asciiTheme="majorHAnsi" w:eastAsia="Times New Roman" w:hAnsiTheme="majorHAnsi" w:cstheme="majorHAnsi"/>
                <w:b/>
                <w:bCs/>
                <w:sz w:val="24"/>
                <w:szCs w:val="24"/>
                <w:lang w:val="en-US"/>
              </w:rPr>
            </w:pPr>
          </w:p>
        </w:tc>
        <w:tc>
          <w:tcPr>
            <w:tcW w:w="1258" w:type="dxa"/>
            <w:vAlign w:val="center"/>
          </w:tcPr>
          <w:p w14:paraId="1B96E13E" w14:textId="4B9F1E7B"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Post-test</w:t>
            </w:r>
          </w:p>
        </w:tc>
        <w:tc>
          <w:tcPr>
            <w:tcW w:w="770" w:type="dxa"/>
            <w:vAlign w:val="center"/>
          </w:tcPr>
          <w:p w14:paraId="064BC977" w14:textId="32613BA3"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4.15</w:t>
            </w:r>
          </w:p>
        </w:tc>
        <w:tc>
          <w:tcPr>
            <w:tcW w:w="688" w:type="dxa"/>
            <w:vAlign w:val="center"/>
          </w:tcPr>
          <w:p w14:paraId="247C87B7" w14:textId="5739A5B8"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0.50</w:t>
            </w:r>
          </w:p>
        </w:tc>
        <w:tc>
          <w:tcPr>
            <w:tcW w:w="876" w:type="dxa"/>
            <w:vMerge/>
            <w:vAlign w:val="center"/>
          </w:tcPr>
          <w:p w14:paraId="586F34C5" w14:textId="77777777" w:rsidR="007214E7" w:rsidRPr="007214E7" w:rsidRDefault="007214E7" w:rsidP="007214E7">
            <w:pPr>
              <w:jc w:val="center"/>
              <w:outlineLvl w:val="2"/>
              <w:rPr>
                <w:rFonts w:asciiTheme="majorHAnsi" w:eastAsia="Times New Roman" w:hAnsiTheme="majorHAnsi" w:cstheme="majorHAnsi"/>
                <w:b/>
                <w:bCs/>
                <w:sz w:val="24"/>
                <w:szCs w:val="24"/>
                <w:lang w:val="en-US"/>
              </w:rPr>
            </w:pPr>
          </w:p>
        </w:tc>
        <w:tc>
          <w:tcPr>
            <w:tcW w:w="514" w:type="dxa"/>
            <w:vMerge/>
            <w:vAlign w:val="center"/>
          </w:tcPr>
          <w:p w14:paraId="3D4859BC" w14:textId="77777777" w:rsidR="007214E7" w:rsidRPr="007214E7" w:rsidRDefault="007214E7" w:rsidP="007214E7">
            <w:pPr>
              <w:jc w:val="center"/>
              <w:outlineLvl w:val="2"/>
              <w:rPr>
                <w:rFonts w:asciiTheme="majorHAnsi" w:eastAsia="Times New Roman" w:hAnsiTheme="majorHAnsi" w:cstheme="majorHAnsi"/>
                <w:b/>
                <w:bCs/>
                <w:sz w:val="24"/>
                <w:szCs w:val="24"/>
                <w:lang w:val="en-US"/>
              </w:rPr>
            </w:pPr>
          </w:p>
        </w:tc>
        <w:tc>
          <w:tcPr>
            <w:tcW w:w="897" w:type="dxa"/>
            <w:vMerge/>
            <w:vAlign w:val="center"/>
          </w:tcPr>
          <w:p w14:paraId="1BA757EB" w14:textId="77777777" w:rsidR="007214E7" w:rsidRPr="007214E7" w:rsidRDefault="007214E7" w:rsidP="007214E7">
            <w:pPr>
              <w:jc w:val="center"/>
              <w:outlineLvl w:val="2"/>
              <w:rPr>
                <w:rFonts w:asciiTheme="majorHAnsi" w:eastAsia="Times New Roman" w:hAnsiTheme="majorHAnsi" w:cstheme="majorHAnsi"/>
                <w:b/>
                <w:bCs/>
                <w:sz w:val="24"/>
                <w:szCs w:val="24"/>
                <w:lang w:val="en-US"/>
              </w:rPr>
            </w:pPr>
          </w:p>
        </w:tc>
      </w:tr>
      <w:tr w:rsidR="007214E7" w:rsidRPr="007214E7" w14:paraId="0CF4A482" w14:textId="77777777" w:rsidTr="00623C60">
        <w:tc>
          <w:tcPr>
            <w:tcW w:w="4045" w:type="dxa"/>
            <w:vMerge w:val="restart"/>
            <w:vAlign w:val="center"/>
          </w:tcPr>
          <w:p w14:paraId="42CD290E" w14:textId="5B8EAA98" w:rsidR="007214E7" w:rsidRPr="007214E7" w:rsidRDefault="007214E7" w:rsidP="007214E7">
            <w:pP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i/>
                <w:iCs/>
                <w:color w:val="1F1F1F"/>
                <w:sz w:val="24"/>
                <w:szCs w:val="24"/>
                <w:bdr w:val="none" w:sz="0" w:space="0" w:color="auto" w:frame="1"/>
                <w:lang w:val="en-US"/>
              </w:rPr>
              <w:t>2. Classroom Management</w:t>
            </w:r>
          </w:p>
        </w:tc>
        <w:tc>
          <w:tcPr>
            <w:tcW w:w="1258" w:type="dxa"/>
            <w:vAlign w:val="center"/>
          </w:tcPr>
          <w:p w14:paraId="53ACE2B7" w14:textId="5FF0FC1B"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Pre-test</w:t>
            </w:r>
          </w:p>
        </w:tc>
        <w:tc>
          <w:tcPr>
            <w:tcW w:w="770" w:type="dxa"/>
            <w:vAlign w:val="center"/>
          </w:tcPr>
          <w:p w14:paraId="2A825E26" w14:textId="3B04904B"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2.95</w:t>
            </w:r>
          </w:p>
        </w:tc>
        <w:tc>
          <w:tcPr>
            <w:tcW w:w="688" w:type="dxa"/>
            <w:vAlign w:val="center"/>
          </w:tcPr>
          <w:p w14:paraId="66629F36" w14:textId="39206A15"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0.70</w:t>
            </w:r>
          </w:p>
        </w:tc>
        <w:tc>
          <w:tcPr>
            <w:tcW w:w="876" w:type="dxa"/>
            <w:vMerge w:val="restart"/>
            <w:vAlign w:val="center"/>
          </w:tcPr>
          <w:p w14:paraId="7082B86D" w14:textId="2B92837E"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-14.60</w:t>
            </w:r>
          </w:p>
        </w:tc>
        <w:tc>
          <w:tcPr>
            <w:tcW w:w="514" w:type="dxa"/>
            <w:vMerge w:val="restart"/>
            <w:vAlign w:val="center"/>
          </w:tcPr>
          <w:p w14:paraId="61EA1752" w14:textId="2ECB46C6"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79</w:t>
            </w:r>
          </w:p>
        </w:tc>
        <w:tc>
          <w:tcPr>
            <w:tcW w:w="897" w:type="dxa"/>
            <w:vMerge w:val="restart"/>
            <w:vAlign w:val="center"/>
          </w:tcPr>
          <w:p w14:paraId="6C8D8A04" w14:textId="4766F724"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&lt; .001</w:t>
            </w:r>
          </w:p>
        </w:tc>
      </w:tr>
      <w:tr w:rsidR="007214E7" w:rsidRPr="007214E7" w14:paraId="55B64323" w14:textId="77777777" w:rsidTr="00623C60">
        <w:tc>
          <w:tcPr>
            <w:tcW w:w="4045" w:type="dxa"/>
            <w:vMerge/>
            <w:vAlign w:val="center"/>
          </w:tcPr>
          <w:p w14:paraId="2057B5D1" w14:textId="77777777" w:rsidR="007214E7" w:rsidRPr="007214E7" w:rsidRDefault="007214E7" w:rsidP="007214E7">
            <w:pPr>
              <w:outlineLvl w:val="2"/>
              <w:rPr>
                <w:rFonts w:asciiTheme="majorHAnsi" w:eastAsia="Times New Roman" w:hAnsiTheme="majorHAnsi" w:cstheme="majorHAnsi"/>
                <w:b/>
                <w:bCs/>
                <w:sz w:val="24"/>
                <w:szCs w:val="24"/>
                <w:lang w:val="en-US"/>
              </w:rPr>
            </w:pPr>
          </w:p>
        </w:tc>
        <w:tc>
          <w:tcPr>
            <w:tcW w:w="1258" w:type="dxa"/>
            <w:vAlign w:val="center"/>
          </w:tcPr>
          <w:p w14:paraId="5FE6DB4E" w14:textId="5423F86B"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Post-test</w:t>
            </w:r>
          </w:p>
        </w:tc>
        <w:tc>
          <w:tcPr>
            <w:tcW w:w="770" w:type="dxa"/>
            <w:vAlign w:val="center"/>
          </w:tcPr>
          <w:p w14:paraId="36782B02" w14:textId="02FE00A2"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4.35</w:t>
            </w:r>
          </w:p>
        </w:tc>
        <w:tc>
          <w:tcPr>
            <w:tcW w:w="688" w:type="dxa"/>
            <w:vAlign w:val="center"/>
          </w:tcPr>
          <w:p w14:paraId="3B16C63E" w14:textId="656AFF92"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0.48</w:t>
            </w:r>
          </w:p>
        </w:tc>
        <w:tc>
          <w:tcPr>
            <w:tcW w:w="876" w:type="dxa"/>
            <w:vMerge/>
            <w:vAlign w:val="center"/>
          </w:tcPr>
          <w:p w14:paraId="73BFFC2E" w14:textId="77777777" w:rsidR="007214E7" w:rsidRPr="007214E7" w:rsidRDefault="007214E7" w:rsidP="007214E7">
            <w:pPr>
              <w:jc w:val="center"/>
              <w:outlineLvl w:val="2"/>
              <w:rPr>
                <w:rFonts w:asciiTheme="majorHAnsi" w:eastAsia="Times New Roman" w:hAnsiTheme="majorHAnsi" w:cstheme="majorHAnsi"/>
                <w:b/>
                <w:bCs/>
                <w:sz w:val="24"/>
                <w:szCs w:val="24"/>
                <w:lang w:val="en-US"/>
              </w:rPr>
            </w:pPr>
          </w:p>
        </w:tc>
        <w:tc>
          <w:tcPr>
            <w:tcW w:w="514" w:type="dxa"/>
            <w:vMerge/>
            <w:vAlign w:val="center"/>
          </w:tcPr>
          <w:p w14:paraId="273A71BD" w14:textId="77777777" w:rsidR="007214E7" w:rsidRPr="007214E7" w:rsidRDefault="007214E7" w:rsidP="007214E7">
            <w:pPr>
              <w:jc w:val="center"/>
              <w:outlineLvl w:val="2"/>
              <w:rPr>
                <w:rFonts w:asciiTheme="majorHAnsi" w:eastAsia="Times New Roman" w:hAnsiTheme="majorHAnsi" w:cstheme="majorHAnsi"/>
                <w:b/>
                <w:bCs/>
                <w:sz w:val="24"/>
                <w:szCs w:val="24"/>
                <w:lang w:val="en-US"/>
              </w:rPr>
            </w:pPr>
          </w:p>
        </w:tc>
        <w:tc>
          <w:tcPr>
            <w:tcW w:w="897" w:type="dxa"/>
            <w:vMerge/>
            <w:vAlign w:val="center"/>
          </w:tcPr>
          <w:p w14:paraId="082A3169" w14:textId="77777777" w:rsidR="007214E7" w:rsidRPr="007214E7" w:rsidRDefault="007214E7" w:rsidP="007214E7">
            <w:pPr>
              <w:jc w:val="center"/>
              <w:outlineLvl w:val="2"/>
              <w:rPr>
                <w:rFonts w:asciiTheme="majorHAnsi" w:eastAsia="Times New Roman" w:hAnsiTheme="majorHAnsi" w:cstheme="majorHAnsi"/>
                <w:b/>
                <w:bCs/>
                <w:sz w:val="24"/>
                <w:szCs w:val="24"/>
                <w:lang w:val="en-US"/>
              </w:rPr>
            </w:pPr>
          </w:p>
        </w:tc>
      </w:tr>
      <w:tr w:rsidR="007214E7" w:rsidRPr="007214E7" w14:paraId="2CD9B64C" w14:textId="77777777" w:rsidTr="00623C60">
        <w:tc>
          <w:tcPr>
            <w:tcW w:w="4045" w:type="dxa"/>
            <w:vMerge w:val="restart"/>
            <w:vAlign w:val="center"/>
          </w:tcPr>
          <w:p w14:paraId="4C3A862F" w14:textId="2E1F3CAB" w:rsidR="007214E7" w:rsidRPr="007214E7" w:rsidRDefault="007214E7" w:rsidP="007214E7">
            <w:pP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i/>
                <w:iCs/>
                <w:color w:val="1F1F1F"/>
                <w:sz w:val="24"/>
                <w:szCs w:val="24"/>
                <w:bdr w:val="none" w:sz="0" w:space="0" w:color="auto" w:frame="1"/>
                <w:lang w:val="en-US"/>
              </w:rPr>
              <w:t>3. Social Responsibility</w:t>
            </w:r>
          </w:p>
        </w:tc>
        <w:tc>
          <w:tcPr>
            <w:tcW w:w="1258" w:type="dxa"/>
            <w:vAlign w:val="center"/>
          </w:tcPr>
          <w:p w14:paraId="7C3A8533" w14:textId="6DB2BF70"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Pre-test</w:t>
            </w:r>
          </w:p>
        </w:tc>
        <w:tc>
          <w:tcPr>
            <w:tcW w:w="770" w:type="dxa"/>
            <w:vAlign w:val="center"/>
          </w:tcPr>
          <w:p w14:paraId="6C14E458" w14:textId="7D67163B"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3.30</w:t>
            </w:r>
          </w:p>
        </w:tc>
        <w:tc>
          <w:tcPr>
            <w:tcW w:w="688" w:type="dxa"/>
            <w:vAlign w:val="center"/>
          </w:tcPr>
          <w:p w14:paraId="7888F6AE" w14:textId="76CCE106"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0.58</w:t>
            </w:r>
          </w:p>
        </w:tc>
        <w:tc>
          <w:tcPr>
            <w:tcW w:w="876" w:type="dxa"/>
            <w:vMerge w:val="restart"/>
            <w:vAlign w:val="center"/>
          </w:tcPr>
          <w:p w14:paraId="396C7503" w14:textId="2CE18C4E"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-12.35</w:t>
            </w:r>
          </w:p>
        </w:tc>
        <w:tc>
          <w:tcPr>
            <w:tcW w:w="514" w:type="dxa"/>
            <w:vMerge w:val="restart"/>
            <w:vAlign w:val="center"/>
          </w:tcPr>
          <w:p w14:paraId="10D1BB0D" w14:textId="63D0602E"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79</w:t>
            </w:r>
          </w:p>
        </w:tc>
        <w:tc>
          <w:tcPr>
            <w:tcW w:w="897" w:type="dxa"/>
            <w:vMerge w:val="restart"/>
            <w:vAlign w:val="center"/>
          </w:tcPr>
          <w:p w14:paraId="590195B9" w14:textId="4C06A85D"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&lt; .001</w:t>
            </w:r>
          </w:p>
        </w:tc>
      </w:tr>
      <w:tr w:rsidR="007214E7" w:rsidRPr="007214E7" w14:paraId="39EE0E0E" w14:textId="77777777" w:rsidTr="00623C60">
        <w:tc>
          <w:tcPr>
            <w:tcW w:w="4045" w:type="dxa"/>
            <w:vMerge/>
            <w:vAlign w:val="center"/>
          </w:tcPr>
          <w:p w14:paraId="37333E27" w14:textId="77777777" w:rsidR="007214E7" w:rsidRPr="007214E7" w:rsidRDefault="007214E7" w:rsidP="007214E7">
            <w:pPr>
              <w:jc w:val="both"/>
              <w:outlineLvl w:val="2"/>
              <w:rPr>
                <w:rFonts w:asciiTheme="majorHAnsi" w:eastAsia="Times New Roman" w:hAnsiTheme="majorHAnsi" w:cstheme="majorHAnsi"/>
                <w:b/>
                <w:bCs/>
                <w:sz w:val="24"/>
                <w:szCs w:val="24"/>
                <w:lang w:val="en-US"/>
              </w:rPr>
            </w:pPr>
          </w:p>
        </w:tc>
        <w:tc>
          <w:tcPr>
            <w:tcW w:w="1258" w:type="dxa"/>
            <w:vAlign w:val="center"/>
          </w:tcPr>
          <w:p w14:paraId="43E42F04" w14:textId="3675E7F4"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Post-test</w:t>
            </w:r>
          </w:p>
        </w:tc>
        <w:tc>
          <w:tcPr>
            <w:tcW w:w="770" w:type="dxa"/>
            <w:vAlign w:val="center"/>
          </w:tcPr>
          <w:p w14:paraId="23EC85EB" w14:textId="64505241"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4.40</w:t>
            </w:r>
          </w:p>
        </w:tc>
        <w:tc>
          <w:tcPr>
            <w:tcW w:w="688" w:type="dxa"/>
            <w:vAlign w:val="center"/>
          </w:tcPr>
          <w:p w14:paraId="43DA5D91" w14:textId="787086EA" w:rsidR="007214E7" w:rsidRPr="007214E7" w:rsidRDefault="007214E7" w:rsidP="007214E7">
            <w:pPr>
              <w:jc w:val="center"/>
              <w:outlineLvl w:val="2"/>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color w:val="1F1F1F"/>
                <w:sz w:val="24"/>
                <w:szCs w:val="24"/>
                <w:bdr w:val="none" w:sz="0" w:space="0" w:color="auto" w:frame="1"/>
                <w:lang w:val="en-US"/>
              </w:rPr>
              <w:t>0.42</w:t>
            </w:r>
          </w:p>
        </w:tc>
        <w:tc>
          <w:tcPr>
            <w:tcW w:w="876" w:type="dxa"/>
            <w:vMerge/>
            <w:vAlign w:val="center"/>
          </w:tcPr>
          <w:p w14:paraId="2B444B4F" w14:textId="77777777" w:rsidR="007214E7" w:rsidRPr="007214E7" w:rsidRDefault="007214E7" w:rsidP="007214E7">
            <w:pPr>
              <w:jc w:val="center"/>
              <w:outlineLvl w:val="2"/>
              <w:rPr>
                <w:rFonts w:asciiTheme="majorHAnsi" w:eastAsia="Times New Roman" w:hAnsiTheme="majorHAnsi" w:cstheme="majorHAnsi"/>
                <w:b/>
                <w:bCs/>
                <w:sz w:val="24"/>
                <w:szCs w:val="24"/>
                <w:lang w:val="en-US"/>
              </w:rPr>
            </w:pPr>
          </w:p>
        </w:tc>
        <w:tc>
          <w:tcPr>
            <w:tcW w:w="514" w:type="dxa"/>
            <w:vMerge/>
            <w:vAlign w:val="center"/>
          </w:tcPr>
          <w:p w14:paraId="7609E20C" w14:textId="77777777" w:rsidR="007214E7" w:rsidRPr="007214E7" w:rsidRDefault="007214E7" w:rsidP="007214E7">
            <w:pPr>
              <w:jc w:val="center"/>
              <w:outlineLvl w:val="2"/>
              <w:rPr>
                <w:rFonts w:asciiTheme="majorHAnsi" w:eastAsia="Times New Roman" w:hAnsiTheme="majorHAnsi" w:cstheme="majorHAnsi"/>
                <w:b/>
                <w:bCs/>
                <w:sz w:val="24"/>
                <w:szCs w:val="24"/>
                <w:lang w:val="en-US"/>
              </w:rPr>
            </w:pPr>
          </w:p>
        </w:tc>
        <w:tc>
          <w:tcPr>
            <w:tcW w:w="897" w:type="dxa"/>
            <w:vMerge/>
            <w:vAlign w:val="center"/>
          </w:tcPr>
          <w:p w14:paraId="7431EA15" w14:textId="77777777" w:rsidR="007214E7" w:rsidRPr="007214E7" w:rsidRDefault="007214E7" w:rsidP="007214E7">
            <w:pPr>
              <w:jc w:val="center"/>
              <w:outlineLvl w:val="2"/>
              <w:rPr>
                <w:rFonts w:asciiTheme="majorHAnsi" w:eastAsia="Times New Roman" w:hAnsiTheme="majorHAnsi" w:cstheme="majorHAnsi"/>
                <w:b/>
                <w:bCs/>
                <w:sz w:val="24"/>
                <w:szCs w:val="24"/>
                <w:lang w:val="en-US"/>
              </w:rPr>
            </w:pPr>
          </w:p>
        </w:tc>
      </w:tr>
    </w:tbl>
    <w:p w14:paraId="0B3474CF" w14:textId="6050AE26" w:rsidR="00CB2722" w:rsidRPr="007214E7" w:rsidRDefault="00CB2722" w:rsidP="007214E7">
      <w:pPr>
        <w:spacing w:after="0" w:line="240" w:lineRule="auto"/>
        <w:ind w:firstLine="720"/>
        <w:jc w:val="both"/>
        <w:outlineLvl w:val="2"/>
        <w:rPr>
          <w:rFonts w:asciiTheme="majorHAnsi" w:eastAsia="Times New Roman" w:hAnsiTheme="majorHAnsi" w:cstheme="majorHAnsi"/>
          <w:bCs/>
          <w:sz w:val="24"/>
          <w:szCs w:val="24"/>
        </w:rPr>
      </w:pPr>
      <w:r w:rsidRPr="007214E7">
        <w:rPr>
          <w:rFonts w:asciiTheme="majorHAnsi" w:eastAsia="Times New Roman" w:hAnsiTheme="majorHAnsi" w:cstheme="majorHAnsi"/>
          <w:bCs/>
          <w:sz w:val="24"/>
          <w:szCs w:val="24"/>
        </w:rPr>
        <w:t>The data analysis results (Table 1) indicate a statistically significant increase in the pre-service teachers' professional agency post-intervention. Specifically, the overall mean score increased substantially from M = 3.15 (SD = 0.62) in the pre-test to M = 4.28 (SD = 0.45) in the post-test (t = -15.42, p &lt; .001). The most notable i</w:t>
      </w:r>
      <w:r w:rsidR="009236DC">
        <w:rPr>
          <w:rFonts w:asciiTheme="majorHAnsi" w:eastAsia="Times New Roman" w:hAnsiTheme="majorHAnsi" w:cstheme="majorHAnsi"/>
          <w:bCs/>
          <w:sz w:val="24"/>
          <w:szCs w:val="24"/>
        </w:rPr>
        <w:t>mprovement was recorded in the Classroom Management</w:t>
      </w:r>
      <w:r w:rsidRPr="007214E7">
        <w:rPr>
          <w:rFonts w:asciiTheme="majorHAnsi" w:eastAsia="Times New Roman" w:hAnsiTheme="majorHAnsi" w:cstheme="majorHAnsi"/>
          <w:bCs/>
          <w:sz w:val="24"/>
          <w:szCs w:val="24"/>
        </w:rPr>
        <w:t xml:space="preserve"> dimension (increasing from 2.95 to 4.35), demonstrating that practical exposure robustly assisted pre-service teachers in developing their pedagogical operational and situational problem-solving skills.</w:t>
      </w:r>
    </w:p>
    <w:p w14:paraId="0A02CFF3" w14:textId="7777777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4.2. Standardization of instruction and risk mitigation via PDCA</w:t>
      </w:r>
    </w:p>
    <w:p w14:paraId="28F04212" w14:textId="77777777"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lastRenderedPageBreak/>
        <w:t>Alongside quantitative data, qualitative data extracted from the pre-service teachers' teaching portfolios clearly demonstrated the role of the PDCA cycle in standardizing instruction and mitigating deployment risks.</w:t>
      </w:r>
    </w:p>
    <w:p w14:paraId="24236723" w14:textId="77777777" w:rsidR="00CB2722" w:rsidRPr="007214E7" w:rsidRDefault="00CB2722" w:rsidP="007214E7">
      <w:pPr>
        <w:pStyle w:val="NormalWeb"/>
        <w:spacing w:before="0" w:beforeAutospacing="0" w:after="0" w:afterAutospacing="0"/>
        <w:jc w:val="both"/>
        <w:rPr>
          <w:rFonts w:asciiTheme="majorHAnsi" w:hAnsiTheme="majorHAnsi" w:cstheme="majorHAnsi"/>
          <w:i/>
        </w:rPr>
      </w:pPr>
      <w:r w:rsidRPr="007214E7">
        <w:rPr>
          <w:rFonts w:asciiTheme="majorHAnsi" w:hAnsiTheme="majorHAnsi" w:cstheme="majorHAnsi"/>
          <w:b/>
          <w:bCs/>
          <w:i/>
        </w:rPr>
        <w:t>4.2.1. Plan and Do</w:t>
      </w:r>
    </w:p>
    <w:p w14:paraId="769B2FA0" w14:textId="333E8985"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The application of TQM's internal quality assurance IQA criteria right from the lesson planning stage established a robust pedagogical framework. Pre-service teachers were compelled to anticipate local resource constraints to design appropriate lessons. A fourth-year pre-service teacher (SV45) reflected in their journal:</w:t>
      </w:r>
      <w:r w:rsidR="007214E7">
        <w:rPr>
          <w:rFonts w:asciiTheme="majorHAnsi" w:hAnsiTheme="majorHAnsi" w:cstheme="majorHAnsi"/>
          <w:lang w:val="en-US"/>
        </w:rPr>
        <w:t xml:space="preserve"> </w:t>
      </w:r>
      <w:r w:rsidRPr="007214E7">
        <w:rPr>
          <w:rFonts w:asciiTheme="majorHAnsi" w:hAnsiTheme="majorHAnsi" w:cstheme="majorHAnsi"/>
          <w:i/>
          <w:iCs/>
        </w:rPr>
        <w:t>"Initially, I intended to design the lesson based on situational videos and interactive screen-based games. However, upon cross-checking with the resource checklist of the 'Plan' step, I realized that the community cultural house was not equipped with a projector system and Internet connection (Wi-Fi). I promptly transitioned to designing large-format flashcards and organizing total physical response (TPR) activities during the 'Do' step. The lesson remained highly engaging; students were not distracted by devices and interacted more directly with the teacher."</w:t>
      </w:r>
    </w:p>
    <w:p w14:paraId="6CF542CD" w14:textId="77777777" w:rsidR="00CB2722" w:rsidRPr="007214E7" w:rsidRDefault="00CB2722" w:rsidP="007214E7">
      <w:pPr>
        <w:pStyle w:val="NormalWeb"/>
        <w:spacing w:before="0" w:beforeAutospacing="0" w:after="0" w:afterAutospacing="0"/>
        <w:jc w:val="both"/>
        <w:rPr>
          <w:rFonts w:asciiTheme="majorHAnsi" w:hAnsiTheme="majorHAnsi" w:cstheme="majorHAnsi"/>
          <w:i/>
        </w:rPr>
      </w:pPr>
      <w:r w:rsidRPr="007214E7">
        <w:rPr>
          <w:rFonts w:asciiTheme="majorHAnsi" w:hAnsiTheme="majorHAnsi" w:cstheme="majorHAnsi"/>
          <w:b/>
          <w:bCs/>
          <w:i/>
        </w:rPr>
        <w:t>4.2.2. Check and Act</w:t>
      </w:r>
    </w:p>
    <w:p w14:paraId="51928064" w14:textId="56A16A37"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The TQM cycle permits the immediate identification of risks rather than waiting until the end of the term. The continuous collection of feedback assists pre-service teachers in adjusting their pedagogical behavior. Another excerpt from a third-year pre-service teacher (SV12) emphasizes the effectiveness of pedagogical risk mitigation:</w:t>
      </w:r>
      <w:r w:rsidR="007214E7">
        <w:rPr>
          <w:rFonts w:asciiTheme="majorHAnsi" w:hAnsiTheme="majorHAnsi" w:cstheme="majorHAnsi"/>
          <w:lang w:val="en-US"/>
        </w:rPr>
        <w:t xml:space="preserve"> </w:t>
      </w:r>
      <w:r w:rsidRPr="007214E7">
        <w:rPr>
          <w:rFonts w:asciiTheme="majorHAnsi" w:hAnsiTheme="majorHAnsi" w:cstheme="majorHAnsi"/>
          <w:i/>
          <w:iCs/>
        </w:rPr>
        <w:t>"After the second teaching session, the 'Check' step with the mentor indicated that I was speaking Vietnamese too much (accounting for 60% of the instructional time). In the following week (Act), I rigorously applied basic Classroom English techniques. Although the local students were initially somewhat unfamiliar, after just two sessions, they responded naturally to English commands."</w:t>
      </w:r>
    </w:p>
    <w:p w14:paraId="3BEB6D4A" w14:textId="7777777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4.3. Establishment of micro-ESL space and USR metrics</w:t>
      </w:r>
    </w:p>
    <w:p w14:paraId="51CC86F3" w14:textId="33995B96"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The integration of TQM into the project not only optimized resource allocation but also successfully established a sustainable simulated ESL environment, directly fulfilling the USR objectives at a provincial higher education institution.</w:t>
      </w:r>
    </w:p>
    <w:p w14:paraId="66B62D5E" w14:textId="77777777" w:rsidR="00695C78" w:rsidRPr="007214E7" w:rsidRDefault="00695C78" w:rsidP="007214E7">
      <w:pPr>
        <w:spacing w:after="0" w:line="240" w:lineRule="auto"/>
        <w:jc w:val="center"/>
        <w:rPr>
          <w:rFonts w:asciiTheme="majorHAnsi" w:eastAsia="Times New Roman" w:hAnsiTheme="majorHAnsi" w:cstheme="majorHAnsi"/>
          <w:i/>
          <w:sz w:val="24"/>
          <w:szCs w:val="24"/>
          <w:lang w:val="en-US"/>
        </w:rPr>
      </w:pPr>
      <w:r w:rsidRPr="007214E7">
        <w:rPr>
          <w:rFonts w:asciiTheme="majorHAnsi" w:eastAsia="Times New Roman" w:hAnsiTheme="majorHAnsi" w:cstheme="majorHAnsi"/>
          <w:b/>
          <w:bCs/>
          <w:i/>
          <w:sz w:val="24"/>
          <w:szCs w:val="24"/>
          <w:lang w:val="en-US"/>
        </w:rPr>
        <w:t xml:space="preserve">Table 2. </w:t>
      </w:r>
      <w:r w:rsidRPr="007214E7">
        <w:rPr>
          <w:rFonts w:asciiTheme="majorHAnsi" w:eastAsia="Times New Roman" w:hAnsiTheme="majorHAnsi" w:cstheme="majorHAnsi"/>
          <w:bCs/>
          <w:i/>
          <w:sz w:val="24"/>
          <w:szCs w:val="24"/>
          <w:lang w:val="en-US"/>
        </w:rPr>
        <w:t>Quantitative local community social impact metrics (USR Metrics)</w:t>
      </w:r>
    </w:p>
    <w:tbl>
      <w:tblPr>
        <w:tblStyle w:val="TableGrid"/>
        <w:tblW w:w="9170" w:type="dxa"/>
        <w:tblLook w:val="04A0" w:firstRow="1" w:lastRow="0" w:firstColumn="1" w:lastColumn="0" w:noHBand="0" w:noVBand="1"/>
      </w:tblPr>
      <w:tblGrid>
        <w:gridCol w:w="4585"/>
        <w:gridCol w:w="4585"/>
      </w:tblGrid>
      <w:tr w:rsidR="00695C78" w:rsidRPr="007214E7" w14:paraId="2C4BC440" w14:textId="77777777" w:rsidTr="00695C78">
        <w:tc>
          <w:tcPr>
            <w:tcW w:w="4585" w:type="dxa"/>
            <w:vAlign w:val="center"/>
          </w:tcPr>
          <w:p w14:paraId="4F596414" w14:textId="7E6FB52A" w:rsidR="00695C78" w:rsidRPr="007214E7" w:rsidRDefault="00D30314" w:rsidP="007214E7">
            <w:pPr>
              <w:jc w:val="center"/>
              <w:rPr>
                <w:rFonts w:asciiTheme="majorHAnsi" w:eastAsia="Times New Roman" w:hAnsiTheme="majorHAnsi" w:cstheme="majorHAnsi"/>
                <w:sz w:val="24"/>
                <w:szCs w:val="24"/>
                <w:lang w:val="en-US"/>
              </w:rPr>
            </w:pPr>
            <w:r w:rsidRPr="007214E7">
              <w:rPr>
                <w:rFonts w:asciiTheme="majorHAnsi" w:eastAsia="Times New Roman" w:hAnsiTheme="majorHAnsi" w:cstheme="majorHAnsi"/>
                <w:b/>
                <w:bCs/>
                <w:sz w:val="24"/>
                <w:szCs w:val="24"/>
                <w:lang w:val="en-US"/>
              </w:rPr>
              <w:t>USR Metrics</w:t>
            </w:r>
          </w:p>
        </w:tc>
        <w:tc>
          <w:tcPr>
            <w:tcW w:w="4585" w:type="dxa"/>
            <w:vAlign w:val="center"/>
          </w:tcPr>
          <w:p w14:paraId="3361423C" w14:textId="5D3FDB76" w:rsidR="00695C78" w:rsidRPr="007214E7" w:rsidRDefault="00D30314" w:rsidP="007214E7">
            <w:pPr>
              <w:jc w:val="center"/>
              <w:rPr>
                <w:rFonts w:asciiTheme="majorHAnsi" w:eastAsia="Times New Roman" w:hAnsiTheme="majorHAnsi" w:cstheme="majorHAnsi"/>
                <w:sz w:val="24"/>
                <w:szCs w:val="24"/>
                <w:lang w:val="en-US"/>
              </w:rPr>
            </w:pPr>
            <w:r w:rsidRPr="007214E7">
              <w:rPr>
                <w:rFonts w:asciiTheme="majorHAnsi" w:eastAsia="Times New Roman" w:hAnsiTheme="majorHAnsi" w:cstheme="majorHAnsi"/>
                <w:b/>
                <w:bCs/>
                <w:sz w:val="24"/>
                <w:szCs w:val="24"/>
                <w:lang w:val="en-US"/>
              </w:rPr>
              <w:t>Empirical Data</w:t>
            </w:r>
          </w:p>
        </w:tc>
      </w:tr>
      <w:tr w:rsidR="00695C78" w:rsidRPr="007214E7" w14:paraId="1C56B9A4" w14:textId="77777777" w:rsidTr="00695C78">
        <w:tc>
          <w:tcPr>
            <w:tcW w:w="4585" w:type="dxa"/>
            <w:vAlign w:val="center"/>
          </w:tcPr>
          <w:p w14:paraId="13238B3E" w14:textId="5290838F" w:rsidR="00695C78" w:rsidRPr="007214E7" w:rsidRDefault="00D30314" w:rsidP="007214E7">
            <w:pPr>
              <w:jc w:val="both"/>
              <w:rPr>
                <w:rFonts w:asciiTheme="majorHAnsi" w:eastAsia="Times New Roman" w:hAnsiTheme="majorHAnsi" w:cstheme="majorHAnsi"/>
                <w:sz w:val="24"/>
                <w:szCs w:val="24"/>
                <w:lang w:val="en-US"/>
              </w:rPr>
            </w:pPr>
            <w:r w:rsidRPr="007214E7">
              <w:rPr>
                <w:rFonts w:asciiTheme="majorHAnsi" w:eastAsia="Times New Roman" w:hAnsiTheme="majorHAnsi" w:cstheme="majorHAnsi"/>
                <w:b/>
                <w:bCs/>
                <w:sz w:val="24"/>
                <w:szCs w:val="24"/>
                <w:lang w:val="en-US"/>
              </w:rPr>
              <w:t>Resource Allocation</w:t>
            </w:r>
          </w:p>
        </w:tc>
        <w:tc>
          <w:tcPr>
            <w:tcW w:w="4585" w:type="dxa"/>
            <w:vAlign w:val="center"/>
          </w:tcPr>
          <w:p w14:paraId="55A18E4E" w14:textId="3E08DA51" w:rsidR="00695C78" w:rsidRPr="007214E7" w:rsidRDefault="00D30314" w:rsidP="007214E7">
            <w:pPr>
              <w:jc w:val="both"/>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rPr>
              <w:t>The entire cohort of 80 third- and fourth-year pre-service teachers</w:t>
            </w:r>
          </w:p>
        </w:tc>
      </w:tr>
      <w:tr w:rsidR="00695C78" w:rsidRPr="007214E7" w14:paraId="3A0F2A6B" w14:textId="77777777" w:rsidTr="00695C78">
        <w:tc>
          <w:tcPr>
            <w:tcW w:w="4585" w:type="dxa"/>
            <w:vAlign w:val="center"/>
          </w:tcPr>
          <w:p w14:paraId="0F723E9F" w14:textId="6C2ADBE0" w:rsidR="00695C78" w:rsidRPr="007214E7" w:rsidRDefault="00D30314" w:rsidP="007214E7">
            <w:pPr>
              <w:jc w:val="both"/>
              <w:rPr>
                <w:rFonts w:asciiTheme="majorHAnsi" w:eastAsia="Times New Roman" w:hAnsiTheme="majorHAnsi" w:cstheme="majorHAnsi"/>
                <w:sz w:val="24"/>
                <w:szCs w:val="24"/>
                <w:lang w:val="en-US"/>
              </w:rPr>
            </w:pPr>
            <w:r w:rsidRPr="007214E7">
              <w:rPr>
                <w:rFonts w:asciiTheme="majorHAnsi" w:eastAsia="Times New Roman" w:hAnsiTheme="majorHAnsi" w:cstheme="majorHAnsi"/>
                <w:b/>
                <w:bCs/>
                <w:sz w:val="24"/>
                <w:szCs w:val="24"/>
              </w:rPr>
              <w:t>Total hours establishing the ESL environment</w:t>
            </w:r>
          </w:p>
        </w:tc>
        <w:tc>
          <w:tcPr>
            <w:tcW w:w="4585" w:type="dxa"/>
            <w:vAlign w:val="center"/>
          </w:tcPr>
          <w:p w14:paraId="2CD90B71" w14:textId="20CCD7D0" w:rsidR="00695C78" w:rsidRPr="007214E7" w:rsidRDefault="00D30314" w:rsidP="007214E7">
            <w:pPr>
              <w:jc w:val="both"/>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rPr>
              <w:t>3,200 hours (80 students x 40 field hours)</w:t>
            </w:r>
          </w:p>
        </w:tc>
      </w:tr>
      <w:tr w:rsidR="00695C78" w:rsidRPr="007214E7" w14:paraId="597B3B9B" w14:textId="77777777" w:rsidTr="00695C78">
        <w:tc>
          <w:tcPr>
            <w:tcW w:w="4585" w:type="dxa"/>
            <w:vAlign w:val="center"/>
          </w:tcPr>
          <w:p w14:paraId="05EF0D65" w14:textId="6BA2EE39" w:rsidR="00695C78" w:rsidRPr="007214E7" w:rsidRDefault="00D30314" w:rsidP="007214E7">
            <w:pPr>
              <w:jc w:val="both"/>
              <w:rPr>
                <w:rFonts w:asciiTheme="majorHAnsi" w:eastAsia="Times New Roman" w:hAnsiTheme="majorHAnsi" w:cstheme="majorHAnsi"/>
                <w:sz w:val="24"/>
                <w:szCs w:val="24"/>
                <w:lang w:val="en-US"/>
              </w:rPr>
            </w:pPr>
            <w:r w:rsidRPr="007214E7">
              <w:rPr>
                <w:rFonts w:asciiTheme="majorHAnsi" w:eastAsia="Times New Roman" w:hAnsiTheme="majorHAnsi" w:cstheme="majorHAnsi"/>
                <w:b/>
                <w:bCs/>
                <w:sz w:val="24"/>
                <w:szCs w:val="24"/>
              </w:rPr>
              <w:t>Number of direct beneficiaries</w:t>
            </w:r>
          </w:p>
        </w:tc>
        <w:tc>
          <w:tcPr>
            <w:tcW w:w="4585" w:type="dxa"/>
            <w:vAlign w:val="center"/>
          </w:tcPr>
          <w:p w14:paraId="3EE1A0ED" w14:textId="5A51D63B" w:rsidR="00695C78" w:rsidRPr="007214E7" w:rsidRDefault="00D30314" w:rsidP="007214E7">
            <w:pPr>
              <w:jc w:val="both"/>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rPr>
              <w:t>520 students/residents in disadvantaged communes</w:t>
            </w:r>
          </w:p>
        </w:tc>
      </w:tr>
      <w:tr w:rsidR="00695C78" w:rsidRPr="007214E7" w14:paraId="1CB9A2C5" w14:textId="77777777" w:rsidTr="00695C78">
        <w:tc>
          <w:tcPr>
            <w:tcW w:w="4585" w:type="dxa"/>
            <w:vAlign w:val="center"/>
          </w:tcPr>
          <w:p w14:paraId="7AE5BCB8" w14:textId="2887370D" w:rsidR="00695C78" w:rsidRPr="007214E7" w:rsidRDefault="00695C78" w:rsidP="007214E7">
            <w:pPr>
              <w:jc w:val="both"/>
              <w:rPr>
                <w:rFonts w:asciiTheme="majorHAnsi" w:eastAsia="Times New Roman" w:hAnsiTheme="majorHAnsi" w:cstheme="majorHAnsi"/>
                <w:sz w:val="24"/>
                <w:szCs w:val="24"/>
                <w:lang w:val="en-US"/>
              </w:rPr>
            </w:pPr>
            <w:r w:rsidRPr="007214E7">
              <w:rPr>
                <w:rFonts w:asciiTheme="majorHAnsi" w:eastAsia="Times New Roman" w:hAnsiTheme="majorHAnsi" w:cstheme="majorHAnsi"/>
                <w:b/>
                <w:bCs/>
                <w:sz w:val="24"/>
                <w:szCs w:val="24"/>
                <w:lang w:val="en-US"/>
              </w:rPr>
              <w:t>Target Language Use</w:t>
            </w:r>
          </w:p>
        </w:tc>
        <w:tc>
          <w:tcPr>
            <w:tcW w:w="4585" w:type="dxa"/>
            <w:vAlign w:val="center"/>
          </w:tcPr>
          <w:p w14:paraId="5A85DFA5" w14:textId="3717651C" w:rsidR="00695C78" w:rsidRPr="007214E7" w:rsidRDefault="00D30314" w:rsidP="007214E7">
            <w:pPr>
              <w:jc w:val="both"/>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rPr>
              <w:t>Averaged 85% of the duration per instructional session</w:t>
            </w:r>
          </w:p>
        </w:tc>
      </w:tr>
      <w:tr w:rsidR="00695C78" w:rsidRPr="007214E7" w14:paraId="3CC702AA" w14:textId="77777777" w:rsidTr="00695C78">
        <w:tc>
          <w:tcPr>
            <w:tcW w:w="4585" w:type="dxa"/>
            <w:vAlign w:val="center"/>
          </w:tcPr>
          <w:p w14:paraId="56C6B84A" w14:textId="36339B73" w:rsidR="00695C78" w:rsidRPr="007214E7" w:rsidRDefault="00D30314" w:rsidP="007214E7">
            <w:pPr>
              <w:jc w:val="both"/>
              <w:rPr>
                <w:rFonts w:asciiTheme="majorHAnsi" w:eastAsia="Times New Roman" w:hAnsiTheme="majorHAnsi" w:cstheme="majorHAnsi"/>
                <w:sz w:val="24"/>
                <w:szCs w:val="24"/>
                <w:lang w:val="en-US"/>
              </w:rPr>
            </w:pPr>
            <w:r w:rsidRPr="007214E7">
              <w:rPr>
                <w:rFonts w:asciiTheme="majorHAnsi" w:eastAsia="Times New Roman" w:hAnsiTheme="majorHAnsi" w:cstheme="majorHAnsi"/>
                <w:b/>
                <w:bCs/>
                <w:sz w:val="24"/>
                <w:szCs w:val="24"/>
                <w:lang w:val="en-US"/>
              </w:rPr>
              <w:t>Sustainability Index</w:t>
            </w:r>
          </w:p>
        </w:tc>
        <w:tc>
          <w:tcPr>
            <w:tcW w:w="4585" w:type="dxa"/>
            <w:vAlign w:val="center"/>
          </w:tcPr>
          <w:p w14:paraId="2098E259" w14:textId="1DA083CE" w:rsidR="00695C78" w:rsidRPr="007214E7" w:rsidRDefault="00D30314" w:rsidP="007214E7">
            <w:pPr>
              <w:jc w:val="both"/>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rPr>
              <w:t>100% of community classes completed the committed scheduled duration</w:t>
            </w:r>
          </w:p>
        </w:tc>
      </w:tr>
    </w:tbl>
    <w:p w14:paraId="4B07B640" w14:textId="77777777" w:rsidR="00CB2722" w:rsidRPr="007214E7" w:rsidRDefault="00CB2722" w:rsidP="007214E7">
      <w:pPr>
        <w:spacing w:after="0" w:line="240" w:lineRule="auto"/>
        <w:ind w:firstLine="720"/>
        <w:jc w:val="both"/>
        <w:outlineLvl w:val="2"/>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lang w:val="en-US"/>
        </w:rPr>
        <w:t>The quantitative social impact metrics (Table 2) demonstrate the robust execution of USR. Utilizing a core workforce of 80 pre-service teachers, the project provided 3,200 hours of free instruction, directly benefiting 520 local learners.</w:t>
      </w:r>
    </w:p>
    <w:p w14:paraId="01E79550" w14:textId="6CB0B9A1" w:rsidR="00CB2722" w:rsidRDefault="00CB2722" w:rsidP="007214E7">
      <w:pPr>
        <w:spacing w:after="0" w:line="240" w:lineRule="auto"/>
        <w:ind w:firstLine="720"/>
        <w:jc w:val="both"/>
        <w:outlineLvl w:val="2"/>
        <w:rPr>
          <w:rFonts w:asciiTheme="majorHAnsi" w:eastAsia="Times New Roman" w:hAnsiTheme="majorHAnsi" w:cstheme="majorHAnsi"/>
          <w:sz w:val="24"/>
          <w:szCs w:val="24"/>
          <w:lang w:val="en-US"/>
        </w:rPr>
      </w:pPr>
      <w:r w:rsidRPr="007214E7">
        <w:rPr>
          <w:rFonts w:asciiTheme="majorHAnsi" w:eastAsia="Times New Roman" w:hAnsiTheme="majorHAnsi" w:cstheme="majorHAnsi"/>
          <w:sz w:val="24"/>
          <w:szCs w:val="24"/>
          <w:lang w:val="en-US"/>
        </w:rPr>
        <w:t>Notably, the authentic English utilization rate reaching 85% during the instructional sessions constitutes clear evidence of the successful establishment of a simulated ESL environment (micro-ESL space). Instead of acquiring English through textbooks within a traditional EFL model, local learners were immersed in a simulated ESL environment, where the language is utilized as a dynamic and continuous communicative tool. This affirms that, despite resource constraints, provincial higher education institutions can entirely synchronize their USR objectives with language status transition strategies through a rigorous TQM system.</w:t>
      </w:r>
    </w:p>
    <w:p w14:paraId="7295B81D" w14:textId="0AC920E7" w:rsidR="007214E7" w:rsidRDefault="007214E7" w:rsidP="007214E7">
      <w:pPr>
        <w:spacing w:after="0" w:line="240" w:lineRule="auto"/>
        <w:ind w:firstLine="720"/>
        <w:jc w:val="both"/>
        <w:outlineLvl w:val="2"/>
        <w:rPr>
          <w:rFonts w:asciiTheme="majorHAnsi" w:eastAsia="Times New Roman" w:hAnsiTheme="majorHAnsi" w:cstheme="majorHAnsi"/>
          <w:sz w:val="24"/>
          <w:szCs w:val="24"/>
          <w:lang w:val="en-US"/>
        </w:rPr>
      </w:pPr>
    </w:p>
    <w:p w14:paraId="35490586" w14:textId="77777777" w:rsidR="000E144A" w:rsidRDefault="000E144A" w:rsidP="007214E7">
      <w:pPr>
        <w:pStyle w:val="NormalWeb"/>
        <w:spacing w:before="0" w:beforeAutospacing="0" w:after="0" w:afterAutospacing="0"/>
        <w:jc w:val="both"/>
        <w:rPr>
          <w:rFonts w:asciiTheme="majorHAnsi" w:hAnsiTheme="majorHAnsi" w:cstheme="majorHAnsi"/>
          <w:b/>
          <w:bCs/>
        </w:rPr>
      </w:pPr>
    </w:p>
    <w:p w14:paraId="4FD94C5F" w14:textId="77777777" w:rsidR="000E144A" w:rsidRDefault="000E144A" w:rsidP="007214E7">
      <w:pPr>
        <w:pStyle w:val="NormalWeb"/>
        <w:spacing w:before="0" w:beforeAutospacing="0" w:after="0" w:afterAutospacing="0"/>
        <w:jc w:val="both"/>
        <w:rPr>
          <w:rFonts w:asciiTheme="majorHAnsi" w:hAnsiTheme="majorHAnsi" w:cstheme="majorHAnsi"/>
          <w:b/>
          <w:bCs/>
        </w:rPr>
      </w:pPr>
    </w:p>
    <w:p w14:paraId="3B6BA012" w14:textId="4D65A78B"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lastRenderedPageBreak/>
        <w:t>5. DISCUSSION</w:t>
      </w:r>
    </w:p>
    <w:p w14:paraId="2AE8941A" w14:textId="6045B1B9"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 xml:space="preserve">This study has demonstrated the efficacy of integrating </w:t>
      </w:r>
      <w:r w:rsidR="001A57CB">
        <w:rPr>
          <w:rFonts w:asciiTheme="majorHAnsi" w:hAnsiTheme="majorHAnsi" w:cstheme="majorHAnsi"/>
        </w:rPr>
        <w:t>TQM</w:t>
      </w:r>
      <w:r w:rsidRPr="007214E7">
        <w:rPr>
          <w:rFonts w:asciiTheme="majorHAnsi" w:hAnsiTheme="majorHAnsi" w:cstheme="majorHAnsi"/>
        </w:rPr>
        <w:t xml:space="preserve"> into </w:t>
      </w:r>
      <w:r w:rsidR="001A57CB">
        <w:rPr>
          <w:rFonts w:asciiTheme="majorHAnsi" w:hAnsiTheme="majorHAnsi" w:cstheme="majorHAnsi"/>
          <w:lang w:val="en-US"/>
        </w:rPr>
        <w:t>SL</w:t>
      </w:r>
      <w:r w:rsidRPr="007214E7">
        <w:rPr>
          <w:rFonts w:asciiTheme="majorHAnsi" w:hAnsiTheme="majorHAnsi" w:cstheme="majorHAnsi"/>
        </w:rPr>
        <w:t xml:space="preserve"> projects to address specific challenges at provincial higher education institutions. The findings from the empirical data not only confirm the enhancement of pre-service teachers' competencies but also introduce novel approaches in university governance.</w:t>
      </w:r>
    </w:p>
    <w:p w14:paraId="378680D0" w14:textId="7777777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5.1. TQM and Resource Management</w:t>
      </w:r>
    </w:p>
    <w:p w14:paraId="3E087D76" w14:textId="66027F98"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At provincial higher education institutions, the execution of USR is frequently hindered by limitations in financial, infrastructural, and human resources. The research results indicate that TQM, particularly the PDCA cycle, functions as a leveraging mechanism to optimize the allocation of these resources.</w:t>
      </w:r>
    </w:p>
    <w:p w14:paraId="66C1DFCC" w14:textId="64637EAA"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 xml:space="preserve">Instead of necessitating massive investments, the application of IQA criteria from the Planning phase compels the institution and pre-service teachers to accurately identify the existing conditions of the community (e.g., communal cultural spaces, village halls) to restructure them into learning spaces. During the Check and Act phases, the TQM procedure assists in the early detection of pedagogical bottlenecks and resource waste, thereby enabling flexible adjustments without incurring additional costs. In other words, TQM has shifted the governance paradigm from resource deficiency to the optimization of existing assets, transforming </w:t>
      </w:r>
      <w:r w:rsidR="00266BA8">
        <w:rPr>
          <w:rFonts w:asciiTheme="majorHAnsi" w:hAnsiTheme="majorHAnsi" w:cstheme="majorHAnsi"/>
          <w:lang w:val="en-US"/>
        </w:rPr>
        <w:t>SL</w:t>
      </w:r>
      <w:r w:rsidRPr="007214E7">
        <w:rPr>
          <w:rFonts w:asciiTheme="majorHAnsi" w:hAnsiTheme="majorHAnsi" w:cstheme="majorHAnsi"/>
        </w:rPr>
        <w:t xml:space="preserve"> into a highly feasible and economically viable modality for USR execution.</w:t>
      </w:r>
    </w:p>
    <w:p w14:paraId="1EA89D78" w14:textId="7777777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5.2. USR and Language Transition Policy</w:t>
      </w:r>
    </w:p>
    <w:p w14:paraId="45ADC63B" w14:textId="77777777"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One of the strategic contributions of this study is the successful establishment of sustainable simulated ESL environments (micro-ESL spaces). At the macro level, national and local language policies consistently aim to enhance the English proficiency of the general population; however, learners in provincial areas lack authentic language practice environments.</w:t>
      </w:r>
    </w:p>
    <w:p w14:paraId="369AA3C5" w14:textId="6424AD3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rPr>
        <w:t>By integrating 80 pre-service teachers deeply into the community, the project created a simulated ESL environment, where English is utilized as a practical communicative tool rather than merely as a pure EFL subject in traditional classrooms. Rigorous quality management serves to integrate two major objectives: executing the instituti</w:t>
      </w:r>
      <w:r w:rsidR="000527B7">
        <w:rPr>
          <w:rFonts w:asciiTheme="majorHAnsi" w:hAnsiTheme="majorHAnsi" w:cstheme="majorHAnsi"/>
        </w:rPr>
        <w:t>on's community service mission USR</w:t>
      </w:r>
      <w:r w:rsidRPr="007214E7">
        <w:rPr>
          <w:rFonts w:asciiTheme="majorHAnsi" w:hAnsiTheme="majorHAnsi" w:cstheme="majorHAnsi"/>
        </w:rPr>
        <w:t xml:space="preserve"> while simultaneously establishing an extensive language practice network, thereby directly contributing to the goal of transitioning the status of English locally. This provides a robust empirical foundation for provincial higher education institutions to synchronize their social responsibility objectives with language policies.</w:t>
      </w:r>
    </w:p>
    <w:p w14:paraId="00F54D50" w14:textId="7777777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5.3. Developing Professional Identity</w:t>
      </w:r>
    </w:p>
    <w:p w14:paraId="5DA3A27E" w14:textId="64A0FBB9"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 xml:space="preserve">The statistically significant increase in the professional agency of pre-service teachers post-intervention constitutes crucial evidence for the efficacy of this pedagogical model. Upon participating in the TQM-oriented </w:t>
      </w:r>
      <w:r w:rsidR="000527B7">
        <w:rPr>
          <w:rFonts w:asciiTheme="majorHAnsi" w:hAnsiTheme="majorHAnsi" w:cstheme="majorHAnsi"/>
          <w:lang w:val="en-US"/>
        </w:rPr>
        <w:t>SL</w:t>
      </w:r>
      <w:r w:rsidRPr="007214E7">
        <w:rPr>
          <w:rFonts w:asciiTheme="majorHAnsi" w:hAnsiTheme="majorHAnsi" w:cstheme="majorHAnsi"/>
        </w:rPr>
        <w:t xml:space="preserve"> model, the roles of third- and fourth-year students underwent a qualitative shift.</w:t>
      </w:r>
    </w:p>
    <w:p w14:paraId="699DB0F6" w14:textId="77777777"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In contrast to traditional practicums where students primarily assume the role of passive apprentices, directly designing, operating, and evaluating community teaching projects based on the PDCA framework requires them to continuously make pedagogical decisions and bear responsibility for output quality. The process of confronting and mitigating deployment risks in field environments has awakened a profound sense of social responsibility. From the position of education beneficiaries, they realize that their professional expertise can address educational inequality issues at the grassroots level. This shift in professional identity, transitioning from a mere language learner to an agent of social change, represents the highest core value that higher education provides to both learners and the community.</w:t>
      </w:r>
    </w:p>
    <w:p w14:paraId="24BEFA20" w14:textId="77777777" w:rsidR="00CB2722" w:rsidRPr="007214E7" w:rsidRDefault="00CB2722" w:rsidP="007214E7">
      <w:pPr>
        <w:pStyle w:val="NoSpacing"/>
        <w:jc w:val="both"/>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bCs/>
          <w:sz w:val="24"/>
          <w:szCs w:val="24"/>
          <w:lang w:val="en-US"/>
        </w:rPr>
        <w:t>6. CONCLUSION AND IMPLICATIONS</w:t>
      </w:r>
    </w:p>
    <w:p w14:paraId="4D8E6A80" w14:textId="77777777" w:rsidR="00CB2722" w:rsidRPr="007214E7" w:rsidRDefault="00CB2722" w:rsidP="007214E7">
      <w:pPr>
        <w:pStyle w:val="NoSpacing"/>
        <w:jc w:val="both"/>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
          <w:bCs/>
          <w:sz w:val="24"/>
          <w:szCs w:val="24"/>
          <w:lang w:val="en-US"/>
        </w:rPr>
        <w:t>6.1. Conclusion</w:t>
      </w:r>
    </w:p>
    <w:p w14:paraId="6B989846" w14:textId="24D5C14F" w:rsidR="00CB2722" w:rsidRPr="007214E7" w:rsidRDefault="00CB2722" w:rsidP="007214E7">
      <w:pPr>
        <w:pStyle w:val="NoSpacing"/>
        <w:ind w:firstLine="720"/>
        <w:jc w:val="both"/>
        <w:rPr>
          <w:rFonts w:asciiTheme="majorHAnsi" w:eastAsia="Times New Roman" w:hAnsiTheme="majorHAnsi" w:cstheme="majorHAnsi"/>
          <w:bCs/>
          <w:sz w:val="24"/>
          <w:szCs w:val="24"/>
          <w:lang w:val="en-US"/>
        </w:rPr>
      </w:pPr>
      <w:r w:rsidRPr="007214E7">
        <w:rPr>
          <w:rFonts w:asciiTheme="majorHAnsi" w:eastAsia="Times New Roman" w:hAnsiTheme="majorHAnsi" w:cstheme="majorHAnsi"/>
          <w:bCs/>
          <w:sz w:val="24"/>
          <w:szCs w:val="24"/>
          <w:lang w:val="en-US"/>
        </w:rPr>
        <w:t xml:space="preserve">This study has successfully achieved its objective of evaluating the efficacy of integrating TQM into </w:t>
      </w:r>
      <w:r w:rsidR="000527B7">
        <w:rPr>
          <w:rFonts w:asciiTheme="majorHAnsi" w:eastAsia="Times New Roman" w:hAnsiTheme="majorHAnsi" w:cstheme="majorHAnsi"/>
          <w:bCs/>
          <w:sz w:val="24"/>
          <w:szCs w:val="24"/>
          <w:lang w:val="en-US"/>
        </w:rPr>
        <w:t>SL</w:t>
      </w:r>
      <w:r w:rsidRPr="007214E7">
        <w:rPr>
          <w:rFonts w:asciiTheme="majorHAnsi" w:eastAsia="Times New Roman" w:hAnsiTheme="majorHAnsi" w:cstheme="majorHAnsi"/>
          <w:bCs/>
          <w:sz w:val="24"/>
          <w:szCs w:val="24"/>
          <w:lang w:val="en-US"/>
        </w:rPr>
        <w:t xml:space="preserve"> projects at </w:t>
      </w:r>
      <w:r w:rsidR="000527B7">
        <w:rPr>
          <w:rFonts w:asciiTheme="majorHAnsi" w:eastAsia="Times New Roman" w:hAnsiTheme="majorHAnsi" w:cstheme="majorHAnsi"/>
          <w:bCs/>
          <w:sz w:val="24"/>
          <w:szCs w:val="24"/>
          <w:lang w:val="en-US"/>
        </w:rPr>
        <w:t>PDU</w:t>
      </w:r>
      <w:r w:rsidRPr="007214E7">
        <w:rPr>
          <w:rFonts w:asciiTheme="majorHAnsi" w:eastAsia="Times New Roman" w:hAnsiTheme="majorHAnsi" w:cstheme="majorHAnsi"/>
          <w:bCs/>
          <w:sz w:val="24"/>
          <w:szCs w:val="24"/>
          <w:lang w:val="en-US"/>
        </w:rPr>
        <w:t xml:space="preserve">. The empirical data affirm that TQM transcends the framework of a business theory to become a rigorous pedagogical management tool. Through strict adherence to the PDCA cycle, the research has successfully standardized instructional </w:t>
      </w:r>
      <w:r w:rsidRPr="007214E7">
        <w:rPr>
          <w:rFonts w:asciiTheme="majorHAnsi" w:eastAsia="Times New Roman" w:hAnsiTheme="majorHAnsi" w:cstheme="majorHAnsi"/>
          <w:bCs/>
          <w:sz w:val="24"/>
          <w:szCs w:val="24"/>
          <w:lang w:val="en-US"/>
        </w:rPr>
        <w:lastRenderedPageBreak/>
        <w:t xml:space="preserve">procedures, mitigated field deployment risks, and yielded a statistically significant increase in the professional agency of the pre-service teachers. </w:t>
      </w:r>
    </w:p>
    <w:p w14:paraId="5816A539" w14:textId="209935DA" w:rsidR="00CB2722" w:rsidRPr="007214E7" w:rsidRDefault="00CB2722" w:rsidP="007214E7">
      <w:pPr>
        <w:pStyle w:val="NoSpacing"/>
        <w:ind w:firstLine="720"/>
        <w:jc w:val="both"/>
        <w:rPr>
          <w:rFonts w:asciiTheme="majorHAnsi" w:eastAsia="Times New Roman" w:hAnsiTheme="majorHAnsi" w:cstheme="majorHAnsi"/>
          <w:b/>
          <w:bCs/>
          <w:sz w:val="24"/>
          <w:szCs w:val="24"/>
          <w:lang w:val="en-US"/>
        </w:rPr>
      </w:pPr>
      <w:r w:rsidRPr="007214E7">
        <w:rPr>
          <w:rFonts w:asciiTheme="majorHAnsi" w:eastAsia="Times New Roman" w:hAnsiTheme="majorHAnsi" w:cstheme="majorHAnsi"/>
          <w:bCs/>
          <w:sz w:val="24"/>
          <w:szCs w:val="24"/>
          <w:lang w:val="en-US"/>
        </w:rPr>
        <w:t>TQM serves as the pivotal mechanism assisting provincial universities in resolving the challenge of resource scarcity to synchronize two strategic objectives. These are the comprehensive execution of USR concurrently with the successful establishment of a sustainable simulated ESL environment (micro-ESL space), thereby creating momentum for transitioning the status of EFL to a simulated ESL environment for the community.</w:t>
      </w:r>
      <w:r w:rsidRPr="007214E7">
        <w:rPr>
          <w:rFonts w:asciiTheme="majorHAnsi" w:eastAsia="Times New Roman" w:hAnsiTheme="majorHAnsi" w:cstheme="majorHAnsi"/>
          <w:b/>
          <w:bCs/>
          <w:sz w:val="24"/>
          <w:szCs w:val="24"/>
          <w:lang w:val="en-US"/>
        </w:rPr>
        <w:t xml:space="preserve"> </w:t>
      </w:r>
    </w:p>
    <w:p w14:paraId="5C995AC9" w14:textId="7777777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6.2. Policy Implications</w:t>
      </w:r>
    </w:p>
    <w:p w14:paraId="023CB8A6" w14:textId="77777777"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Based on the aforementioned empirical findings, this study provides a data foundation and proposes the following policy implications for provincial higher education institutions:</w:t>
      </w:r>
    </w:p>
    <w:p w14:paraId="6E8473CC" w14:textId="77777777" w:rsidR="00CB2722" w:rsidRPr="007214E7" w:rsidRDefault="00CB2722" w:rsidP="007214E7">
      <w:pPr>
        <w:pStyle w:val="NormalWeb"/>
        <w:spacing w:before="0" w:beforeAutospacing="0" w:after="0" w:afterAutospacing="0"/>
        <w:ind w:firstLine="720"/>
        <w:jc w:val="both"/>
        <w:rPr>
          <w:rFonts w:asciiTheme="majorHAnsi" w:hAnsiTheme="majorHAnsi" w:cstheme="majorHAnsi"/>
          <w:i/>
        </w:rPr>
      </w:pPr>
      <w:r w:rsidRPr="007214E7">
        <w:rPr>
          <w:rFonts w:asciiTheme="majorHAnsi" w:hAnsiTheme="majorHAnsi" w:cstheme="majorHAnsi"/>
          <w:bCs/>
          <w:i/>
        </w:rPr>
        <w:t>(1) Restructuring community activities based on Quality Management</w:t>
      </w:r>
    </w:p>
    <w:p w14:paraId="6A5B3B7E" w14:textId="04D3526B"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 xml:space="preserve">Provincial universities need to transition traditional volunteer activities into a </w:t>
      </w:r>
      <w:r w:rsidR="00E40E0A">
        <w:rPr>
          <w:rFonts w:asciiTheme="majorHAnsi" w:hAnsiTheme="majorHAnsi" w:cstheme="majorHAnsi"/>
          <w:lang w:val="en-US"/>
        </w:rPr>
        <w:t>SL</w:t>
      </w:r>
      <w:r w:rsidRPr="007214E7">
        <w:rPr>
          <w:rFonts w:asciiTheme="majorHAnsi" w:hAnsiTheme="majorHAnsi" w:cstheme="majorHAnsi"/>
        </w:rPr>
        <w:t xml:space="preserve"> model oriented by a quality management approach. The integration of IQA criteria into the project design, operation, and evaluation phases is mandatory to optimize resource allocation (human, financial, and instructional materials) and ensure sustainability.</w:t>
      </w:r>
    </w:p>
    <w:p w14:paraId="49062E35" w14:textId="77777777" w:rsidR="00CB2722" w:rsidRPr="007214E7" w:rsidRDefault="00CB2722" w:rsidP="007214E7">
      <w:pPr>
        <w:pStyle w:val="NormalWeb"/>
        <w:spacing w:before="0" w:beforeAutospacing="0" w:after="0" w:afterAutospacing="0"/>
        <w:ind w:firstLine="720"/>
        <w:jc w:val="both"/>
        <w:rPr>
          <w:rFonts w:asciiTheme="majorHAnsi" w:hAnsiTheme="majorHAnsi" w:cstheme="majorHAnsi"/>
          <w:i/>
        </w:rPr>
      </w:pPr>
      <w:r w:rsidRPr="007214E7">
        <w:rPr>
          <w:rFonts w:asciiTheme="majorHAnsi" w:hAnsiTheme="majorHAnsi" w:cstheme="majorHAnsi"/>
          <w:bCs/>
          <w:i/>
        </w:rPr>
        <w:t>(2) Synchronizing USR with language transition strategies</w:t>
      </w:r>
    </w:p>
    <w:p w14:paraId="0D279481" w14:textId="77777777"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Local educational administrators should develop mechanisms to integrate social responsibility objectives into foreign language proficiency development schemes. Utilizing the cohort of pre-service teachers as the core workforce to establish authentic language practice environments at the grassroots level not only thoroughly resolves the learners' lack of authentic communicative spaces but also maximizes local budget savings.</w:t>
      </w:r>
    </w:p>
    <w:p w14:paraId="4278C5E5" w14:textId="77777777" w:rsidR="00CB2722" w:rsidRPr="007214E7" w:rsidRDefault="00CB2722" w:rsidP="007214E7">
      <w:pPr>
        <w:pStyle w:val="NormalWeb"/>
        <w:spacing w:before="0" w:beforeAutospacing="0" w:after="0" w:afterAutospacing="0"/>
        <w:ind w:firstLine="720"/>
        <w:jc w:val="both"/>
        <w:rPr>
          <w:rFonts w:asciiTheme="majorHAnsi" w:hAnsiTheme="majorHAnsi" w:cstheme="majorHAnsi"/>
          <w:i/>
        </w:rPr>
      </w:pPr>
      <w:r w:rsidRPr="007214E7">
        <w:rPr>
          <w:rFonts w:asciiTheme="majorHAnsi" w:hAnsiTheme="majorHAnsi" w:cstheme="majorHAnsi"/>
          <w:bCs/>
          <w:i/>
        </w:rPr>
        <w:t>(3) Integrating Service-Learning into the Teacher Education curriculum</w:t>
      </w:r>
    </w:p>
    <w:p w14:paraId="2E4CC267" w14:textId="6B92333E" w:rsidR="00CB2722" w:rsidRPr="007214E7" w:rsidRDefault="00CB2722" w:rsidP="007214E7">
      <w:pPr>
        <w:pStyle w:val="NormalWeb"/>
        <w:spacing w:before="0" w:beforeAutospacing="0" w:after="0" w:afterAutospacing="0"/>
        <w:ind w:firstLine="720"/>
        <w:jc w:val="both"/>
        <w:rPr>
          <w:rFonts w:asciiTheme="majorHAnsi" w:hAnsiTheme="majorHAnsi" w:cstheme="majorHAnsi"/>
        </w:rPr>
      </w:pPr>
      <w:r w:rsidRPr="007214E7">
        <w:rPr>
          <w:rFonts w:asciiTheme="majorHAnsi" w:hAnsiTheme="majorHAnsi" w:cstheme="majorHAnsi"/>
        </w:rPr>
        <w:t xml:space="preserve">To develop profound professional agency, it is necessary to formalize the TQM-oriented </w:t>
      </w:r>
      <w:r w:rsidR="00E40E0A">
        <w:rPr>
          <w:rFonts w:asciiTheme="majorHAnsi" w:hAnsiTheme="majorHAnsi" w:cstheme="majorHAnsi"/>
          <w:lang w:val="en-US"/>
        </w:rPr>
        <w:t>SL</w:t>
      </w:r>
      <w:bookmarkStart w:id="0" w:name="_GoBack"/>
      <w:bookmarkEnd w:id="0"/>
      <w:r w:rsidRPr="007214E7">
        <w:rPr>
          <w:rFonts w:asciiTheme="majorHAnsi" w:hAnsiTheme="majorHAnsi" w:cstheme="majorHAnsi"/>
        </w:rPr>
        <w:t xml:space="preserve"> model into a compulsory practicum module or a learning outcome assessment standard for final-year pre-service teachers, rather than merely treating it as short-term extracurricular campaigns.</w:t>
      </w:r>
    </w:p>
    <w:p w14:paraId="51CAA596" w14:textId="77777777" w:rsidR="00CB2722" w:rsidRPr="007214E7" w:rsidRDefault="00CB2722" w:rsidP="007214E7">
      <w:pPr>
        <w:pStyle w:val="NormalWeb"/>
        <w:spacing w:before="0" w:beforeAutospacing="0" w:after="0" w:afterAutospacing="0"/>
        <w:jc w:val="both"/>
        <w:rPr>
          <w:rFonts w:asciiTheme="majorHAnsi" w:hAnsiTheme="majorHAnsi" w:cstheme="majorHAnsi"/>
        </w:rPr>
      </w:pPr>
      <w:r w:rsidRPr="007214E7">
        <w:rPr>
          <w:rFonts w:asciiTheme="majorHAnsi" w:hAnsiTheme="majorHAnsi" w:cstheme="majorHAnsi"/>
          <w:b/>
          <w:bCs/>
        </w:rPr>
        <w:t>REFERENCES</w:t>
      </w:r>
    </w:p>
    <w:p w14:paraId="6336DB6D"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Bùi, N. H. V., &amp; Nguyễn, T. N. (2020). Tổng quan lý thuyết và đề xuất mô hình đảm bảo chất lượng giáo dục bên trong trường đại học trong bối cảnh hội nhập và đổi mới giáo dục Việt Nam [Theoretical overview and proposed model for internal quality assurance in universities in the context of integration and educational innovation in Vietnam]. </w:t>
      </w:r>
      <w:r w:rsidRPr="00F12C0F">
        <w:rPr>
          <w:rFonts w:asciiTheme="majorHAnsi" w:eastAsia="Times New Roman" w:hAnsiTheme="majorHAnsi" w:cstheme="majorHAnsi"/>
          <w:i/>
          <w:iCs/>
          <w:color w:val="303030"/>
          <w:sz w:val="24"/>
          <w:szCs w:val="24"/>
          <w:lang w:val="en-US"/>
        </w:rPr>
        <w:t>Tạp chí Khoa học Quản lý Giáo dục, 04</w:t>
      </w:r>
      <w:r w:rsidRPr="00F12C0F">
        <w:rPr>
          <w:rFonts w:asciiTheme="majorHAnsi" w:eastAsia="Times New Roman" w:hAnsiTheme="majorHAnsi" w:cstheme="majorHAnsi"/>
          <w:color w:val="303030"/>
          <w:sz w:val="24"/>
          <w:szCs w:val="24"/>
          <w:lang w:val="en-US"/>
        </w:rPr>
        <w:t>(28), 65–72.</w:t>
      </w:r>
    </w:p>
    <w:p w14:paraId="4A8CD1FE"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Bùi, T. N. O. (2023). Service-learning project improves essay writing skills of English-major sophomores of Nha Trang University. </w:t>
      </w:r>
      <w:r w:rsidRPr="00F12C0F">
        <w:rPr>
          <w:rFonts w:asciiTheme="majorHAnsi" w:eastAsia="Times New Roman" w:hAnsiTheme="majorHAnsi" w:cstheme="majorHAnsi"/>
          <w:i/>
          <w:iCs/>
          <w:color w:val="303030"/>
          <w:sz w:val="24"/>
          <w:szCs w:val="24"/>
          <w:lang w:val="en-US"/>
        </w:rPr>
        <w:t>TNU Journal of Science and Technology, 229</w:t>
      </w:r>
      <w:r w:rsidRPr="00F12C0F">
        <w:rPr>
          <w:rFonts w:asciiTheme="majorHAnsi" w:eastAsia="Times New Roman" w:hAnsiTheme="majorHAnsi" w:cstheme="majorHAnsi"/>
          <w:color w:val="303030"/>
          <w:sz w:val="24"/>
          <w:szCs w:val="24"/>
          <w:lang w:val="en-US"/>
        </w:rPr>
        <w:t>(04), 364–370.</w:t>
      </w:r>
    </w:p>
    <w:p w14:paraId="1760DE9C"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Coelho, M., &amp; Menezes, I. (2021). University social responsibility, service learning, and students’ personal, professional, and civic education. </w:t>
      </w:r>
      <w:r w:rsidRPr="00F12C0F">
        <w:rPr>
          <w:rFonts w:asciiTheme="majorHAnsi" w:eastAsia="Times New Roman" w:hAnsiTheme="majorHAnsi" w:cstheme="majorHAnsi"/>
          <w:i/>
          <w:iCs/>
          <w:color w:val="303030"/>
          <w:sz w:val="24"/>
          <w:szCs w:val="24"/>
          <w:lang w:val="en-US"/>
        </w:rPr>
        <w:t>Frontiers in Psychology, 12</w:t>
      </w:r>
      <w:r w:rsidRPr="00F12C0F">
        <w:rPr>
          <w:rFonts w:asciiTheme="majorHAnsi" w:eastAsia="Times New Roman" w:hAnsiTheme="majorHAnsi" w:cstheme="majorHAnsi"/>
          <w:color w:val="303030"/>
          <w:sz w:val="24"/>
          <w:szCs w:val="24"/>
          <w:lang w:val="en-US"/>
        </w:rPr>
        <w:t xml:space="preserve">. </w:t>
      </w:r>
      <w:hyperlink r:id="rId8" w:tgtFrame="_blank" w:history="1">
        <w:r w:rsidRPr="00F12C0F">
          <w:rPr>
            <w:rStyle w:val="Hyperlink"/>
            <w:rFonts w:asciiTheme="majorHAnsi" w:eastAsia="Times New Roman" w:hAnsiTheme="majorHAnsi" w:cstheme="majorHAnsi"/>
            <w:sz w:val="24"/>
            <w:szCs w:val="24"/>
            <w:lang w:val="en-US"/>
          </w:rPr>
          <w:t>https://doi.org/10.3389/fpsyg.2021.617300</w:t>
        </w:r>
      </w:hyperlink>
    </w:p>
    <w:p w14:paraId="7A48B845"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Dư, T. C. (2025). Tác động của trách nhiệm xã hội trường đại học (USR) đến tài sản thương hiệu trường đại học theo góc nhìn của sinh viên [The impact of university social responsibility (USR) on university brand equity from students' perspectives]. </w:t>
      </w:r>
      <w:r w:rsidRPr="00F12C0F">
        <w:rPr>
          <w:rFonts w:asciiTheme="majorHAnsi" w:eastAsia="Times New Roman" w:hAnsiTheme="majorHAnsi" w:cstheme="majorHAnsi"/>
          <w:i/>
          <w:iCs/>
          <w:color w:val="303030"/>
          <w:sz w:val="24"/>
          <w:szCs w:val="24"/>
          <w:lang w:val="en-US"/>
        </w:rPr>
        <w:t>HCMCOUJS - Kinh tế và Quản trị Kinh doanh, 20</w:t>
      </w:r>
      <w:r w:rsidRPr="00F12C0F">
        <w:rPr>
          <w:rFonts w:asciiTheme="majorHAnsi" w:eastAsia="Times New Roman" w:hAnsiTheme="majorHAnsi" w:cstheme="majorHAnsi"/>
          <w:color w:val="303030"/>
          <w:sz w:val="24"/>
          <w:szCs w:val="24"/>
          <w:lang w:val="en-US"/>
        </w:rPr>
        <w:t>(4), 76–89.</w:t>
      </w:r>
    </w:p>
    <w:p w14:paraId="52D238B5"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Lê, N. V. A. (2024). Học tập phục vụ cộng đồng trong giáo dục đại học - Kinh nghiệm thế giới và triển vọng đối với Việt Nam [Service-learning in higher education: Global experiences and prospects for Vietnam]. </w:t>
      </w:r>
      <w:r w:rsidRPr="00F12C0F">
        <w:rPr>
          <w:rFonts w:asciiTheme="majorHAnsi" w:eastAsia="Times New Roman" w:hAnsiTheme="majorHAnsi" w:cstheme="majorHAnsi"/>
          <w:i/>
          <w:iCs/>
          <w:color w:val="303030"/>
          <w:sz w:val="24"/>
          <w:szCs w:val="24"/>
          <w:lang w:val="en-US"/>
        </w:rPr>
        <w:t>Tạp chí Khoa học Trường Đại học Vinh, 53</w:t>
      </w:r>
      <w:r w:rsidRPr="00F12C0F">
        <w:rPr>
          <w:rFonts w:asciiTheme="majorHAnsi" w:eastAsia="Times New Roman" w:hAnsiTheme="majorHAnsi" w:cstheme="majorHAnsi"/>
          <w:color w:val="303030"/>
          <w:sz w:val="24"/>
          <w:szCs w:val="24"/>
          <w:lang w:val="en-US"/>
        </w:rPr>
        <w:t xml:space="preserve">(Special Issue), 190–199. </w:t>
      </w:r>
      <w:hyperlink r:id="rId9" w:tgtFrame="_blank" w:history="1">
        <w:r w:rsidRPr="00F12C0F">
          <w:rPr>
            <w:rStyle w:val="Hyperlink"/>
            <w:rFonts w:asciiTheme="majorHAnsi" w:eastAsia="Times New Roman" w:hAnsiTheme="majorHAnsi" w:cstheme="majorHAnsi"/>
            <w:sz w:val="24"/>
            <w:szCs w:val="24"/>
            <w:lang w:val="en-US"/>
          </w:rPr>
          <w:t>https://doi.org/10.56824/vujs.2024.htkhgd90</w:t>
        </w:r>
      </w:hyperlink>
    </w:p>
    <w:p w14:paraId="65D66B84"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Ngô, T. M. (2023). Trung tâm Service learning trong trường đại học tại Việt Nam trong bối cảnh sáng tạo xã hội [Service learning centers in Vietnamese universities in the context of social innovation]. </w:t>
      </w:r>
      <w:r w:rsidRPr="00F12C0F">
        <w:rPr>
          <w:rFonts w:asciiTheme="majorHAnsi" w:eastAsia="Times New Roman" w:hAnsiTheme="majorHAnsi" w:cstheme="majorHAnsi"/>
          <w:i/>
          <w:iCs/>
          <w:color w:val="303030"/>
          <w:sz w:val="24"/>
          <w:szCs w:val="24"/>
          <w:lang w:val="en-US"/>
        </w:rPr>
        <w:t>Tạp chí Thiết bị giáo dục: Nghiên cứu ứng dụng, 2</w:t>
      </w:r>
      <w:r w:rsidRPr="00F12C0F">
        <w:rPr>
          <w:rFonts w:asciiTheme="majorHAnsi" w:eastAsia="Times New Roman" w:hAnsiTheme="majorHAnsi" w:cstheme="majorHAnsi"/>
          <w:color w:val="303030"/>
          <w:sz w:val="24"/>
          <w:szCs w:val="24"/>
          <w:lang w:val="en-US"/>
        </w:rPr>
        <w:t>(293).</w:t>
      </w:r>
    </w:p>
    <w:p w14:paraId="6DE79924"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Nguyễn, P. T. (2024). Áp dụng phương pháp lồng ghép Service Learning trong giảng dạy truyền thông [Applying integrated Service Learning in communication teaching]. </w:t>
      </w:r>
      <w:r w:rsidRPr="00F12C0F">
        <w:rPr>
          <w:rFonts w:asciiTheme="majorHAnsi" w:eastAsia="Times New Roman" w:hAnsiTheme="majorHAnsi" w:cstheme="majorHAnsi"/>
          <w:i/>
          <w:iCs/>
          <w:color w:val="303030"/>
          <w:sz w:val="24"/>
          <w:szCs w:val="24"/>
          <w:lang w:val="en-US"/>
        </w:rPr>
        <w:t xml:space="preserve">Tạp chí Khoa </w:t>
      </w:r>
      <w:r w:rsidRPr="00F12C0F">
        <w:rPr>
          <w:rFonts w:asciiTheme="majorHAnsi" w:eastAsia="Times New Roman" w:hAnsiTheme="majorHAnsi" w:cstheme="majorHAnsi"/>
          <w:i/>
          <w:iCs/>
          <w:color w:val="303030"/>
          <w:sz w:val="24"/>
          <w:szCs w:val="24"/>
          <w:lang w:val="en-US"/>
        </w:rPr>
        <w:lastRenderedPageBreak/>
        <w:t>học Trường Đại học Quốc tế Hồng Bàng, 30</w:t>
      </w:r>
      <w:r w:rsidRPr="00F12C0F">
        <w:rPr>
          <w:rFonts w:asciiTheme="majorHAnsi" w:eastAsia="Times New Roman" w:hAnsiTheme="majorHAnsi" w:cstheme="majorHAnsi"/>
          <w:color w:val="303030"/>
          <w:sz w:val="24"/>
          <w:szCs w:val="24"/>
          <w:lang w:val="en-US"/>
        </w:rPr>
        <w:t xml:space="preserve">, 105–112. </w:t>
      </w:r>
      <w:hyperlink r:id="rId10" w:tgtFrame="_blank" w:history="1">
        <w:r w:rsidRPr="00F12C0F">
          <w:rPr>
            <w:rStyle w:val="Hyperlink"/>
            <w:rFonts w:asciiTheme="majorHAnsi" w:eastAsia="Times New Roman" w:hAnsiTheme="majorHAnsi" w:cstheme="majorHAnsi"/>
            <w:sz w:val="24"/>
            <w:szCs w:val="24"/>
            <w:lang w:val="en-US"/>
          </w:rPr>
          <w:t>https://doi.org/10.59294/HIUJS.30.2024.648</w:t>
        </w:r>
      </w:hyperlink>
    </w:p>
    <w:p w14:paraId="68EAF363"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Nguyễn, P. T., &amp; Trần, T. K. (2023). Tiềm năng ứng dụng phương pháp học tập phục vụ cộng đồng (Service Learning) cho đào tạo marketing: Tình huống tại Trường Đại học Kinh tế - Đại học Đà Nẵng [Potential application of Service Learning in marketing training: A case study at University of Economics - The University of Danang]. </w:t>
      </w:r>
      <w:r w:rsidRPr="00F12C0F">
        <w:rPr>
          <w:rFonts w:asciiTheme="majorHAnsi" w:eastAsia="Times New Roman" w:hAnsiTheme="majorHAnsi" w:cstheme="majorHAnsi"/>
          <w:i/>
          <w:iCs/>
          <w:color w:val="303030"/>
          <w:sz w:val="24"/>
          <w:szCs w:val="24"/>
          <w:lang w:val="en-US"/>
        </w:rPr>
        <w:t>Tạp chí Khoa học Kinh tế, 11</w:t>
      </w:r>
      <w:r w:rsidRPr="00F12C0F">
        <w:rPr>
          <w:rFonts w:asciiTheme="majorHAnsi" w:eastAsia="Times New Roman" w:hAnsiTheme="majorHAnsi" w:cstheme="majorHAnsi"/>
          <w:color w:val="303030"/>
          <w:sz w:val="24"/>
          <w:szCs w:val="24"/>
          <w:lang w:val="en-US"/>
        </w:rPr>
        <w:t>(01), 106–122.</w:t>
      </w:r>
    </w:p>
    <w:p w14:paraId="1887F9CE"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Nguyễn, T. H. (2023). Chu trình tổ chức cải tiến chất lượng liên tục “C-EPD” trong đảm bảo chất lượng cơ sở giáo dục [The "C-EPD" continuous quality improvement cycle in educational institution quality assurance]. </w:t>
      </w:r>
      <w:r w:rsidRPr="00F12C0F">
        <w:rPr>
          <w:rFonts w:asciiTheme="majorHAnsi" w:eastAsia="Times New Roman" w:hAnsiTheme="majorHAnsi" w:cstheme="majorHAnsi"/>
          <w:i/>
          <w:iCs/>
          <w:color w:val="303030"/>
          <w:sz w:val="24"/>
          <w:szCs w:val="24"/>
          <w:lang w:val="en-US"/>
        </w:rPr>
        <w:t>Tạp chí Khoa học Giáo dục Việt Nam, 19</w:t>
      </w:r>
      <w:r w:rsidRPr="00F12C0F">
        <w:rPr>
          <w:rFonts w:asciiTheme="majorHAnsi" w:eastAsia="Times New Roman" w:hAnsiTheme="majorHAnsi" w:cstheme="majorHAnsi"/>
          <w:color w:val="303030"/>
          <w:sz w:val="24"/>
          <w:szCs w:val="24"/>
          <w:lang w:val="en-US"/>
        </w:rPr>
        <w:t>(S1), 1–6.</w:t>
      </w:r>
    </w:p>
    <w:p w14:paraId="33870956"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Nguyễn, T. K. (2014). </w:t>
      </w:r>
      <w:r w:rsidRPr="00F12C0F">
        <w:rPr>
          <w:rFonts w:asciiTheme="majorHAnsi" w:eastAsia="Times New Roman" w:hAnsiTheme="majorHAnsi" w:cstheme="majorHAnsi"/>
          <w:i/>
          <w:iCs/>
          <w:color w:val="303030"/>
          <w:sz w:val="24"/>
          <w:szCs w:val="24"/>
          <w:lang w:val="en-US"/>
        </w:rPr>
        <w:t>Quản lý chất lượng đào tạo cử nhân sư phạm theo tiếp cận TQM và ứng dụng công nghệ thông tin trong đại học đa ngành, đa lĩnh vực</w:t>
      </w:r>
      <w:r w:rsidRPr="00F12C0F">
        <w:rPr>
          <w:rFonts w:asciiTheme="majorHAnsi" w:eastAsia="Times New Roman" w:hAnsiTheme="majorHAnsi" w:cstheme="majorHAnsi"/>
          <w:color w:val="303030"/>
          <w:sz w:val="24"/>
          <w:szCs w:val="24"/>
          <w:lang w:val="en-US"/>
        </w:rPr>
        <w:t xml:space="preserve"> [Quality management of bachelor of education training based on TQM approach and IT application in multidisciplinary universities] [Doctoral dissertation, VNU University of Education].</w:t>
      </w:r>
    </w:p>
    <w:p w14:paraId="5E7DF63E"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Pham, Q. T., &amp; Le, T. P. L. (2025). Effectiveness of community service learning approach on social responsibility of students of The University of Danang - University of Foreign Language Studies. </w:t>
      </w:r>
      <w:r w:rsidRPr="00F12C0F">
        <w:rPr>
          <w:rFonts w:asciiTheme="majorHAnsi" w:eastAsia="Times New Roman" w:hAnsiTheme="majorHAnsi" w:cstheme="majorHAnsi"/>
          <w:i/>
          <w:iCs/>
          <w:color w:val="303030"/>
          <w:sz w:val="24"/>
          <w:szCs w:val="24"/>
          <w:lang w:val="en-US"/>
        </w:rPr>
        <w:t>Journal of Science and Technology (The University of Danang), 23</w:t>
      </w:r>
      <w:r w:rsidRPr="00F12C0F">
        <w:rPr>
          <w:rFonts w:asciiTheme="majorHAnsi" w:eastAsia="Times New Roman" w:hAnsiTheme="majorHAnsi" w:cstheme="majorHAnsi"/>
          <w:color w:val="303030"/>
          <w:sz w:val="24"/>
          <w:szCs w:val="24"/>
          <w:lang w:val="en-US"/>
        </w:rPr>
        <w:t xml:space="preserve">(10A). </w:t>
      </w:r>
      <w:hyperlink r:id="rId11" w:tgtFrame="_blank" w:history="1">
        <w:r w:rsidRPr="00F12C0F">
          <w:rPr>
            <w:rStyle w:val="Hyperlink"/>
            <w:rFonts w:asciiTheme="majorHAnsi" w:eastAsia="Times New Roman" w:hAnsiTheme="majorHAnsi" w:cstheme="majorHAnsi"/>
            <w:sz w:val="24"/>
            <w:szCs w:val="24"/>
            <w:lang w:val="en-US"/>
          </w:rPr>
          <w:t>https://doi.org/10.31130/ud-jst.2025.23(10A).459</w:t>
        </w:r>
      </w:hyperlink>
    </w:p>
    <w:p w14:paraId="215C85BD"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Phạm, B. T. (2025). Một số vấn đề lí luận về phương pháp học tập phục vụ cộng đồng [Some theoretical issues on service-learning methods]. </w:t>
      </w:r>
      <w:r w:rsidRPr="00F12C0F">
        <w:rPr>
          <w:rFonts w:asciiTheme="majorHAnsi" w:eastAsia="Times New Roman" w:hAnsiTheme="majorHAnsi" w:cstheme="majorHAnsi"/>
          <w:i/>
          <w:iCs/>
          <w:color w:val="303030"/>
          <w:sz w:val="24"/>
          <w:szCs w:val="24"/>
          <w:lang w:val="en-US"/>
        </w:rPr>
        <w:t>Tạp chí Giáo dục, 25</w:t>
      </w:r>
      <w:r w:rsidRPr="00F12C0F">
        <w:rPr>
          <w:rFonts w:asciiTheme="majorHAnsi" w:eastAsia="Times New Roman" w:hAnsiTheme="majorHAnsi" w:cstheme="majorHAnsi"/>
          <w:color w:val="303030"/>
          <w:sz w:val="24"/>
          <w:szCs w:val="24"/>
          <w:lang w:val="en-US"/>
        </w:rPr>
        <w:t>(11), 5–10.</w:t>
      </w:r>
    </w:p>
    <w:p w14:paraId="758355A2"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Phan, X. C. (2022). Tác động của trách nhiệm xã hội trường đại học đến thương hiệu và sự gắn bó của nhân viên ở các trường đại học ở TP. Hồ Chí Minh [The impact of university social responsibility on brand and employee engagement in universities in Ho Chi Minh City]. </w:t>
      </w:r>
      <w:r w:rsidRPr="00F12C0F">
        <w:rPr>
          <w:rFonts w:asciiTheme="majorHAnsi" w:eastAsia="Times New Roman" w:hAnsiTheme="majorHAnsi" w:cstheme="majorHAnsi"/>
          <w:i/>
          <w:iCs/>
          <w:color w:val="303030"/>
          <w:sz w:val="24"/>
          <w:szCs w:val="24"/>
          <w:lang w:val="en-US"/>
        </w:rPr>
        <w:t>Tạp chí Khoa học Công nghệ và Thực phẩm</w:t>
      </w:r>
      <w:r w:rsidRPr="00F12C0F">
        <w:rPr>
          <w:rFonts w:asciiTheme="majorHAnsi" w:eastAsia="Times New Roman" w:hAnsiTheme="majorHAnsi" w:cstheme="majorHAnsi"/>
          <w:color w:val="303030"/>
          <w:sz w:val="24"/>
          <w:szCs w:val="24"/>
          <w:lang w:val="en-US"/>
        </w:rPr>
        <w:t>.</w:t>
      </w:r>
    </w:p>
    <w:p w14:paraId="4A792DF9"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Trần, T. B. H. (2020). Xu hướng áp dụng phương pháp học tập phục vụ cộng đồng trong giáo dục đại học, cao đẳng hiện nay và khả năng triển khai tại một số trường khu vực miền Trung - Tây Nguyên [Trends in applying service-learning in current higher education and the feasibility of implementation in some universities in the Central - Central Highlands region]. </w:t>
      </w:r>
      <w:r w:rsidRPr="00F12C0F">
        <w:rPr>
          <w:rFonts w:asciiTheme="majorHAnsi" w:eastAsia="Times New Roman" w:hAnsiTheme="majorHAnsi" w:cstheme="majorHAnsi"/>
          <w:i/>
          <w:iCs/>
          <w:color w:val="303030"/>
          <w:sz w:val="24"/>
          <w:szCs w:val="24"/>
          <w:lang w:val="en-US"/>
        </w:rPr>
        <w:t>Journal of Science – Phu Yen University, 23</w:t>
      </w:r>
      <w:r w:rsidRPr="00F12C0F">
        <w:rPr>
          <w:rFonts w:asciiTheme="majorHAnsi" w:eastAsia="Times New Roman" w:hAnsiTheme="majorHAnsi" w:cstheme="majorHAnsi"/>
          <w:color w:val="303030"/>
          <w:sz w:val="24"/>
          <w:szCs w:val="24"/>
          <w:lang w:val="en-US"/>
        </w:rPr>
        <w:t>, 74–80.</w:t>
      </w:r>
    </w:p>
    <w:p w14:paraId="25E588B1"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Tran, H. (2019). Teacher agency in times of educational change: The case of transitioned teachers in Vietnam. </w:t>
      </w:r>
      <w:r w:rsidRPr="00F12C0F">
        <w:rPr>
          <w:rFonts w:asciiTheme="majorHAnsi" w:eastAsia="Times New Roman" w:hAnsiTheme="majorHAnsi" w:cstheme="majorHAnsi"/>
          <w:i/>
          <w:iCs/>
          <w:color w:val="303030"/>
          <w:sz w:val="24"/>
          <w:szCs w:val="24"/>
          <w:lang w:val="en-US"/>
        </w:rPr>
        <w:t>Current Issues in Language Planning, 20</w:t>
      </w:r>
      <w:r w:rsidRPr="00F12C0F">
        <w:rPr>
          <w:rFonts w:asciiTheme="majorHAnsi" w:eastAsia="Times New Roman" w:hAnsiTheme="majorHAnsi" w:cstheme="majorHAnsi"/>
          <w:color w:val="303030"/>
          <w:sz w:val="24"/>
          <w:szCs w:val="24"/>
          <w:lang w:val="en-US"/>
        </w:rPr>
        <w:t xml:space="preserve">(5), 544–559. </w:t>
      </w:r>
      <w:hyperlink r:id="rId12" w:tgtFrame="_blank" w:history="1">
        <w:r w:rsidRPr="00F12C0F">
          <w:rPr>
            <w:rStyle w:val="Hyperlink"/>
            <w:rFonts w:asciiTheme="majorHAnsi" w:eastAsia="Times New Roman" w:hAnsiTheme="majorHAnsi" w:cstheme="majorHAnsi"/>
            <w:sz w:val="24"/>
            <w:szCs w:val="24"/>
            <w:lang w:val="en-US"/>
          </w:rPr>
          <w:t>https://doi.org/10.1080/14664208.2018.1553912</w:t>
        </w:r>
      </w:hyperlink>
    </w:p>
    <w:p w14:paraId="71B9C2F8"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Truong, V., Bui, H. P., &amp; Truong, T. T. L. (2020). Integrating community service learning into university curriculum: Perspectives from EFL teachers and students. </w:t>
      </w:r>
      <w:r w:rsidRPr="00F12C0F">
        <w:rPr>
          <w:rFonts w:asciiTheme="majorHAnsi" w:eastAsia="Times New Roman" w:hAnsiTheme="majorHAnsi" w:cstheme="majorHAnsi"/>
          <w:i/>
          <w:iCs/>
          <w:color w:val="303030"/>
          <w:sz w:val="24"/>
          <w:szCs w:val="24"/>
          <w:lang w:val="en-US"/>
        </w:rPr>
        <w:t>Language Related Research, 11</w:t>
      </w:r>
      <w:r w:rsidRPr="00F12C0F">
        <w:rPr>
          <w:rFonts w:asciiTheme="majorHAnsi" w:eastAsia="Times New Roman" w:hAnsiTheme="majorHAnsi" w:cstheme="majorHAnsi"/>
          <w:color w:val="303030"/>
          <w:sz w:val="24"/>
          <w:szCs w:val="24"/>
          <w:lang w:val="en-US"/>
        </w:rPr>
        <w:t xml:space="preserve">(5), 201–226. </w:t>
      </w:r>
      <w:hyperlink r:id="rId13" w:tgtFrame="_blank" w:history="1">
        <w:r w:rsidRPr="00F12C0F">
          <w:rPr>
            <w:rStyle w:val="Hyperlink"/>
            <w:rFonts w:asciiTheme="majorHAnsi" w:eastAsia="Times New Roman" w:hAnsiTheme="majorHAnsi" w:cstheme="majorHAnsi"/>
            <w:sz w:val="24"/>
            <w:szCs w:val="24"/>
            <w:lang w:val="en-US"/>
          </w:rPr>
          <w:t>https://doi.org/10.21859/LRR.11.5.201</w:t>
        </w:r>
      </w:hyperlink>
    </w:p>
    <w:p w14:paraId="7E7987AC" w14:textId="77777777" w:rsidR="00F12C0F" w:rsidRPr="00F12C0F" w:rsidRDefault="00F12C0F" w:rsidP="00F12C0F">
      <w:pPr>
        <w:pStyle w:val="NoSpacing"/>
        <w:ind w:left="720" w:hanging="720"/>
        <w:jc w:val="both"/>
        <w:rPr>
          <w:rFonts w:asciiTheme="majorHAnsi" w:eastAsia="Times New Roman" w:hAnsiTheme="majorHAnsi" w:cstheme="majorHAnsi"/>
          <w:color w:val="303030"/>
          <w:sz w:val="24"/>
          <w:szCs w:val="24"/>
          <w:lang w:val="en-US"/>
        </w:rPr>
      </w:pPr>
      <w:r w:rsidRPr="00F12C0F">
        <w:rPr>
          <w:rFonts w:asciiTheme="majorHAnsi" w:eastAsia="Times New Roman" w:hAnsiTheme="majorHAnsi" w:cstheme="majorHAnsi"/>
          <w:color w:val="303030"/>
          <w:sz w:val="24"/>
          <w:szCs w:val="24"/>
          <w:lang w:val="en-US"/>
        </w:rPr>
        <w:t xml:space="preserve">Tuan, N. H., &amp; Bao, D. (2021). Service learning in a suburban community in Vietnam: Pre-service EFL teachers as agents of change. In D. Bao &amp; T. Pham (Eds.), </w:t>
      </w:r>
      <w:r w:rsidRPr="00F12C0F">
        <w:rPr>
          <w:rFonts w:asciiTheme="majorHAnsi" w:eastAsia="Times New Roman" w:hAnsiTheme="majorHAnsi" w:cstheme="majorHAnsi"/>
          <w:i/>
          <w:iCs/>
          <w:color w:val="303030"/>
          <w:sz w:val="24"/>
          <w:szCs w:val="24"/>
          <w:lang w:val="en-US"/>
        </w:rPr>
        <w:t>Transforming Pedagogies Through Engagement with Learners, Teachers and Communities</w:t>
      </w:r>
      <w:r w:rsidRPr="00F12C0F">
        <w:rPr>
          <w:rFonts w:asciiTheme="majorHAnsi" w:eastAsia="Times New Roman" w:hAnsiTheme="majorHAnsi" w:cstheme="majorHAnsi"/>
          <w:color w:val="303030"/>
          <w:sz w:val="24"/>
          <w:szCs w:val="24"/>
          <w:lang w:val="en-US"/>
        </w:rPr>
        <w:t xml:space="preserve"> (pp. 217–231). Springer. </w:t>
      </w:r>
      <w:hyperlink r:id="rId14" w:tgtFrame="_blank" w:history="1">
        <w:r w:rsidRPr="00F12C0F">
          <w:rPr>
            <w:rStyle w:val="Hyperlink"/>
            <w:rFonts w:asciiTheme="majorHAnsi" w:eastAsia="Times New Roman" w:hAnsiTheme="majorHAnsi" w:cstheme="majorHAnsi"/>
            <w:sz w:val="24"/>
            <w:szCs w:val="24"/>
            <w:lang w:val="en-US"/>
          </w:rPr>
          <w:t>https://doi.org/10.1007/978-981-16-0057-9_14</w:t>
        </w:r>
      </w:hyperlink>
    </w:p>
    <w:p w14:paraId="7ED4F4B5" w14:textId="77777777" w:rsidR="0074696A" w:rsidRPr="007214E7" w:rsidRDefault="0074696A" w:rsidP="00E82D17">
      <w:pPr>
        <w:pStyle w:val="NoSpacing"/>
        <w:ind w:left="720" w:hanging="720"/>
        <w:jc w:val="both"/>
        <w:rPr>
          <w:rFonts w:asciiTheme="majorHAnsi" w:hAnsiTheme="majorHAnsi" w:cstheme="majorHAnsi"/>
          <w:b/>
          <w:bCs/>
          <w:sz w:val="24"/>
          <w:szCs w:val="24"/>
          <w:lang w:val="en-US"/>
        </w:rPr>
      </w:pPr>
    </w:p>
    <w:sectPr w:rsidR="0074696A" w:rsidRPr="007214E7" w:rsidSect="00525A18">
      <w:pgSz w:w="11906" w:h="16838"/>
      <w:pgMar w:top="1260" w:right="1106" w:bottom="99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D3A8F" w14:textId="77777777" w:rsidR="008C3B44" w:rsidRDefault="008C3B44" w:rsidP="005E756D">
      <w:pPr>
        <w:spacing w:after="0" w:line="240" w:lineRule="auto"/>
      </w:pPr>
      <w:r>
        <w:separator/>
      </w:r>
    </w:p>
  </w:endnote>
  <w:endnote w:type="continuationSeparator" w:id="0">
    <w:p w14:paraId="626F429D" w14:textId="77777777" w:rsidR="008C3B44" w:rsidRDefault="008C3B44" w:rsidP="005E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CA4D4" w14:textId="77777777" w:rsidR="008C3B44" w:rsidRDefault="008C3B44" w:rsidP="005E756D">
      <w:pPr>
        <w:spacing w:after="0" w:line="240" w:lineRule="auto"/>
      </w:pPr>
      <w:r>
        <w:separator/>
      </w:r>
    </w:p>
  </w:footnote>
  <w:footnote w:type="continuationSeparator" w:id="0">
    <w:p w14:paraId="7F5C7941" w14:textId="77777777" w:rsidR="008C3B44" w:rsidRDefault="008C3B44" w:rsidP="005E756D">
      <w:pPr>
        <w:spacing w:after="0" w:line="240" w:lineRule="auto"/>
      </w:pPr>
      <w:r>
        <w:continuationSeparator/>
      </w:r>
    </w:p>
  </w:footnote>
  <w:footnote w:id="1">
    <w:p w14:paraId="49F11EEF" w14:textId="15DBE3ED" w:rsidR="005E756D" w:rsidRPr="002B1637" w:rsidRDefault="005E756D" w:rsidP="002B1637">
      <w:pPr>
        <w:spacing w:after="0" w:line="240" w:lineRule="auto"/>
        <w:jc w:val="both"/>
        <w:rPr>
          <w:rFonts w:ascii="Times New Roman" w:hAnsi="Times New Roman" w:cs="Times New Roman"/>
          <w:sz w:val="20"/>
          <w:szCs w:val="20"/>
        </w:rPr>
      </w:pPr>
      <w:r w:rsidRPr="004A4BE8">
        <w:rPr>
          <w:rStyle w:val="FootnoteReference"/>
          <w:rFonts w:asciiTheme="majorHAnsi" w:hAnsiTheme="majorHAnsi" w:cstheme="majorHAnsi"/>
          <w:sz w:val="20"/>
          <w:szCs w:val="20"/>
        </w:rPr>
        <w:footnoteRef/>
      </w:r>
      <w:r w:rsidR="004A4BE8" w:rsidRPr="004A4BE8">
        <w:rPr>
          <w:rFonts w:ascii="Times New Roman" w:hAnsi="Times New Roman" w:cs="Times New Roman"/>
          <w:sz w:val="20"/>
          <w:szCs w:val="20"/>
        </w:rPr>
        <w:t>Center for Student Support, Corporate Relations and Entrepreneurship</w:t>
      </w:r>
      <w:r w:rsidR="004A4BE8">
        <w:rPr>
          <w:rFonts w:ascii="Times New Roman" w:hAnsi="Times New Roman" w:cs="Times New Roman"/>
          <w:sz w:val="20"/>
          <w:szCs w:val="20"/>
          <w:lang w:val="en-US"/>
        </w:rPr>
        <w:t xml:space="preserve">, </w:t>
      </w:r>
      <w:r w:rsidR="004A4BE8" w:rsidRPr="004A4BE8">
        <w:rPr>
          <w:rFonts w:ascii="Times New Roman" w:hAnsi="Times New Roman" w:cs="Times New Roman"/>
          <w:sz w:val="20"/>
          <w:szCs w:val="20"/>
        </w:rPr>
        <w:t xml:space="preserve">Pham Van Dong University, </w:t>
      </w:r>
      <w:r w:rsidR="004A4BE8">
        <w:rPr>
          <w:rFonts w:ascii="Times New Roman" w:hAnsi="Times New Roman" w:cs="Times New Roman"/>
          <w:sz w:val="20"/>
          <w:szCs w:val="20"/>
          <w:lang w:val="en-US"/>
        </w:rPr>
        <w:t>vdquan</w:t>
      </w:r>
      <w:r w:rsidR="004A4BE8" w:rsidRPr="004A4BE8">
        <w:rPr>
          <w:rFonts w:ascii="Times New Roman" w:hAnsi="Times New Roman" w:cs="Times New Roman"/>
          <w:sz w:val="20"/>
          <w:szCs w:val="20"/>
        </w:rPr>
        <w:t>@pdu.edu.vn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775"/>
    <w:multiLevelType w:val="multilevel"/>
    <w:tmpl w:val="65B2D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908B1"/>
    <w:multiLevelType w:val="multilevel"/>
    <w:tmpl w:val="4D34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10A6B"/>
    <w:multiLevelType w:val="multilevel"/>
    <w:tmpl w:val="BC6E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01F6A"/>
    <w:multiLevelType w:val="multilevel"/>
    <w:tmpl w:val="9D58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32442"/>
    <w:multiLevelType w:val="multilevel"/>
    <w:tmpl w:val="52FE4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6654E"/>
    <w:multiLevelType w:val="multilevel"/>
    <w:tmpl w:val="5872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25364"/>
    <w:multiLevelType w:val="multilevel"/>
    <w:tmpl w:val="B9C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00684"/>
    <w:multiLevelType w:val="multilevel"/>
    <w:tmpl w:val="58DE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169DF"/>
    <w:multiLevelType w:val="multilevel"/>
    <w:tmpl w:val="DB32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565A4"/>
    <w:multiLevelType w:val="multilevel"/>
    <w:tmpl w:val="1424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472EE"/>
    <w:multiLevelType w:val="multilevel"/>
    <w:tmpl w:val="A810E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2412BA"/>
    <w:multiLevelType w:val="multilevel"/>
    <w:tmpl w:val="4EBA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60039"/>
    <w:multiLevelType w:val="multilevel"/>
    <w:tmpl w:val="72BE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56B27"/>
    <w:multiLevelType w:val="multilevel"/>
    <w:tmpl w:val="1F10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B0D20"/>
    <w:multiLevelType w:val="multilevel"/>
    <w:tmpl w:val="9034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101E9"/>
    <w:multiLevelType w:val="multilevel"/>
    <w:tmpl w:val="F71A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309C2"/>
    <w:multiLevelType w:val="multilevel"/>
    <w:tmpl w:val="339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C6337"/>
    <w:multiLevelType w:val="hybridMultilevel"/>
    <w:tmpl w:val="7D56D860"/>
    <w:lvl w:ilvl="0" w:tplc="BC8AB168">
      <w:start w:val="1"/>
      <w:numFmt w:val="decimal"/>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ED5CB4"/>
    <w:multiLevelType w:val="multilevel"/>
    <w:tmpl w:val="43F8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2804E7"/>
    <w:multiLevelType w:val="multilevel"/>
    <w:tmpl w:val="732CE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0C43ED"/>
    <w:multiLevelType w:val="multilevel"/>
    <w:tmpl w:val="57E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029A2"/>
    <w:multiLevelType w:val="multilevel"/>
    <w:tmpl w:val="C6C8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7A710E"/>
    <w:multiLevelType w:val="multilevel"/>
    <w:tmpl w:val="C860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0"/>
  </w:num>
  <w:num w:numId="4">
    <w:abstractNumId w:val="9"/>
  </w:num>
  <w:num w:numId="5">
    <w:abstractNumId w:val="16"/>
  </w:num>
  <w:num w:numId="6">
    <w:abstractNumId w:val="11"/>
  </w:num>
  <w:num w:numId="7">
    <w:abstractNumId w:val="5"/>
  </w:num>
  <w:num w:numId="8">
    <w:abstractNumId w:val="6"/>
  </w:num>
  <w:num w:numId="9">
    <w:abstractNumId w:val="7"/>
  </w:num>
  <w:num w:numId="10">
    <w:abstractNumId w:val="2"/>
  </w:num>
  <w:num w:numId="11">
    <w:abstractNumId w:val="8"/>
  </w:num>
  <w:num w:numId="12">
    <w:abstractNumId w:val="20"/>
  </w:num>
  <w:num w:numId="13">
    <w:abstractNumId w:val="21"/>
  </w:num>
  <w:num w:numId="14">
    <w:abstractNumId w:val="10"/>
  </w:num>
  <w:num w:numId="15">
    <w:abstractNumId w:val="14"/>
  </w:num>
  <w:num w:numId="16">
    <w:abstractNumId w:val="1"/>
  </w:num>
  <w:num w:numId="17">
    <w:abstractNumId w:val="22"/>
  </w:num>
  <w:num w:numId="18">
    <w:abstractNumId w:val="3"/>
  </w:num>
  <w:num w:numId="19">
    <w:abstractNumId w:val="17"/>
  </w:num>
  <w:num w:numId="20">
    <w:abstractNumId w:val="18"/>
  </w:num>
  <w:num w:numId="21">
    <w:abstractNumId w:val="4"/>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2EB"/>
    <w:rsid w:val="0000375B"/>
    <w:rsid w:val="00027EAF"/>
    <w:rsid w:val="00041C60"/>
    <w:rsid w:val="000469B5"/>
    <w:rsid w:val="000527B7"/>
    <w:rsid w:val="000A4DEF"/>
    <w:rsid w:val="000D08AB"/>
    <w:rsid w:val="000E144A"/>
    <w:rsid w:val="00106286"/>
    <w:rsid w:val="00107DE9"/>
    <w:rsid w:val="00151CDD"/>
    <w:rsid w:val="001742EB"/>
    <w:rsid w:val="001A161A"/>
    <w:rsid w:val="001A57CB"/>
    <w:rsid w:val="001B0A4D"/>
    <w:rsid w:val="001B2F5A"/>
    <w:rsid w:val="001C62D5"/>
    <w:rsid w:val="001D7EAE"/>
    <w:rsid w:val="001E78D8"/>
    <w:rsid w:val="00266BA8"/>
    <w:rsid w:val="00276792"/>
    <w:rsid w:val="002A140E"/>
    <w:rsid w:val="002A354D"/>
    <w:rsid w:val="002B1637"/>
    <w:rsid w:val="002D5300"/>
    <w:rsid w:val="0031601D"/>
    <w:rsid w:val="00327FF1"/>
    <w:rsid w:val="003F307C"/>
    <w:rsid w:val="0044010D"/>
    <w:rsid w:val="004727B1"/>
    <w:rsid w:val="004A4BE8"/>
    <w:rsid w:val="004B2326"/>
    <w:rsid w:val="004E10AC"/>
    <w:rsid w:val="004E1F3E"/>
    <w:rsid w:val="004E6BFB"/>
    <w:rsid w:val="004E7C03"/>
    <w:rsid w:val="004F6C9F"/>
    <w:rsid w:val="00512CE7"/>
    <w:rsid w:val="00525A18"/>
    <w:rsid w:val="00587108"/>
    <w:rsid w:val="005B5897"/>
    <w:rsid w:val="005B6475"/>
    <w:rsid w:val="005E756D"/>
    <w:rsid w:val="005F3C31"/>
    <w:rsid w:val="00623C60"/>
    <w:rsid w:val="00641D2F"/>
    <w:rsid w:val="00684227"/>
    <w:rsid w:val="006929A0"/>
    <w:rsid w:val="00695443"/>
    <w:rsid w:val="00695C78"/>
    <w:rsid w:val="006A68EE"/>
    <w:rsid w:val="006B7D1B"/>
    <w:rsid w:val="006F6043"/>
    <w:rsid w:val="007214E7"/>
    <w:rsid w:val="0074696A"/>
    <w:rsid w:val="00751163"/>
    <w:rsid w:val="00766AC5"/>
    <w:rsid w:val="0078700D"/>
    <w:rsid w:val="007F7D4F"/>
    <w:rsid w:val="00814C4C"/>
    <w:rsid w:val="00851114"/>
    <w:rsid w:val="008728BD"/>
    <w:rsid w:val="00883A62"/>
    <w:rsid w:val="008C3B44"/>
    <w:rsid w:val="008C4E89"/>
    <w:rsid w:val="008F3F1C"/>
    <w:rsid w:val="009236DC"/>
    <w:rsid w:val="009321C7"/>
    <w:rsid w:val="00940469"/>
    <w:rsid w:val="00961757"/>
    <w:rsid w:val="009B6191"/>
    <w:rsid w:val="00A0528C"/>
    <w:rsid w:val="00A16687"/>
    <w:rsid w:val="00A274D6"/>
    <w:rsid w:val="00A27BA8"/>
    <w:rsid w:val="00A862E4"/>
    <w:rsid w:val="00A96B08"/>
    <w:rsid w:val="00AA10B3"/>
    <w:rsid w:val="00AB5AD1"/>
    <w:rsid w:val="00B412CB"/>
    <w:rsid w:val="00B4487C"/>
    <w:rsid w:val="00B46E7A"/>
    <w:rsid w:val="00B5143C"/>
    <w:rsid w:val="00B641C7"/>
    <w:rsid w:val="00BC026B"/>
    <w:rsid w:val="00BF335E"/>
    <w:rsid w:val="00C32AB7"/>
    <w:rsid w:val="00CB2722"/>
    <w:rsid w:val="00D30314"/>
    <w:rsid w:val="00D327DF"/>
    <w:rsid w:val="00D53FC9"/>
    <w:rsid w:val="00D72593"/>
    <w:rsid w:val="00D72FA5"/>
    <w:rsid w:val="00D778FE"/>
    <w:rsid w:val="00D8355B"/>
    <w:rsid w:val="00E10F36"/>
    <w:rsid w:val="00E22350"/>
    <w:rsid w:val="00E22CDB"/>
    <w:rsid w:val="00E40E0A"/>
    <w:rsid w:val="00E82D17"/>
    <w:rsid w:val="00EC3CEC"/>
    <w:rsid w:val="00ED76D4"/>
    <w:rsid w:val="00F12C0F"/>
    <w:rsid w:val="00F22586"/>
    <w:rsid w:val="00F4355C"/>
    <w:rsid w:val="00F62A06"/>
    <w:rsid w:val="00F72379"/>
    <w:rsid w:val="00F77364"/>
    <w:rsid w:val="00F940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99FA"/>
  <w15:chartTrackingRefBased/>
  <w15:docId w15:val="{F6987684-420F-4FCF-B26C-E45E9A43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E7C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742EB"/>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42E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eading3Char">
    <w:name w:val="Heading 3 Char"/>
    <w:basedOn w:val="DefaultParagraphFont"/>
    <w:link w:val="Heading3"/>
    <w:uiPriority w:val="9"/>
    <w:rsid w:val="001742EB"/>
    <w:rPr>
      <w:rFonts w:ascii="Times New Roman" w:eastAsia="Times New Roman" w:hAnsi="Times New Roman" w:cs="Times New Roman"/>
      <w:b/>
      <w:bCs/>
      <w:sz w:val="27"/>
      <w:szCs w:val="27"/>
      <w:lang w:eastAsia="vi-VN"/>
    </w:rPr>
  </w:style>
  <w:style w:type="paragraph" w:styleId="FootnoteText">
    <w:name w:val="footnote text"/>
    <w:basedOn w:val="Normal"/>
    <w:link w:val="FootnoteTextChar"/>
    <w:uiPriority w:val="99"/>
    <w:semiHidden/>
    <w:unhideWhenUsed/>
    <w:rsid w:val="005E75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756D"/>
    <w:rPr>
      <w:sz w:val="20"/>
      <w:szCs w:val="20"/>
    </w:rPr>
  </w:style>
  <w:style w:type="character" w:styleId="FootnoteReference">
    <w:name w:val="footnote reference"/>
    <w:basedOn w:val="DefaultParagraphFont"/>
    <w:uiPriority w:val="99"/>
    <w:semiHidden/>
    <w:unhideWhenUsed/>
    <w:rsid w:val="005E756D"/>
    <w:rPr>
      <w:vertAlign w:val="superscript"/>
    </w:rPr>
  </w:style>
  <w:style w:type="character" w:styleId="Hyperlink">
    <w:name w:val="Hyperlink"/>
    <w:basedOn w:val="DefaultParagraphFont"/>
    <w:uiPriority w:val="99"/>
    <w:unhideWhenUsed/>
    <w:rsid w:val="004B2326"/>
    <w:rPr>
      <w:color w:val="0563C1" w:themeColor="hyperlink"/>
      <w:u w:val="single"/>
    </w:rPr>
  </w:style>
  <w:style w:type="paragraph" w:styleId="NoSpacing">
    <w:name w:val="No Spacing"/>
    <w:uiPriority w:val="1"/>
    <w:qFormat/>
    <w:rsid w:val="0078700D"/>
    <w:pPr>
      <w:spacing w:after="0" w:line="240" w:lineRule="auto"/>
    </w:pPr>
  </w:style>
  <w:style w:type="character" w:customStyle="1" w:styleId="Heading2Char">
    <w:name w:val="Heading 2 Char"/>
    <w:basedOn w:val="DefaultParagraphFont"/>
    <w:link w:val="Heading2"/>
    <w:uiPriority w:val="9"/>
    <w:semiHidden/>
    <w:rsid w:val="004E7C03"/>
    <w:rPr>
      <w:rFonts w:asciiTheme="majorHAnsi" w:eastAsiaTheme="majorEastAsia" w:hAnsiTheme="majorHAnsi" w:cstheme="majorBidi"/>
      <w:color w:val="2F5496" w:themeColor="accent1" w:themeShade="BF"/>
      <w:sz w:val="26"/>
      <w:szCs w:val="26"/>
    </w:rPr>
  </w:style>
  <w:style w:type="character" w:customStyle="1" w:styleId="ng-star-inserted">
    <w:name w:val="ng-star-inserted"/>
    <w:basedOn w:val="DefaultParagraphFont"/>
    <w:rsid w:val="0074696A"/>
  </w:style>
  <w:style w:type="paragraph" w:styleId="ListParagraph">
    <w:name w:val="List Paragraph"/>
    <w:basedOn w:val="Normal"/>
    <w:uiPriority w:val="34"/>
    <w:qFormat/>
    <w:rsid w:val="00A274D6"/>
    <w:pPr>
      <w:ind w:left="720"/>
      <w:contextualSpacing/>
    </w:pPr>
  </w:style>
  <w:style w:type="table" w:styleId="TableGrid">
    <w:name w:val="Table Grid"/>
    <w:basedOn w:val="TableNormal"/>
    <w:uiPriority w:val="39"/>
    <w:rsid w:val="00D77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150">
      <w:bodyDiv w:val="1"/>
      <w:marLeft w:val="0"/>
      <w:marRight w:val="0"/>
      <w:marTop w:val="0"/>
      <w:marBottom w:val="0"/>
      <w:divBdr>
        <w:top w:val="none" w:sz="0" w:space="0" w:color="auto"/>
        <w:left w:val="none" w:sz="0" w:space="0" w:color="auto"/>
        <w:bottom w:val="none" w:sz="0" w:space="0" w:color="auto"/>
        <w:right w:val="none" w:sz="0" w:space="0" w:color="auto"/>
      </w:divBdr>
    </w:div>
    <w:div w:id="122579757">
      <w:bodyDiv w:val="1"/>
      <w:marLeft w:val="0"/>
      <w:marRight w:val="0"/>
      <w:marTop w:val="0"/>
      <w:marBottom w:val="0"/>
      <w:divBdr>
        <w:top w:val="none" w:sz="0" w:space="0" w:color="auto"/>
        <w:left w:val="none" w:sz="0" w:space="0" w:color="auto"/>
        <w:bottom w:val="none" w:sz="0" w:space="0" w:color="auto"/>
        <w:right w:val="none" w:sz="0" w:space="0" w:color="auto"/>
      </w:divBdr>
    </w:div>
    <w:div w:id="171143633">
      <w:bodyDiv w:val="1"/>
      <w:marLeft w:val="0"/>
      <w:marRight w:val="0"/>
      <w:marTop w:val="0"/>
      <w:marBottom w:val="0"/>
      <w:divBdr>
        <w:top w:val="none" w:sz="0" w:space="0" w:color="auto"/>
        <w:left w:val="none" w:sz="0" w:space="0" w:color="auto"/>
        <w:bottom w:val="none" w:sz="0" w:space="0" w:color="auto"/>
        <w:right w:val="none" w:sz="0" w:space="0" w:color="auto"/>
      </w:divBdr>
    </w:div>
    <w:div w:id="201866892">
      <w:bodyDiv w:val="1"/>
      <w:marLeft w:val="0"/>
      <w:marRight w:val="0"/>
      <w:marTop w:val="0"/>
      <w:marBottom w:val="0"/>
      <w:divBdr>
        <w:top w:val="none" w:sz="0" w:space="0" w:color="auto"/>
        <w:left w:val="none" w:sz="0" w:space="0" w:color="auto"/>
        <w:bottom w:val="none" w:sz="0" w:space="0" w:color="auto"/>
        <w:right w:val="none" w:sz="0" w:space="0" w:color="auto"/>
      </w:divBdr>
    </w:div>
    <w:div w:id="261652079">
      <w:bodyDiv w:val="1"/>
      <w:marLeft w:val="0"/>
      <w:marRight w:val="0"/>
      <w:marTop w:val="0"/>
      <w:marBottom w:val="0"/>
      <w:divBdr>
        <w:top w:val="none" w:sz="0" w:space="0" w:color="auto"/>
        <w:left w:val="none" w:sz="0" w:space="0" w:color="auto"/>
        <w:bottom w:val="none" w:sz="0" w:space="0" w:color="auto"/>
        <w:right w:val="none" w:sz="0" w:space="0" w:color="auto"/>
      </w:divBdr>
    </w:div>
    <w:div w:id="262079605">
      <w:bodyDiv w:val="1"/>
      <w:marLeft w:val="0"/>
      <w:marRight w:val="0"/>
      <w:marTop w:val="0"/>
      <w:marBottom w:val="0"/>
      <w:divBdr>
        <w:top w:val="none" w:sz="0" w:space="0" w:color="auto"/>
        <w:left w:val="none" w:sz="0" w:space="0" w:color="auto"/>
        <w:bottom w:val="none" w:sz="0" w:space="0" w:color="auto"/>
        <w:right w:val="none" w:sz="0" w:space="0" w:color="auto"/>
      </w:divBdr>
    </w:div>
    <w:div w:id="271281914">
      <w:bodyDiv w:val="1"/>
      <w:marLeft w:val="0"/>
      <w:marRight w:val="0"/>
      <w:marTop w:val="0"/>
      <w:marBottom w:val="0"/>
      <w:divBdr>
        <w:top w:val="none" w:sz="0" w:space="0" w:color="auto"/>
        <w:left w:val="none" w:sz="0" w:space="0" w:color="auto"/>
        <w:bottom w:val="none" w:sz="0" w:space="0" w:color="auto"/>
        <w:right w:val="none" w:sz="0" w:space="0" w:color="auto"/>
      </w:divBdr>
      <w:divsChild>
        <w:div w:id="1329214377">
          <w:marLeft w:val="0"/>
          <w:marRight w:val="0"/>
          <w:marTop w:val="0"/>
          <w:marBottom w:val="0"/>
          <w:divBdr>
            <w:top w:val="none" w:sz="0" w:space="0" w:color="auto"/>
            <w:left w:val="none" w:sz="0" w:space="0" w:color="auto"/>
            <w:bottom w:val="none" w:sz="0" w:space="0" w:color="auto"/>
            <w:right w:val="none" w:sz="0" w:space="0" w:color="auto"/>
          </w:divBdr>
        </w:div>
        <w:div w:id="24643872">
          <w:marLeft w:val="0"/>
          <w:marRight w:val="0"/>
          <w:marTop w:val="0"/>
          <w:marBottom w:val="0"/>
          <w:divBdr>
            <w:top w:val="none" w:sz="0" w:space="0" w:color="auto"/>
            <w:left w:val="none" w:sz="0" w:space="0" w:color="auto"/>
            <w:bottom w:val="none" w:sz="0" w:space="0" w:color="auto"/>
            <w:right w:val="none" w:sz="0" w:space="0" w:color="auto"/>
          </w:divBdr>
        </w:div>
      </w:divsChild>
    </w:div>
    <w:div w:id="273636159">
      <w:bodyDiv w:val="1"/>
      <w:marLeft w:val="0"/>
      <w:marRight w:val="0"/>
      <w:marTop w:val="0"/>
      <w:marBottom w:val="0"/>
      <w:divBdr>
        <w:top w:val="none" w:sz="0" w:space="0" w:color="auto"/>
        <w:left w:val="none" w:sz="0" w:space="0" w:color="auto"/>
        <w:bottom w:val="none" w:sz="0" w:space="0" w:color="auto"/>
        <w:right w:val="none" w:sz="0" w:space="0" w:color="auto"/>
      </w:divBdr>
    </w:div>
    <w:div w:id="278490787">
      <w:bodyDiv w:val="1"/>
      <w:marLeft w:val="0"/>
      <w:marRight w:val="0"/>
      <w:marTop w:val="0"/>
      <w:marBottom w:val="0"/>
      <w:divBdr>
        <w:top w:val="none" w:sz="0" w:space="0" w:color="auto"/>
        <w:left w:val="none" w:sz="0" w:space="0" w:color="auto"/>
        <w:bottom w:val="none" w:sz="0" w:space="0" w:color="auto"/>
        <w:right w:val="none" w:sz="0" w:space="0" w:color="auto"/>
      </w:divBdr>
    </w:div>
    <w:div w:id="287709970">
      <w:bodyDiv w:val="1"/>
      <w:marLeft w:val="0"/>
      <w:marRight w:val="0"/>
      <w:marTop w:val="0"/>
      <w:marBottom w:val="0"/>
      <w:divBdr>
        <w:top w:val="none" w:sz="0" w:space="0" w:color="auto"/>
        <w:left w:val="none" w:sz="0" w:space="0" w:color="auto"/>
        <w:bottom w:val="none" w:sz="0" w:space="0" w:color="auto"/>
        <w:right w:val="none" w:sz="0" w:space="0" w:color="auto"/>
      </w:divBdr>
    </w:div>
    <w:div w:id="297881027">
      <w:bodyDiv w:val="1"/>
      <w:marLeft w:val="0"/>
      <w:marRight w:val="0"/>
      <w:marTop w:val="0"/>
      <w:marBottom w:val="0"/>
      <w:divBdr>
        <w:top w:val="none" w:sz="0" w:space="0" w:color="auto"/>
        <w:left w:val="none" w:sz="0" w:space="0" w:color="auto"/>
        <w:bottom w:val="none" w:sz="0" w:space="0" w:color="auto"/>
        <w:right w:val="none" w:sz="0" w:space="0" w:color="auto"/>
      </w:divBdr>
      <w:divsChild>
        <w:div w:id="4053428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5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088988">
      <w:bodyDiv w:val="1"/>
      <w:marLeft w:val="0"/>
      <w:marRight w:val="0"/>
      <w:marTop w:val="0"/>
      <w:marBottom w:val="0"/>
      <w:divBdr>
        <w:top w:val="none" w:sz="0" w:space="0" w:color="auto"/>
        <w:left w:val="none" w:sz="0" w:space="0" w:color="auto"/>
        <w:bottom w:val="none" w:sz="0" w:space="0" w:color="auto"/>
        <w:right w:val="none" w:sz="0" w:space="0" w:color="auto"/>
      </w:divBdr>
    </w:div>
    <w:div w:id="368147650">
      <w:bodyDiv w:val="1"/>
      <w:marLeft w:val="0"/>
      <w:marRight w:val="0"/>
      <w:marTop w:val="0"/>
      <w:marBottom w:val="0"/>
      <w:divBdr>
        <w:top w:val="none" w:sz="0" w:space="0" w:color="auto"/>
        <w:left w:val="none" w:sz="0" w:space="0" w:color="auto"/>
        <w:bottom w:val="none" w:sz="0" w:space="0" w:color="auto"/>
        <w:right w:val="none" w:sz="0" w:space="0" w:color="auto"/>
      </w:divBdr>
    </w:div>
    <w:div w:id="445202961">
      <w:bodyDiv w:val="1"/>
      <w:marLeft w:val="0"/>
      <w:marRight w:val="0"/>
      <w:marTop w:val="0"/>
      <w:marBottom w:val="0"/>
      <w:divBdr>
        <w:top w:val="none" w:sz="0" w:space="0" w:color="auto"/>
        <w:left w:val="none" w:sz="0" w:space="0" w:color="auto"/>
        <w:bottom w:val="none" w:sz="0" w:space="0" w:color="auto"/>
        <w:right w:val="none" w:sz="0" w:space="0" w:color="auto"/>
      </w:divBdr>
    </w:div>
    <w:div w:id="563947937">
      <w:bodyDiv w:val="1"/>
      <w:marLeft w:val="0"/>
      <w:marRight w:val="0"/>
      <w:marTop w:val="0"/>
      <w:marBottom w:val="0"/>
      <w:divBdr>
        <w:top w:val="none" w:sz="0" w:space="0" w:color="auto"/>
        <w:left w:val="none" w:sz="0" w:space="0" w:color="auto"/>
        <w:bottom w:val="none" w:sz="0" w:space="0" w:color="auto"/>
        <w:right w:val="none" w:sz="0" w:space="0" w:color="auto"/>
      </w:divBdr>
      <w:divsChild>
        <w:div w:id="1493059343">
          <w:marLeft w:val="0"/>
          <w:marRight w:val="0"/>
          <w:marTop w:val="0"/>
          <w:marBottom w:val="0"/>
          <w:divBdr>
            <w:top w:val="none" w:sz="0" w:space="0" w:color="auto"/>
            <w:left w:val="none" w:sz="0" w:space="0" w:color="auto"/>
            <w:bottom w:val="none" w:sz="0" w:space="0" w:color="auto"/>
            <w:right w:val="none" w:sz="0" w:space="0" w:color="auto"/>
          </w:divBdr>
        </w:div>
        <w:div w:id="382674841">
          <w:marLeft w:val="0"/>
          <w:marRight w:val="0"/>
          <w:marTop w:val="0"/>
          <w:marBottom w:val="0"/>
          <w:divBdr>
            <w:top w:val="none" w:sz="0" w:space="0" w:color="auto"/>
            <w:left w:val="none" w:sz="0" w:space="0" w:color="auto"/>
            <w:bottom w:val="none" w:sz="0" w:space="0" w:color="auto"/>
            <w:right w:val="none" w:sz="0" w:space="0" w:color="auto"/>
          </w:divBdr>
        </w:div>
        <w:div w:id="969631759">
          <w:marLeft w:val="0"/>
          <w:marRight w:val="0"/>
          <w:marTop w:val="0"/>
          <w:marBottom w:val="0"/>
          <w:divBdr>
            <w:top w:val="none" w:sz="0" w:space="0" w:color="auto"/>
            <w:left w:val="none" w:sz="0" w:space="0" w:color="auto"/>
            <w:bottom w:val="none" w:sz="0" w:space="0" w:color="auto"/>
            <w:right w:val="none" w:sz="0" w:space="0" w:color="auto"/>
          </w:divBdr>
        </w:div>
      </w:divsChild>
    </w:div>
    <w:div w:id="579483099">
      <w:bodyDiv w:val="1"/>
      <w:marLeft w:val="0"/>
      <w:marRight w:val="0"/>
      <w:marTop w:val="0"/>
      <w:marBottom w:val="0"/>
      <w:divBdr>
        <w:top w:val="none" w:sz="0" w:space="0" w:color="auto"/>
        <w:left w:val="none" w:sz="0" w:space="0" w:color="auto"/>
        <w:bottom w:val="none" w:sz="0" w:space="0" w:color="auto"/>
        <w:right w:val="none" w:sz="0" w:space="0" w:color="auto"/>
      </w:divBdr>
    </w:div>
    <w:div w:id="624048455">
      <w:bodyDiv w:val="1"/>
      <w:marLeft w:val="0"/>
      <w:marRight w:val="0"/>
      <w:marTop w:val="0"/>
      <w:marBottom w:val="0"/>
      <w:divBdr>
        <w:top w:val="none" w:sz="0" w:space="0" w:color="auto"/>
        <w:left w:val="none" w:sz="0" w:space="0" w:color="auto"/>
        <w:bottom w:val="none" w:sz="0" w:space="0" w:color="auto"/>
        <w:right w:val="none" w:sz="0" w:space="0" w:color="auto"/>
      </w:divBdr>
    </w:div>
    <w:div w:id="631180530">
      <w:bodyDiv w:val="1"/>
      <w:marLeft w:val="0"/>
      <w:marRight w:val="0"/>
      <w:marTop w:val="0"/>
      <w:marBottom w:val="0"/>
      <w:divBdr>
        <w:top w:val="none" w:sz="0" w:space="0" w:color="auto"/>
        <w:left w:val="none" w:sz="0" w:space="0" w:color="auto"/>
        <w:bottom w:val="none" w:sz="0" w:space="0" w:color="auto"/>
        <w:right w:val="none" w:sz="0" w:space="0" w:color="auto"/>
      </w:divBdr>
    </w:div>
    <w:div w:id="633099817">
      <w:bodyDiv w:val="1"/>
      <w:marLeft w:val="0"/>
      <w:marRight w:val="0"/>
      <w:marTop w:val="0"/>
      <w:marBottom w:val="0"/>
      <w:divBdr>
        <w:top w:val="none" w:sz="0" w:space="0" w:color="auto"/>
        <w:left w:val="none" w:sz="0" w:space="0" w:color="auto"/>
        <w:bottom w:val="none" w:sz="0" w:space="0" w:color="auto"/>
        <w:right w:val="none" w:sz="0" w:space="0" w:color="auto"/>
      </w:divBdr>
    </w:div>
    <w:div w:id="651837893">
      <w:bodyDiv w:val="1"/>
      <w:marLeft w:val="0"/>
      <w:marRight w:val="0"/>
      <w:marTop w:val="0"/>
      <w:marBottom w:val="0"/>
      <w:divBdr>
        <w:top w:val="none" w:sz="0" w:space="0" w:color="auto"/>
        <w:left w:val="none" w:sz="0" w:space="0" w:color="auto"/>
        <w:bottom w:val="none" w:sz="0" w:space="0" w:color="auto"/>
        <w:right w:val="none" w:sz="0" w:space="0" w:color="auto"/>
      </w:divBdr>
      <w:divsChild>
        <w:div w:id="1422066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121510">
      <w:bodyDiv w:val="1"/>
      <w:marLeft w:val="0"/>
      <w:marRight w:val="0"/>
      <w:marTop w:val="0"/>
      <w:marBottom w:val="0"/>
      <w:divBdr>
        <w:top w:val="none" w:sz="0" w:space="0" w:color="auto"/>
        <w:left w:val="none" w:sz="0" w:space="0" w:color="auto"/>
        <w:bottom w:val="none" w:sz="0" w:space="0" w:color="auto"/>
        <w:right w:val="none" w:sz="0" w:space="0" w:color="auto"/>
      </w:divBdr>
    </w:div>
    <w:div w:id="662591852">
      <w:bodyDiv w:val="1"/>
      <w:marLeft w:val="0"/>
      <w:marRight w:val="0"/>
      <w:marTop w:val="0"/>
      <w:marBottom w:val="0"/>
      <w:divBdr>
        <w:top w:val="none" w:sz="0" w:space="0" w:color="auto"/>
        <w:left w:val="none" w:sz="0" w:space="0" w:color="auto"/>
        <w:bottom w:val="none" w:sz="0" w:space="0" w:color="auto"/>
        <w:right w:val="none" w:sz="0" w:space="0" w:color="auto"/>
      </w:divBdr>
    </w:div>
    <w:div w:id="723212542">
      <w:bodyDiv w:val="1"/>
      <w:marLeft w:val="0"/>
      <w:marRight w:val="0"/>
      <w:marTop w:val="0"/>
      <w:marBottom w:val="0"/>
      <w:divBdr>
        <w:top w:val="none" w:sz="0" w:space="0" w:color="auto"/>
        <w:left w:val="none" w:sz="0" w:space="0" w:color="auto"/>
        <w:bottom w:val="none" w:sz="0" w:space="0" w:color="auto"/>
        <w:right w:val="none" w:sz="0" w:space="0" w:color="auto"/>
      </w:divBdr>
    </w:div>
    <w:div w:id="738594585">
      <w:bodyDiv w:val="1"/>
      <w:marLeft w:val="0"/>
      <w:marRight w:val="0"/>
      <w:marTop w:val="0"/>
      <w:marBottom w:val="0"/>
      <w:divBdr>
        <w:top w:val="none" w:sz="0" w:space="0" w:color="auto"/>
        <w:left w:val="none" w:sz="0" w:space="0" w:color="auto"/>
        <w:bottom w:val="none" w:sz="0" w:space="0" w:color="auto"/>
        <w:right w:val="none" w:sz="0" w:space="0" w:color="auto"/>
      </w:divBdr>
    </w:div>
    <w:div w:id="876048996">
      <w:bodyDiv w:val="1"/>
      <w:marLeft w:val="0"/>
      <w:marRight w:val="0"/>
      <w:marTop w:val="0"/>
      <w:marBottom w:val="0"/>
      <w:divBdr>
        <w:top w:val="none" w:sz="0" w:space="0" w:color="auto"/>
        <w:left w:val="none" w:sz="0" w:space="0" w:color="auto"/>
        <w:bottom w:val="none" w:sz="0" w:space="0" w:color="auto"/>
        <w:right w:val="none" w:sz="0" w:space="0" w:color="auto"/>
      </w:divBdr>
    </w:div>
    <w:div w:id="887259122">
      <w:bodyDiv w:val="1"/>
      <w:marLeft w:val="0"/>
      <w:marRight w:val="0"/>
      <w:marTop w:val="0"/>
      <w:marBottom w:val="0"/>
      <w:divBdr>
        <w:top w:val="none" w:sz="0" w:space="0" w:color="auto"/>
        <w:left w:val="none" w:sz="0" w:space="0" w:color="auto"/>
        <w:bottom w:val="none" w:sz="0" w:space="0" w:color="auto"/>
        <w:right w:val="none" w:sz="0" w:space="0" w:color="auto"/>
      </w:divBdr>
      <w:divsChild>
        <w:div w:id="1908223971">
          <w:marLeft w:val="0"/>
          <w:marRight w:val="0"/>
          <w:marTop w:val="0"/>
          <w:marBottom w:val="0"/>
          <w:divBdr>
            <w:top w:val="none" w:sz="0" w:space="0" w:color="auto"/>
            <w:left w:val="none" w:sz="0" w:space="0" w:color="auto"/>
            <w:bottom w:val="none" w:sz="0" w:space="0" w:color="auto"/>
            <w:right w:val="none" w:sz="0" w:space="0" w:color="auto"/>
          </w:divBdr>
        </w:div>
      </w:divsChild>
    </w:div>
    <w:div w:id="947082826">
      <w:bodyDiv w:val="1"/>
      <w:marLeft w:val="0"/>
      <w:marRight w:val="0"/>
      <w:marTop w:val="0"/>
      <w:marBottom w:val="0"/>
      <w:divBdr>
        <w:top w:val="none" w:sz="0" w:space="0" w:color="auto"/>
        <w:left w:val="none" w:sz="0" w:space="0" w:color="auto"/>
        <w:bottom w:val="none" w:sz="0" w:space="0" w:color="auto"/>
        <w:right w:val="none" w:sz="0" w:space="0" w:color="auto"/>
      </w:divBdr>
    </w:div>
    <w:div w:id="950166235">
      <w:bodyDiv w:val="1"/>
      <w:marLeft w:val="0"/>
      <w:marRight w:val="0"/>
      <w:marTop w:val="0"/>
      <w:marBottom w:val="0"/>
      <w:divBdr>
        <w:top w:val="none" w:sz="0" w:space="0" w:color="auto"/>
        <w:left w:val="none" w:sz="0" w:space="0" w:color="auto"/>
        <w:bottom w:val="none" w:sz="0" w:space="0" w:color="auto"/>
        <w:right w:val="none" w:sz="0" w:space="0" w:color="auto"/>
      </w:divBdr>
      <w:divsChild>
        <w:div w:id="1798908054">
          <w:marLeft w:val="0"/>
          <w:marRight w:val="0"/>
          <w:marTop w:val="0"/>
          <w:marBottom w:val="0"/>
          <w:divBdr>
            <w:top w:val="none" w:sz="0" w:space="0" w:color="auto"/>
            <w:left w:val="none" w:sz="0" w:space="0" w:color="auto"/>
            <w:bottom w:val="none" w:sz="0" w:space="0" w:color="auto"/>
            <w:right w:val="none" w:sz="0" w:space="0" w:color="auto"/>
          </w:divBdr>
        </w:div>
        <w:div w:id="462890548">
          <w:marLeft w:val="0"/>
          <w:marRight w:val="0"/>
          <w:marTop w:val="0"/>
          <w:marBottom w:val="0"/>
          <w:divBdr>
            <w:top w:val="none" w:sz="0" w:space="0" w:color="auto"/>
            <w:left w:val="none" w:sz="0" w:space="0" w:color="auto"/>
            <w:bottom w:val="none" w:sz="0" w:space="0" w:color="auto"/>
            <w:right w:val="none" w:sz="0" w:space="0" w:color="auto"/>
          </w:divBdr>
        </w:div>
      </w:divsChild>
    </w:div>
    <w:div w:id="976299605">
      <w:bodyDiv w:val="1"/>
      <w:marLeft w:val="0"/>
      <w:marRight w:val="0"/>
      <w:marTop w:val="0"/>
      <w:marBottom w:val="0"/>
      <w:divBdr>
        <w:top w:val="none" w:sz="0" w:space="0" w:color="auto"/>
        <w:left w:val="none" w:sz="0" w:space="0" w:color="auto"/>
        <w:bottom w:val="none" w:sz="0" w:space="0" w:color="auto"/>
        <w:right w:val="none" w:sz="0" w:space="0" w:color="auto"/>
      </w:divBdr>
      <w:divsChild>
        <w:div w:id="2014214321">
          <w:marLeft w:val="0"/>
          <w:marRight w:val="0"/>
          <w:marTop w:val="0"/>
          <w:marBottom w:val="0"/>
          <w:divBdr>
            <w:top w:val="none" w:sz="0" w:space="0" w:color="auto"/>
            <w:left w:val="none" w:sz="0" w:space="0" w:color="auto"/>
            <w:bottom w:val="none" w:sz="0" w:space="0" w:color="auto"/>
            <w:right w:val="none" w:sz="0" w:space="0" w:color="auto"/>
          </w:divBdr>
        </w:div>
      </w:divsChild>
    </w:div>
    <w:div w:id="979533166">
      <w:bodyDiv w:val="1"/>
      <w:marLeft w:val="0"/>
      <w:marRight w:val="0"/>
      <w:marTop w:val="0"/>
      <w:marBottom w:val="0"/>
      <w:divBdr>
        <w:top w:val="none" w:sz="0" w:space="0" w:color="auto"/>
        <w:left w:val="none" w:sz="0" w:space="0" w:color="auto"/>
        <w:bottom w:val="none" w:sz="0" w:space="0" w:color="auto"/>
        <w:right w:val="none" w:sz="0" w:space="0" w:color="auto"/>
      </w:divBdr>
    </w:div>
    <w:div w:id="1032145505">
      <w:bodyDiv w:val="1"/>
      <w:marLeft w:val="0"/>
      <w:marRight w:val="0"/>
      <w:marTop w:val="0"/>
      <w:marBottom w:val="0"/>
      <w:divBdr>
        <w:top w:val="none" w:sz="0" w:space="0" w:color="auto"/>
        <w:left w:val="none" w:sz="0" w:space="0" w:color="auto"/>
        <w:bottom w:val="none" w:sz="0" w:space="0" w:color="auto"/>
        <w:right w:val="none" w:sz="0" w:space="0" w:color="auto"/>
      </w:divBdr>
    </w:div>
    <w:div w:id="1086220315">
      <w:bodyDiv w:val="1"/>
      <w:marLeft w:val="0"/>
      <w:marRight w:val="0"/>
      <w:marTop w:val="0"/>
      <w:marBottom w:val="0"/>
      <w:divBdr>
        <w:top w:val="none" w:sz="0" w:space="0" w:color="auto"/>
        <w:left w:val="none" w:sz="0" w:space="0" w:color="auto"/>
        <w:bottom w:val="none" w:sz="0" w:space="0" w:color="auto"/>
        <w:right w:val="none" w:sz="0" w:space="0" w:color="auto"/>
      </w:divBdr>
    </w:div>
    <w:div w:id="1101141220">
      <w:bodyDiv w:val="1"/>
      <w:marLeft w:val="0"/>
      <w:marRight w:val="0"/>
      <w:marTop w:val="0"/>
      <w:marBottom w:val="0"/>
      <w:divBdr>
        <w:top w:val="none" w:sz="0" w:space="0" w:color="auto"/>
        <w:left w:val="none" w:sz="0" w:space="0" w:color="auto"/>
        <w:bottom w:val="none" w:sz="0" w:space="0" w:color="auto"/>
        <w:right w:val="none" w:sz="0" w:space="0" w:color="auto"/>
      </w:divBdr>
    </w:div>
    <w:div w:id="1168784510">
      <w:bodyDiv w:val="1"/>
      <w:marLeft w:val="0"/>
      <w:marRight w:val="0"/>
      <w:marTop w:val="0"/>
      <w:marBottom w:val="0"/>
      <w:divBdr>
        <w:top w:val="none" w:sz="0" w:space="0" w:color="auto"/>
        <w:left w:val="none" w:sz="0" w:space="0" w:color="auto"/>
        <w:bottom w:val="none" w:sz="0" w:space="0" w:color="auto"/>
        <w:right w:val="none" w:sz="0" w:space="0" w:color="auto"/>
      </w:divBdr>
    </w:div>
    <w:div w:id="1280990130">
      <w:bodyDiv w:val="1"/>
      <w:marLeft w:val="0"/>
      <w:marRight w:val="0"/>
      <w:marTop w:val="0"/>
      <w:marBottom w:val="0"/>
      <w:divBdr>
        <w:top w:val="none" w:sz="0" w:space="0" w:color="auto"/>
        <w:left w:val="none" w:sz="0" w:space="0" w:color="auto"/>
        <w:bottom w:val="none" w:sz="0" w:space="0" w:color="auto"/>
        <w:right w:val="none" w:sz="0" w:space="0" w:color="auto"/>
      </w:divBdr>
    </w:div>
    <w:div w:id="1284536178">
      <w:bodyDiv w:val="1"/>
      <w:marLeft w:val="0"/>
      <w:marRight w:val="0"/>
      <w:marTop w:val="0"/>
      <w:marBottom w:val="0"/>
      <w:divBdr>
        <w:top w:val="none" w:sz="0" w:space="0" w:color="auto"/>
        <w:left w:val="none" w:sz="0" w:space="0" w:color="auto"/>
        <w:bottom w:val="none" w:sz="0" w:space="0" w:color="auto"/>
        <w:right w:val="none" w:sz="0" w:space="0" w:color="auto"/>
      </w:divBdr>
    </w:div>
    <w:div w:id="1297295781">
      <w:bodyDiv w:val="1"/>
      <w:marLeft w:val="0"/>
      <w:marRight w:val="0"/>
      <w:marTop w:val="0"/>
      <w:marBottom w:val="0"/>
      <w:divBdr>
        <w:top w:val="none" w:sz="0" w:space="0" w:color="auto"/>
        <w:left w:val="none" w:sz="0" w:space="0" w:color="auto"/>
        <w:bottom w:val="none" w:sz="0" w:space="0" w:color="auto"/>
        <w:right w:val="none" w:sz="0" w:space="0" w:color="auto"/>
      </w:divBdr>
    </w:div>
    <w:div w:id="1364591981">
      <w:bodyDiv w:val="1"/>
      <w:marLeft w:val="0"/>
      <w:marRight w:val="0"/>
      <w:marTop w:val="0"/>
      <w:marBottom w:val="0"/>
      <w:divBdr>
        <w:top w:val="none" w:sz="0" w:space="0" w:color="auto"/>
        <w:left w:val="none" w:sz="0" w:space="0" w:color="auto"/>
        <w:bottom w:val="none" w:sz="0" w:space="0" w:color="auto"/>
        <w:right w:val="none" w:sz="0" w:space="0" w:color="auto"/>
      </w:divBdr>
    </w:div>
    <w:div w:id="1388803390">
      <w:bodyDiv w:val="1"/>
      <w:marLeft w:val="0"/>
      <w:marRight w:val="0"/>
      <w:marTop w:val="0"/>
      <w:marBottom w:val="0"/>
      <w:divBdr>
        <w:top w:val="none" w:sz="0" w:space="0" w:color="auto"/>
        <w:left w:val="none" w:sz="0" w:space="0" w:color="auto"/>
        <w:bottom w:val="none" w:sz="0" w:space="0" w:color="auto"/>
        <w:right w:val="none" w:sz="0" w:space="0" w:color="auto"/>
      </w:divBdr>
    </w:div>
    <w:div w:id="1499267627">
      <w:bodyDiv w:val="1"/>
      <w:marLeft w:val="0"/>
      <w:marRight w:val="0"/>
      <w:marTop w:val="0"/>
      <w:marBottom w:val="0"/>
      <w:divBdr>
        <w:top w:val="none" w:sz="0" w:space="0" w:color="auto"/>
        <w:left w:val="none" w:sz="0" w:space="0" w:color="auto"/>
        <w:bottom w:val="none" w:sz="0" w:space="0" w:color="auto"/>
        <w:right w:val="none" w:sz="0" w:space="0" w:color="auto"/>
      </w:divBdr>
    </w:div>
    <w:div w:id="1590843280">
      <w:bodyDiv w:val="1"/>
      <w:marLeft w:val="0"/>
      <w:marRight w:val="0"/>
      <w:marTop w:val="0"/>
      <w:marBottom w:val="0"/>
      <w:divBdr>
        <w:top w:val="none" w:sz="0" w:space="0" w:color="auto"/>
        <w:left w:val="none" w:sz="0" w:space="0" w:color="auto"/>
        <w:bottom w:val="none" w:sz="0" w:space="0" w:color="auto"/>
        <w:right w:val="none" w:sz="0" w:space="0" w:color="auto"/>
      </w:divBdr>
    </w:div>
    <w:div w:id="1616476451">
      <w:bodyDiv w:val="1"/>
      <w:marLeft w:val="0"/>
      <w:marRight w:val="0"/>
      <w:marTop w:val="0"/>
      <w:marBottom w:val="0"/>
      <w:divBdr>
        <w:top w:val="none" w:sz="0" w:space="0" w:color="auto"/>
        <w:left w:val="none" w:sz="0" w:space="0" w:color="auto"/>
        <w:bottom w:val="none" w:sz="0" w:space="0" w:color="auto"/>
        <w:right w:val="none" w:sz="0" w:space="0" w:color="auto"/>
      </w:divBdr>
    </w:div>
    <w:div w:id="1653559759">
      <w:bodyDiv w:val="1"/>
      <w:marLeft w:val="0"/>
      <w:marRight w:val="0"/>
      <w:marTop w:val="0"/>
      <w:marBottom w:val="0"/>
      <w:divBdr>
        <w:top w:val="none" w:sz="0" w:space="0" w:color="auto"/>
        <w:left w:val="none" w:sz="0" w:space="0" w:color="auto"/>
        <w:bottom w:val="none" w:sz="0" w:space="0" w:color="auto"/>
        <w:right w:val="none" w:sz="0" w:space="0" w:color="auto"/>
      </w:divBdr>
      <w:divsChild>
        <w:div w:id="1315833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737926">
      <w:bodyDiv w:val="1"/>
      <w:marLeft w:val="0"/>
      <w:marRight w:val="0"/>
      <w:marTop w:val="0"/>
      <w:marBottom w:val="0"/>
      <w:divBdr>
        <w:top w:val="none" w:sz="0" w:space="0" w:color="auto"/>
        <w:left w:val="none" w:sz="0" w:space="0" w:color="auto"/>
        <w:bottom w:val="none" w:sz="0" w:space="0" w:color="auto"/>
        <w:right w:val="none" w:sz="0" w:space="0" w:color="auto"/>
      </w:divBdr>
    </w:div>
    <w:div w:id="1741824327">
      <w:bodyDiv w:val="1"/>
      <w:marLeft w:val="0"/>
      <w:marRight w:val="0"/>
      <w:marTop w:val="0"/>
      <w:marBottom w:val="0"/>
      <w:divBdr>
        <w:top w:val="none" w:sz="0" w:space="0" w:color="auto"/>
        <w:left w:val="none" w:sz="0" w:space="0" w:color="auto"/>
        <w:bottom w:val="none" w:sz="0" w:space="0" w:color="auto"/>
        <w:right w:val="none" w:sz="0" w:space="0" w:color="auto"/>
      </w:divBdr>
    </w:div>
    <w:div w:id="1812359695">
      <w:bodyDiv w:val="1"/>
      <w:marLeft w:val="0"/>
      <w:marRight w:val="0"/>
      <w:marTop w:val="0"/>
      <w:marBottom w:val="0"/>
      <w:divBdr>
        <w:top w:val="none" w:sz="0" w:space="0" w:color="auto"/>
        <w:left w:val="none" w:sz="0" w:space="0" w:color="auto"/>
        <w:bottom w:val="none" w:sz="0" w:space="0" w:color="auto"/>
        <w:right w:val="none" w:sz="0" w:space="0" w:color="auto"/>
      </w:divBdr>
    </w:div>
    <w:div w:id="1815558073">
      <w:bodyDiv w:val="1"/>
      <w:marLeft w:val="0"/>
      <w:marRight w:val="0"/>
      <w:marTop w:val="0"/>
      <w:marBottom w:val="0"/>
      <w:divBdr>
        <w:top w:val="none" w:sz="0" w:space="0" w:color="auto"/>
        <w:left w:val="none" w:sz="0" w:space="0" w:color="auto"/>
        <w:bottom w:val="none" w:sz="0" w:space="0" w:color="auto"/>
        <w:right w:val="none" w:sz="0" w:space="0" w:color="auto"/>
      </w:divBdr>
    </w:div>
    <w:div w:id="1893883098">
      <w:bodyDiv w:val="1"/>
      <w:marLeft w:val="0"/>
      <w:marRight w:val="0"/>
      <w:marTop w:val="0"/>
      <w:marBottom w:val="0"/>
      <w:divBdr>
        <w:top w:val="none" w:sz="0" w:space="0" w:color="auto"/>
        <w:left w:val="none" w:sz="0" w:space="0" w:color="auto"/>
        <w:bottom w:val="none" w:sz="0" w:space="0" w:color="auto"/>
        <w:right w:val="none" w:sz="0" w:space="0" w:color="auto"/>
      </w:divBdr>
    </w:div>
    <w:div w:id="2046103107">
      <w:bodyDiv w:val="1"/>
      <w:marLeft w:val="0"/>
      <w:marRight w:val="0"/>
      <w:marTop w:val="0"/>
      <w:marBottom w:val="0"/>
      <w:divBdr>
        <w:top w:val="none" w:sz="0" w:space="0" w:color="auto"/>
        <w:left w:val="none" w:sz="0" w:space="0" w:color="auto"/>
        <w:bottom w:val="none" w:sz="0" w:space="0" w:color="auto"/>
        <w:right w:val="none" w:sz="0" w:space="0" w:color="auto"/>
      </w:divBdr>
    </w:div>
    <w:div w:id="2046246595">
      <w:bodyDiv w:val="1"/>
      <w:marLeft w:val="0"/>
      <w:marRight w:val="0"/>
      <w:marTop w:val="0"/>
      <w:marBottom w:val="0"/>
      <w:divBdr>
        <w:top w:val="none" w:sz="0" w:space="0" w:color="auto"/>
        <w:left w:val="none" w:sz="0" w:space="0" w:color="auto"/>
        <w:bottom w:val="none" w:sz="0" w:space="0" w:color="auto"/>
        <w:right w:val="none" w:sz="0" w:space="0" w:color="auto"/>
      </w:divBdr>
    </w:div>
    <w:div w:id="2047832150">
      <w:bodyDiv w:val="1"/>
      <w:marLeft w:val="0"/>
      <w:marRight w:val="0"/>
      <w:marTop w:val="0"/>
      <w:marBottom w:val="0"/>
      <w:divBdr>
        <w:top w:val="none" w:sz="0" w:space="0" w:color="auto"/>
        <w:left w:val="none" w:sz="0" w:space="0" w:color="auto"/>
        <w:bottom w:val="none" w:sz="0" w:space="0" w:color="auto"/>
        <w:right w:val="none" w:sz="0" w:space="0" w:color="auto"/>
      </w:divBdr>
      <w:divsChild>
        <w:div w:id="1681347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826671">
      <w:bodyDiv w:val="1"/>
      <w:marLeft w:val="0"/>
      <w:marRight w:val="0"/>
      <w:marTop w:val="0"/>
      <w:marBottom w:val="0"/>
      <w:divBdr>
        <w:top w:val="none" w:sz="0" w:space="0" w:color="auto"/>
        <w:left w:val="none" w:sz="0" w:space="0" w:color="auto"/>
        <w:bottom w:val="none" w:sz="0" w:space="0" w:color="auto"/>
        <w:right w:val="none" w:sz="0" w:space="0" w:color="auto"/>
      </w:divBdr>
    </w:div>
    <w:div w:id="2109498478">
      <w:bodyDiv w:val="1"/>
      <w:marLeft w:val="0"/>
      <w:marRight w:val="0"/>
      <w:marTop w:val="0"/>
      <w:marBottom w:val="0"/>
      <w:divBdr>
        <w:top w:val="none" w:sz="0" w:space="0" w:color="auto"/>
        <w:left w:val="none" w:sz="0" w:space="0" w:color="auto"/>
        <w:bottom w:val="none" w:sz="0" w:space="0" w:color="auto"/>
        <w:right w:val="none" w:sz="0" w:space="0" w:color="auto"/>
      </w:divBdr>
      <w:divsChild>
        <w:div w:id="1465461953">
          <w:marLeft w:val="0"/>
          <w:marRight w:val="0"/>
          <w:marTop w:val="0"/>
          <w:marBottom w:val="0"/>
          <w:divBdr>
            <w:top w:val="none" w:sz="0" w:space="0" w:color="auto"/>
            <w:left w:val="none" w:sz="0" w:space="0" w:color="auto"/>
            <w:bottom w:val="none" w:sz="0" w:space="0" w:color="auto"/>
            <w:right w:val="none" w:sz="0" w:space="0" w:color="auto"/>
          </w:divBdr>
        </w:div>
        <w:div w:id="1835686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1.617300" TargetMode="External"/><Relationship Id="rId13" Type="http://schemas.openxmlformats.org/officeDocument/2006/relationships/hyperlink" Target="https://doi.org/10.21859/LRR.11.5.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4664208.2018.15539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130/ud-jst.2025.23(10A).4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59294/HIUJS.30.2024.648" TargetMode="External"/><Relationship Id="rId4" Type="http://schemas.openxmlformats.org/officeDocument/2006/relationships/settings" Target="settings.xml"/><Relationship Id="rId9" Type="http://schemas.openxmlformats.org/officeDocument/2006/relationships/hyperlink" Target="https://doi.org/10.56824/vujs.2024.htkhgd90" TargetMode="External"/><Relationship Id="rId14" Type="http://schemas.openxmlformats.org/officeDocument/2006/relationships/hyperlink" Target="https://doi.org/10.1007/978-981-16-0057-9_14"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45D0-B8F1-477F-BFB9-69848B30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8</Pages>
  <Words>4527</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ngoaingu12345@outlook.com.vn</dc:creator>
  <cp:keywords/>
  <dc:description/>
  <cp:lastModifiedBy>Vo Duy Quan</cp:lastModifiedBy>
  <cp:revision>157</cp:revision>
  <dcterms:created xsi:type="dcterms:W3CDTF">2026-03-12T15:37:00Z</dcterms:created>
  <dcterms:modified xsi:type="dcterms:W3CDTF">2026-05-10T13:01:00Z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2352d019-84bb-4c6c-bf5d-90b4abb9cc8a</vt:lpwstr>
  </property>
</Properties>
</file>