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5E8E37" w14:textId="53C3DA35" w:rsidR="00E27AB7" w:rsidRPr="00DF37F2" w:rsidRDefault="00000000" w:rsidP="00DF37F2">
      <w:pPr>
        <w:pStyle w:val="Heading1"/>
        <w:jc w:val="center"/>
        <w:rPr>
          <w:rFonts w:ascii="Times New Roman" w:hAnsi="Times New Roman" w:cs="Times New Roman"/>
          <w:b/>
          <w:bCs/>
          <w:color w:val="auto"/>
          <w:sz w:val="28"/>
          <w:szCs w:val="28"/>
        </w:rPr>
      </w:pPr>
      <w:bookmarkStart w:id="0" w:name="_Hlk221693843"/>
      <w:bookmarkStart w:id="1" w:name="Xcb1753956bd646b2eec247322b71fc96a98154a"/>
      <w:proofErr w:type="spellStart"/>
      <w:r w:rsidRPr="00DF37F2">
        <w:rPr>
          <w:rFonts w:ascii="Times New Roman" w:hAnsi="Times New Roman" w:cs="Times New Roman"/>
          <w:b/>
          <w:bCs/>
          <w:color w:val="auto"/>
          <w:sz w:val="28"/>
          <w:szCs w:val="28"/>
        </w:rPr>
        <w:t>Trans</w:t>
      </w:r>
      <w:r w:rsidR="00F104A3" w:rsidRPr="00DF37F2">
        <w:rPr>
          <w:rFonts w:ascii="Times New Roman" w:hAnsi="Times New Roman" w:cs="Times New Roman"/>
          <w:b/>
          <w:bCs/>
          <w:color w:val="auto"/>
          <w:sz w:val="28"/>
          <w:szCs w:val="28"/>
        </w:rPr>
        <w:t>interpret</w:t>
      </w:r>
      <w:r w:rsidRPr="00DF37F2">
        <w:rPr>
          <w:rFonts w:ascii="Times New Roman" w:hAnsi="Times New Roman" w:cs="Times New Roman"/>
          <w:b/>
          <w:bCs/>
          <w:color w:val="auto"/>
          <w:sz w:val="28"/>
          <w:szCs w:val="28"/>
        </w:rPr>
        <w:t>ation</w:t>
      </w:r>
      <w:proofErr w:type="spellEnd"/>
      <w:r w:rsidRPr="00DF37F2">
        <w:rPr>
          <w:rFonts w:ascii="Times New Roman" w:hAnsi="Times New Roman" w:cs="Times New Roman"/>
          <w:b/>
          <w:bCs/>
          <w:color w:val="auto"/>
          <w:sz w:val="28"/>
          <w:szCs w:val="28"/>
        </w:rPr>
        <w:t xml:space="preserve"> Pedagogy</w:t>
      </w:r>
      <w:r w:rsidR="008D7248" w:rsidRPr="00DF37F2">
        <w:rPr>
          <w:rFonts w:ascii="Times New Roman" w:hAnsi="Times New Roman" w:cs="Times New Roman"/>
          <w:b/>
          <w:bCs/>
          <w:color w:val="auto"/>
          <w:sz w:val="28"/>
          <w:szCs w:val="28"/>
        </w:rPr>
        <w:t xml:space="preserve"> and Application of Artificial Intelligence for better motivation</w:t>
      </w:r>
      <w:r w:rsidRPr="00DF37F2">
        <w:rPr>
          <w:rFonts w:ascii="Times New Roman" w:hAnsi="Times New Roman" w:cs="Times New Roman"/>
          <w:b/>
          <w:bCs/>
          <w:color w:val="auto"/>
          <w:sz w:val="28"/>
          <w:szCs w:val="28"/>
        </w:rPr>
        <w:t xml:space="preserve">: </w:t>
      </w:r>
      <w:r w:rsidR="00DE7719">
        <w:rPr>
          <w:rFonts w:ascii="Times New Roman" w:hAnsi="Times New Roman" w:cs="Times New Roman"/>
          <w:b/>
          <w:bCs/>
          <w:color w:val="auto"/>
          <w:sz w:val="28"/>
          <w:szCs w:val="28"/>
        </w:rPr>
        <w:t>Empirical</w:t>
      </w:r>
      <w:r w:rsidRPr="00DF37F2">
        <w:rPr>
          <w:rFonts w:ascii="Times New Roman" w:hAnsi="Times New Roman" w:cs="Times New Roman"/>
          <w:b/>
          <w:bCs/>
          <w:color w:val="auto"/>
          <w:sz w:val="28"/>
          <w:szCs w:val="28"/>
        </w:rPr>
        <w:t xml:space="preserve"> Evidence from TMT Exercises</w:t>
      </w:r>
    </w:p>
    <w:p w14:paraId="52415A61" w14:textId="74C7D529" w:rsidR="008E1E1A" w:rsidRPr="002D4D4D" w:rsidRDefault="00DF37F2" w:rsidP="00105435">
      <w:pPr>
        <w:spacing w:after="0"/>
        <w:ind w:left="1140" w:right="1140"/>
        <w:jc w:val="center"/>
        <w:rPr>
          <w:rFonts w:asciiTheme="majorHAnsi" w:hAnsiTheme="majorHAnsi" w:cstheme="majorHAnsi"/>
          <w:color w:val="FF0000"/>
        </w:rPr>
      </w:pPr>
      <w:r w:rsidRPr="00DF37F2">
        <w:rPr>
          <w:rFonts w:ascii="Times New Roman" w:hAnsi="Times New Roman" w:cs="Times New Roman"/>
        </w:rPr>
        <w:t>By Nguyen Duc Chau</w:t>
      </w:r>
    </w:p>
    <w:p w14:paraId="1AB9A8DD" w14:textId="30352078" w:rsidR="00DF37F2" w:rsidRPr="00DF37F2" w:rsidRDefault="00DF37F2" w:rsidP="00DF37F2">
      <w:pPr>
        <w:pStyle w:val="BodyText"/>
        <w:jc w:val="center"/>
        <w:rPr>
          <w:rFonts w:ascii="Times New Roman" w:hAnsi="Times New Roman" w:cs="Times New Roman"/>
        </w:rPr>
      </w:pPr>
    </w:p>
    <w:p w14:paraId="2782B910" w14:textId="77777777" w:rsidR="00E27AB7" w:rsidRPr="007574E8" w:rsidRDefault="00000000">
      <w:pPr>
        <w:pStyle w:val="Heading2"/>
        <w:rPr>
          <w:rFonts w:ascii="Times New Roman" w:hAnsi="Times New Roman" w:cs="Times New Roman"/>
          <w:b/>
          <w:bCs/>
          <w:color w:val="auto"/>
          <w:sz w:val="24"/>
          <w:szCs w:val="24"/>
        </w:rPr>
      </w:pPr>
      <w:bookmarkStart w:id="2" w:name="abstract"/>
      <w:r w:rsidRPr="007574E8">
        <w:rPr>
          <w:rFonts w:ascii="Times New Roman" w:hAnsi="Times New Roman" w:cs="Times New Roman"/>
          <w:b/>
          <w:bCs/>
          <w:color w:val="auto"/>
          <w:sz w:val="24"/>
          <w:szCs w:val="24"/>
        </w:rPr>
        <w:t>Abstract</w:t>
      </w:r>
    </w:p>
    <w:p w14:paraId="5D024F90" w14:textId="19A1D381" w:rsidR="00E27AB7" w:rsidRPr="00DF37F2" w:rsidRDefault="00000000">
      <w:pPr>
        <w:pStyle w:val="FirstParagraph"/>
        <w:rPr>
          <w:rFonts w:ascii="Times New Roman" w:hAnsi="Times New Roman" w:cs="Times New Roman"/>
        </w:rPr>
      </w:pPr>
      <w:r w:rsidRPr="00DF37F2">
        <w:rPr>
          <w:rFonts w:ascii="Times New Roman" w:hAnsi="Times New Roman" w:cs="Times New Roman"/>
        </w:rPr>
        <w:t xml:space="preserve">This paper </w:t>
      </w:r>
      <w:r w:rsidR="000A1F89" w:rsidRPr="00DF37F2">
        <w:rPr>
          <w:rFonts w:ascii="Times New Roman" w:hAnsi="Times New Roman" w:cs="Times New Roman"/>
        </w:rPr>
        <w:t xml:space="preserve">aims to </w:t>
      </w:r>
      <w:r w:rsidRPr="00DF37F2">
        <w:rPr>
          <w:rFonts w:ascii="Times New Roman" w:hAnsi="Times New Roman" w:cs="Times New Roman"/>
        </w:rPr>
        <w:t xml:space="preserve">expand previous investigations into the pedagogical application of artificial intelligence (AI) in translation studies by synthesizing empirical survey data on students’ use of AI in </w:t>
      </w:r>
      <w:r w:rsidRPr="00DF37F2">
        <w:rPr>
          <w:rFonts w:ascii="Times New Roman" w:hAnsi="Times New Roman" w:cs="Times New Roman"/>
          <w:i/>
          <w:iCs/>
        </w:rPr>
        <w:t xml:space="preserve">Theories and Methods of </w:t>
      </w:r>
      <w:proofErr w:type="spellStart"/>
      <w:r w:rsidRPr="00DF37F2">
        <w:rPr>
          <w:rFonts w:ascii="Times New Roman" w:hAnsi="Times New Roman" w:cs="Times New Roman"/>
          <w:i/>
          <w:iCs/>
        </w:rPr>
        <w:t>Transinterpretation</w:t>
      </w:r>
      <w:proofErr w:type="spellEnd"/>
      <w:r w:rsidRPr="00DF37F2">
        <w:rPr>
          <w:rFonts w:ascii="Times New Roman" w:hAnsi="Times New Roman" w:cs="Times New Roman"/>
        </w:rPr>
        <w:t xml:space="preserve"> (TMT) exercises with an instructional design framework for composing Vietnamese–English structural translation tasks</w:t>
      </w:r>
      <w:r w:rsidR="000A1F89" w:rsidRPr="00DF37F2">
        <w:rPr>
          <w:rFonts w:ascii="Times New Roman" w:hAnsi="Times New Roman" w:cs="Times New Roman"/>
        </w:rPr>
        <w:t>, which are hopefully brought a new atmosphere to further motivate students</w:t>
      </w:r>
      <w:r w:rsidRPr="00DF37F2">
        <w:rPr>
          <w:rFonts w:ascii="Times New Roman" w:hAnsi="Times New Roman" w:cs="Times New Roman"/>
        </w:rPr>
        <w:t xml:space="preserve">. Drawing on classroom-based evidence collected from </w:t>
      </w:r>
      <w:r w:rsidR="005151C0">
        <w:rPr>
          <w:rFonts w:ascii="Times New Roman" w:hAnsi="Times New Roman" w:cs="Times New Roman"/>
        </w:rPr>
        <w:t>79</w:t>
      </w:r>
      <w:r w:rsidRPr="00DF37F2">
        <w:rPr>
          <w:rFonts w:ascii="Times New Roman" w:hAnsi="Times New Roman" w:cs="Times New Roman"/>
        </w:rPr>
        <w:t xml:space="preserve"> undergraduate students and an applied methodological model developed at HUFLIT, the study proposes a comprehensive, AI-assisted pedagogy that balances automation with human editorial control. The findings demonstrate that AI-enhanced structural translation exercises can significantly improve student motivation, engagement, and perceived competence, provided that instructors actively curate linguistic structures, vocabulary domains, and contextual complexity. The paper contributes </w:t>
      </w:r>
      <w:r w:rsidR="00F131D0" w:rsidRPr="00F131D0">
        <w:rPr>
          <w:rFonts w:ascii="Times New Roman" w:eastAsiaTheme="majorEastAsia" w:hAnsi="Times New Roman" w:cs="Times New Roman"/>
        </w:rPr>
        <w:t xml:space="preserve">the instructional framework validated using descriptive and multi-factor SPSS analyses, confirming </w:t>
      </w:r>
      <w:r w:rsidRPr="00DF37F2">
        <w:rPr>
          <w:rFonts w:ascii="Times New Roman" w:hAnsi="Times New Roman" w:cs="Times New Roman"/>
        </w:rPr>
        <w:t>a scalable instructional model, a validated exercise-design workflow, and pedagogical implications for translation programs in comparable EFL contexts.</w:t>
      </w:r>
    </w:p>
    <w:p w14:paraId="3CB31C5B" w14:textId="52226312" w:rsidR="00E27AB7" w:rsidRPr="00DF37F2" w:rsidRDefault="00000000">
      <w:pPr>
        <w:pStyle w:val="BodyText"/>
        <w:rPr>
          <w:rFonts w:ascii="Times New Roman" w:hAnsi="Times New Roman" w:cs="Times New Roman"/>
        </w:rPr>
      </w:pPr>
      <w:r w:rsidRPr="00DF37F2">
        <w:rPr>
          <w:rFonts w:ascii="Times New Roman" w:hAnsi="Times New Roman" w:cs="Times New Roman"/>
          <w:b/>
          <w:bCs/>
        </w:rPr>
        <w:t>Keywords:</w:t>
      </w:r>
      <w:r w:rsidRPr="00DF37F2">
        <w:rPr>
          <w:rFonts w:ascii="Times New Roman" w:hAnsi="Times New Roman" w:cs="Times New Roman"/>
        </w:rPr>
        <w:t xml:space="preserve"> structural translation, </w:t>
      </w:r>
      <w:proofErr w:type="spellStart"/>
      <w:r w:rsidRPr="00DF37F2">
        <w:rPr>
          <w:rFonts w:ascii="Times New Roman" w:hAnsi="Times New Roman" w:cs="Times New Roman"/>
        </w:rPr>
        <w:t>transinterpretation</w:t>
      </w:r>
      <w:proofErr w:type="spellEnd"/>
      <w:r w:rsidRPr="00DF37F2">
        <w:rPr>
          <w:rFonts w:ascii="Times New Roman" w:hAnsi="Times New Roman" w:cs="Times New Roman"/>
        </w:rPr>
        <w:t>, learning motivation, Vietnamese–English translation</w:t>
      </w:r>
    </w:p>
    <w:p w14:paraId="2B71E67E" w14:textId="404B3319" w:rsidR="00E27AB7" w:rsidRPr="00DF37F2" w:rsidRDefault="00C34A7C">
      <w:pPr>
        <w:pStyle w:val="Heading2"/>
        <w:rPr>
          <w:rFonts w:ascii="Times New Roman" w:hAnsi="Times New Roman" w:cs="Times New Roman"/>
          <w:color w:val="auto"/>
          <w:sz w:val="24"/>
          <w:szCs w:val="24"/>
        </w:rPr>
      </w:pPr>
      <w:bookmarkStart w:id="3" w:name="introduction"/>
      <w:bookmarkEnd w:id="2"/>
      <w:r w:rsidRPr="00DF37F2">
        <w:rPr>
          <w:rFonts w:ascii="Times New Roman" w:hAnsi="Times New Roman" w:cs="Times New Roman"/>
          <w:color w:val="auto"/>
          <w:sz w:val="24"/>
          <w:szCs w:val="24"/>
        </w:rPr>
        <w:t>I. Introduction</w:t>
      </w:r>
    </w:p>
    <w:p w14:paraId="4BA44C62" w14:textId="77777777" w:rsidR="00E27AB7" w:rsidRPr="00DF37F2" w:rsidRDefault="00000000">
      <w:pPr>
        <w:pStyle w:val="Heading3"/>
        <w:rPr>
          <w:rFonts w:ascii="Times New Roman" w:hAnsi="Times New Roman" w:cs="Times New Roman"/>
          <w:sz w:val="24"/>
          <w:szCs w:val="24"/>
        </w:rPr>
      </w:pPr>
      <w:bookmarkStart w:id="4" w:name="background-and-rationale"/>
      <w:r w:rsidRPr="00DF37F2">
        <w:rPr>
          <w:rFonts w:ascii="Times New Roman" w:hAnsi="Times New Roman" w:cs="Times New Roman"/>
          <w:color w:val="auto"/>
          <w:sz w:val="24"/>
          <w:szCs w:val="24"/>
        </w:rPr>
        <w:t>1.1 Background and Rationale</w:t>
      </w:r>
    </w:p>
    <w:p w14:paraId="791338EB" w14:textId="50BFAA08" w:rsidR="00E27AB7" w:rsidRPr="00DF37F2" w:rsidRDefault="00000000">
      <w:pPr>
        <w:pStyle w:val="FirstParagraph"/>
        <w:rPr>
          <w:rFonts w:ascii="Times New Roman" w:hAnsi="Times New Roman" w:cs="Times New Roman"/>
        </w:rPr>
      </w:pPr>
      <w:r w:rsidRPr="00DF37F2">
        <w:rPr>
          <w:rFonts w:ascii="Times New Roman" w:hAnsi="Times New Roman" w:cs="Times New Roman"/>
        </w:rPr>
        <w:t xml:space="preserve">Translation pedagogy has long emphasized the centrality of grammatical structure, lexical precision, and contextual sensitivity. In Vietnamese tertiary education, especially in English-major programs, translation courses such as </w:t>
      </w:r>
      <w:r w:rsidRPr="00DF37F2">
        <w:rPr>
          <w:rFonts w:ascii="Times New Roman" w:hAnsi="Times New Roman" w:cs="Times New Roman"/>
          <w:i/>
          <w:iCs/>
        </w:rPr>
        <w:t>Translation 1</w:t>
      </w:r>
      <w:r w:rsidRPr="00DF37F2">
        <w:rPr>
          <w:rFonts w:ascii="Times New Roman" w:hAnsi="Times New Roman" w:cs="Times New Roman"/>
        </w:rPr>
        <w:t xml:space="preserve"> and </w:t>
      </w:r>
      <w:r w:rsidRPr="00DF37F2">
        <w:rPr>
          <w:rFonts w:ascii="Times New Roman" w:hAnsi="Times New Roman" w:cs="Times New Roman"/>
          <w:i/>
          <w:iCs/>
        </w:rPr>
        <w:t xml:space="preserve">Theories and Methods of </w:t>
      </w:r>
      <w:proofErr w:type="spellStart"/>
      <w:r w:rsidRPr="00DF37F2">
        <w:rPr>
          <w:rFonts w:ascii="Times New Roman" w:hAnsi="Times New Roman" w:cs="Times New Roman"/>
          <w:i/>
          <w:iCs/>
        </w:rPr>
        <w:t>Transinterpretation</w:t>
      </w:r>
      <w:proofErr w:type="spellEnd"/>
      <w:r w:rsidRPr="00DF37F2">
        <w:rPr>
          <w:rFonts w:ascii="Times New Roman" w:hAnsi="Times New Roman" w:cs="Times New Roman"/>
        </w:rPr>
        <w:t xml:space="preserve"> (TMT) are foundational subjects that bridge linguistic competence and professional practice. However, the rapid proliferation of freely accessible AI-powered tools—such as ChatGPT, </w:t>
      </w:r>
      <w:r w:rsidR="00C85016" w:rsidRPr="00DF37F2">
        <w:rPr>
          <w:rFonts w:ascii="Times New Roman" w:hAnsi="Times New Roman" w:cs="Times New Roman"/>
        </w:rPr>
        <w:t xml:space="preserve">Gemini, </w:t>
      </w:r>
      <w:r w:rsidRPr="00DF37F2">
        <w:rPr>
          <w:rFonts w:ascii="Times New Roman" w:hAnsi="Times New Roman" w:cs="Times New Roman"/>
        </w:rPr>
        <w:t>Google Translate, Bing Translator, and Google Lens Homework—has profoundly altered students’ learning behaviors.</w:t>
      </w:r>
    </w:p>
    <w:p w14:paraId="717B9018" w14:textId="0247C599" w:rsidR="00E27AB7" w:rsidRPr="00DF37F2" w:rsidRDefault="00000000">
      <w:pPr>
        <w:pStyle w:val="BodyText"/>
        <w:rPr>
          <w:rFonts w:ascii="Times New Roman" w:hAnsi="Times New Roman" w:cs="Times New Roman"/>
        </w:rPr>
      </w:pPr>
      <w:r w:rsidRPr="00DF37F2">
        <w:rPr>
          <w:rFonts w:ascii="Times New Roman" w:hAnsi="Times New Roman" w:cs="Times New Roman"/>
        </w:rPr>
        <w:t xml:space="preserve">While these tools offer unprecedented convenience, they also risk diminishing students’ intrinsic motivation and weakening their structural awareness. Many learners increasingly perceive translation as a mechanical process reducible to prompt input and output retrieval. This perception threatens the pedagogical core of translation studies, which traditionally cultivates analytical reasoning, structural sensitivity, and </w:t>
      </w:r>
      <w:r w:rsidR="00286DB2" w:rsidRPr="00DF37F2">
        <w:rPr>
          <w:rFonts w:ascii="Times New Roman" w:hAnsi="Times New Roman" w:cs="Times New Roman"/>
        </w:rPr>
        <w:t xml:space="preserve">especially, </w:t>
      </w:r>
      <w:r w:rsidRPr="00DF37F2">
        <w:rPr>
          <w:rFonts w:ascii="Times New Roman" w:hAnsi="Times New Roman" w:cs="Times New Roman"/>
        </w:rPr>
        <w:t>stylistic judgment</w:t>
      </w:r>
      <w:r w:rsidR="00286DB2" w:rsidRPr="00DF37F2">
        <w:rPr>
          <w:rFonts w:ascii="Times New Roman" w:hAnsi="Times New Roman" w:cs="Times New Roman"/>
        </w:rPr>
        <w:t xml:space="preserve">, and especially, the employment of </w:t>
      </w:r>
      <w:r w:rsidR="0069513E" w:rsidRPr="00DF37F2">
        <w:rPr>
          <w:rFonts w:ascii="Times New Roman" w:hAnsi="Times New Roman" w:cs="Times New Roman"/>
        </w:rPr>
        <w:t>linguistic</w:t>
      </w:r>
      <w:r w:rsidR="00286DB2" w:rsidRPr="00DF37F2">
        <w:rPr>
          <w:rFonts w:ascii="Times New Roman" w:hAnsi="Times New Roman" w:cs="Times New Roman"/>
        </w:rPr>
        <w:t xml:space="preserve"> use</w:t>
      </w:r>
      <w:r w:rsidRPr="00DF37F2">
        <w:rPr>
          <w:rFonts w:ascii="Times New Roman" w:hAnsi="Times New Roman" w:cs="Times New Roman"/>
        </w:rPr>
        <w:t>.</w:t>
      </w:r>
    </w:p>
    <w:p w14:paraId="2C53EB52" w14:textId="77777777" w:rsidR="00E27AB7" w:rsidRPr="00DF37F2" w:rsidRDefault="00000000">
      <w:pPr>
        <w:pStyle w:val="BodyText"/>
        <w:rPr>
          <w:rFonts w:ascii="Times New Roman" w:hAnsi="Times New Roman" w:cs="Times New Roman"/>
        </w:rPr>
      </w:pPr>
      <w:r w:rsidRPr="00DF37F2">
        <w:rPr>
          <w:rFonts w:ascii="Times New Roman" w:hAnsi="Times New Roman" w:cs="Times New Roman"/>
        </w:rPr>
        <w:t xml:space="preserve">Within HUFLIT, these challenges are amplified by the heterogeneous linguistic backgrounds of students. A considerable proportion come from regions where English instruction has been inconsistent, resulting in fragile grammatical foundations and limited academic vocabulary. </w:t>
      </w:r>
      <w:r w:rsidRPr="00DF37F2">
        <w:rPr>
          <w:rFonts w:ascii="Times New Roman" w:hAnsi="Times New Roman" w:cs="Times New Roman"/>
        </w:rPr>
        <w:lastRenderedPageBreak/>
        <w:t>Consequently, when students confront structurally demanding translation tasks, they tend to rely excessively on AI tools rather than developing independent competence.</w:t>
      </w:r>
    </w:p>
    <w:p w14:paraId="2A777358" w14:textId="77777777" w:rsidR="00E27AB7" w:rsidRPr="00DF37F2" w:rsidRDefault="00000000">
      <w:pPr>
        <w:pStyle w:val="Heading3"/>
        <w:rPr>
          <w:rFonts w:ascii="Times New Roman" w:hAnsi="Times New Roman" w:cs="Times New Roman"/>
          <w:color w:val="auto"/>
          <w:sz w:val="24"/>
          <w:szCs w:val="24"/>
        </w:rPr>
      </w:pPr>
      <w:bookmarkStart w:id="5" w:name="problem-statement"/>
      <w:bookmarkStart w:id="6" w:name="_Hlk221693863"/>
      <w:bookmarkEnd w:id="0"/>
      <w:bookmarkEnd w:id="4"/>
      <w:r w:rsidRPr="00DF37F2">
        <w:rPr>
          <w:rFonts w:ascii="Times New Roman" w:hAnsi="Times New Roman" w:cs="Times New Roman"/>
          <w:color w:val="auto"/>
          <w:sz w:val="24"/>
          <w:szCs w:val="24"/>
        </w:rPr>
        <w:t>1.2 Problem Statement</w:t>
      </w:r>
    </w:p>
    <w:p w14:paraId="6350EA0C" w14:textId="77777777" w:rsidR="003C5F85" w:rsidRDefault="00000000">
      <w:pPr>
        <w:pStyle w:val="FirstParagraph"/>
      </w:pPr>
      <w:r w:rsidRPr="00DF37F2">
        <w:rPr>
          <w:rFonts w:ascii="Times New Roman" w:hAnsi="Times New Roman" w:cs="Times New Roman"/>
        </w:rPr>
        <w:t>Despite the ubiquity of AI translation tools, institutional assessment contexts—particularly proctored mid-term and final examinations—do not permit electronic assistance. This discrepancy exposes a critical gap between students’ AI-assisted coursework performance and their unaided examination outcomes. The problem is therefore not the existence of AI, but the absence of a pedagogically sound framework for integrating AI into translation instruction in a way that sustains motivation while strengthening structural competence.</w:t>
      </w:r>
      <w:r w:rsidR="00E900DB" w:rsidRPr="00E900DB">
        <w:t xml:space="preserve"> </w:t>
      </w:r>
    </w:p>
    <w:p w14:paraId="4390C68B" w14:textId="41A7F438" w:rsidR="00E27AB7" w:rsidRPr="00DF37F2" w:rsidRDefault="00E900DB">
      <w:pPr>
        <w:pStyle w:val="FirstParagraph"/>
        <w:rPr>
          <w:rFonts w:ascii="Times New Roman" w:hAnsi="Times New Roman" w:cs="Times New Roman"/>
        </w:rPr>
      </w:pPr>
      <w:r w:rsidRPr="00E900DB">
        <w:rPr>
          <w:rFonts w:ascii="Times New Roman" w:hAnsi="Times New Roman" w:cs="Times New Roman"/>
        </w:rPr>
        <w:t xml:space="preserve">While recent studies explore generative AI in general language learning and academic writing, a critical gap remains regarding how structured, AI-assisted instruction can be systematically deployed in advanced translation courses like Theories and Methods of </w:t>
      </w:r>
      <w:proofErr w:type="spellStart"/>
      <w:r w:rsidRPr="00E900DB">
        <w:rPr>
          <w:rFonts w:ascii="Times New Roman" w:hAnsi="Times New Roman" w:cs="Times New Roman"/>
        </w:rPr>
        <w:t>Transinterpretation</w:t>
      </w:r>
      <w:proofErr w:type="spellEnd"/>
      <w:r w:rsidRPr="00E900DB">
        <w:rPr>
          <w:rFonts w:ascii="Times New Roman" w:hAnsi="Times New Roman" w:cs="Times New Roman"/>
        </w:rPr>
        <w:t xml:space="preserve"> (TMT). Specifically, existing literature rarely examines Vietnamese–English structural translation pedagogy, nor does it provide empirical, classroom-based frameworks showing how deliberate instructor editorial intervention balances automated scaffolding with human oversight to simultaneously enhance learner motivation, structural awareness, and independent, unassisted examination competence in EFL tertiary contexts.</w:t>
      </w:r>
    </w:p>
    <w:p w14:paraId="669D19B5" w14:textId="77777777" w:rsidR="0069513E" w:rsidRPr="00DF37F2" w:rsidRDefault="00000000">
      <w:pPr>
        <w:pStyle w:val="Heading3"/>
        <w:rPr>
          <w:rFonts w:ascii="Times New Roman" w:hAnsi="Times New Roman" w:cs="Times New Roman"/>
          <w:color w:val="auto"/>
          <w:sz w:val="24"/>
          <w:szCs w:val="24"/>
        </w:rPr>
      </w:pPr>
      <w:bookmarkStart w:id="7" w:name="research-objectives-and-questions"/>
      <w:bookmarkEnd w:id="5"/>
      <w:r w:rsidRPr="00DF37F2">
        <w:rPr>
          <w:rFonts w:ascii="Times New Roman" w:hAnsi="Times New Roman" w:cs="Times New Roman"/>
          <w:color w:val="auto"/>
          <w:sz w:val="24"/>
          <w:szCs w:val="24"/>
        </w:rPr>
        <w:t xml:space="preserve">1.3 Research Objectives </w:t>
      </w:r>
    </w:p>
    <w:p w14:paraId="5D4E9FAD" w14:textId="6585CD96" w:rsidR="0069513E" w:rsidRPr="00DF37F2" w:rsidRDefault="007103A1" w:rsidP="0069513E">
      <w:pPr>
        <w:pStyle w:val="BodyText"/>
        <w:rPr>
          <w:rFonts w:ascii="Times New Roman" w:hAnsi="Times New Roman" w:cs="Times New Roman"/>
        </w:rPr>
      </w:pPr>
      <w:r w:rsidRPr="00DF37F2">
        <w:rPr>
          <w:rFonts w:ascii="Times New Roman" w:hAnsi="Times New Roman" w:cs="Times New Roman"/>
        </w:rPr>
        <w:t xml:space="preserve">This study aims to examine the pedagogical integration of artificial intelligence in the teaching of structural translation within Theories and Methods of </w:t>
      </w:r>
      <w:proofErr w:type="spellStart"/>
      <w:r w:rsidRPr="00DF37F2">
        <w:rPr>
          <w:rFonts w:ascii="Times New Roman" w:hAnsi="Times New Roman" w:cs="Times New Roman"/>
        </w:rPr>
        <w:t>Transinterpretation</w:t>
      </w:r>
      <w:proofErr w:type="spellEnd"/>
      <w:r w:rsidRPr="00DF37F2">
        <w:rPr>
          <w:rFonts w:ascii="Times New Roman" w:hAnsi="Times New Roman" w:cs="Times New Roman"/>
        </w:rPr>
        <w:t xml:space="preserve"> (TMT) courses. Specifically, it seeks to (1) investigate students’ motivation, engagement, and perceived learning outcomes when using AI-assisted translation tasks; (2) develop a structured instructional framework that combines AI generation with instructor editorial intervention; and (3) evaluate how such integration enhances structural awareness and </w:t>
      </w:r>
      <w:proofErr w:type="spellStart"/>
      <w:r w:rsidRPr="00DF37F2">
        <w:rPr>
          <w:rFonts w:ascii="Times New Roman" w:hAnsi="Times New Roman" w:cs="Times New Roman"/>
        </w:rPr>
        <w:t>transinterpretative</w:t>
      </w:r>
      <w:proofErr w:type="spellEnd"/>
      <w:r w:rsidRPr="00DF37F2">
        <w:rPr>
          <w:rFonts w:ascii="Times New Roman" w:hAnsi="Times New Roman" w:cs="Times New Roman"/>
        </w:rPr>
        <w:t xml:space="preserve"> competence in Vietnamese EFL contexts.</w:t>
      </w:r>
    </w:p>
    <w:p w14:paraId="241D9897" w14:textId="7195716C" w:rsidR="00E27AB7" w:rsidRPr="00DF37F2" w:rsidRDefault="0069513E">
      <w:pPr>
        <w:pStyle w:val="Heading3"/>
        <w:rPr>
          <w:rFonts w:ascii="Times New Roman" w:hAnsi="Times New Roman" w:cs="Times New Roman"/>
          <w:color w:val="auto"/>
          <w:sz w:val="24"/>
          <w:szCs w:val="24"/>
        </w:rPr>
      </w:pPr>
      <w:r w:rsidRPr="00DF37F2">
        <w:rPr>
          <w:rFonts w:ascii="Times New Roman" w:hAnsi="Times New Roman" w:cs="Times New Roman"/>
          <w:color w:val="auto"/>
          <w:sz w:val="24"/>
          <w:szCs w:val="24"/>
        </w:rPr>
        <w:t>1.4 Research Questions</w:t>
      </w:r>
    </w:p>
    <w:p w14:paraId="1E73A762" w14:textId="77777777" w:rsidR="00E27AB7" w:rsidRPr="00DF37F2" w:rsidRDefault="00000000">
      <w:pPr>
        <w:pStyle w:val="FirstParagraph"/>
        <w:rPr>
          <w:rFonts w:ascii="Times New Roman" w:hAnsi="Times New Roman" w:cs="Times New Roman"/>
        </w:rPr>
      </w:pPr>
      <w:r w:rsidRPr="00DF37F2">
        <w:rPr>
          <w:rFonts w:ascii="Times New Roman" w:hAnsi="Times New Roman" w:cs="Times New Roman"/>
        </w:rPr>
        <w:t>This expanded study addresses the following objectives:</w:t>
      </w:r>
    </w:p>
    <w:p w14:paraId="55E91BDD" w14:textId="77777777" w:rsidR="00E27AB7" w:rsidRPr="00DF37F2" w:rsidRDefault="00000000">
      <w:pPr>
        <w:pStyle w:val="Compact"/>
        <w:numPr>
          <w:ilvl w:val="0"/>
          <w:numId w:val="2"/>
        </w:numPr>
        <w:rPr>
          <w:rFonts w:ascii="Times New Roman" w:hAnsi="Times New Roman" w:cs="Times New Roman"/>
        </w:rPr>
      </w:pPr>
      <w:r w:rsidRPr="00DF37F2">
        <w:rPr>
          <w:rFonts w:ascii="Times New Roman" w:hAnsi="Times New Roman" w:cs="Times New Roman"/>
        </w:rPr>
        <w:t>To analyze students’ engagement, motivation, and perceived learning outcomes when using AI in TMT exercises.</w:t>
      </w:r>
    </w:p>
    <w:p w14:paraId="6ADECF24" w14:textId="77777777" w:rsidR="00E27AB7" w:rsidRPr="00DF37F2" w:rsidRDefault="00000000">
      <w:pPr>
        <w:pStyle w:val="Compact"/>
        <w:numPr>
          <w:ilvl w:val="0"/>
          <w:numId w:val="2"/>
        </w:numPr>
        <w:rPr>
          <w:rFonts w:ascii="Times New Roman" w:hAnsi="Times New Roman" w:cs="Times New Roman"/>
        </w:rPr>
      </w:pPr>
      <w:r w:rsidRPr="00DF37F2">
        <w:rPr>
          <w:rFonts w:ascii="Times New Roman" w:hAnsi="Times New Roman" w:cs="Times New Roman"/>
        </w:rPr>
        <w:t>To develop a structured methodology for composing AI-assisted Vietnamese–English structural translation exercises.</w:t>
      </w:r>
    </w:p>
    <w:p w14:paraId="00BD7A77" w14:textId="77777777" w:rsidR="00E27AB7" w:rsidRPr="00DF37F2" w:rsidRDefault="00000000">
      <w:pPr>
        <w:pStyle w:val="Compact"/>
        <w:numPr>
          <w:ilvl w:val="0"/>
          <w:numId w:val="2"/>
        </w:numPr>
        <w:rPr>
          <w:rFonts w:ascii="Times New Roman" w:hAnsi="Times New Roman" w:cs="Times New Roman"/>
        </w:rPr>
      </w:pPr>
      <w:r w:rsidRPr="00DF37F2">
        <w:rPr>
          <w:rFonts w:ascii="Times New Roman" w:hAnsi="Times New Roman" w:cs="Times New Roman"/>
        </w:rPr>
        <w:t>To evaluate how editorial intervention enhances the pedagogical value of AI-generated exercises.</w:t>
      </w:r>
    </w:p>
    <w:p w14:paraId="000FC761" w14:textId="77777777" w:rsidR="00E27AB7" w:rsidRPr="00DF37F2" w:rsidRDefault="00000000">
      <w:pPr>
        <w:pStyle w:val="FirstParagraph"/>
        <w:rPr>
          <w:rFonts w:ascii="Times New Roman" w:hAnsi="Times New Roman" w:cs="Times New Roman"/>
        </w:rPr>
      </w:pPr>
      <w:r w:rsidRPr="00DF37F2">
        <w:rPr>
          <w:rFonts w:ascii="Times New Roman" w:hAnsi="Times New Roman" w:cs="Times New Roman"/>
        </w:rPr>
        <w:t>The central research question is:</w:t>
      </w:r>
    </w:p>
    <w:p w14:paraId="786084CA" w14:textId="77777777" w:rsidR="00E27AB7" w:rsidRPr="00DF37F2" w:rsidRDefault="00000000">
      <w:pPr>
        <w:pStyle w:val="BodyText"/>
        <w:rPr>
          <w:rFonts w:ascii="Times New Roman" w:hAnsi="Times New Roman" w:cs="Times New Roman"/>
        </w:rPr>
      </w:pPr>
      <w:r w:rsidRPr="00DF37F2">
        <w:rPr>
          <w:rFonts w:ascii="Times New Roman" w:hAnsi="Times New Roman" w:cs="Times New Roman"/>
          <w:i/>
          <w:iCs/>
        </w:rPr>
        <w:t>How can AI be systematically integrated into structural translation pedagogy to improve learning motivation and linguistic competence without undermining academic rigor?</w:t>
      </w:r>
    </w:p>
    <w:p w14:paraId="29D339B2" w14:textId="41370578" w:rsidR="00E27AB7" w:rsidRPr="00DF37F2" w:rsidRDefault="007103A1">
      <w:pPr>
        <w:pStyle w:val="Heading3"/>
        <w:rPr>
          <w:rFonts w:ascii="Times New Roman" w:hAnsi="Times New Roman" w:cs="Times New Roman"/>
          <w:color w:val="auto"/>
          <w:sz w:val="24"/>
          <w:szCs w:val="24"/>
        </w:rPr>
      </w:pPr>
      <w:bookmarkStart w:id="8" w:name="significance-of-the-study"/>
      <w:bookmarkEnd w:id="7"/>
      <w:r w:rsidRPr="00DF37F2">
        <w:rPr>
          <w:rFonts w:ascii="Times New Roman" w:hAnsi="Times New Roman" w:cs="Times New Roman"/>
          <w:color w:val="auto"/>
          <w:sz w:val="24"/>
          <w:szCs w:val="24"/>
        </w:rPr>
        <w:t>1.5 Significance of the Study</w:t>
      </w:r>
    </w:p>
    <w:p w14:paraId="27593C41" w14:textId="77777777" w:rsidR="00E27AB7" w:rsidRPr="00DF37F2" w:rsidRDefault="00000000">
      <w:pPr>
        <w:pStyle w:val="FirstParagraph"/>
        <w:rPr>
          <w:rFonts w:ascii="Times New Roman" w:hAnsi="Times New Roman" w:cs="Times New Roman"/>
        </w:rPr>
      </w:pPr>
      <w:r w:rsidRPr="00DF37F2">
        <w:rPr>
          <w:rFonts w:ascii="Times New Roman" w:hAnsi="Times New Roman" w:cs="Times New Roman"/>
        </w:rPr>
        <w:t>This study contributes to translation pedagogy by:</w:t>
      </w:r>
    </w:p>
    <w:p w14:paraId="78B62591" w14:textId="76B16AA0" w:rsidR="00BD45D6" w:rsidRPr="00DF37F2" w:rsidRDefault="00BD45D6" w:rsidP="00F1499F">
      <w:pPr>
        <w:pStyle w:val="NormalWeb"/>
        <w:spacing w:before="0" w:beforeAutospacing="0" w:after="120" w:afterAutospacing="0"/>
      </w:pPr>
      <w:r w:rsidRPr="00DF37F2">
        <w:lastRenderedPageBreak/>
        <w:t xml:space="preserve">The goal of </w:t>
      </w:r>
      <w:r w:rsidR="00573D98">
        <w:t>the</w:t>
      </w:r>
      <w:r w:rsidRPr="00DF37F2">
        <w:t xml:space="preserve"> study is to identify the drawbacks of the traditional </w:t>
      </w:r>
      <w:proofErr w:type="spellStart"/>
      <w:r w:rsidRPr="00DF37F2">
        <w:t>transinterpretation</w:t>
      </w:r>
      <w:proofErr w:type="spellEnd"/>
      <w:r w:rsidRPr="00DF37F2">
        <w:t xml:space="preserve"> theory teaching procedures in HUFLIT for modifications to upgrade teaching techniques for the aforementioned subject, to provide empirical evidence on student perceptions of AI use in TMT exercises, to propose a replicable instructional design model for AI-assisted structural translation,  to meet the proposed learning outcomes in improving students’ motivation and real competence in the subject, a requirement in the job market, also one of the biggest flaws for Vietnamese job seekers, to help students gain better results, to steer them closer to the norms of the real-life </w:t>
      </w:r>
      <w:proofErr w:type="spellStart"/>
      <w:r w:rsidRPr="00DF37F2">
        <w:t>transinterpretation</w:t>
      </w:r>
      <w:proofErr w:type="spellEnd"/>
      <w:r w:rsidRPr="00DF37F2">
        <w:t>, and to meet the innovation demand from the institution.</w:t>
      </w:r>
    </w:p>
    <w:p w14:paraId="7ECC2D13" w14:textId="3170F90E" w:rsidR="00BD45D6" w:rsidRPr="00DF37F2" w:rsidRDefault="00BD45D6" w:rsidP="00F1499F">
      <w:pPr>
        <w:pStyle w:val="NormalWeb"/>
        <w:spacing w:before="0" w:beforeAutospacing="0" w:after="120" w:afterAutospacing="0"/>
      </w:pPr>
      <w:r w:rsidRPr="00DF37F2">
        <w:t>1.6 Scope and Delimitation</w:t>
      </w:r>
      <w:r w:rsidR="00B97B06" w:rsidRPr="00DF37F2">
        <w:t>s</w:t>
      </w:r>
      <w:r w:rsidRPr="00DF37F2">
        <w:t xml:space="preserve"> of the Study</w:t>
      </w:r>
    </w:p>
    <w:p w14:paraId="79EA266A" w14:textId="2C319430" w:rsidR="00BD45D6" w:rsidRPr="00DF37F2" w:rsidRDefault="00BD45D6" w:rsidP="00F1499F">
      <w:pPr>
        <w:pStyle w:val="NormalWeb"/>
        <w:spacing w:before="0" w:beforeAutospacing="0" w:after="120" w:afterAutospacing="0"/>
      </w:pPr>
      <w:bookmarkStart w:id="9" w:name="_Hlk221693893"/>
      <w:bookmarkEnd w:id="6"/>
      <w:r w:rsidRPr="00DF37F2">
        <w:rPr>
          <w:color w:val="000000"/>
        </w:rPr>
        <w:t xml:space="preserve">The study findings can be generally applied in VN’s other institutions including those of still apply various forms of the </w:t>
      </w:r>
      <w:proofErr w:type="spellStart"/>
      <w:r w:rsidRPr="00DF37F2">
        <w:rPr>
          <w:color w:val="000000"/>
        </w:rPr>
        <w:t>Transinterpretation</w:t>
      </w:r>
      <w:proofErr w:type="spellEnd"/>
      <w:r w:rsidRPr="00DF37F2">
        <w:rPr>
          <w:color w:val="000000"/>
        </w:rPr>
        <w:t xml:space="preserve"> teaching techniques. However, </w:t>
      </w:r>
      <w:r w:rsidR="00246A18">
        <w:rPr>
          <w:color w:val="000000"/>
        </w:rPr>
        <w:t>a</w:t>
      </w:r>
      <w:r w:rsidR="00246A18" w:rsidRPr="00246A18">
        <w:rPr>
          <w:color w:val="000000"/>
        </w:rPr>
        <w:t xml:space="preserve"> limitation of these recommendations involves</w:t>
      </w:r>
      <w:r w:rsidRPr="00DF37F2">
        <w:rPr>
          <w:color w:val="000000"/>
        </w:rPr>
        <w:t xml:space="preserve"> not all colleagues are eager for the change their traditional teaching method may be costly, time and effort-consuming in the status of lacking adequate professionals.</w:t>
      </w:r>
    </w:p>
    <w:p w14:paraId="26D09BBB" w14:textId="282F410A" w:rsidR="00BD45D6" w:rsidRPr="00DF37F2" w:rsidRDefault="00BD45D6" w:rsidP="00F1499F">
      <w:pPr>
        <w:pStyle w:val="NormalWeb"/>
        <w:spacing w:before="0" w:beforeAutospacing="0" w:after="120" w:afterAutospacing="0"/>
      </w:pPr>
      <w:r w:rsidRPr="00DF37F2">
        <w:rPr>
          <w:color w:val="000000"/>
        </w:rPr>
        <w:t xml:space="preserve">This is just a pilot study with a very humble number of participants, not satisfy the norm of </w:t>
      </w:r>
      <w:r w:rsidR="00C528A8" w:rsidRPr="00DF37F2">
        <w:rPr>
          <w:color w:val="000000"/>
        </w:rPr>
        <w:t>standard research</w:t>
      </w:r>
      <w:r w:rsidRPr="00DF37F2">
        <w:rPr>
          <w:color w:val="000000"/>
        </w:rPr>
        <w:t>; therefore, its conclusions may be not true when referring to the same subjects on a larger scale or applied in other institutions. </w:t>
      </w:r>
    </w:p>
    <w:p w14:paraId="5D29893D" w14:textId="09702948" w:rsidR="00010080" w:rsidRPr="00DF37F2" w:rsidRDefault="00C34A7C" w:rsidP="00010080">
      <w:pPr>
        <w:pStyle w:val="Heading1"/>
        <w:rPr>
          <w:rFonts w:ascii="Times New Roman" w:hAnsi="Times New Roman" w:cs="Times New Roman"/>
          <w:color w:val="auto"/>
          <w:sz w:val="24"/>
          <w:szCs w:val="24"/>
        </w:rPr>
      </w:pPr>
      <w:bookmarkStart w:id="10" w:name="literature-review"/>
      <w:bookmarkStart w:id="11" w:name="structural-translation-in-efl-contexts"/>
      <w:bookmarkEnd w:id="3"/>
      <w:bookmarkEnd w:id="8"/>
      <w:r w:rsidRPr="00DF37F2">
        <w:rPr>
          <w:rStyle w:val="Strong"/>
          <w:rFonts w:ascii="Times New Roman" w:hAnsi="Times New Roman" w:cs="Times New Roman"/>
          <w:b w:val="0"/>
          <w:bCs w:val="0"/>
          <w:color w:val="auto"/>
          <w:sz w:val="24"/>
          <w:szCs w:val="24"/>
        </w:rPr>
        <w:t>II</w:t>
      </w:r>
      <w:r w:rsidR="00010080" w:rsidRPr="00DF37F2">
        <w:rPr>
          <w:rStyle w:val="Strong"/>
          <w:rFonts w:ascii="Times New Roman" w:hAnsi="Times New Roman" w:cs="Times New Roman"/>
          <w:b w:val="0"/>
          <w:bCs w:val="0"/>
          <w:color w:val="auto"/>
          <w:sz w:val="24"/>
          <w:szCs w:val="24"/>
        </w:rPr>
        <w:t>. LITERATURE REVIEW</w:t>
      </w:r>
    </w:p>
    <w:p w14:paraId="1D82D0CA" w14:textId="77777777" w:rsidR="00010080" w:rsidRPr="00DF37F2" w:rsidRDefault="00010080" w:rsidP="00010080">
      <w:pPr>
        <w:pStyle w:val="Heading2"/>
        <w:rPr>
          <w:rFonts w:ascii="Times New Roman" w:hAnsi="Times New Roman" w:cs="Times New Roman"/>
          <w:color w:val="auto"/>
          <w:sz w:val="24"/>
          <w:szCs w:val="24"/>
        </w:rPr>
      </w:pPr>
      <w:r w:rsidRPr="00DF37F2">
        <w:rPr>
          <w:rStyle w:val="Strong"/>
          <w:rFonts w:ascii="Times New Roman" w:hAnsi="Times New Roman" w:cs="Times New Roman"/>
          <w:b w:val="0"/>
          <w:bCs w:val="0"/>
          <w:color w:val="auto"/>
          <w:sz w:val="24"/>
          <w:szCs w:val="24"/>
        </w:rPr>
        <w:t>2.1 Artificial Intelligence in Language Education</w:t>
      </w:r>
    </w:p>
    <w:p w14:paraId="3E90A7E1" w14:textId="77777777" w:rsidR="00010080" w:rsidRPr="00DF37F2" w:rsidRDefault="00010080" w:rsidP="00010080">
      <w:pPr>
        <w:pStyle w:val="NormalWeb"/>
      </w:pPr>
      <w:r w:rsidRPr="00DF37F2">
        <w:t>Artificial intelligence (AI) has increasingly been incorporated into language education as both a learning aid and an instructional support tool. In applied linguistics, AI is commonly framed as an extension of computer-assisted language learning (CALL), enabling adaptive feedback, automated text generation, and learner-centered interaction (Beatty, 2013; Chapelle, 2001). Recent advances in large language models (LLMs), particularly transformer-based architectures, have significantly expanded AI’s capacity to simulate authentic language use and respond dynamically to learner input (Brown et al., 2020).</w:t>
      </w:r>
    </w:p>
    <w:p w14:paraId="4E853C0D" w14:textId="77777777" w:rsidR="00010080" w:rsidRPr="00DF37F2" w:rsidRDefault="00010080" w:rsidP="00010080">
      <w:pPr>
        <w:pStyle w:val="NormalWeb"/>
      </w:pPr>
      <w:r w:rsidRPr="00DF37F2">
        <w:t>Empirical studies indicate that AI-supported tools can improve grammatical accuracy, lexical variety, and fluency, especially among lower- and intermediate-level learners (Kukulska-Hulme et al., 2021; Li, 2022). AI-generated feedback allows students to engage in iterative revision processes that would be impractical in large classrooms, thereby increasing time-on-task and learner autonomy.</w:t>
      </w:r>
    </w:p>
    <w:p w14:paraId="685DAC57" w14:textId="77777777" w:rsidR="00010080" w:rsidRPr="00DF37F2" w:rsidRDefault="00010080" w:rsidP="00010080">
      <w:pPr>
        <w:pStyle w:val="NormalWeb"/>
      </w:pPr>
      <w:r w:rsidRPr="00DF37F2">
        <w:t>However, scholars consistently emphasize that AI does not possess semantic intentionality or communicative awareness. Its outputs are generated probabilistically rather than interpretively, relying on statistical patterns rather than contextual understanding (Bender et al., 2021). This limitation is particularly consequential in translation education, where meaning negotiation, pragmatic intent, and stylistic judgment are central learning outcomes. Consequently, AI must be understood not as a replacement for human cognition, but as a mediating artifact whose pedagogical value depends on instructional design.</w:t>
      </w:r>
    </w:p>
    <w:p w14:paraId="3D00D912" w14:textId="77777777" w:rsidR="00010080" w:rsidRPr="00DF37F2" w:rsidRDefault="00010080" w:rsidP="00010080">
      <w:pPr>
        <w:pStyle w:val="Heading2"/>
        <w:rPr>
          <w:rFonts w:ascii="Times New Roman" w:hAnsi="Times New Roman" w:cs="Times New Roman"/>
          <w:color w:val="auto"/>
          <w:sz w:val="24"/>
          <w:szCs w:val="24"/>
        </w:rPr>
      </w:pPr>
      <w:r w:rsidRPr="00DF37F2">
        <w:rPr>
          <w:rStyle w:val="Strong"/>
          <w:rFonts w:ascii="Times New Roman" w:hAnsi="Times New Roman" w:cs="Times New Roman"/>
          <w:b w:val="0"/>
          <w:bCs w:val="0"/>
          <w:color w:val="auto"/>
          <w:sz w:val="24"/>
          <w:szCs w:val="24"/>
        </w:rPr>
        <w:lastRenderedPageBreak/>
        <w:t>2.2 ChatGPT and Academic Writing Pedagogy</w:t>
      </w:r>
    </w:p>
    <w:p w14:paraId="29D01875" w14:textId="77777777" w:rsidR="00545A1D" w:rsidRDefault="00010080" w:rsidP="00010080">
      <w:pPr>
        <w:pStyle w:val="NormalWeb"/>
      </w:pPr>
      <w:r w:rsidRPr="00DF37F2">
        <w:t>ChatGPT and similar generative AI systems have attracted growing scholarly attention for their potential applications in academic writing instruction. Research suggests that ChatGPT can generate linguistically coherent prose, assist with grammar correction, paraphrasing, and structural organization, and function as a drafting assistant (</w:t>
      </w:r>
      <w:proofErr w:type="spellStart"/>
      <w:r w:rsidRPr="00DF37F2">
        <w:t>Kasneci</w:t>
      </w:r>
      <w:proofErr w:type="spellEnd"/>
      <w:r w:rsidRPr="00DF37F2">
        <w:t xml:space="preserve"> et al., 2023). In EFL contexts, these affordances can reduce learner anxiety and lower entry barriers to academic discourse.</w:t>
      </w:r>
    </w:p>
    <w:p w14:paraId="2D00C58C" w14:textId="20C7BDFB" w:rsidR="00010080" w:rsidRPr="00DF37F2" w:rsidRDefault="00010080" w:rsidP="00010080">
      <w:pPr>
        <w:pStyle w:val="NormalWeb"/>
      </w:pPr>
      <w:r w:rsidRPr="00DF37F2">
        <w:t xml:space="preserve">Nevertheless, the literature also highlights substantial pedagogical risks. Over-reliance on AI-generated text may weaken learners’ critical thinking, rhetorical awareness, and authorial voice </w:t>
      </w:r>
      <w:bookmarkEnd w:id="9"/>
      <w:r w:rsidRPr="00DF37F2">
        <w:t>(Zhai, 2022). Furthermore, concerns regarding plagiarism, authorship ambiguity, and academic integrity have intensified with the widespread availability of generative AI (Cotton et al., 2023).</w:t>
      </w:r>
    </w:p>
    <w:p w14:paraId="11A75B83" w14:textId="77777777" w:rsidR="00010080" w:rsidRPr="00DF37F2" w:rsidRDefault="00010080" w:rsidP="00010080">
      <w:pPr>
        <w:pStyle w:val="NormalWeb"/>
      </w:pPr>
      <w:r w:rsidRPr="00DF37F2">
        <w:t xml:space="preserve">Several scholars advocate a shift from product-oriented assessment toward </w:t>
      </w:r>
      <w:r w:rsidRPr="00DF37F2">
        <w:rPr>
          <w:rStyle w:val="Strong"/>
        </w:rPr>
        <w:t>process-oriented pedagogy</w:t>
      </w:r>
      <w:r w:rsidRPr="00DF37F2">
        <w:t>, in which AI outputs become objects of critique, revision, and negotiation rather than final submissions (Kumar &amp; Raman, 2023). This perspective aligns with translation pedagogy, where the evaluative process is as important as the final target text.</w:t>
      </w:r>
    </w:p>
    <w:p w14:paraId="127D4C4A" w14:textId="77777777" w:rsidR="00010080" w:rsidRPr="00DF37F2" w:rsidRDefault="00010080" w:rsidP="00010080">
      <w:pPr>
        <w:pStyle w:val="Heading2"/>
        <w:rPr>
          <w:rFonts w:ascii="Times New Roman" w:hAnsi="Times New Roman" w:cs="Times New Roman"/>
          <w:color w:val="auto"/>
          <w:sz w:val="24"/>
          <w:szCs w:val="24"/>
        </w:rPr>
      </w:pPr>
      <w:r w:rsidRPr="00DF37F2">
        <w:rPr>
          <w:rStyle w:val="Strong"/>
          <w:rFonts w:ascii="Times New Roman" w:hAnsi="Times New Roman" w:cs="Times New Roman"/>
          <w:b w:val="0"/>
          <w:bCs w:val="0"/>
          <w:color w:val="auto"/>
          <w:sz w:val="24"/>
          <w:szCs w:val="24"/>
        </w:rPr>
        <w:t>2.3 AI, E-Assessment, and Academic Integrity</w:t>
      </w:r>
    </w:p>
    <w:p w14:paraId="6BE47485" w14:textId="77777777" w:rsidR="00010080" w:rsidRPr="00DF37F2" w:rsidRDefault="00010080" w:rsidP="00010080">
      <w:pPr>
        <w:pStyle w:val="NormalWeb"/>
      </w:pPr>
      <w:r w:rsidRPr="00DF37F2">
        <w:t>The integration of AI into educational ecosystems has complicated traditional models of assessment. E-assessment systems offer scalability, efficiency, and accessibility, yet they remain vulnerable to plagiarism and unauthorized assistance (</w:t>
      </w:r>
      <w:proofErr w:type="spellStart"/>
      <w:r w:rsidRPr="00DF37F2">
        <w:t>Bretag</w:t>
      </w:r>
      <w:proofErr w:type="spellEnd"/>
      <w:r w:rsidRPr="00DF37F2">
        <w:t xml:space="preserve"> et al., 2019). Generative AI exacerbates these challenges by producing original-looking texts that evade conventional plagiarism detection tools.</w:t>
      </w:r>
    </w:p>
    <w:p w14:paraId="3656F0A7" w14:textId="77777777" w:rsidR="00010080" w:rsidRPr="00DF37F2" w:rsidRDefault="00010080" w:rsidP="00010080">
      <w:pPr>
        <w:pStyle w:val="NormalWeb"/>
      </w:pPr>
      <w:r w:rsidRPr="00DF37F2">
        <w:t xml:space="preserve">In response, scholars propose assessment designs that emphasize </w:t>
      </w:r>
      <w:r w:rsidRPr="00DF37F2">
        <w:rPr>
          <w:rStyle w:val="Strong"/>
        </w:rPr>
        <w:t>higher-order cognitive skills</w:t>
      </w:r>
      <w:r w:rsidRPr="00DF37F2">
        <w:t>, such as justification, comparison, reflection, and error diagnosis (Ellis, 2018). In translation studies, this entails shifting evaluation away from surface-level accuracy toward decision-making rationales, structural manipulation, and contextual appropriateness.</w:t>
      </w:r>
    </w:p>
    <w:p w14:paraId="405B0485" w14:textId="77777777" w:rsidR="00010080" w:rsidRPr="00DF37F2" w:rsidRDefault="00010080" w:rsidP="00010080">
      <w:pPr>
        <w:pStyle w:val="NormalWeb"/>
      </w:pPr>
      <w:r w:rsidRPr="00DF37F2">
        <w:t>This reorientation supports pedagogical models in which AI is deliberately integrated into learning activities while remaining excluded from summative examinations. Such alignment reduces the discrepancy between classroom practice and institutional assessment—a central concern addressed in the present study.</w:t>
      </w:r>
    </w:p>
    <w:p w14:paraId="07804E71" w14:textId="77777777" w:rsidR="00010080" w:rsidRPr="00DF37F2" w:rsidRDefault="00010080" w:rsidP="00010080">
      <w:pPr>
        <w:pStyle w:val="Heading2"/>
        <w:rPr>
          <w:rFonts w:ascii="Times New Roman" w:hAnsi="Times New Roman" w:cs="Times New Roman"/>
          <w:color w:val="auto"/>
          <w:sz w:val="24"/>
          <w:szCs w:val="24"/>
        </w:rPr>
      </w:pPr>
      <w:r w:rsidRPr="00DF37F2">
        <w:rPr>
          <w:rStyle w:val="Strong"/>
          <w:rFonts w:ascii="Times New Roman" w:hAnsi="Times New Roman" w:cs="Times New Roman"/>
          <w:b w:val="0"/>
          <w:bCs w:val="0"/>
          <w:color w:val="auto"/>
          <w:sz w:val="24"/>
          <w:szCs w:val="24"/>
        </w:rPr>
        <w:t>2.4 Structural Translation in EFL Contexts</w:t>
      </w:r>
    </w:p>
    <w:p w14:paraId="604DFDC5" w14:textId="77777777" w:rsidR="00010080" w:rsidRPr="00DF37F2" w:rsidRDefault="00010080" w:rsidP="00010080">
      <w:pPr>
        <w:pStyle w:val="NormalWeb"/>
      </w:pPr>
      <w:r w:rsidRPr="00DF37F2">
        <w:t>Structural translation has long been a core component of translation training in EFL environments. It focuses on controlled manipulation of syntactic and grammatical forms, including inversion, cleft constructions, nominalization, participle clauses, and modality shifts (Newmark, 1988; Baker, 2018). These exercises cultivate metalinguistic awareness and prepare learners for professional translation tasks that require syntactic flexibility across languages.</w:t>
      </w:r>
    </w:p>
    <w:p w14:paraId="2B0D5BAA" w14:textId="77777777" w:rsidR="00010080" w:rsidRPr="00DF37F2" w:rsidRDefault="00010080" w:rsidP="00010080">
      <w:pPr>
        <w:pStyle w:val="NormalWeb"/>
      </w:pPr>
      <w:r w:rsidRPr="00DF37F2">
        <w:lastRenderedPageBreak/>
        <w:t>In Vietnamese–English translation pedagogy, structural translation is particularly important due to typological differences between the two languages, including subject prominence, tense marking, and information packaging (Nguyễn &amp; Hoàng, 2020). However, when exercises rely on predictable patterns or limited lexical domains, AI systems can easily generate acceptable solutions, thereby undermining pedagogical intent.</w:t>
      </w:r>
    </w:p>
    <w:p w14:paraId="3A824E38" w14:textId="77777777" w:rsidR="00010080" w:rsidRPr="00DF37F2" w:rsidRDefault="00010080" w:rsidP="00010080">
      <w:pPr>
        <w:pStyle w:val="NormalWeb"/>
      </w:pPr>
      <w:r w:rsidRPr="00DF37F2">
        <w:t xml:space="preserve">Recent literature therefore stresses the necessity of increasing </w:t>
      </w:r>
      <w:r w:rsidRPr="00DF37F2">
        <w:rPr>
          <w:rStyle w:val="Strong"/>
        </w:rPr>
        <w:t>structural density, lexical opacity, and contextual embedding</w:t>
      </w:r>
      <w:r w:rsidRPr="00DF37F2">
        <w:t xml:space="preserve"> in translation tasks (House, 2015). This insight directly informs the instructional framework proposed in this study, which leverages AI for rapid generation while relying on human editorial intervention to maintain cognitive challenge.</w:t>
      </w:r>
    </w:p>
    <w:p w14:paraId="6B5569BD" w14:textId="77777777" w:rsidR="00010080" w:rsidRPr="00DF37F2" w:rsidRDefault="00010080" w:rsidP="00010080">
      <w:pPr>
        <w:pStyle w:val="Heading2"/>
        <w:rPr>
          <w:rFonts w:ascii="Times New Roman" w:hAnsi="Times New Roman" w:cs="Times New Roman"/>
          <w:color w:val="auto"/>
          <w:sz w:val="24"/>
          <w:szCs w:val="24"/>
        </w:rPr>
      </w:pPr>
      <w:r w:rsidRPr="00DF37F2">
        <w:rPr>
          <w:rStyle w:val="Strong"/>
          <w:rFonts w:ascii="Times New Roman" w:hAnsi="Times New Roman" w:cs="Times New Roman"/>
          <w:b w:val="0"/>
          <w:bCs w:val="0"/>
          <w:color w:val="auto"/>
          <w:sz w:val="24"/>
          <w:szCs w:val="24"/>
        </w:rPr>
        <w:t xml:space="preserve">2.5 Theoretical Framework: AI and </w:t>
      </w:r>
      <w:proofErr w:type="spellStart"/>
      <w:r w:rsidRPr="00DF37F2">
        <w:rPr>
          <w:rStyle w:val="Strong"/>
          <w:rFonts w:ascii="Times New Roman" w:hAnsi="Times New Roman" w:cs="Times New Roman"/>
          <w:b w:val="0"/>
          <w:bCs w:val="0"/>
          <w:color w:val="auto"/>
          <w:sz w:val="24"/>
          <w:szCs w:val="24"/>
        </w:rPr>
        <w:t>Transinterpretation</w:t>
      </w:r>
      <w:proofErr w:type="spellEnd"/>
      <w:r w:rsidRPr="00DF37F2">
        <w:rPr>
          <w:rStyle w:val="Strong"/>
          <w:rFonts w:ascii="Times New Roman" w:hAnsi="Times New Roman" w:cs="Times New Roman"/>
          <w:b w:val="0"/>
          <w:bCs w:val="0"/>
          <w:color w:val="auto"/>
          <w:sz w:val="24"/>
          <w:szCs w:val="24"/>
        </w:rPr>
        <w:t xml:space="preserve"> Pedagogy</w:t>
      </w:r>
    </w:p>
    <w:p w14:paraId="46C67970" w14:textId="77777777" w:rsidR="00010080" w:rsidRPr="00DF37F2" w:rsidRDefault="00010080" w:rsidP="00010080">
      <w:pPr>
        <w:pStyle w:val="Heading3"/>
        <w:rPr>
          <w:rFonts w:ascii="Times New Roman" w:hAnsi="Times New Roman" w:cs="Times New Roman"/>
          <w:color w:val="auto"/>
          <w:sz w:val="24"/>
          <w:szCs w:val="24"/>
        </w:rPr>
      </w:pPr>
      <w:r w:rsidRPr="00DF37F2">
        <w:rPr>
          <w:rStyle w:val="Strong"/>
          <w:rFonts w:ascii="Times New Roman" w:hAnsi="Times New Roman" w:cs="Times New Roman"/>
          <w:b w:val="0"/>
          <w:bCs w:val="0"/>
          <w:color w:val="auto"/>
          <w:sz w:val="24"/>
          <w:szCs w:val="24"/>
        </w:rPr>
        <w:t>2.5.1 Social Constructivism and AI-Mediated Collaboration</w:t>
      </w:r>
    </w:p>
    <w:p w14:paraId="472D883E" w14:textId="77777777" w:rsidR="00010080" w:rsidRPr="00DF37F2" w:rsidRDefault="00010080" w:rsidP="00010080">
      <w:pPr>
        <w:pStyle w:val="NormalWeb"/>
      </w:pPr>
      <w:r w:rsidRPr="00DF37F2">
        <w:t>Social constructivist theory posits that knowledge is constructed through interaction, dialogue, and shared problem-solving rather than individual transmission (Vygotsky, 1978). In AI-supported classrooms, technology can function as a mediational tool that stimulates discussion, comparison, and collaborative evaluation.</w:t>
      </w:r>
    </w:p>
    <w:p w14:paraId="38D08219" w14:textId="77777777" w:rsidR="00010080" w:rsidRPr="00DF37F2" w:rsidRDefault="00010080" w:rsidP="00010080">
      <w:pPr>
        <w:pStyle w:val="NormalWeb"/>
      </w:pPr>
      <w:r w:rsidRPr="00DF37F2">
        <w:t>Empirical findings from technology-enhanced learning environments indicate that students often engage in peer negotiation when interpreting or revising AI-generated outputs (Stahl, 2017). In translation classrooms, this collaborative interrogation of AI suggestions fosters deeper engagement with linguistic form and meaning, reinforcing the co-construction of knowledge rather than passive consumption.</w:t>
      </w:r>
    </w:p>
    <w:p w14:paraId="6FE7BFDF" w14:textId="77777777" w:rsidR="00010080" w:rsidRPr="00DF37F2" w:rsidRDefault="00010080" w:rsidP="00010080">
      <w:pPr>
        <w:pStyle w:val="Heading3"/>
        <w:rPr>
          <w:rFonts w:ascii="Times New Roman" w:hAnsi="Times New Roman" w:cs="Times New Roman"/>
          <w:color w:val="auto"/>
          <w:sz w:val="24"/>
          <w:szCs w:val="24"/>
        </w:rPr>
      </w:pPr>
      <w:r w:rsidRPr="00DF37F2">
        <w:rPr>
          <w:rStyle w:val="Strong"/>
          <w:rFonts w:ascii="Times New Roman" w:hAnsi="Times New Roman" w:cs="Times New Roman"/>
          <w:b w:val="0"/>
          <w:bCs w:val="0"/>
          <w:color w:val="auto"/>
          <w:sz w:val="24"/>
          <w:szCs w:val="24"/>
        </w:rPr>
        <w:t xml:space="preserve">2.5.2 Cognitive Load Theory in </w:t>
      </w:r>
      <w:proofErr w:type="spellStart"/>
      <w:r w:rsidRPr="00DF37F2">
        <w:rPr>
          <w:rStyle w:val="Strong"/>
          <w:rFonts w:ascii="Times New Roman" w:hAnsi="Times New Roman" w:cs="Times New Roman"/>
          <w:b w:val="0"/>
          <w:bCs w:val="0"/>
          <w:color w:val="auto"/>
          <w:sz w:val="24"/>
          <w:szCs w:val="24"/>
        </w:rPr>
        <w:t>Transinterpretation</w:t>
      </w:r>
      <w:proofErr w:type="spellEnd"/>
    </w:p>
    <w:p w14:paraId="28B8B5A4" w14:textId="77777777" w:rsidR="00010080" w:rsidRPr="00DF37F2" w:rsidRDefault="00010080" w:rsidP="00010080">
      <w:pPr>
        <w:pStyle w:val="NormalWeb"/>
      </w:pPr>
      <w:r w:rsidRPr="00DF37F2">
        <w:t>Cognitive Load Theory (CLT) distinguishes between intrinsic, extraneous, and germane cognitive load in learning tasks (</w:t>
      </w:r>
      <w:proofErr w:type="spellStart"/>
      <w:r w:rsidRPr="00DF37F2">
        <w:t>Sweller</w:t>
      </w:r>
      <w:proofErr w:type="spellEnd"/>
      <w:r w:rsidRPr="00DF37F2">
        <w:t xml:space="preserve"> et al., 2019). </w:t>
      </w:r>
      <w:proofErr w:type="spellStart"/>
      <w:r w:rsidRPr="00DF37F2">
        <w:t>Transinterpretation</w:t>
      </w:r>
      <w:proofErr w:type="spellEnd"/>
      <w:r w:rsidRPr="00DF37F2">
        <w:t xml:space="preserve"> tasks impose high intrinsic load due to the simultaneous management of grammatical, lexical, cultural, and pragmatic variables.</w:t>
      </w:r>
    </w:p>
    <w:p w14:paraId="511D1025" w14:textId="77777777" w:rsidR="00010080" w:rsidRPr="00DF37F2" w:rsidRDefault="00010080" w:rsidP="00010080">
      <w:pPr>
        <w:pStyle w:val="NormalWeb"/>
      </w:pPr>
      <w:r w:rsidRPr="00DF37F2">
        <w:t>AI tools can reduce extraneous load by automating low-level processes such as lexical retrieval or syntactic restructuring, allowing learners to allocate more cognitive resources to higher-order interpretive decisions. This redistribution of cognitive effort has been shown to enhance motivation and sustained engagement in complex language tasks (Paas et al., 2003).</w:t>
      </w:r>
    </w:p>
    <w:p w14:paraId="630144CA" w14:textId="77777777" w:rsidR="00010080" w:rsidRPr="00DF37F2" w:rsidRDefault="00010080" w:rsidP="00010080">
      <w:pPr>
        <w:pStyle w:val="NormalWeb"/>
      </w:pPr>
      <w:r w:rsidRPr="00DF37F2">
        <w:t>Within the TMT context, AI thus functions as a cognitive scaffold rather than a shortcut, provided that instructors actively regulate task design and learner interaction.</w:t>
      </w:r>
    </w:p>
    <w:p w14:paraId="49C529C6" w14:textId="77777777" w:rsidR="00010080" w:rsidRPr="00DF37F2" w:rsidRDefault="00010080" w:rsidP="00010080">
      <w:pPr>
        <w:pStyle w:val="Heading2"/>
        <w:rPr>
          <w:rFonts w:ascii="Times New Roman" w:hAnsi="Times New Roman" w:cs="Times New Roman"/>
          <w:color w:val="auto"/>
          <w:sz w:val="24"/>
          <w:szCs w:val="24"/>
        </w:rPr>
      </w:pPr>
      <w:r w:rsidRPr="00DF37F2">
        <w:rPr>
          <w:rStyle w:val="Strong"/>
          <w:rFonts w:ascii="Times New Roman" w:hAnsi="Times New Roman" w:cs="Times New Roman"/>
          <w:b w:val="0"/>
          <w:bCs w:val="0"/>
          <w:color w:val="auto"/>
          <w:sz w:val="24"/>
          <w:szCs w:val="24"/>
        </w:rPr>
        <w:t>2.6 Synthesis and Research Gap</w:t>
      </w:r>
    </w:p>
    <w:p w14:paraId="2BE05FFB" w14:textId="77777777" w:rsidR="00010080" w:rsidRPr="00DF37F2" w:rsidRDefault="00010080" w:rsidP="00010080">
      <w:pPr>
        <w:pStyle w:val="NormalWeb"/>
      </w:pPr>
      <w:r w:rsidRPr="00DF37F2">
        <w:t xml:space="preserve">The reviewed literature demonstrates that AI holds significant pedagogical potential in language and translation education, yet its effectiveness depends on intentional integration rather than unregulated use. While existing studies address AI in writing instruction and general language </w:t>
      </w:r>
      <w:r w:rsidRPr="00DF37F2">
        <w:lastRenderedPageBreak/>
        <w:t xml:space="preserve">learning, </w:t>
      </w:r>
      <w:r w:rsidRPr="000865D7">
        <w:rPr>
          <w:rStyle w:val="Strong"/>
          <w:b w:val="0"/>
          <w:bCs w:val="0"/>
        </w:rPr>
        <w:t xml:space="preserve">research on AI-assisted structural translation and </w:t>
      </w:r>
      <w:proofErr w:type="spellStart"/>
      <w:r w:rsidRPr="000865D7">
        <w:rPr>
          <w:rStyle w:val="Strong"/>
          <w:b w:val="0"/>
          <w:bCs w:val="0"/>
        </w:rPr>
        <w:t>transinterpretation</w:t>
      </w:r>
      <w:proofErr w:type="spellEnd"/>
      <w:r w:rsidRPr="000865D7">
        <w:rPr>
          <w:rStyle w:val="Strong"/>
          <w:b w:val="0"/>
          <w:bCs w:val="0"/>
        </w:rPr>
        <w:t xml:space="preserve"> remains limited</w:t>
      </w:r>
      <w:r w:rsidRPr="000865D7">
        <w:rPr>
          <w:b/>
          <w:bCs/>
        </w:rPr>
        <w:t xml:space="preserve">, </w:t>
      </w:r>
      <w:r w:rsidRPr="00DF37F2">
        <w:t>particularly in Vietnamese EFL tertiary contexts.</w:t>
      </w:r>
    </w:p>
    <w:p w14:paraId="59CEEBDC" w14:textId="77777777" w:rsidR="00010080" w:rsidRDefault="00010080" w:rsidP="00010080">
      <w:pPr>
        <w:pStyle w:val="NormalWeb"/>
      </w:pPr>
      <w:r w:rsidRPr="00DF37F2">
        <w:t xml:space="preserve">Moreover, few studies empirically examine </w:t>
      </w:r>
      <w:r w:rsidRPr="000A3AE2">
        <w:t>how</w:t>
      </w:r>
      <w:r w:rsidRPr="000865D7">
        <w:rPr>
          <w:b/>
          <w:bCs/>
        </w:rPr>
        <w:t xml:space="preserve"> </w:t>
      </w:r>
      <w:r w:rsidRPr="000865D7">
        <w:rPr>
          <w:rStyle w:val="Strong"/>
          <w:b w:val="0"/>
          <w:bCs w:val="0"/>
        </w:rPr>
        <w:t>editorial intervention and task design</w:t>
      </w:r>
      <w:r w:rsidRPr="00DF37F2">
        <w:t xml:space="preserve"> mediate the relationship between AI use and learner motivation. This gap underscores the need for research that combines theoretical grounding, classroom-based evidence, and practical instructional models—an objective directly pursued in the present study.</w:t>
      </w:r>
    </w:p>
    <w:p w14:paraId="4566F684" w14:textId="77777777" w:rsidR="000A3AE2" w:rsidRDefault="000A3AE2" w:rsidP="000A3AE2">
      <w:pPr>
        <w:pStyle w:val="NormalWeb"/>
      </w:pPr>
      <w:r>
        <w:t xml:space="preserve">2.7 </w:t>
      </w:r>
      <w:r w:rsidRPr="000A3AE2">
        <w:t xml:space="preserve">AI-assisted instructional frameworks </w:t>
      </w:r>
    </w:p>
    <w:p w14:paraId="76970141" w14:textId="57361960" w:rsidR="000A3AE2" w:rsidRPr="000A3AE2" w:rsidRDefault="000A3AE2" w:rsidP="000A3AE2">
      <w:pPr>
        <w:pStyle w:val="NormalWeb"/>
      </w:pPr>
      <w:r w:rsidRPr="000A3AE2">
        <w:t>Research in the mid-2020s has shifted intensely from merely applying artificial intelligence (AI) as a classroom utility toward constructing rigorous, multi-dimensional AI-assisted instructional frameworks. Current literature establishes that implementing AI into instruction is not just a technical upgrade; it fundamentally reshapes teacher knowledge, learning behaviors, and assessment pipelines.</w:t>
      </w:r>
      <w:r>
        <w:t xml:space="preserve"> </w:t>
      </w:r>
      <w:r w:rsidRPr="000A3AE2">
        <w:t>The empirical and theoretical literature can be categorized by three core dimensions of the modern AI instructional framework: Teacher Competency &amp; Knowledge, Curricular &amp; Scenario Design, and Adaptive Learning &amp; Evaluation.</w:t>
      </w:r>
    </w:p>
    <w:p w14:paraId="1A180610" w14:textId="1C3266FF" w:rsidR="000A3AE2" w:rsidRPr="000A3AE2" w:rsidRDefault="000A3AE2" w:rsidP="000A3AE2">
      <w:pPr>
        <w:pStyle w:val="NormalWeb"/>
      </w:pPr>
      <w:r w:rsidRPr="000A3AE2">
        <w:t>2.7.1. Teacher Competency &amp; Knowledge Frameworks</w:t>
      </w:r>
    </w:p>
    <w:p w14:paraId="26AD5993" w14:textId="77777777" w:rsidR="000A3AE2" w:rsidRPr="000A3AE2" w:rsidRDefault="000A3AE2" w:rsidP="000A3AE2">
      <w:pPr>
        <w:pStyle w:val="NormalWeb"/>
      </w:pPr>
      <w:r w:rsidRPr="000A3AE2">
        <w:t>For an AI-assisted framework to work, educators must transition from being "passive tech-adopters" to "co-mediators" alongside AI systems. Recent research updates classical pedagogical models (like TPACK) to incorporate real-time AI dynamics and strict ethical auditing.</w:t>
      </w:r>
    </w:p>
    <w:p w14:paraId="635213FF" w14:textId="77777777" w:rsidR="000A3AE2" w:rsidRPr="000A3AE2" w:rsidRDefault="000A3AE2" w:rsidP="000A3AE2">
      <w:pPr>
        <w:pStyle w:val="NormalWeb"/>
        <w:numPr>
          <w:ilvl w:val="0"/>
          <w:numId w:val="19"/>
        </w:numPr>
      </w:pPr>
      <w:r w:rsidRPr="000A3AE2">
        <w:t>Integrated AI Pedagogical Framework (IAPF): Developed to address fragmented teacher readiness, this framework explicitly links technical, pedagogical, ethical, and cultural competencies (Dua, 2026). It positions human-centered pedagogy as a boundary condition so that automated tools align with regional policy and inclusive student data metrics.</w:t>
      </w:r>
    </w:p>
    <w:p w14:paraId="5ED6154C" w14:textId="77777777" w:rsidR="000A3AE2" w:rsidRPr="000A3AE2" w:rsidRDefault="000A3AE2" w:rsidP="000A3AE2">
      <w:pPr>
        <w:pStyle w:val="NormalWeb"/>
        <w:numPr>
          <w:ilvl w:val="0"/>
          <w:numId w:val="19"/>
        </w:numPr>
      </w:pPr>
      <w:r w:rsidRPr="000A3AE2">
        <w:t>The AIA-PCEK Model (Artificial Intelligence Agent – Pedagogical Content Ethical Knowledge): This framework treats generative AI not as a static software instrument, but as an autonomous "pedagogical partner" in the classroom (</w:t>
      </w:r>
      <w:proofErr w:type="spellStart"/>
      <w:r w:rsidRPr="000A3AE2">
        <w:t>Mimoudi</w:t>
      </w:r>
      <w:proofErr w:type="spellEnd"/>
      <w:r w:rsidRPr="000A3AE2">
        <w:t>, 2025). The model outlines the exact "Artificial Intelligence Agent Knowledge" (AIAK) teachers require to interpret algorithmic reasoning and prevent "over-personalization"—a phenomenon where an AI isolates a student from broader, collaborative group learning.</w:t>
      </w:r>
    </w:p>
    <w:p w14:paraId="55FBE185" w14:textId="061E9B0D" w:rsidR="000A3AE2" w:rsidRPr="000A3AE2" w:rsidRDefault="000A3AE2" w:rsidP="000A3AE2">
      <w:pPr>
        <w:pStyle w:val="NormalWeb"/>
        <w:rPr>
          <w:b/>
          <w:bCs/>
        </w:rPr>
      </w:pPr>
      <w:r>
        <w:t>2.7.</w:t>
      </w:r>
      <w:r w:rsidRPr="000A3AE2">
        <w:t>2. Structural &amp; Scenario Design Frameworks</w:t>
      </w:r>
    </w:p>
    <w:p w14:paraId="3B078E26" w14:textId="77777777" w:rsidR="000A3AE2" w:rsidRPr="000A3AE2" w:rsidRDefault="000A3AE2" w:rsidP="000A3AE2">
      <w:pPr>
        <w:pStyle w:val="NormalWeb"/>
      </w:pPr>
      <w:r w:rsidRPr="000A3AE2">
        <w:t>AI-assisted frameworks excel at translating dense, static curriculum standards into scalable, immersive, and parameter-driven learning environments.</w:t>
      </w:r>
    </w:p>
    <w:p w14:paraId="2BE511AF" w14:textId="77777777" w:rsidR="000A3AE2" w:rsidRPr="000A3AE2" w:rsidRDefault="000A3AE2" w:rsidP="000A3AE2">
      <w:pPr>
        <w:pStyle w:val="NormalWeb"/>
        <w:numPr>
          <w:ilvl w:val="0"/>
          <w:numId w:val="20"/>
        </w:numPr>
      </w:pPr>
      <w:r w:rsidRPr="000A3AE2">
        <w:t xml:space="preserve">Curriculum-to-Immersion (C2I) Pipeline: Ursachi (2025) introduced a structural, four-layer engineering framework (Curriculum, AI, Extended Reality, and Adaptive Learning) designed to safely ingest educational data standards (e.g., NGSS or Common Core) and parse them via NLP into structured machine-readable code. This framework enforces an </w:t>
      </w:r>
      <w:r w:rsidRPr="000A3AE2">
        <w:lastRenderedPageBreak/>
        <w:t>"ethical audit" layer explicitly to prevent the downstream generative tools from inheriting societal biases during scenario building.</w:t>
      </w:r>
    </w:p>
    <w:p w14:paraId="0DE4442A" w14:textId="77777777" w:rsidR="000A3AE2" w:rsidRPr="000A3AE2" w:rsidRDefault="000A3AE2" w:rsidP="000A3AE2">
      <w:pPr>
        <w:pStyle w:val="NormalWeb"/>
        <w:numPr>
          <w:ilvl w:val="0"/>
          <w:numId w:val="20"/>
        </w:numPr>
      </w:pPr>
      <w:r w:rsidRPr="000A3AE2">
        <w:t xml:space="preserve">The Four-Function GenAI System: Levy </w:t>
      </w:r>
      <w:proofErr w:type="spellStart"/>
      <w:r w:rsidRPr="000A3AE2">
        <w:t>Yeyati</w:t>
      </w:r>
      <w:proofErr w:type="spellEnd"/>
      <w:r w:rsidRPr="000A3AE2">
        <w:t xml:space="preserve"> (2025) proposed a lean operational framework that groups all GenAI-driven classroom activities into four clear instructional vectors: content preparation, explanation, interactive practice/feedback, and motivation/exploration.</w:t>
      </w:r>
    </w:p>
    <w:p w14:paraId="0917ADB8" w14:textId="39F46C1F" w:rsidR="000A3AE2" w:rsidRPr="000A3AE2" w:rsidRDefault="000A3AE2" w:rsidP="000A3AE2">
      <w:pPr>
        <w:pStyle w:val="NormalWeb"/>
      </w:pPr>
      <w:r>
        <w:t>2.7.</w:t>
      </w:r>
      <w:r w:rsidRPr="000A3AE2">
        <w:t>3. Adaptive Learning &amp; Assessment Frameworks</w:t>
      </w:r>
    </w:p>
    <w:p w14:paraId="6C7010A2" w14:textId="77777777" w:rsidR="000A3AE2" w:rsidRPr="000A3AE2" w:rsidRDefault="000A3AE2" w:rsidP="000A3AE2">
      <w:pPr>
        <w:pStyle w:val="NormalWeb"/>
      </w:pPr>
      <w:r w:rsidRPr="000A3AE2">
        <w:t>Evaluating a classroom that utilizes AI requires balancing automated guidance with independent critical thinking, ensuring students do not develop a "cognitive dependency" on automated outputs.</w:t>
      </w:r>
    </w:p>
    <w:p w14:paraId="223AF7D0" w14:textId="77777777" w:rsidR="000A3AE2" w:rsidRPr="000A3AE2" w:rsidRDefault="000A3AE2" w:rsidP="000A3AE2">
      <w:pPr>
        <w:pStyle w:val="NormalWeb"/>
        <w:numPr>
          <w:ilvl w:val="0"/>
          <w:numId w:val="21"/>
        </w:numPr>
      </w:pPr>
      <w:r w:rsidRPr="000A3AE2">
        <w:t xml:space="preserve">The FACT Assessment Model: </w:t>
      </w:r>
      <w:proofErr w:type="spellStart"/>
      <w:r w:rsidRPr="000A3AE2">
        <w:t>Elshall</w:t>
      </w:r>
      <w:proofErr w:type="spellEnd"/>
      <w:r w:rsidRPr="000A3AE2">
        <w:t xml:space="preserve"> (2025) formulated the FACT (Fundamental, Applied Project) assessment framework to counteract the "passive recipient" trap. The framework divides instruction into two cleanly walled off sections: strict, non-AI assignments to solidify baseline computational or core problem-solving structures (Fundamental), followed by structured, AI-guided real-world applications (Applied).</w:t>
      </w:r>
    </w:p>
    <w:p w14:paraId="4B419BD6" w14:textId="77777777" w:rsidR="000A3AE2" w:rsidRPr="000A3AE2" w:rsidRDefault="000A3AE2" w:rsidP="000A3AE2">
      <w:pPr>
        <w:pStyle w:val="NormalWeb"/>
        <w:numPr>
          <w:ilvl w:val="0"/>
          <w:numId w:val="21"/>
        </w:numPr>
      </w:pPr>
      <w:r w:rsidRPr="000A3AE2">
        <w:t>The Behavioral Impact Pathway</w:t>
      </w:r>
      <w:r w:rsidRPr="000A3AE2">
        <w:rPr>
          <w:b/>
          <w:bCs/>
        </w:rPr>
        <w:t>:</w:t>
      </w:r>
      <w:r w:rsidRPr="000A3AE2">
        <w:t xml:space="preserve"> Proving the efficacy of these structures, empirical testing by Wan (2025) demonstrated through path analysis that AI-assisted instruction does not universally improve baseline exam scores directly. Instead, it operates via an </w:t>
      </w:r>
      <w:r w:rsidRPr="000A3AE2">
        <w:rPr>
          <w:i/>
          <w:iCs/>
        </w:rPr>
        <w:t>indirect pathway</w:t>
      </w:r>
      <w:r w:rsidRPr="000A3AE2">
        <w:t>: the framework optimizes immediate classroom participation and comprehensive analytical capacity, which alters student learning behaviors, which subsequently triggers an increase in overall competence development.</w:t>
      </w:r>
    </w:p>
    <w:p w14:paraId="4A055D3F" w14:textId="77777777" w:rsidR="00D20103" w:rsidRPr="00DF37F2" w:rsidRDefault="00D20103" w:rsidP="00D20103">
      <w:pPr>
        <w:pStyle w:val="Heading2"/>
        <w:rPr>
          <w:rFonts w:ascii="Times New Roman" w:hAnsi="Times New Roman" w:cs="Times New Roman"/>
          <w:color w:val="auto"/>
          <w:sz w:val="24"/>
          <w:szCs w:val="24"/>
        </w:rPr>
      </w:pPr>
      <w:bookmarkStart w:id="12" w:name="methodology"/>
      <w:bookmarkEnd w:id="10"/>
      <w:bookmarkEnd w:id="11"/>
      <w:r w:rsidRPr="00DF37F2">
        <w:rPr>
          <w:rFonts w:ascii="Times New Roman" w:hAnsi="Times New Roman" w:cs="Times New Roman"/>
          <w:b/>
          <w:bCs/>
          <w:color w:val="auto"/>
          <w:sz w:val="24"/>
          <w:szCs w:val="24"/>
        </w:rPr>
        <w:t>3. METHODS OF STUDY AND SOURCES OF DATA</w:t>
      </w:r>
    </w:p>
    <w:p w14:paraId="4AD72748" w14:textId="77777777" w:rsidR="00D20103" w:rsidRPr="00DF37F2" w:rsidRDefault="00D20103" w:rsidP="00D20103">
      <w:pPr>
        <w:pStyle w:val="Heading2"/>
        <w:rPr>
          <w:rFonts w:ascii="Times New Roman" w:hAnsi="Times New Roman" w:cs="Times New Roman"/>
          <w:b/>
          <w:bCs/>
          <w:color w:val="auto"/>
          <w:sz w:val="24"/>
          <w:szCs w:val="24"/>
        </w:rPr>
      </w:pPr>
      <w:r w:rsidRPr="00DF37F2">
        <w:rPr>
          <w:rFonts w:ascii="Times New Roman" w:hAnsi="Times New Roman" w:cs="Times New Roman"/>
          <w:b/>
          <w:bCs/>
          <w:color w:val="auto"/>
          <w:sz w:val="24"/>
          <w:szCs w:val="24"/>
        </w:rPr>
        <w:t>3.1 Research Purpose</w:t>
      </w:r>
    </w:p>
    <w:p w14:paraId="7A72B87A" w14:textId="024841FA" w:rsidR="00F2065E" w:rsidRPr="00DF37F2" w:rsidRDefault="00F2065E" w:rsidP="00F2065E">
      <w:pPr>
        <w:pStyle w:val="BodyText"/>
        <w:rPr>
          <w:rFonts w:ascii="Times New Roman" w:hAnsi="Times New Roman" w:cs="Times New Roman"/>
        </w:rPr>
      </w:pPr>
      <w:r w:rsidRPr="00DF37F2">
        <w:rPr>
          <w:rFonts w:ascii="Times New Roman" w:hAnsi="Times New Roman" w:cs="Times New Roman"/>
        </w:rPr>
        <w:t xml:space="preserve">This study aims to examine how artificial intelligence can be pedagogically integrated into </w:t>
      </w:r>
      <w:proofErr w:type="spellStart"/>
      <w:r w:rsidRPr="00DF37F2">
        <w:rPr>
          <w:rFonts w:ascii="Times New Roman" w:hAnsi="Times New Roman" w:cs="Times New Roman"/>
        </w:rPr>
        <w:t>transinterpretation</w:t>
      </w:r>
      <w:proofErr w:type="spellEnd"/>
      <w:r w:rsidRPr="00DF37F2">
        <w:rPr>
          <w:rFonts w:ascii="Times New Roman" w:hAnsi="Times New Roman" w:cs="Times New Roman"/>
        </w:rPr>
        <w:t xml:space="preserve"> instruction to enhance student motivation, engagement, and structural competence. It seeks to propose and empirically validate an AI-assisted instructional framework that balances automated generation with instructor editorial intervention in Vietnamese EFL tertiary contexts.</w:t>
      </w:r>
    </w:p>
    <w:p w14:paraId="29D35161" w14:textId="77777777" w:rsidR="00D20103" w:rsidRPr="00DF37F2" w:rsidRDefault="00D20103" w:rsidP="00D20103">
      <w:pPr>
        <w:pStyle w:val="Heading2"/>
        <w:rPr>
          <w:rFonts w:ascii="Times New Roman" w:hAnsi="Times New Roman" w:cs="Times New Roman"/>
          <w:color w:val="auto"/>
          <w:sz w:val="24"/>
          <w:szCs w:val="24"/>
        </w:rPr>
      </w:pPr>
      <w:r w:rsidRPr="00DF37F2">
        <w:rPr>
          <w:rFonts w:ascii="Times New Roman" w:hAnsi="Times New Roman" w:cs="Times New Roman"/>
          <w:b/>
          <w:bCs/>
          <w:color w:val="auto"/>
          <w:sz w:val="24"/>
          <w:szCs w:val="24"/>
        </w:rPr>
        <w:t>3.2 Population of the Study</w:t>
      </w:r>
    </w:p>
    <w:p w14:paraId="2AE5B328" w14:textId="548F50EA" w:rsidR="00D20103" w:rsidRPr="00DF37F2" w:rsidRDefault="00C45E9C" w:rsidP="00C45E9C">
      <w:pPr>
        <w:pStyle w:val="FirstParagraph"/>
        <w:rPr>
          <w:rFonts w:ascii="Times New Roman" w:eastAsiaTheme="majorEastAsia" w:hAnsi="Times New Roman" w:cs="Times New Roman"/>
        </w:rPr>
      </w:pPr>
      <w:r w:rsidRPr="00DF37F2">
        <w:rPr>
          <w:rFonts w:ascii="Times New Roman" w:hAnsi="Times New Roman" w:cs="Times New Roman"/>
        </w:rPr>
        <w:t xml:space="preserve">The participants included </w:t>
      </w:r>
      <w:r w:rsidR="00722C8A">
        <w:rPr>
          <w:rFonts w:ascii="Times New Roman" w:hAnsi="Times New Roman" w:cs="Times New Roman"/>
        </w:rPr>
        <w:t>79</w:t>
      </w:r>
      <w:r w:rsidRPr="00DF37F2">
        <w:rPr>
          <w:rFonts w:ascii="Times New Roman" w:hAnsi="Times New Roman" w:cs="Times New Roman"/>
        </w:rPr>
        <w:t xml:space="preserve"> undergraduate students enrolled in TMT-related courses at HUFLIT. These students had prior exposure to AI translation tools and varied levels of grammatical proficiency. </w:t>
      </w:r>
      <w:r w:rsidR="00D20103" w:rsidRPr="00DF37F2">
        <w:rPr>
          <w:rFonts w:ascii="Times New Roman" w:eastAsiaTheme="majorEastAsia" w:hAnsi="Times New Roman" w:cs="Times New Roman"/>
        </w:rPr>
        <w:t xml:space="preserve">All students of the </w:t>
      </w:r>
      <w:r w:rsidR="00D20103" w:rsidRPr="00DF37F2">
        <w:rPr>
          <w:rFonts w:ascii="Times New Roman" w:hAnsi="Times New Roman" w:cs="Times New Roman"/>
        </w:rPr>
        <w:t xml:space="preserve">Theories &amp; Methods of </w:t>
      </w:r>
      <w:proofErr w:type="spellStart"/>
      <w:r w:rsidR="00D20103" w:rsidRPr="00DF37F2">
        <w:rPr>
          <w:rFonts w:ascii="Times New Roman" w:hAnsi="Times New Roman" w:cs="Times New Roman"/>
        </w:rPr>
        <w:t>Transinterpretation</w:t>
      </w:r>
      <w:proofErr w:type="spellEnd"/>
      <w:r w:rsidR="00D20103" w:rsidRPr="00DF37F2">
        <w:rPr>
          <w:rFonts w:ascii="Times New Roman" w:hAnsi="Times New Roman" w:cs="Times New Roman"/>
        </w:rPr>
        <w:t xml:space="preserve">" (TMT) </w:t>
      </w:r>
      <w:r w:rsidR="00D20103" w:rsidRPr="00DF37F2">
        <w:rPr>
          <w:rFonts w:ascii="Times New Roman" w:eastAsiaTheme="majorEastAsia" w:hAnsi="Times New Roman" w:cs="Times New Roman"/>
        </w:rPr>
        <w:t>class were requested to answer 1</w:t>
      </w:r>
      <w:r w:rsidR="00166F19" w:rsidRPr="00DF37F2">
        <w:rPr>
          <w:rFonts w:ascii="Times New Roman" w:hAnsi="Times New Roman" w:cs="Times New Roman"/>
        </w:rPr>
        <w:t>0</w:t>
      </w:r>
      <w:r w:rsidR="00D20103" w:rsidRPr="00DF37F2">
        <w:rPr>
          <w:rFonts w:ascii="Times New Roman" w:eastAsiaTheme="majorEastAsia" w:hAnsi="Times New Roman" w:cs="Times New Roman"/>
        </w:rPr>
        <w:t xml:space="preserve"> questions</w:t>
      </w:r>
      <w:r w:rsidR="00166F19" w:rsidRPr="00DF37F2">
        <w:rPr>
          <w:rFonts w:ascii="Times New Roman" w:eastAsiaTheme="majorEastAsia" w:hAnsi="Times New Roman" w:cs="Times New Roman"/>
        </w:rPr>
        <w:t xml:space="preserve"> </w:t>
      </w:r>
      <w:r w:rsidR="00D20103" w:rsidRPr="00DF37F2">
        <w:rPr>
          <w:rFonts w:ascii="Times New Roman" w:eastAsiaTheme="majorEastAsia" w:hAnsi="Times New Roman" w:cs="Times New Roman"/>
        </w:rPr>
        <w:t xml:space="preserve">after taking their mini-test, which </w:t>
      </w:r>
      <w:r w:rsidR="00316513" w:rsidRPr="00DF37F2">
        <w:rPr>
          <w:rFonts w:ascii="Times New Roman" w:hAnsi="Times New Roman" w:cs="Times New Roman"/>
        </w:rPr>
        <w:t>follows exactly the design from</w:t>
      </w:r>
      <w:r w:rsidR="00D20103" w:rsidRPr="00DF37F2">
        <w:rPr>
          <w:rFonts w:ascii="Times New Roman" w:eastAsiaTheme="majorEastAsia" w:hAnsi="Times New Roman" w:cs="Times New Roman"/>
        </w:rPr>
        <w:t xml:space="preserve"> the </w:t>
      </w:r>
      <w:r w:rsidR="00316513" w:rsidRPr="00DF37F2">
        <w:rPr>
          <w:rFonts w:ascii="Times New Roman" w:hAnsi="Times New Roman" w:cs="Times New Roman"/>
        </w:rPr>
        <w:t>course outline</w:t>
      </w:r>
      <w:r w:rsidR="00D20103" w:rsidRPr="00DF37F2">
        <w:rPr>
          <w:rFonts w:ascii="Times New Roman" w:eastAsiaTheme="majorEastAsia" w:hAnsi="Times New Roman" w:cs="Times New Roman"/>
        </w:rPr>
        <w:t xml:space="preserve"> and the </w:t>
      </w:r>
      <w:r w:rsidR="00316513" w:rsidRPr="00DF37F2">
        <w:rPr>
          <w:rFonts w:ascii="Times New Roman" w:hAnsi="Times New Roman" w:cs="Times New Roman"/>
        </w:rPr>
        <w:t>similar content of what have been mentioned in the research</w:t>
      </w:r>
      <w:r w:rsidR="00D20103" w:rsidRPr="00DF37F2">
        <w:rPr>
          <w:rFonts w:ascii="Times New Roman" w:eastAsiaTheme="majorEastAsia" w:hAnsi="Times New Roman" w:cs="Times New Roman"/>
        </w:rPr>
        <w:t xml:space="preserve">, to check for the its </w:t>
      </w:r>
      <w:r w:rsidR="00316513" w:rsidRPr="00DF37F2">
        <w:rPr>
          <w:rFonts w:ascii="Times New Roman" w:hAnsi="Times New Roman" w:cs="Times New Roman"/>
        </w:rPr>
        <w:t>pedagogical</w:t>
      </w:r>
      <w:r w:rsidR="00D20103" w:rsidRPr="00DF37F2">
        <w:rPr>
          <w:rFonts w:ascii="Times New Roman" w:eastAsiaTheme="majorEastAsia" w:hAnsi="Times New Roman" w:cs="Times New Roman"/>
        </w:rPr>
        <w:t xml:space="preserve"> effect.  </w:t>
      </w:r>
    </w:p>
    <w:p w14:paraId="4916D2DB" w14:textId="27286B29" w:rsidR="00D20103" w:rsidRPr="00DF37F2" w:rsidRDefault="00D20103" w:rsidP="00D20103">
      <w:pPr>
        <w:pStyle w:val="Heading2"/>
        <w:rPr>
          <w:rFonts w:ascii="Times New Roman" w:hAnsi="Times New Roman" w:cs="Times New Roman"/>
          <w:color w:val="auto"/>
          <w:sz w:val="24"/>
          <w:szCs w:val="24"/>
        </w:rPr>
      </w:pPr>
      <w:r w:rsidRPr="00DF37F2">
        <w:rPr>
          <w:rFonts w:ascii="Times New Roman" w:hAnsi="Times New Roman" w:cs="Times New Roman"/>
          <w:color w:val="auto"/>
          <w:sz w:val="24"/>
          <w:szCs w:val="24"/>
        </w:rPr>
        <w:lastRenderedPageBreak/>
        <w:t xml:space="preserve">The number of respondents is </w:t>
      </w:r>
      <w:r w:rsidR="00722C8A">
        <w:rPr>
          <w:rFonts w:ascii="Times New Roman" w:hAnsi="Times New Roman" w:cs="Times New Roman"/>
          <w:color w:val="auto"/>
          <w:sz w:val="24"/>
          <w:szCs w:val="24"/>
        </w:rPr>
        <w:t>79</w:t>
      </w:r>
      <w:r w:rsidR="00316513" w:rsidRPr="00DF37F2">
        <w:rPr>
          <w:rFonts w:ascii="Times New Roman" w:hAnsi="Times New Roman" w:cs="Times New Roman"/>
          <w:color w:val="auto"/>
          <w:sz w:val="24"/>
          <w:szCs w:val="24"/>
        </w:rPr>
        <w:t xml:space="preserve"> students in total number of two TMT classes</w:t>
      </w:r>
      <w:r w:rsidRPr="00DF37F2">
        <w:rPr>
          <w:rFonts w:ascii="Times New Roman" w:hAnsi="Times New Roman" w:cs="Times New Roman"/>
          <w:color w:val="auto"/>
          <w:sz w:val="24"/>
          <w:szCs w:val="24"/>
        </w:rPr>
        <w:t xml:space="preserve">, academically not satisfactory for reliable research but it represents an important part of learners. All </w:t>
      </w:r>
      <w:r w:rsidR="00316513" w:rsidRPr="00DF37F2">
        <w:rPr>
          <w:rFonts w:ascii="Times New Roman" w:hAnsi="Times New Roman" w:cs="Times New Roman"/>
          <w:color w:val="auto"/>
          <w:sz w:val="24"/>
          <w:szCs w:val="24"/>
        </w:rPr>
        <w:t>sophomores</w:t>
      </w:r>
      <w:r w:rsidRPr="00DF37F2">
        <w:rPr>
          <w:rFonts w:ascii="Times New Roman" w:hAnsi="Times New Roman" w:cs="Times New Roman"/>
          <w:color w:val="auto"/>
          <w:sz w:val="24"/>
          <w:szCs w:val="24"/>
        </w:rPr>
        <w:t xml:space="preserve"> sent their answers for the survey 6 </w:t>
      </w:r>
      <w:r w:rsidR="00316513" w:rsidRPr="00DF37F2">
        <w:rPr>
          <w:rFonts w:ascii="Times New Roman" w:hAnsi="Times New Roman" w:cs="Times New Roman"/>
          <w:color w:val="auto"/>
          <w:sz w:val="24"/>
          <w:szCs w:val="24"/>
        </w:rPr>
        <w:t>days</w:t>
      </w:r>
      <w:r w:rsidRPr="00DF37F2">
        <w:rPr>
          <w:rFonts w:ascii="Times New Roman" w:hAnsi="Times New Roman" w:cs="Times New Roman"/>
          <w:color w:val="auto"/>
          <w:sz w:val="24"/>
          <w:szCs w:val="24"/>
        </w:rPr>
        <w:t xml:space="preserve"> after their mini-test. This can be seen a pilot study in HUFLIT for further researches.</w:t>
      </w:r>
    </w:p>
    <w:p w14:paraId="786F5568" w14:textId="77777777" w:rsidR="00C45E9C" w:rsidRPr="00DF37F2" w:rsidRDefault="00D20103" w:rsidP="00C45E9C">
      <w:pPr>
        <w:pStyle w:val="Heading3"/>
        <w:rPr>
          <w:rFonts w:ascii="Times New Roman" w:hAnsi="Times New Roman" w:cs="Times New Roman"/>
          <w:color w:val="auto"/>
          <w:sz w:val="24"/>
          <w:szCs w:val="24"/>
        </w:rPr>
      </w:pPr>
      <w:r w:rsidRPr="00DF37F2">
        <w:rPr>
          <w:rFonts w:ascii="Times New Roman" w:hAnsi="Times New Roman" w:cs="Times New Roman"/>
          <w:b/>
          <w:bCs/>
          <w:color w:val="auto"/>
          <w:sz w:val="24"/>
          <w:szCs w:val="24"/>
        </w:rPr>
        <w:t xml:space="preserve">3.3 </w:t>
      </w:r>
      <w:r w:rsidR="00C45E9C" w:rsidRPr="00DF37F2">
        <w:rPr>
          <w:rFonts w:ascii="Times New Roman" w:hAnsi="Times New Roman" w:cs="Times New Roman"/>
          <w:b/>
          <w:bCs/>
          <w:color w:val="auto"/>
          <w:sz w:val="24"/>
          <w:szCs w:val="24"/>
        </w:rPr>
        <w:t>Research Design</w:t>
      </w:r>
    </w:p>
    <w:p w14:paraId="622C6BF8" w14:textId="3CE66958" w:rsidR="00C45E9C" w:rsidRDefault="00C45E9C" w:rsidP="00C45E9C">
      <w:pPr>
        <w:pStyle w:val="FirstParagraph"/>
        <w:rPr>
          <w:rFonts w:ascii="Times New Roman" w:hAnsi="Times New Roman" w:cs="Times New Roman"/>
        </w:rPr>
      </w:pPr>
      <w:r w:rsidRPr="00DF37F2">
        <w:rPr>
          <w:rFonts w:ascii="Times New Roman" w:hAnsi="Times New Roman" w:cs="Times New Roman"/>
        </w:rPr>
        <w:t xml:space="preserve">The study adopts a mixed-methods approach, combining quantitative survey data from TMT students with qualitative analysis of AI-assisted exercise design. </w:t>
      </w:r>
    </w:p>
    <w:p w14:paraId="0BA406C9" w14:textId="1CD0FD76" w:rsidR="00D20103" w:rsidRPr="00DF37F2" w:rsidRDefault="00C45E9C" w:rsidP="00D20103">
      <w:pPr>
        <w:pStyle w:val="Heading2"/>
        <w:rPr>
          <w:rFonts w:ascii="Times New Roman" w:hAnsi="Times New Roman" w:cs="Times New Roman"/>
          <w:color w:val="auto"/>
          <w:sz w:val="24"/>
          <w:szCs w:val="24"/>
        </w:rPr>
      </w:pPr>
      <w:r w:rsidRPr="00DF37F2">
        <w:rPr>
          <w:rFonts w:ascii="Times New Roman" w:hAnsi="Times New Roman" w:cs="Times New Roman"/>
          <w:b/>
          <w:bCs/>
          <w:color w:val="auto"/>
          <w:sz w:val="24"/>
          <w:szCs w:val="24"/>
        </w:rPr>
        <w:t xml:space="preserve">3.4 </w:t>
      </w:r>
      <w:r w:rsidR="00D20103" w:rsidRPr="00DF37F2">
        <w:rPr>
          <w:rFonts w:ascii="Times New Roman" w:hAnsi="Times New Roman" w:cs="Times New Roman"/>
          <w:b/>
          <w:bCs/>
          <w:color w:val="auto"/>
          <w:sz w:val="24"/>
          <w:szCs w:val="24"/>
        </w:rPr>
        <w:t>Instrument Used</w:t>
      </w:r>
    </w:p>
    <w:p w14:paraId="2EA4FDB9" w14:textId="55207268" w:rsidR="00D20103" w:rsidRPr="00DF37F2" w:rsidRDefault="00D20103" w:rsidP="00D20103">
      <w:pPr>
        <w:pStyle w:val="Heading2"/>
        <w:rPr>
          <w:rFonts w:ascii="Times New Roman" w:hAnsi="Times New Roman" w:cs="Times New Roman"/>
          <w:color w:val="auto"/>
          <w:sz w:val="24"/>
          <w:szCs w:val="24"/>
        </w:rPr>
      </w:pPr>
      <w:r w:rsidRPr="00DF37F2">
        <w:rPr>
          <w:rFonts w:ascii="Times New Roman" w:hAnsi="Times New Roman" w:cs="Times New Roman"/>
          <w:color w:val="auto"/>
          <w:sz w:val="24"/>
          <w:szCs w:val="24"/>
        </w:rPr>
        <w:t xml:space="preserve">The humble scope of the article, the only tool in the study is data collection from attitude questionnaires distributed in the first semester. The questionnaires were sent to participants via </w:t>
      </w:r>
      <w:r w:rsidR="00316513" w:rsidRPr="00DF37F2">
        <w:rPr>
          <w:rFonts w:ascii="Times New Roman" w:hAnsi="Times New Roman" w:cs="Times New Roman"/>
          <w:color w:val="auto"/>
          <w:sz w:val="24"/>
          <w:szCs w:val="24"/>
        </w:rPr>
        <w:t>Google form</w:t>
      </w:r>
      <w:r w:rsidRPr="00DF37F2">
        <w:rPr>
          <w:rFonts w:ascii="Times New Roman" w:hAnsi="Times New Roman" w:cs="Times New Roman"/>
          <w:color w:val="auto"/>
          <w:sz w:val="24"/>
          <w:szCs w:val="24"/>
        </w:rPr>
        <w:t xml:space="preserve"> to assure the prompt reception and all responses were returned before the deadline for the convenience of data collection.</w:t>
      </w:r>
    </w:p>
    <w:p w14:paraId="0AA67E99" w14:textId="7C2CC733" w:rsidR="00D20103" w:rsidRPr="00DF37F2" w:rsidRDefault="00C45E9C" w:rsidP="00D20103">
      <w:pPr>
        <w:pStyle w:val="Heading2"/>
        <w:rPr>
          <w:rFonts w:ascii="Times New Roman" w:hAnsi="Times New Roman" w:cs="Times New Roman"/>
          <w:color w:val="auto"/>
          <w:sz w:val="24"/>
          <w:szCs w:val="24"/>
        </w:rPr>
      </w:pPr>
      <w:r w:rsidRPr="00DF37F2">
        <w:rPr>
          <w:rFonts w:ascii="Times New Roman" w:hAnsi="Times New Roman" w:cs="Times New Roman"/>
          <w:b/>
          <w:bCs/>
          <w:color w:val="auto"/>
          <w:sz w:val="24"/>
          <w:szCs w:val="24"/>
        </w:rPr>
        <w:t xml:space="preserve">3.5 </w:t>
      </w:r>
      <w:r w:rsidR="00D20103" w:rsidRPr="00DF37F2">
        <w:rPr>
          <w:rFonts w:ascii="Times New Roman" w:hAnsi="Times New Roman" w:cs="Times New Roman"/>
          <w:b/>
          <w:bCs/>
          <w:color w:val="auto"/>
          <w:sz w:val="24"/>
          <w:szCs w:val="24"/>
        </w:rPr>
        <w:t>Statistical Treatment</w:t>
      </w:r>
    </w:p>
    <w:p w14:paraId="37271A4C" w14:textId="77777777" w:rsidR="00F740C1" w:rsidRPr="00F740C1" w:rsidRDefault="00F740C1" w:rsidP="00F740C1">
      <w:pPr>
        <w:pStyle w:val="Heading3"/>
        <w:rPr>
          <w:rFonts w:ascii="Times New Roman" w:hAnsi="Times New Roman" w:cs="Times New Roman"/>
          <w:color w:val="auto"/>
          <w:sz w:val="24"/>
          <w:szCs w:val="24"/>
        </w:rPr>
      </w:pPr>
      <w:r w:rsidRPr="00F740C1">
        <w:rPr>
          <w:rFonts w:ascii="Times New Roman" w:hAnsi="Times New Roman" w:cs="Times New Roman"/>
          <w:b/>
          <w:bCs/>
          <w:color w:val="auto"/>
          <w:sz w:val="24"/>
          <w:szCs w:val="24"/>
        </w:rPr>
        <w:t>3.5 Instrument Validation and Statistical Treatment</w:t>
      </w:r>
      <w:r w:rsidRPr="00F740C1">
        <w:rPr>
          <w:rFonts w:ascii="Times New Roman" w:hAnsi="Times New Roman" w:cs="Times New Roman"/>
          <w:color w:val="auto"/>
          <w:sz w:val="24"/>
          <w:szCs w:val="24"/>
        </w:rPr>
        <w:t xml:space="preserve"> </w:t>
      </w:r>
    </w:p>
    <w:p w14:paraId="79284BC2" w14:textId="45D48518" w:rsidR="00F740C1" w:rsidRPr="00F740C1" w:rsidRDefault="00F740C1" w:rsidP="00F740C1">
      <w:pPr>
        <w:pStyle w:val="Heading3"/>
        <w:rPr>
          <w:rFonts w:ascii="Times New Roman" w:hAnsi="Times New Roman" w:cs="Times New Roman"/>
          <w:color w:val="auto"/>
          <w:sz w:val="24"/>
          <w:szCs w:val="24"/>
        </w:rPr>
      </w:pPr>
      <w:r w:rsidRPr="00F740C1">
        <w:rPr>
          <w:rFonts w:ascii="Times New Roman" w:hAnsi="Times New Roman" w:cs="Times New Roman"/>
          <w:color w:val="auto"/>
          <w:sz w:val="24"/>
          <w:szCs w:val="24"/>
        </w:rPr>
        <w:t xml:space="preserve">To evaluate the psychometric soundness of the 10-item attitude questionnaire administered via Google Forms, internal consistency and structural validity were evaluated using IBM SPSS Statistics (v26.0). </w:t>
      </w:r>
      <w:r w:rsidR="00B83EF8" w:rsidRPr="00F740C1">
        <w:rPr>
          <w:rFonts w:ascii="Times New Roman" w:hAnsi="Times New Roman" w:cs="Times New Roman"/>
          <w:color w:val="auto"/>
          <w:sz w:val="24"/>
          <w:szCs w:val="24"/>
        </w:rPr>
        <w:t xml:space="preserve">Descriptive statistics (Means, Standard Deviations, and relative frequency percentages) were </w:t>
      </w:r>
      <w:r w:rsidRPr="00F740C1">
        <w:rPr>
          <w:rFonts w:ascii="Times New Roman" w:hAnsi="Times New Roman" w:cs="Times New Roman"/>
          <w:color w:val="auto"/>
          <w:sz w:val="24"/>
          <w:szCs w:val="24"/>
        </w:rPr>
        <w:t xml:space="preserve">accurately mapped onto the expected components of translation learning motivation, collaboration, and pedagogical efficacy. </w:t>
      </w:r>
    </w:p>
    <w:p w14:paraId="479387DA" w14:textId="77777777" w:rsidR="008869DB" w:rsidRPr="00DF37F2" w:rsidRDefault="008869DB" w:rsidP="008869DB">
      <w:pPr>
        <w:pStyle w:val="Heading3"/>
        <w:rPr>
          <w:rFonts w:ascii="Times New Roman" w:hAnsi="Times New Roman" w:cs="Times New Roman"/>
          <w:b/>
          <w:bCs/>
          <w:color w:val="auto"/>
          <w:sz w:val="24"/>
          <w:szCs w:val="24"/>
        </w:rPr>
      </w:pPr>
      <w:r w:rsidRPr="00DF37F2">
        <w:rPr>
          <w:rFonts w:ascii="Times New Roman" w:hAnsi="Times New Roman" w:cs="Times New Roman"/>
          <w:b/>
          <w:bCs/>
          <w:color w:val="auto"/>
          <w:sz w:val="24"/>
          <w:szCs w:val="24"/>
        </w:rPr>
        <w:t>3.6 Data Sources</w:t>
      </w:r>
    </w:p>
    <w:p w14:paraId="01CF9150" w14:textId="77777777" w:rsidR="008869DB" w:rsidRPr="00DF37F2" w:rsidRDefault="008869DB" w:rsidP="008869DB">
      <w:pPr>
        <w:pStyle w:val="FirstParagraph"/>
        <w:rPr>
          <w:rFonts w:ascii="Times New Roman" w:hAnsi="Times New Roman" w:cs="Times New Roman"/>
        </w:rPr>
      </w:pPr>
      <w:r w:rsidRPr="00DF37F2">
        <w:rPr>
          <w:rFonts w:ascii="Times New Roman" w:hAnsi="Times New Roman" w:cs="Times New Roman"/>
        </w:rPr>
        <w:t>Two primary data sources were used:</w:t>
      </w:r>
    </w:p>
    <w:p w14:paraId="130658BF" w14:textId="77777777" w:rsidR="008869DB" w:rsidRPr="00DF37F2" w:rsidRDefault="008869DB" w:rsidP="008869DB">
      <w:pPr>
        <w:pStyle w:val="Compact"/>
        <w:numPr>
          <w:ilvl w:val="0"/>
          <w:numId w:val="4"/>
        </w:numPr>
        <w:rPr>
          <w:rFonts w:ascii="Times New Roman" w:hAnsi="Times New Roman" w:cs="Times New Roman"/>
        </w:rPr>
      </w:pPr>
      <w:r w:rsidRPr="00DF37F2">
        <w:rPr>
          <w:rFonts w:ascii="Times New Roman" w:hAnsi="Times New Roman" w:cs="Times New Roman"/>
        </w:rPr>
        <w:t>Survey analytics documenting students’ engagement, collaboration, and perceived improvement when using AI in TMT exercises.</w:t>
      </w:r>
    </w:p>
    <w:p w14:paraId="543F217C" w14:textId="77777777" w:rsidR="009378B0" w:rsidRDefault="008869DB" w:rsidP="00D20103">
      <w:pPr>
        <w:pStyle w:val="Compact"/>
        <w:numPr>
          <w:ilvl w:val="0"/>
          <w:numId w:val="4"/>
        </w:numPr>
        <w:rPr>
          <w:rFonts w:ascii="Times New Roman" w:hAnsi="Times New Roman" w:cs="Times New Roman"/>
        </w:rPr>
      </w:pPr>
      <w:r w:rsidRPr="009378B0">
        <w:rPr>
          <w:rFonts w:ascii="Times New Roman" w:hAnsi="Times New Roman" w:cs="Times New Roman"/>
        </w:rPr>
        <w:t>A structured instructional framework for composing Vietnamese–English structural translation exercises using AI.</w:t>
      </w:r>
    </w:p>
    <w:p w14:paraId="020C3BEC" w14:textId="77777777" w:rsidR="009378B0" w:rsidRDefault="009378B0" w:rsidP="009378B0">
      <w:pPr>
        <w:pStyle w:val="Compact"/>
        <w:ind w:left="720"/>
        <w:rPr>
          <w:rFonts w:ascii="Times New Roman" w:hAnsi="Times New Roman" w:cs="Times New Roman"/>
        </w:rPr>
      </w:pPr>
    </w:p>
    <w:p w14:paraId="55ACDBFA" w14:textId="77777777" w:rsidR="009378B0" w:rsidRDefault="00D20103" w:rsidP="009378B0">
      <w:pPr>
        <w:pStyle w:val="Compact"/>
        <w:ind w:left="720"/>
        <w:rPr>
          <w:rFonts w:ascii="Times New Roman" w:hAnsi="Times New Roman" w:cs="Times New Roman"/>
          <w:b/>
          <w:bCs/>
        </w:rPr>
      </w:pPr>
      <w:r w:rsidRPr="009378B0">
        <w:rPr>
          <w:rFonts w:ascii="Times New Roman" w:hAnsi="Times New Roman" w:cs="Times New Roman"/>
          <w:b/>
          <w:bCs/>
        </w:rPr>
        <w:t xml:space="preserve">4. </w:t>
      </w:r>
      <w:r w:rsidRPr="009378B0">
        <w:rPr>
          <w:rFonts w:ascii="Times New Roman" w:hAnsi="Times New Roman" w:cs="Times New Roman"/>
          <w:b/>
          <w:bCs/>
        </w:rPr>
        <w:tab/>
        <w:t>PRESENTATION, DATA ANALYSIS</w:t>
      </w:r>
      <w:bookmarkStart w:id="13" w:name="student-engagement-and-motivation"/>
      <w:bookmarkStart w:id="14" w:name="empirical-findings-from-tmt-exercises"/>
      <w:bookmarkEnd w:id="12"/>
    </w:p>
    <w:p w14:paraId="35E70403" w14:textId="66ED6C4E" w:rsidR="003E03FD" w:rsidRPr="003E03FD" w:rsidRDefault="003E03FD" w:rsidP="003E03FD">
      <w:pPr>
        <w:pStyle w:val="Heading3"/>
        <w:rPr>
          <w:rFonts w:ascii="Times New Roman" w:hAnsi="Times New Roman" w:cs="Times New Roman"/>
          <w:b/>
          <w:bCs/>
          <w:color w:val="auto"/>
          <w:sz w:val="24"/>
          <w:szCs w:val="24"/>
        </w:rPr>
      </w:pPr>
      <w:r w:rsidRPr="003E03FD">
        <w:rPr>
          <w:rFonts w:ascii="Times New Roman" w:hAnsi="Times New Roman" w:cs="Times New Roman"/>
          <w:b/>
          <w:bCs/>
          <w:color w:val="auto"/>
          <w:sz w:val="24"/>
          <w:szCs w:val="24"/>
        </w:rPr>
        <w:t>4.</w:t>
      </w:r>
      <w:r w:rsidR="00CA4CF6">
        <w:rPr>
          <w:rFonts w:ascii="Times New Roman" w:hAnsi="Times New Roman" w:cs="Times New Roman"/>
          <w:b/>
          <w:bCs/>
          <w:color w:val="auto"/>
          <w:sz w:val="24"/>
          <w:szCs w:val="24"/>
        </w:rPr>
        <w:t>1</w:t>
      </w:r>
      <w:r w:rsidRPr="003E03FD">
        <w:rPr>
          <w:rFonts w:ascii="Times New Roman" w:hAnsi="Times New Roman" w:cs="Times New Roman"/>
          <w:b/>
          <w:bCs/>
          <w:color w:val="auto"/>
          <w:sz w:val="24"/>
          <w:szCs w:val="24"/>
        </w:rPr>
        <w:t xml:space="preserve"> Descriptive Statistical Analysis of Student Perceptions</w:t>
      </w:r>
    </w:p>
    <w:p w14:paraId="7A91BE9A" w14:textId="15312849" w:rsidR="003E03FD" w:rsidRPr="003E03FD" w:rsidRDefault="003E03FD" w:rsidP="003E03FD">
      <w:pPr>
        <w:pStyle w:val="Heading3"/>
        <w:rPr>
          <w:rFonts w:ascii="Times New Roman" w:hAnsi="Times New Roman" w:cs="Times New Roman"/>
          <w:color w:val="auto"/>
          <w:sz w:val="24"/>
          <w:szCs w:val="24"/>
        </w:rPr>
      </w:pPr>
      <w:r w:rsidRPr="003E03FD">
        <w:rPr>
          <w:rFonts w:ascii="Times New Roman" w:hAnsi="Times New Roman" w:cs="Times New Roman"/>
          <w:color w:val="auto"/>
          <w:sz w:val="24"/>
          <w:szCs w:val="24"/>
        </w:rPr>
        <w:t>To provide a precise baseline of student evaluations, Table 1 details the itemized mean scores, standard deviations, and percentage distributions for the core survey questions.</w:t>
      </w:r>
    </w:p>
    <w:p w14:paraId="0D4158C8" w14:textId="21B19D2D" w:rsidR="001E029D" w:rsidRPr="001E029D" w:rsidRDefault="001E029D" w:rsidP="001E029D">
      <w:pPr>
        <w:pStyle w:val="BodyText"/>
        <w:rPr>
          <w:rFonts w:ascii="Times New Roman" w:hAnsi="Times New Roman" w:cs="Times New Roman"/>
        </w:rPr>
      </w:pPr>
      <w:r w:rsidRPr="001E029D">
        <w:rPr>
          <w:rFonts w:ascii="Times New Roman" w:hAnsi="Times New Roman" w:cs="Times New Roman"/>
        </w:rPr>
        <w:t>The dataset comprises survey responses from a sample size of N = 79 participants evaluated across ten distinct items (Q1 to Q10). The survey was deployed to investigate the "washback effect" within a Project-Based Learning (PBL) framework.</w:t>
      </w:r>
    </w:p>
    <w:p w14:paraId="1EF7ACAD" w14:textId="45AB7869" w:rsidR="001E029D" w:rsidRPr="001E029D" w:rsidRDefault="001E029D" w:rsidP="001E029D">
      <w:pPr>
        <w:pStyle w:val="BodyText"/>
        <w:rPr>
          <w:rFonts w:ascii="Times New Roman" w:hAnsi="Times New Roman" w:cs="Times New Roman"/>
        </w:rPr>
      </w:pPr>
      <w:r w:rsidRPr="001E029D">
        <w:rPr>
          <w:rFonts w:ascii="Times New Roman" w:hAnsi="Times New Roman" w:cs="Times New Roman"/>
        </w:rPr>
        <w:t>The primary instrument utilizes a 5-point Likert scale structure. Based on the statistical parameters of the data file, the scale follows a descending order where lower numeric values represent strong agreement and higher values signify disagreement, with the notable exception of Q7, which functions as a reverse-coded or distinctively distributed item.</w:t>
      </w:r>
    </w:p>
    <w:p w14:paraId="1EA82F48" w14:textId="32AA1271" w:rsidR="001E029D" w:rsidRPr="00B90854" w:rsidRDefault="00D2618A" w:rsidP="001E029D">
      <w:pPr>
        <w:pStyle w:val="BodyText"/>
        <w:rPr>
          <w:rFonts w:ascii="Times New Roman" w:hAnsi="Times New Roman" w:cs="Times New Roman"/>
        </w:rPr>
      </w:pPr>
      <w:r w:rsidRPr="00B90854">
        <w:rPr>
          <w:rFonts w:ascii="Times New Roman" w:hAnsi="Times New Roman" w:cs="Times New Roman"/>
        </w:rPr>
        <w:lastRenderedPageBreak/>
        <w:t>4.</w:t>
      </w:r>
      <w:r w:rsidR="001E029D" w:rsidRPr="00B90854">
        <w:rPr>
          <w:rFonts w:ascii="Times New Roman" w:hAnsi="Times New Roman" w:cs="Times New Roman"/>
        </w:rPr>
        <w:t>1.</w:t>
      </w:r>
      <w:r w:rsidRPr="00B90854">
        <w:rPr>
          <w:rFonts w:ascii="Times New Roman" w:hAnsi="Times New Roman" w:cs="Times New Roman"/>
        </w:rPr>
        <w:t>1</w:t>
      </w:r>
      <w:r w:rsidR="001E029D" w:rsidRPr="00B90854">
        <w:rPr>
          <w:rFonts w:ascii="Times New Roman" w:hAnsi="Times New Roman" w:cs="Times New Roman"/>
        </w:rPr>
        <w:t xml:space="preserve"> Descriptive Statistics and Central Tendency</w:t>
      </w:r>
    </w:p>
    <w:p w14:paraId="352AAD1B" w14:textId="7048404F" w:rsidR="001E029D" w:rsidRPr="001E029D" w:rsidRDefault="001E029D" w:rsidP="001E029D">
      <w:pPr>
        <w:pStyle w:val="BodyText"/>
        <w:rPr>
          <w:rFonts w:ascii="Times New Roman" w:hAnsi="Times New Roman" w:cs="Times New Roman"/>
        </w:rPr>
      </w:pPr>
      <w:r w:rsidRPr="001E029D">
        <w:rPr>
          <w:rFonts w:ascii="Times New Roman" w:hAnsi="Times New Roman" w:cs="Times New Roman"/>
        </w:rPr>
        <w:t>To determine the hierarchy of participant consensus, the survey items have been organized in ascending order of their mean scores. In this configuration, a lower mean (M) indicates a higher level of participant agreement.</w:t>
      </w:r>
    </w:p>
    <w:p w14:paraId="437FF5E2" w14:textId="557DCC36" w:rsidR="00B90854" w:rsidRDefault="00B90854" w:rsidP="001E029D">
      <w:pPr>
        <w:pStyle w:val="BodyText"/>
        <w:rPr>
          <w:rFonts w:ascii="Times New Roman" w:hAnsi="Times New Roman" w:cs="Times New Roman"/>
          <w:sz w:val="20"/>
          <w:szCs w:val="20"/>
        </w:rPr>
      </w:pPr>
      <w:r w:rsidRPr="004967CE">
        <w:rPr>
          <w:rFonts w:ascii="Times New Roman" w:hAnsi="Times New Roman" w:cs="Times New Roman"/>
          <w:sz w:val="20"/>
          <w:szCs w:val="20"/>
        </w:rPr>
        <w:t xml:space="preserve">Table </w:t>
      </w:r>
      <w:r>
        <w:rPr>
          <w:rFonts w:ascii="Times New Roman" w:hAnsi="Times New Roman" w:cs="Times New Roman"/>
          <w:sz w:val="20"/>
          <w:szCs w:val="20"/>
        </w:rPr>
        <w:t>1</w:t>
      </w:r>
      <w:r w:rsidRPr="004967CE">
        <w:rPr>
          <w:rFonts w:ascii="Times New Roman" w:hAnsi="Times New Roman" w:cs="Times New Roman"/>
          <w:sz w:val="20"/>
          <w:szCs w:val="20"/>
        </w:rPr>
        <w:t>:</w:t>
      </w:r>
      <w:r>
        <w:rPr>
          <w:rFonts w:ascii="Times New Roman" w:hAnsi="Times New Roman" w:cs="Times New Roman"/>
          <w:sz w:val="20"/>
          <w:szCs w:val="20"/>
        </w:rPr>
        <w:t xml:space="preserve"> </w:t>
      </w:r>
      <w:r w:rsidRPr="004967CE">
        <w:rPr>
          <w:rFonts w:ascii="Times New Roman" w:hAnsi="Times New Roman" w:cs="Times New Roman"/>
          <w:sz w:val="20"/>
          <w:szCs w:val="20"/>
        </w:rPr>
        <w:t xml:space="preserve"> </w:t>
      </w:r>
      <w:r w:rsidRPr="00B90854">
        <w:rPr>
          <w:rFonts w:ascii="Times New Roman" w:hAnsi="Times New Roman" w:cs="Times New Roman"/>
          <w:sz w:val="20"/>
          <w:szCs w:val="20"/>
        </w:rPr>
        <w:t>Descriptive Statistics</w:t>
      </w:r>
    </w:p>
    <w:p w14:paraId="413FB761" w14:textId="196B4698" w:rsidR="001E029D" w:rsidRPr="00B90854" w:rsidRDefault="001E029D" w:rsidP="001E029D">
      <w:pPr>
        <w:pStyle w:val="BodyText"/>
        <w:rPr>
          <w:rFonts w:ascii="Times New Roman" w:hAnsi="Times New Roman" w:cs="Times New Roman"/>
        </w:rPr>
      </w:pPr>
      <w:r w:rsidRPr="00B90854">
        <w:rPr>
          <w:rFonts w:ascii="Times New Roman" w:hAnsi="Times New Roman" w:cs="Times New Roman"/>
        </w:rPr>
        <w:t>Summary of Central Tendency and Dispersion</w:t>
      </w:r>
    </w:p>
    <w:tbl>
      <w:tblPr>
        <w:tblW w:w="8186" w:type="dxa"/>
        <w:tblCellSpacing w:w="15" w:type="dxa"/>
        <w:tblCellMar>
          <w:top w:w="15" w:type="dxa"/>
          <w:left w:w="15" w:type="dxa"/>
          <w:bottom w:w="15" w:type="dxa"/>
          <w:right w:w="15" w:type="dxa"/>
        </w:tblCellMar>
        <w:tblLook w:val="04A0" w:firstRow="1" w:lastRow="0" w:firstColumn="1" w:lastColumn="0" w:noHBand="0" w:noVBand="1"/>
      </w:tblPr>
      <w:tblGrid>
        <w:gridCol w:w="815"/>
        <w:gridCol w:w="1040"/>
        <w:gridCol w:w="600"/>
        <w:gridCol w:w="959"/>
        <w:gridCol w:w="1081"/>
        <w:gridCol w:w="1419"/>
        <w:gridCol w:w="2272"/>
      </w:tblGrid>
      <w:tr w:rsidR="001E029D" w:rsidRPr="00493E97" w14:paraId="6680A86E" w14:textId="77777777" w:rsidTr="00D2618A">
        <w:trPr>
          <w:trHeight w:val="44"/>
          <w:tblHeade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446AE485" w14:textId="77777777" w:rsidR="001E029D" w:rsidRPr="00493E97" w:rsidRDefault="001E029D" w:rsidP="001E029D">
            <w:pPr>
              <w:pStyle w:val="BodyText"/>
              <w:rPr>
                <w:rFonts w:ascii="Times New Roman" w:hAnsi="Times New Roman" w:cs="Times New Roman"/>
                <w:sz w:val="18"/>
                <w:szCs w:val="18"/>
              </w:rPr>
            </w:pPr>
            <w:r w:rsidRPr="00493E97">
              <w:rPr>
                <w:rFonts w:ascii="Times New Roman" w:hAnsi="Times New Roman" w:cs="Times New Roman"/>
                <w:sz w:val="18"/>
                <w:szCs w:val="18"/>
              </w:rPr>
              <w:t>Rank</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53CDABD1" w14:textId="77777777" w:rsidR="001E029D" w:rsidRPr="00493E97" w:rsidRDefault="001E029D" w:rsidP="001E029D">
            <w:pPr>
              <w:pStyle w:val="BodyText"/>
              <w:rPr>
                <w:rFonts w:ascii="Times New Roman" w:hAnsi="Times New Roman" w:cs="Times New Roman"/>
                <w:sz w:val="18"/>
                <w:szCs w:val="18"/>
              </w:rPr>
            </w:pPr>
            <w:r w:rsidRPr="00493E97">
              <w:rPr>
                <w:rFonts w:ascii="Times New Roman" w:hAnsi="Times New Roman" w:cs="Times New Roman"/>
                <w:sz w:val="18"/>
                <w:szCs w:val="18"/>
              </w:rPr>
              <w:t>Variable</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1445412D" w14:textId="77777777" w:rsidR="001E029D" w:rsidRPr="00493E97" w:rsidRDefault="001E029D" w:rsidP="001E029D">
            <w:pPr>
              <w:pStyle w:val="BodyText"/>
              <w:rPr>
                <w:rFonts w:ascii="Times New Roman" w:hAnsi="Times New Roman" w:cs="Times New Roman"/>
                <w:sz w:val="18"/>
                <w:szCs w:val="18"/>
              </w:rPr>
            </w:pPr>
            <w:r w:rsidRPr="00493E97">
              <w:rPr>
                <w:rFonts w:ascii="Times New Roman" w:hAnsi="Times New Roman" w:cs="Times New Roman"/>
                <w:sz w:val="18"/>
                <w:szCs w:val="18"/>
              </w:rPr>
              <w:t>N</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3FE2236E" w14:textId="77777777" w:rsidR="001E029D" w:rsidRPr="00493E97" w:rsidRDefault="001E029D" w:rsidP="001E029D">
            <w:pPr>
              <w:pStyle w:val="BodyText"/>
              <w:rPr>
                <w:rFonts w:ascii="Times New Roman" w:hAnsi="Times New Roman" w:cs="Times New Roman"/>
                <w:sz w:val="18"/>
                <w:szCs w:val="18"/>
              </w:rPr>
            </w:pPr>
            <w:r w:rsidRPr="00493E97">
              <w:rPr>
                <w:rFonts w:ascii="Times New Roman" w:hAnsi="Times New Roman" w:cs="Times New Roman"/>
                <w:sz w:val="18"/>
                <w:szCs w:val="18"/>
              </w:rPr>
              <w:t>Mean (M)</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617602C2" w14:textId="77777777" w:rsidR="001E029D" w:rsidRPr="00493E97" w:rsidRDefault="001E029D" w:rsidP="001E029D">
            <w:pPr>
              <w:pStyle w:val="BodyText"/>
              <w:rPr>
                <w:rFonts w:ascii="Times New Roman" w:hAnsi="Times New Roman" w:cs="Times New Roman"/>
                <w:sz w:val="18"/>
                <w:szCs w:val="18"/>
              </w:rPr>
            </w:pPr>
            <w:r w:rsidRPr="00493E97">
              <w:rPr>
                <w:rFonts w:ascii="Times New Roman" w:hAnsi="Times New Roman" w:cs="Times New Roman"/>
                <w:sz w:val="18"/>
                <w:szCs w:val="18"/>
              </w:rPr>
              <w:t>Std. Error (SE)</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0754B77A" w14:textId="77777777" w:rsidR="001E029D" w:rsidRPr="00493E97" w:rsidRDefault="001E029D" w:rsidP="001E029D">
            <w:pPr>
              <w:pStyle w:val="BodyText"/>
              <w:rPr>
                <w:rFonts w:ascii="Times New Roman" w:hAnsi="Times New Roman" w:cs="Times New Roman"/>
                <w:sz w:val="18"/>
                <w:szCs w:val="18"/>
              </w:rPr>
            </w:pPr>
            <w:r w:rsidRPr="00493E97">
              <w:rPr>
                <w:rFonts w:ascii="Times New Roman" w:hAnsi="Times New Roman" w:cs="Times New Roman"/>
                <w:sz w:val="18"/>
                <w:szCs w:val="18"/>
              </w:rPr>
              <w:t>Std. Deviation (SD)</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580F857B" w14:textId="77777777" w:rsidR="001E029D" w:rsidRPr="00493E97" w:rsidRDefault="001E029D" w:rsidP="001E029D">
            <w:pPr>
              <w:pStyle w:val="BodyText"/>
              <w:rPr>
                <w:rFonts w:ascii="Times New Roman" w:hAnsi="Times New Roman" w:cs="Times New Roman"/>
                <w:sz w:val="18"/>
                <w:szCs w:val="18"/>
              </w:rPr>
            </w:pPr>
            <w:r w:rsidRPr="00493E97">
              <w:rPr>
                <w:rFonts w:ascii="Times New Roman" w:hAnsi="Times New Roman" w:cs="Times New Roman"/>
                <w:sz w:val="18"/>
                <w:szCs w:val="18"/>
              </w:rPr>
              <w:t>Predominant Response Trend</w:t>
            </w:r>
          </w:p>
        </w:tc>
      </w:tr>
      <w:tr w:rsidR="001E029D" w:rsidRPr="00493E97" w14:paraId="70410377" w14:textId="77777777" w:rsidTr="00D2618A">
        <w:trPr>
          <w:trHeight w:val="44"/>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70CA819D" w14:textId="77777777" w:rsidR="001E029D" w:rsidRPr="00493E97" w:rsidRDefault="001E029D" w:rsidP="001E029D">
            <w:pPr>
              <w:pStyle w:val="BodyText"/>
              <w:rPr>
                <w:rFonts w:ascii="Times New Roman" w:hAnsi="Times New Roman" w:cs="Times New Roman"/>
                <w:sz w:val="18"/>
                <w:szCs w:val="18"/>
              </w:rPr>
            </w:pPr>
            <w:r w:rsidRPr="00493E97">
              <w:rPr>
                <w:rFonts w:ascii="Times New Roman" w:hAnsi="Times New Roman" w:cs="Times New Roman"/>
                <w:sz w:val="18"/>
                <w:szCs w:val="18"/>
              </w:rPr>
              <w:t>1</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23DB5554" w14:textId="77777777" w:rsidR="001E029D" w:rsidRPr="00493E97" w:rsidRDefault="001E029D" w:rsidP="001E029D">
            <w:pPr>
              <w:pStyle w:val="BodyText"/>
              <w:rPr>
                <w:rFonts w:ascii="Times New Roman" w:hAnsi="Times New Roman" w:cs="Times New Roman"/>
                <w:sz w:val="18"/>
                <w:szCs w:val="18"/>
              </w:rPr>
            </w:pPr>
            <w:r w:rsidRPr="00493E97">
              <w:rPr>
                <w:rFonts w:ascii="Times New Roman" w:hAnsi="Times New Roman" w:cs="Times New Roman"/>
                <w:sz w:val="18"/>
                <w:szCs w:val="18"/>
              </w:rPr>
              <w:t>Q1</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30654392" w14:textId="77777777" w:rsidR="001E029D" w:rsidRPr="00493E97" w:rsidRDefault="001E029D" w:rsidP="001E029D">
            <w:pPr>
              <w:pStyle w:val="BodyText"/>
              <w:rPr>
                <w:rFonts w:ascii="Times New Roman" w:hAnsi="Times New Roman" w:cs="Times New Roman"/>
                <w:sz w:val="18"/>
                <w:szCs w:val="18"/>
              </w:rPr>
            </w:pPr>
            <w:r w:rsidRPr="00493E97">
              <w:rPr>
                <w:rFonts w:ascii="Times New Roman" w:hAnsi="Times New Roman" w:cs="Times New Roman"/>
                <w:sz w:val="18"/>
                <w:szCs w:val="18"/>
              </w:rPr>
              <w:t>79</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37DDF987" w14:textId="77777777" w:rsidR="001E029D" w:rsidRPr="00493E97" w:rsidRDefault="001E029D" w:rsidP="001E029D">
            <w:pPr>
              <w:pStyle w:val="BodyText"/>
              <w:rPr>
                <w:rFonts w:ascii="Times New Roman" w:hAnsi="Times New Roman" w:cs="Times New Roman"/>
                <w:sz w:val="18"/>
                <w:szCs w:val="18"/>
              </w:rPr>
            </w:pPr>
            <w:r w:rsidRPr="00493E97">
              <w:rPr>
                <w:rFonts w:ascii="Times New Roman" w:hAnsi="Times New Roman" w:cs="Times New Roman"/>
                <w:sz w:val="18"/>
                <w:szCs w:val="18"/>
              </w:rPr>
              <w:t>1.20</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59BA8071" w14:textId="77777777" w:rsidR="001E029D" w:rsidRPr="00493E97" w:rsidRDefault="001E029D" w:rsidP="001E029D">
            <w:pPr>
              <w:pStyle w:val="BodyText"/>
              <w:rPr>
                <w:rFonts w:ascii="Times New Roman" w:hAnsi="Times New Roman" w:cs="Times New Roman"/>
                <w:sz w:val="18"/>
                <w:szCs w:val="18"/>
              </w:rPr>
            </w:pPr>
            <w:r w:rsidRPr="00493E97">
              <w:rPr>
                <w:rFonts w:ascii="Times New Roman" w:hAnsi="Times New Roman" w:cs="Times New Roman"/>
                <w:sz w:val="18"/>
                <w:szCs w:val="18"/>
              </w:rPr>
              <w:t>.046</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62DE4511" w14:textId="77777777" w:rsidR="001E029D" w:rsidRPr="00493E97" w:rsidRDefault="001E029D" w:rsidP="001E029D">
            <w:pPr>
              <w:pStyle w:val="BodyText"/>
              <w:rPr>
                <w:rFonts w:ascii="Times New Roman" w:hAnsi="Times New Roman" w:cs="Times New Roman"/>
                <w:sz w:val="18"/>
                <w:szCs w:val="18"/>
              </w:rPr>
            </w:pPr>
            <w:r w:rsidRPr="00493E97">
              <w:rPr>
                <w:rFonts w:ascii="Times New Roman" w:hAnsi="Times New Roman" w:cs="Times New Roman"/>
                <w:sz w:val="18"/>
                <w:szCs w:val="18"/>
              </w:rPr>
              <w:t>.404</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040C8B19" w14:textId="77777777" w:rsidR="001E029D" w:rsidRPr="00493E97" w:rsidRDefault="001E029D" w:rsidP="001E029D">
            <w:pPr>
              <w:pStyle w:val="BodyText"/>
              <w:rPr>
                <w:rFonts w:ascii="Times New Roman" w:hAnsi="Times New Roman" w:cs="Times New Roman"/>
                <w:sz w:val="18"/>
                <w:szCs w:val="18"/>
              </w:rPr>
            </w:pPr>
            <w:r w:rsidRPr="00493E97">
              <w:rPr>
                <w:rFonts w:ascii="Times New Roman" w:hAnsi="Times New Roman" w:cs="Times New Roman"/>
                <w:sz w:val="18"/>
                <w:szCs w:val="18"/>
              </w:rPr>
              <w:t>Strongest Consensus (Strongly Agree)</w:t>
            </w:r>
          </w:p>
        </w:tc>
      </w:tr>
      <w:tr w:rsidR="001E029D" w:rsidRPr="00493E97" w14:paraId="5839A131" w14:textId="77777777" w:rsidTr="00D2618A">
        <w:trPr>
          <w:trHeight w:val="44"/>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092ECDB7" w14:textId="77777777" w:rsidR="001E029D" w:rsidRPr="00493E97" w:rsidRDefault="001E029D" w:rsidP="001E029D">
            <w:pPr>
              <w:pStyle w:val="BodyText"/>
              <w:rPr>
                <w:rFonts w:ascii="Times New Roman" w:hAnsi="Times New Roman" w:cs="Times New Roman"/>
                <w:sz w:val="18"/>
                <w:szCs w:val="18"/>
              </w:rPr>
            </w:pPr>
            <w:r w:rsidRPr="00493E97">
              <w:rPr>
                <w:rFonts w:ascii="Times New Roman" w:hAnsi="Times New Roman" w:cs="Times New Roman"/>
                <w:sz w:val="18"/>
                <w:szCs w:val="18"/>
              </w:rPr>
              <w:t>2</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6396A518" w14:textId="77777777" w:rsidR="001E029D" w:rsidRPr="00493E97" w:rsidRDefault="001E029D" w:rsidP="001E029D">
            <w:pPr>
              <w:pStyle w:val="BodyText"/>
              <w:rPr>
                <w:rFonts w:ascii="Times New Roman" w:hAnsi="Times New Roman" w:cs="Times New Roman"/>
                <w:sz w:val="18"/>
                <w:szCs w:val="18"/>
              </w:rPr>
            </w:pPr>
            <w:r w:rsidRPr="00493E97">
              <w:rPr>
                <w:rFonts w:ascii="Times New Roman" w:hAnsi="Times New Roman" w:cs="Times New Roman"/>
                <w:sz w:val="18"/>
                <w:szCs w:val="18"/>
              </w:rPr>
              <w:t>Q5</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25486BBA" w14:textId="77777777" w:rsidR="001E029D" w:rsidRPr="00493E97" w:rsidRDefault="001E029D" w:rsidP="001E029D">
            <w:pPr>
              <w:pStyle w:val="BodyText"/>
              <w:rPr>
                <w:rFonts w:ascii="Times New Roman" w:hAnsi="Times New Roman" w:cs="Times New Roman"/>
                <w:sz w:val="18"/>
                <w:szCs w:val="18"/>
              </w:rPr>
            </w:pPr>
            <w:r w:rsidRPr="00493E97">
              <w:rPr>
                <w:rFonts w:ascii="Times New Roman" w:hAnsi="Times New Roman" w:cs="Times New Roman"/>
                <w:sz w:val="18"/>
                <w:szCs w:val="18"/>
              </w:rPr>
              <w:t>79</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66598886" w14:textId="77777777" w:rsidR="001E029D" w:rsidRPr="00493E97" w:rsidRDefault="001E029D" w:rsidP="001E029D">
            <w:pPr>
              <w:pStyle w:val="BodyText"/>
              <w:rPr>
                <w:rFonts w:ascii="Times New Roman" w:hAnsi="Times New Roman" w:cs="Times New Roman"/>
                <w:sz w:val="18"/>
                <w:szCs w:val="18"/>
              </w:rPr>
            </w:pPr>
            <w:r w:rsidRPr="00493E97">
              <w:rPr>
                <w:rFonts w:ascii="Times New Roman" w:hAnsi="Times New Roman" w:cs="Times New Roman"/>
                <w:sz w:val="18"/>
                <w:szCs w:val="18"/>
              </w:rPr>
              <w:t>1.25</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13D7613D" w14:textId="77777777" w:rsidR="001E029D" w:rsidRPr="00493E97" w:rsidRDefault="001E029D" w:rsidP="001E029D">
            <w:pPr>
              <w:pStyle w:val="BodyText"/>
              <w:rPr>
                <w:rFonts w:ascii="Times New Roman" w:hAnsi="Times New Roman" w:cs="Times New Roman"/>
                <w:sz w:val="18"/>
                <w:szCs w:val="18"/>
              </w:rPr>
            </w:pPr>
            <w:r w:rsidRPr="00493E97">
              <w:rPr>
                <w:rFonts w:ascii="Times New Roman" w:hAnsi="Times New Roman" w:cs="Times New Roman"/>
                <w:sz w:val="18"/>
                <w:szCs w:val="18"/>
              </w:rPr>
              <w:t>.052</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48BA0B7F" w14:textId="77777777" w:rsidR="001E029D" w:rsidRPr="00493E97" w:rsidRDefault="001E029D" w:rsidP="001E029D">
            <w:pPr>
              <w:pStyle w:val="BodyText"/>
              <w:rPr>
                <w:rFonts w:ascii="Times New Roman" w:hAnsi="Times New Roman" w:cs="Times New Roman"/>
                <w:sz w:val="18"/>
                <w:szCs w:val="18"/>
              </w:rPr>
            </w:pPr>
            <w:r w:rsidRPr="00493E97">
              <w:rPr>
                <w:rFonts w:ascii="Times New Roman" w:hAnsi="Times New Roman" w:cs="Times New Roman"/>
                <w:sz w:val="18"/>
                <w:szCs w:val="18"/>
              </w:rPr>
              <w:t>.466</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2457D2AB" w14:textId="77777777" w:rsidR="001E029D" w:rsidRPr="00493E97" w:rsidRDefault="001E029D" w:rsidP="001E029D">
            <w:pPr>
              <w:pStyle w:val="BodyText"/>
              <w:rPr>
                <w:rFonts w:ascii="Times New Roman" w:hAnsi="Times New Roman" w:cs="Times New Roman"/>
                <w:sz w:val="18"/>
                <w:szCs w:val="18"/>
              </w:rPr>
            </w:pPr>
            <w:r w:rsidRPr="00493E97">
              <w:rPr>
                <w:rFonts w:ascii="Times New Roman" w:hAnsi="Times New Roman" w:cs="Times New Roman"/>
                <w:sz w:val="18"/>
                <w:szCs w:val="18"/>
              </w:rPr>
              <w:t>Highly Favorable</w:t>
            </w:r>
          </w:p>
        </w:tc>
      </w:tr>
      <w:tr w:rsidR="001E029D" w:rsidRPr="00493E97" w14:paraId="4668E3E0" w14:textId="77777777" w:rsidTr="00D2618A">
        <w:trPr>
          <w:trHeight w:val="199"/>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35E9C20C" w14:textId="77777777" w:rsidR="001E029D" w:rsidRPr="00493E97" w:rsidRDefault="001E029D" w:rsidP="001E029D">
            <w:pPr>
              <w:pStyle w:val="BodyText"/>
              <w:rPr>
                <w:rFonts w:ascii="Times New Roman" w:hAnsi="Times New Roman" w:cs="Times New Roman"/>
                <w:sz w:val="18"/>
                <w:szCs w:val="18"/>
              </w:rPr>
            </w:pPr>
            <w:r w:rsidRPr="00493E97">
              <w:rPr>
                <w:rFonts w:ascii="Times New Roman" w:hAnsi="Times New Roman" w:cs="Times New Roman"/>
                <w:sz w:val="18"/>
                <w:szCs w:val="18"/>
              </w:rPr>
              <w:t>3</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63C619C1" w14:textId="77777777" w:rsidR="001E029D" w:rsidRPr="00493E97" w:rsidRDefault="001E029D" w:rsidP="001E029D">
            <w:pPr>
              <w:pStyle w:val="BodyText"/>
              <w:rPr>
                <w:rFonts w:ascii="Times New Roman" w:hAnsi="Times New Roman" w:cs="Times New Roman"/>
                <w:sz w:val="18"/>
                <w:szCs w:val="18"/>
              </w:rPr>
            </w:pPr>
            <w:r w:rsidRPr="00493E97">
              <w:rPr>
                <w:rFonts w:ascii="Times New Roman" w:hAnsi="Times New Roman" w:cs="Times New Roman"/>
                <w:sz w:val="18"/>
                <w:szCs w:val="18"/>
              </w:rPr>
              <w:t>Q10</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41D6E152" w14:textId="77777777" w:rsidR="001E029D" w:rsidRPr="00493E97" w:rsidRDefault="001E029D" w:rsidP="001E029D">
            <w:pPr>
              <w:pStyle w:val="BodyText"/>
              <w:rPr>
                <w:rFonts w:ascii="Times New Roman" w:hAnsi="Times New Roman" w:cs="Times New Roman"/>
                <w:sz w:val="18"/>
                <w:szCs w:val="18"/>
              </w:rPr>
            </w:pPr>
            <w:r w:rsidRPr="00493E97">
              <w:rPr>
                <w:rFonts w:ascii="Times New Roman" w:hAnsi="Times New Roman" w:cs="Times New Roman"/>
                <w:sz w:val="18"/>
                <w:szCs w:val="18"/>
              </w:rPr>
              <w:t>79</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6B8EE951" w14:textId="77777777" w:rsidR="001E029D" w:rsidRPr="00493E97" w:rsidRDefault="001E029D" w:rsidP="001E029D">
            <w:pPr>
              <w:pStyle w:val="BodyText"/>
              <w:rPr>
                <w:rFonts w:ascii="Times New Roman" w:hAnsi="Times New Roman" w:cs="Times New Roman"/>
                <w:sz w:val="18"/>
                <w:szCs w:val="18"/>
              </w:rPr>
            </w:pPr>
            <w:r w:rsidRPr="00493E97">
              <w:rPr>
                <w:rFonts w:ascii="Times New Roman" w:hAnsi="Times New Roman" w:cs="Times New Roman"/>
                <w:sz w:val="18"/>
                <w:szCs w:val="18"/>
              </w:rPr>
              <w:t>1.25</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6499C328" w14:textId="77777777" w:rsidR="001E029D" w:rsidRPr="00493E97" w:rsidRDefault="001E029D" w:rsidP="001E029D">
            <w:pPr>
              <w:pStyle w:val="BodyText"/>
              <w:rPr>
                <w:rFonts w:ascii="Times New Roman" w:hAnsi="Times New Roman" w:cs="Times New Roman"/>
                <w:sz w:val="18"/>
                <w:szCs w:val="18"/>
              </w:rPr>
            </w:pPr>
            <w:r w:rsidRPr="00493E97">
              <w:rPr>
                <w:rFonts w:ascii="Times New Roman" w:hAnsi="Times New Roman" w:cs="Times New Roman"/>
                <w:sz w:val="18"/>
                <w:szCs w:val="18"/>
              </w:rPr>
              <w:t>.052</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79E0C3BF" w14:textId="77777777" w:rsidR="001E029D" w:rsidRPr="00493E97" w:rsidRDefault="001E029D" w:rsidP="001E029D">
            <w:pPr>
              <w:pStyle w:val="BodyText"/>
              <w:rPr>
                <w:rFonts w:ascii="Times New Roman" w:hAnsi="Times New Roman" w:cs="Times New Roman"/>
                <w:sz w:val="18"/>
                <w:szCs w:val="18"/>
              </w:rPr>
            </w:pPr>
            <w:r w:rsidRPr="00493E97">
              <w:rPr>
                <w:rFonts w:ascii="Times New Roman" w:hAnsi="Times New Roman" w:cs="Times New Roman"/>
                <w:sz w:val="18"/>
                <w:szCs w:val="18"/>
              </w:rPr>
              <w:t>.466</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3EC27E02" w14:textId="77777777" w:rsidR="001E029D" w:rsidRPr="00493E97" w:rsidRDefault="001E029D" w:rsidP="001E029D">
            <w:pPr>
              <w:pStyle w:val="BodyText"/>
              <w:rPr>
                <w:rFonts w:ascii="Times New Roman" w:hAnsi="Times New Roman" w:cs="Times New Roman"/>
                <w:sz w:val="18"/>
                <w:szCs w:val="18"/>
              </w:rPr>
            </w:pPr>
            <w:r w:rsidRPr="00493E97">
              <w:rPr>
                <w:rFonts w:ascii="Times New Roman" w:hAnsi="Times New Roman" w:cs="Times New Roman"/>
                <w:sz w:val="18"/>
                <w:szCs w:val="18"/>
              </w:rPr>
              <w:t>Highly Favorable</w:t>
            </w:r>
          </w:p>
        </w:tc>
      </w:tr>
      <w:tr w:rsidR="001E029D" w:rsidRPr="00493E97" w14:paraId="043F1359" w14:textId="77777777" w:rsidTr="00D2618A">
        <w:trPr>
          <w:trHeight w:val="286"/>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40FAD75A" w14:textId="77777777" w:rsidR="001E029D" w:rsidRPr="00493E97" w:rsidRDefault="001E029D" w:rsidP="001E029D">
            <w:pPr>
              <w:pStyle w:val="BodyText"/>
              <w:rPr>
                <w:rFonts w:ascii="Times New Roman" w:hAnsi="Times New Roman" w:cs="Times New Roman"/>
                <w:sz w:val="18"/>
                <w:szCs w:val="18"/>
              </w:rPr>
            </w:pPr>
            <w:r w:rsidRPr="00493E97">
              <w:rPr>
                <w:rFonts w:ascii="Times New Roman" w:hAnsi="Times New Roman" w:cs="Times New Roman"/>
                <w:sz w:val="18"/>
                <w:szCs w:val="18"/>
              </w:rPr>
              <w:t>4</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72245C67" w14:textId="77777777" w:rsidR="001E029D" w:rsidRPr="00493E97" w:rsidRDefault="001E029D" w:rsidP="001E029D">
            <w:pPr>
              <w:pStyle w:val="BodyText"/>
              <w:rPr>
                <w:rFonts w:ascii="Times New Roman" w:hAnsi="Times New Roman" w:cs="Times New Roman"/>
                <w:sz w:val="18"/>
                <w:szCs w:val="18"/>
              </w:rPr>
            </w:pPr>
            <w:r w:rsidRPr="00493E97">
              <w:rPr>
                <w:rFonts w:ascii="Times New Roman" w:hAnsi="Times New Roman" w:cs="Times New Roman"/>
                <w:sz w:val="18"/>
                <w:szCs w:val="18"/>
              </w:rPr>
              <w:t>Q4</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77F9CAE8" w14:textId="77777777" w:rsidR="001E029D" w:rsidRPr="00493E97" w:rsidRDefault="001E029D" w:rsidP="001E029D">
            <w:pPr>
              <w:pStyle w:val="BodyText"/>
              <w:rPr>
                <w:rFonts w:ascii="Times New Roman" w:hAnsi="Times New Roman" w:cs="Times New Roman"/>
                <w:sz w:val="18"/>
                <w:szCs w:val="18"/>
              </w:rPr>
            </w:pPr>
            <w:r w:rsidRPr="00493E97">
              <w:rPr>
                <w:rFonts w:ascii="Times New Roman" w:hAnsi="Times New Roman" w:cs="Times New Roman"/>
                <w:sz w:val="18"/>
                <w:szCs w:val="18"/>
              </w:rPr>
              <w:t>79</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44EA3146" w14:textId="77777777" w:rsidR="001E029D" w:rsidRPr="00493E97" w:rsidRDefault="001E029D" w:rsidP="001E029D">
            <w:pPr>
              <w:pStyle w:val="BodyText"/>
              <w:rPr>
                <w:rFonts w:ascii="Times New Roman" w:hAnsi="Times New Roman" w:cs="Times New Roman"/>
                <w:sz w:val="18"/>
                <w:szCs w:val="18"/>
              </w:rPr>
            </w:pPr>
            <w:r w:rsidRPr="00493E97">
              <w:rPr>
                <w:rFonts w:ascii="Times New Roman" w:hAnsi="Times New Roman" w:cs="Times New Roman"/>
                <w:sz w:val="18"/>
                <w:szCs w:val="18"/>
              </w:rPr>
              <w:t>1.57</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6771222B" w14:textId="77777777" w:rsidR="001E029D" w:rsidRPr="00493E97" w:rsidRDefault="001E029D" w:rsidP="001E029D">
            <w:pPr>
              <w:pStyle w:val="BodyText"/>
              <w:rPr>
                <w:rFonts w:ascii="Times New Roman" w:hAnsi="Times New Roman" w:cs="Times New Roman"/>
                <w:sz w:val="18"/>
                <w:szCs w:val="18"/>
              </w:rPr>
            </w:pPr>
            <w:r w:rsidRPr="00493E97">
              <w:rPr>
                <w:rFonts w:ascii="Times New Roman" w:hAnsi="Times New Roman" w:cs="Times New Roman"/>
                <w:sz w:val="18"/>
                <w:szCs w:val="18"/>
              </w:rPr>
              <w:t>.084</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7A38C05B" w14:textId="77777777" w:rsidR="001E029D" w:rsidRPr="00493E97" w:rsidRDefault="001E029D" w:rsidP="001E029D">
            <w:pPr>
              <w:pStyle w:val="BodyText"/>
              <w:rPr>
                <w:rFonts w:ascii="Times New Roman" w:hAnsi="Times New Roman" w:cs="Times New Roman"/>
                <w:sz w:val="18"/>
                <w:szCs w:val="18"/>
              </w:rPr>
            </w:pPr>
            <w:r w:rsidRPr="00493E97">
              <w:rPr>
                <w:rFonts w:ascii="Times New Roman" w:hAnsi="Times New Roman" w:cs="Times New Roman"/>
                <w:sz w:val="18"/>
                <w:szCs w:val="18"/>
              </w:rPr>
              <w:t>.746</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6E38631C" w14:textId="77777777" w:rsidR="001E029D" w:rsidRPr="00493E97" w:rsidRDefault="001E029D" w:rsidP="001E029D">
            <w:pPr>
              <w:pStyle w:val="BodyText"/>
              <w:rPr>
                <w:rFonts w:ascii="Times New Roman" w:hAnsi="Times New Roman" w:cs="Times New Roman"/>
                <w:sz w:val="18"/>
                <w:szCs w:val="18"/>
              </w:rPr>
            </w:pPr>
            <w:r w:rsidRPr="00493E97">
              <w:rPr>
                <w:rFonts w:ascii="Times New Roman" w:hAnsi="Times New Roman" w:cs="Times New Roman"/>
                <w:sz w:val="18"/>
                <w:szCs w:val="18"/>
              </w:rPr>
              <w:t>Favorable to Highly Favorable</w:t>
            </w:r>
          </w:p>
        </w:tc>
      </w:tr>
      <w:tr w:rsidR="001E029D" w:rsidRPr="00493E97" w14:paraId="68BFD0E0" w14:textId="77777777" w:rsidTr="00D2618A">
        <w:trPr>
          <w:trHeight w:val="199"/>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02D5FFA6" w14:textId="77777777" w:rsidR="001E029D" w:rsidRPr="00493E97" w:rsidRDefault="001E029D" w:rsidP="001E029D">
            <w:pPr>
              <w:pStyle w:val="BodyText"/>
              <w:rPr>
                <w:rFonts w:ascii="Times New Roman" w:hAnsi="Times New Roman" w:cs="Times New Roman"/>
                <w:sz w:val="18"/>
                <w:szCs w:val="18"/>
              </w:rPr>
            </w:pPr>
            <w:r w:rsidRPr="00493E97">
              <w:rPr>
                <w:rFonts w:ascii="Times New Roman" w:hAnsi="Times New Roman" w:cs="Times New Roman"/>
                <w:sz w:val="18"/>
                <w:szCs w:val="18"/>
              </w:rPr>
              <w:t>5</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66BD2D43" w14:textId="77777777" w:rsidR="001E029D" w:rsidRPr="00493E97" w:rsidRDefault="001E029D" w:rsidP="001E029D">
            <w:pPr>
              <w:pStyle w:val="BodyText"/>
              <w:rPr>
                <w:rFonts w:ascii="Times New Roman" w:hAnsi="Times New Roman" w:cs="Times New Roman"/>
                <w:sz w:val="18"/>
                <w:szCs w:val="18"/>
              </w:rPr>
            </w:pPr>
            <w:r w:rsidRPr="00493E97">
              <w:rPr>
                <w:rFonts w:ascii="Times New Roman" w:hAnsi="Times New Roman" w:cs="Times New Roman"/>
                <w:sz w:val="18"/>
                <w:szCs w:val="18"/>
              </w:rPr>
              <w:t>Q2</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027E58C2" w14:textId="77777777" w:rsidR="001E029D" w:rsidRPr="00493E97" w:rsidRDefault="001E029D" w:rsidP="001E029D">
            <w:pPr>
              <w:pStyle w:val="BodyText"/>
              <w:rPr>
                <w:rFonts w:ascii="Times New Roman" w:hAnsi="Times New Roman" w:cs="Times New Roman"/>
                <w:sz w:val="18"/>
                <w:szCs w:val="18"/>
              </w:rPr>
            </w:pPr>
            <w:r w:rsidRPr="00493E97">
              <w:rPr>
                <w:rFonts w:ascii="Times New Roman" w:hAnsi="Times New Roman" w:cs="Times New Roman"/>
                <w:sz w:val="18"/>
                <w:szCs w:val="18"/>
              </w:rPr>
              <w:t>79</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441FC6CB" w14:textId="77777777" w:rsidR="001E029D" w:rsidRPr="00493E97" w:rsidRDefault="001E029D" w:rsidP="001E029D">
            <w:pPr>
              <w:pStyle w:val="BodyText"/>
              <w:rPr>
                <w:rFonts w:ascii="Times New Roman" w:hAnsi="Times New Roman" w:cs="Times New Roman"/>
                <w:sz w:val="18"/>
                <w:szCs w:val="18"/>
              </w:rPr>
            </w:pPr>
            <w:r w:rsidRPr="00493E97">
              <w:rPr>
                <w:rFonts w:ascii="Times New Roman" w:hAnsi="Times New Roman" w:cs="Times New Roman"/>
                <w:sz w:val="18"/>
                <w:szCs w:val="18"/>
              </w:rPr>
              <w:t>1.63</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121A3C0F" w14:textId="77777777" w:rsidR="001E029D" w:rsidRPr="00493E97" w:rsidRDefault="001E029D" w:rsidP="001E029D">
            <w:pPr>
              <w:pStyle w:val="BodyText"/>
              <w:rPr>
                <w:rFonts w:ascii="Times New Roman" w:hAnsi="Times New Roman" w:cs="Times New Roman"/>
                <w:sz w:val="18"/>
                <w:szCs w:val="18"/>
              </w:rPr>
            </w:pPr>
            <w:r w:rsidRPr="00493E97">
              <w:rPr>
                <w:rFonts w:ascii="Times New Roman" w:hAnsi="Times New Roman" w:cs="Times New Roman"/>
                <w:sz w:val="18"/>
                <w:szCs w:val="18"/>
              </w:rPr>
              <w:t>.089</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137EBB8E" w14:textId="77777777" w:rsidR="001E029D" w:rsidRPr="00493E97" w:rsidRDefault="001E029D" w:rsidP="001E029D">
            <w:pPr>
              <w:pStyle w:val="BodyText"/>
              <w:rPr>
                <w:rFonts w:ascii="Times New Roman" w:hAnsi="Times New Roman" w:cs="Times New Roman"/>
                <w:sz w:val="18"/>
                <w:szCs w:val="18"/>
              </w:rPr>
            </w:pPr>
            <w:r w:rsidRPr="00493E97">
              <w:rPr>
                <w:rFonts w:ascii="Times New Roman" w:hAnsi="Times New Roman" w:cs="Times New Roman"/>
                <w:sz w:val="18"/>
                <w:szCs w:val="18"/>
              </w:rPr>
              <w:t>.787</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7FEE0196" w14:textId="77777777" w:rsidR="001E029D" w:rsidRPr="00493E97" w:rsidRDefault="001E029D" w:rsidP="001E029D">
            <w:pPr>
              <w:pStyle w:val="BodyText"/>
              <w:rPr>
                <w:rFonts w:ascii="Times New Roman" w:hAnsi="Times New Roman" w:cs="Times New Roman"/>
                <w:sz w:val="18"/>
                <w:szCs w:val="18"/>
              </w:rPr>
            </w:pPr>
            <w:r w:rsidRPr="00493E97">
              <w:rPr>
                <w:rFonts w:ascii="Times New Roman" w:hAnsi="Times New Roman" w:cs="Times New Roman"/>
                <w:sz w:val="18"/>
                <w:szCs w:val="18"/>
              </w:rPr>
              <w:t>Favorable</w:t>
            </w:r>
          </w:p>
        </w:tc>
      </w:tr>
      <w:tr w:rsidR="001E029D" w:rsidRPr="00493E97" w14:paraId="152CC324" w14:textId="77777777" w:rsidTr="00D2618A">
        <w:trPr>
          <w:trHeight w:val="199"/>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21BD051B" w14:textId="77777777" w:rsidR="001E029D" w:rsidRPr="00493E97" w:rsidRDefault="001E029D" w:rsidP="001E029D">
            <w:pPr>
              <w:pStyle w:val="BodyText"/>
              <w:rPr>
                <w:rFonts w:ascii="Times New Roman" w:hAnsi="Times New Roman" w:cs="Times New Roman"/>
                <w:sz w:val="18"/>
                <w:szCs w:val="18"/>
              </w:rPr>
            </w:pPr>
            <w:r w:rsidRPr="00493E97">
              <w:rPr>
                <w:rFonts w:ascii="Times New Roman" w:hAnsi="Times New Roman" w:cs="Times New Roman"/>
                <w:sz w:val="18"/>
                <w:szCs w:val="18"/>
              </w:rPr>
              <w:t>6</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6B79AD94" w14:textId="77777777" w:rsidR="001E029D" w:rsidRPr="00493E97" w:rsidRDefault="001E029D" w:rsidP="001E029D">
            <w:pPr>
              <w:pStyle w:val="BodyText"/>
              <w:rPr>
                <w:rFonts w:ascii="Times New Roman" w:hAnsi="Times New Roman" w:cs="Times New Roman"/>
                <w:sz w:val="18"/>
                <w:szCs w:val="18"/>
              </w:rPr>
            </w:pPr>
            <w:r w:rsidRPr="00493E97">
              <w:rPr>
                <w:rFonts w:ascii="Times New Roman" w:hAnsi="Times New Roman" w:cs="Times New Roman"/>
                <w:sz w:val="18"/>
                <w:szCs w:val="18"/>
              </w:rPr>
              <w:t>Q3</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3604FFA0" w14:textId="77777777" w:rsidR="001E029D" w:rsidRPr="00493E97" w:rsidRDefault="001E029D" w:rsidP="001E029D">
            <w:pPr>
              <w:pStyle w:val="BodyText"/>
              <w:rPr>
                <w:rFonts w:ascii="Times New Roman" w:hAnsi="Times New Roman" w:cs="Times New Roman"/>
                <w:sz w:val="18"/>
                <w:szCs w:val="18"/>
              </w:rPr>
            </w:pPr>
            <w:r w:rsidRPr="00493E97">
              <w:rPr>
                <w:rFonts w:ascii="Times New Roman" w:hAnsi="Times New Roman" w:cs="Times New Roman"/>
                <w:sz w:val="18"/>
                <w:szCs w:val="18"/>
              </w:rPr>
              <w:t>79</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78CF7683" w14:textId="77777777" w:rsidR="001E029D" w:rsidRPr="00493E97" w:rsidRDefault="001E029D" w:rsidP="001E029D">
            <w:pPr>
              <w:pStyle w:val="BodyText"/>
              <w:rPr>
                <w:rFonts w:ascii="Times New Roman" w:hAnsi="Times New Roman" w:cs="Times New Roman"/>
                <w:sz w:val="18"/>
                <w:szCs w:val="18"/>
              </w:rPr>
            </w:pPr>
            <w:r w:rsidRPr="00493E97">
              <w:rPr>
                <w:rFonts w:ascii="Times New Roman" w:hAnsi="Times New Roman" w:cs="Times New Roman"/>
                <w:sz w:val="18"/>
                <w:szCs w:val="18"/>
              </w:rPr>
              <w:t>1.67</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4A02742E" w14:textId="77777777" w:rsidR="001E029D" w:rsidRPr="00493E97" w:rsidRDefault="001E029D" w:rsidP="001E029D">
            <w:pPr>
              <w:pStyle w:val="BodyText"/>
              <w:rPr>
                <w:rFonts w:ascii="Times New Roman" w:hAnsi="Times New Roman" w:cs="Times New Roman"/>
                <w:sz w:val="18"/>
                <w:szCs w:val="18"/>
              </w:rPr>
            </w:pPr>
            <w:r w:rsidRPr="00493E97">
              <w:rPr>
                <w:rFonts w:ascii="Times New Roman" w:hAnsi="Times New Roman" w:cs="Times New Roman"/>
                <w:sz w:val="18"/>
                <w:szCs w:val="18"/>
              </w:rPr>
              <w:t>.088</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5B2FD476" w14:textId="77777777" w:rsidR="001E029D" w:rsidRPr="00493E97" w:rsidRDefault="001E029D" w:rsidP="001E029D">
            <w:pPr>
              <w:pStyle w:val="BodyText"/>
              <w:rPr>
                <w:rFonts w:ascii="Times New Roman" w:hAnsi="Times New Roman" w:cs="Times New Roman"/>
                <w:sz w:val="18"/>
                <w:szCs w:val="18"/>
              </w:rPr>
            </w:pPr>
            <w:r w:rsidRPr="00493E97">
              <w:rPr>
                <w:rFonts w:ascii="Times New Roman" w:hAnsi="Times New Roman" w:cs="Times New Roman"/>
                <w:sz w:val="18"/>
                <w:szCs w:val="18"/>
              </w:rPr>
              <w:t>.780</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54F6A535" w14:textId="77777777" w:rsidR="001E029D" w:rsidRPr="00493E97" w:rsidRDefault="001E029D" w:rsidP="001E029D">
            <w:pPr>
              <w:pStyle w:val="BodyText"/>
              <w:rPr>
                <w:rFonts w:ascii="Times New Roman" w:hAnsi="Times New Roman" w:cs="Times New Roman"/>
                <w:sz w:val="18"/>
                <w:szCs w:val="18"/>
              </w:rPr>
            </w:pPr>
            <w:r w:rsidRPr="00493E97">
              <w:rPr>
                <w:rFonts w:ascii="Times New Roman" w:hAnsi="Times New Roman" w:cs="Times New Roman"/>
                <w:sz w:val="18"/>
                <w:szCs w:val="18"/>
              </w:rPr>
              <w:t>Favorable</w:t>
            </w:r>
          </w:p>
        </w:tc>
      </w:tr>
      <w:tr w:rsidR="001E029D" w:rsidRPr="00493E97" w14:paraId="04BBF36D" w14:textId="77777777" w:rsidTr="00D2618A">
        <w:trPr>
          <w:trHeight w:val="199"/>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7146EA3B" w14:textId="77777777" w:rsidR="001E029D" w:rsidRPr="00493E97" w:rsidRDefault="001E029D" w:rsidP="001E029D">
            <w:pPr>
              <w:pStyle w:val="BodyText"/>
              <w:rPr>
                <w:rFonts w:ascii="Times New Roman" w:hAnsi="Times New Roman" w:cs="Times New Roman"/>
                <w:sz w:val="18"/>
                <w:szCs w:val="18"/>
              </w:rPr>
            </w:pPr>
            <w:r w:rsidRPr="00493E97">
              <w:rPr>
                <w:rFonts w:ascii="Times New Roman" w:hAnsi="Times New Roman" w:cs="Times New Roman"/>
                <w:sz w:val="18"/>
                <w:szCs w:val="18"/>
              </w:rPr>
              <w:t>7</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4894D571" w14:textId="77777777" w:rsidR="001E029D" w:rsidRPr="00493E97" w:rsidRDefault="001E029D" w:rsidP="001E029D">
            <w:pPr>
              <w:pStyle w:val="BodyText"/>
              <w:rPr>
                <w:rFonts w:ascii="Times New Roman" w:hAnsi="Times New Roman" w:cs="Times New Roman"/>
                <w:sz w:val="18"/>
                <w:szCs w:val="18"/>
              </w:rPr>
            </w:pPr>
            <w:r w:rsidRPr="00493E97">
              <w:rPr>
                <w:rFonts w:ascii="Times New Roman" w:hAnsi="Times New Roman" w:cs="Times New Roman"/>
                <w:sz w:val="18"/>
                <w:szCs w:val="18"/>
              </w:rPr>
              <w:t>Q9</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10CD1B35" w14:textId="77777777" w:rsidR="001E029D" w:rsidRPr="00493E97" w:rsidRDefault="001E029D" w:rsidP="001E029D">
            <w:pPr>
              <w:pStyle w:val="BodyText"/>
              <w:rPr>
                <w:rFonts w:ascii="Times New Roman" w:hAnsi="Times New Roman" w:cs="Times New Roman"/>
                <w:sz w:val="18"/>
                <w:szCs w:val="18"/>
              </w:rPr>
            </w:pPr>
            <w:r w:rsidRPr="00493E97">
              <w:rPr>
                <w:rFonts w:ascii="Times New Roman" w:hAnsi="Times New Roman" w:cs="Times New Roman"/>
                <w:sz w:val="18"/>
                <w:szCs w:val="18"/>
              </w:rPr>
              <w:t>79</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27997ADA" w14:textId="77777777" w:rsidR="001E029D" w:rsidRPr="00493E97" w:rsidRDefault="001E029D" w:rsidP="001E029D">
            <w:pPr>
              <w:pStyle w:val="BodyText"/>
              <w:rPr>
                <w:rFonts w:ascii="Times New Roman" w:hAnsi="Times New Roman" w:cs="Times New Roman"/>
                <w:sz w:val="18"/>
                <w:szCs w:val="18"/>
              </w:rPr>
            </w:pPr>
            <w:r w:rsidRPr="00493E97">
              <w:rPr>
                <w:rFonts w:ascii="Times New Roman" w:hAnsi="Times New Roman" w:cs="Times New Roman"/>
                <w:sz w:val="18"/>
                <w:szCs w:val="18"/>
              </w:rPr>
              <w:t>1.71</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460AB252" w14:textId="77777777" w:rsidR="001E029D" w:rsidRPr="00493E97" w:rsidRDefault="001E029D" w:rsidP="001E029D">
            <w:pPr>
              <w:pStyle w:val="BodyText"/>
              <w:rPr>
                <w:rFonts w:ascii="Times New Roman" w:hAnsi="Times New Roman" w:cs="Times New Roman"/>
                <w:sz w:val="18"/>
                <w:szCs w:val="18"/>
              </w:rPr>
            </w:pPr>
            <w:r w:rsidRPr="00493E97">
              <w:rPr>
                <w:rFonts w:ascii="Times New Roman" w:hAnsi="Times New Roman" w:cs="Times New Roman"/>
                <w:sz w:val="18"/>
                <w:szCs w:val="18"/>
              </w:rPr>
              <w:t>.090</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2367C550" w14:textId="77777777" w:rsidR="001E029D" w:rsidRPr="00493E97" w:rsidRDefault="001E029D" w:rsidP="001E029D">
            <w:pPr>
              <w:pStyle w:val="BodyText"/>
              <w:rPr>
                <w:rFonts w:ascii="Times New Roman" w:hAnsi="Times New Roman" w:cs="Times New Roman"/>
                <w:sz w:val="18"/>
                <w:szCs w:val="18"/>
              </w:rPr>
            </w:pPr>
            <w:r w:rsidRPr="00493E97">
              <w:rPr>
                <w:rFonts w:ascii="Times New Roman" w:hAnsi="Times New Roman" w:cs="Times New Roman"/>
                <w:sz w:val="18"/>
                <w:szCs w:val="18"/>
              </w:rPr>
              <w:t>.803</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5F095984" w14:textId="77777777" w:rsidR="001E029D" w:rsidRPr="00493E97" w:rsidRDefault="001E029D" w:rsidP="001E029D">
            <w:pPr>
              <w:pStyle w:val="BodyText"/>
              <w:rPr>
                <w:rFonts w:ascii="Times New Roman" w:hAnsi="Times New Roman" w:cs="Times New Roman"/>
                <w:sz w:val="18"/>
                <w:szCs w:val="18"/>
              </w:rPr>
            </w:pPr>
            <w:r w:rsidRPr="00493E97">
              <w:rPr>
                <w:rFonts w:ascii="Times New Roman" w:hAnsi="Times New Roman" w:cs="Times New Roman"/>
                <w:sz w:val="18"/>
                <w:szCs w:val="18"/>
              </w:rPr>
              <w:t>Favorable</w:t>
            </w:r>
          </w:p>
        </w:tc>
      </w:tr>
      <w:tr w:rsidR="001E029D" w:rsidRPr="00493E97" w14:paraId="19BADD31" w14:textId="77777777" w:rsidTr="00D2618A">
        <w:trPr>
          <w:trHeight w:val="199"/>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3976413D" w14:textId="77777777" w:rsidR="001E029D" w:rsidRPr="00493E97" w:rsidRDefault="001E029D" w:rsidP="001E029D">
            <w:pPr>
              <w:pStyle w:val="BodyText"/>
              <w:rPr>
                <w:rFonts w:ascii="Times New Roman" w:hAnsi="Times New Roman" w:cs="Times New Roman"/>
                <w:sz w:val="18"/>
                <w:szCs w:val="18"/>
              </w:rPr>
            </w:pPr>
            <w:r w:rsidRPr="00493E97">
              <w:rPr>
                <w:rFonts w:ascii="Times New Roman" w:hAnsi="Times New Roman" w:cs="Times New Roman"/>
                <w:sz w:val="18"/>
                <w:szCs w:val="18"/>
              </w:rPr>
              <w:t>8</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08B1942F" w14:textId="77777777" w:rsidR="001E029D" w:rsidRPr="00493E97" w:rsidRDefault="001E029D" w:rsidP="001E029D">
            <w:pPr>
              <w:pStyle w:val="BodyText"/>
              <w:rPr>
                <w:rFonts w:ascii="Times New Roman" w:hAnsi="Times New Roman" w:cs="Times New Roman"/>
                <w:sz w:val="18"/>
                <w:szCs w:val="18"/>
              </w:rPr>
            </w:pPr>
            <w:r w:rsidRPr="00493E97">
              <w:rPr>
                <w:rFonts w:ascii="Times New Roman" w:hAnsi="Times New Roman" w:cs="Times New Roman"/>
                <w:sz w:val="18"/>
                <w:szCs w:val="18"/>
              </w:rPr>
              <w:t>Q8</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1F8E8C71" w14:textId="77777777" w:rsidR="001E029D" w:rsidRPr="00493E97" w:rsidRDefault="001E029D" w:rsidP="001E029D">
            <w:pPr>
              <w:pStyle w:val="BodyText"/>
              <w:rPr>
                <w:rFonts w:ascii="Times New Roman" w:hAnsi="Times New Roman" w:cs="Times New Roman"/>
                <w:sz w:val="18"/>
                <w:szCs w:val="18"/>
              </w:rPr>
            </w:pPr>
            <w:r w:rsidRPr="00493E97">
              <w:rPr>
                <w:rFonts w:ascii="Times New Roman" w:hAnsi="Times New Roman" w:cs="Times New Roman"/>
                <w:sz w:val="18"/>
                <w:szCs w:val="18"/>
              </w:rPr>
              <w:t>79</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3AAE9BD3" w14:textId="77777777" w:rsidR="001E029D" w:rsidRPr="00493E97" w:rsidRDefault="001E029D" w:rsidP="001E029D">
            <w:pPr>
              <w:pStyle w:val="BodyText"/>
              <w:rPr>
                <w:rFonts w:ascii="Times New Roman" w:hAnsi="Times New Roman" w:cs="Times New Roman"/>
                <w:sz w:val="18"/>
                <w:szCs w:val="18"/>
              </w:rPr>
            </w:pPr>
            <w:r w:rsidRPr="00493E97">
              <w:rPr>
                <w:rFonts w:ascii="Times New Roman" w:hAnsi="Times New Roman" w:cs="Times New Roman"/>
                <w:sz w:val="18"/>
                <w:szCs w:val="18"/>
              </w:rPr>
              <w:t>1.75</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579CC026" w14:textId="77777777" w:rsidR="001E029D" w:rsidRPr="00493E97" w:rsidRDefault="001E029D" w:rsidP="001E029D">
            <w:pPr>
              <w:pStyle w:val="BodyText"/>
              <w:rPr>
                <w:rFonts w:ascii="Times New Roman" w:hAnsi="Times New Roman" w:cs="Times New Roman"/>
                <w:sz w:val="18"/>
                <w:szCs w:val="18"/>
              </w:rPr>
            </w:pPr>
            <w:r w:rsidRPr="00493E97">
              <w:rPr>
                <w:rFonts w:ascii="Times New Roman" w:hAnsi="Times New Roman" w:cs="Times New Roman"/>
                <w:sz w:val="18"/>
                <w:szCs w:val="18"/>
              </w:rPr>
              <w:t>.101</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33844B1F" w14:textId="77777777" w:rsidR="001E029D" w:rsidRPr="00493E97" w:rsidRDefault="001E029D" w:rsidP="001E029D">
            <w:pPr>
              <w:pStyle w:val="BodyText"/>
              <w:rPr>
                <w:rFonts w:ascii="Times New Roman" w:hAnsi="Times New Roman" w:cs="Times New Roman"/>
                <w:sz w:val="18"/>
                <w:szCs w:val="18"/>
              </w:rPr>
            </w:pPr>
            <w:r w:rsidRPr="00493E97">
              <w:rPr>
                <w:rFonts w:ascii="Times New Roman" w:hAnsi="Times New Roman" w:cs="Times New Roman"/>
                <w:sz w:val="18"/>
                <w:szCs w:val="18"/>
              </w:rPr>
              <w:t>.898</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7542AB84" w14:textId="77777777" w:rsidR="001E029D" w:rsidRPr="00493E97" w:rsidRDefault="001E029D" w:rsidP="001E029D">
            <w:pPr>
              <w:pStyle w:val="BodyText"/>
              <w:rPr>
                <w:rFonts w:ascii="Times New Roman" w:hAnsi="Times New Roman" w:cs="Times New Roman"/>
                <w:sz w:val="18"/>
                <w:szCs w:val="18"/>
              </w:rPr>
            </w:pPr>
            <w:r w:rsidRPr="00493E97">
              <w:rPr>
                <w:rFonts w:ascii="Times New Roman" w:hAnsi="Times New Roman" w:cs="Times New Roman"/>
                <w:sz w:val="18"/>
                <w:szCs w:val="18"/>
              </w:rPr>
              <w:t>Favorable</w:t>
            </w:r>
          </w:p>
        </w:tc>
      </w:tr>
      <w:tr w:rsidR="001E029D" w:rsidRPr="00493E97" w14:paraId="7904B2AE" w14:textId="77777777" w:rsidTr="00D2618A">
        <w:trPr>
          <w:trHeight w:val="286"/>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30C46C8E" w14:textId="77777777" w:rsidR="001E029D" w:rsidRPr="00493E97" w:rsidRDefault="001E029D" w:rsidP="001E029D">
            <w:pPr>
              <w:pStyle w:val="BodyText"/>
              <w:rPr>
                <w:rFonts w:ascii="Times New Roman" w:hAnsi="Times New Roman" w:cs="Times New Roman"/>
                <w:sz w:val="18"/>
                <w:szCs w:val="18"/>
              </w:rPr>
            </w:pPr>
            <w:r w:rsidRPr="00493E97">
              <w:rPr>
                <w:rFonts w:ascii="Times New Roman" w:hAnsi="Times New Roman" w:cs="Times New Roman"/>
                <w:sz w:val="18"/>
                <w:szCs w:val="18"/>
              </w:rPr>
              <w:t>9</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7A854F8F" w14:textId="77777777" w:rsidR="001E029D" w:rsidRPr="00493E97" w:rsidRDefault="001E029D" w:rsidP="001E029D">
            <w:pPr>
              <w:pStyle w:val="BodyText"/>
              <w:rPr>
                <w:rFonts w:ascii="Times New Roman" w:hAnsi="Times New Roman" w:cs="Times New Roman"/>
                <w:sz w:val="18"/>
                <w:szCs w:val="18"/>
              </w:rPr>
            </w:pPr>
            <w:r w:rsidRPr="00493E97">
              <w:rPr>
                <w:rFonts w:ascii="Times New Roman" w:hAnsi="Times New Roman" w:cs="Times New Roman"/>
                <w:sz w:val="18"/>
                <w:szCs w:val="18"/>
              </w:rPr>
              <w:t>Q6</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674A2831" w14:textId="77777777" w:rsidR="001E029D" w:rsidRPr="00493E97" w:rsidRDefault="001E029D" w:rsidP="001E029D">
            <w:pPr>
              <w:pStyle w:val="BodyText"/>
              <w:rPr>
                <w:rFonts w:ascii="Times New Roman" w:hAnsi="Times New Roman" w:cs="Times New Roman"/>
                <w:sz w:val="18"/>
                <w:szCs w:val="18"/>
              </w:rPr>
            </w:pPr>
            <w:r w:rsidRPr="00493E97">
              <w:rPr>
                <w:rFonts w:ascii="Times New Roman" w:hAnsi="Times New Roman" w:cs="Times New Roman"/>
                <w:sz w:val="18"/>
                <w:szCs w:val="18"/>
              </w:rPr>
              <w:t>79</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22F4DAC3" w14:textId="77777777" w:rsidR="001E029D" w:rsidRPr="00493E97" w:rsidRDefault="001E029D" w:rsidP="001E029D">
            <w:pPr>
              <w:pStyle w:val="BodyText"/>
              <w:rPr>
                <w:rFonts w:ascii="Times New Roman" w:hAnsi="Times New Roman" w:cs="Times New Roman"/>
                <w:sz w:val="18"/>
                <w:szCs w:val="18"/>
              </w:rPr>
            </w:pPr>
            <w:r w:rsidRPr="00493E97">
              <w:rPr>
                <w:rFonts w:ascii="Times New Roman" w:hAnsi="Times New Roman" w:cs="Times New Roman"/>
                <w:sz w:val="18"/>
                <w:szCs w:val="18"/>
              </w:rPr>
              <w:t>1.82</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26792117" w14:textId="77777777" w:rsidR="001E029D" w:rsidRPr="00493E97" w:rsidRDefault="001E029D" w:rsidP="001E029D">
            <w:pPr>
              <w:pStyle w:val="BodyText"/>
              <w:rPr>
                <w:rFonts w:ascii="Times New Roman" w:hAnsi="Times New Roman" w:cs="Times New Roman"/>
                <w:sz w:val="18"/>
                <w:szCs w:val="18"/>
              </w:rPr>
            </w:pPr>
            <w:r w:rsidRPr="00493E97">
              <w:rPr>
                <w:rFonts w:ascii="Times New Roman" w:hAnsi="Times New Roman" w:cs="Times New Roman"/>
                <w:sz w:val="18"/>
                <w:szCs w:val="18"/>
              </w:rPr>
              <w:t>.098</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0FF73651" w14:textId="77777777" w:rsidR="001E029D" w:rsidRPr="00493E97" w:rsidRDefault="001E029D" w:rsidP="001E029D">
            <w:pPr>
              <w:pStyle w:val="BodyText"/>
              <w:rPr>
                <w:rFonts w:ascii="Times New Roman" w:hAnsi="Times New Roman" w:cs="Times New Roman"/>
                <w:sz w:val="18"/>
                <w:szCs w:val="18"/>
              </w:rPr>
            </w:pPr>
            <w:r w:rsidRPr="00493E97">
              <w:rPr>
                <w:rFonts w:ascii="Times New Roman" w:hAnsi="Times New Roman" w:cs="Times New Roman"/>
                <w:sz w:val="18"/>
                <w:szCs w:val="18"/>
              </w:rPr>
              <w:t>.874</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19EB756E" w14:textId="77777777" w:rsidR="001E029D" w:rsidRPr="00493E97" w:rsidRDefault="001E029D" w:rsidP="001E029D">
            <w:pPr>
              <w:pStyle w:val="BodyText"/>
              <w:rPr>
                <w:rFonts w:ascii="Times New Roman" w:hAnsi="Times New Roman" w:cs="Times New Roman"/>
                <w:sz w:val="18"/>
                <w:szCs w:val="18"/>
              </w:rPr>
            </w:pPr>
            <w:r w:rsidRPr="00493E97">
              <w:rPr>
                <w:rFonts w:ascii="Times New Roman" w:hAnsi="Times New Roman" w:cs="Times New Roman"/>
                <w:sz w:val="18"/>
                <w:szCs w:val="18"/>
              </w:rPr>
              <w:t>Favorable (Moderate Variance)</w:t>
            </w:r>
          </w:p>
        </w:tc>
      </w:tr>
      <w:tr w:rsidR="001E029D" w:rsidRPr="00493E97" w14:paraId="43FB7900" w14:textId="77777777" w:rsidTr="00D2618A">
        <w:trPr>
          <w:trHeight w:val="617"/>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4447C67B" w14:textId="77777777" w:rsidR="001E029D" w:rsidRPr="00493E97" w:rsidRDefault="001E029D" w:rsidP="001E029D">
            <w:pPr>
              <w:pStyle w:val="BodyText"/>
              <w:rPr>
                <w:rFonts w:ascii="Times New Roman" w:hAnsi="Times New Roman" w:cs="Times New Roman"/>
                <w:sz w:val="18"/>
                <w:szCs w:val="18"/>
              </w:rPr>
            </w:pPr>
            <w:r w:rsidRPr="00493E97">
              <w:rPr>
                <w:rFonts w:ascii="Times New Roman" w:hAnsi="Times New Roman" w:cs="Times New Roman"/>
                <w:sz w:val="18"/>
                <w:szCs w:val="18"/>
              </w:rPr>
              <w:lastRenderedPageBreak/>
              <w:t>10</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10962D89" w14:textId="77777777" w:rsidR="001E029D" w:rsidRPr="00493E97" w:rsidRDefault="001E029D" w:rsidP="001E029D">
            <w:pPr>
              <w:pStyle w:val="BodyText"/>
              <w:rPr>
                <w:rFonts w:ascii="Times New Roman" w:hAnsi="Times New Roman" w:cs="Times New Roman"/>
                <w:sz w:val="18"/>
                <w:szCs w:val="18"/>
              </w:rPr>
            </w:pPr>
            <w:r w:rsidRPr="00493E97">
              <w:rPr>
                <w:rFonts w:ascii="Times New Roman" w:hAnsi="Times New Roman" w:cs="Times New Roman"/>
                <w:sz w:val="18"/>
                <w:szCs w:val="18"/>
              </w:rPr>
              <w:t>Q7</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6C5D93DE" w14:textId="77777777" w:rsidR="001E029D" w:rsidRPr="00493E97" w:rsidRDefault="001E029D" w:rsidP="001E029D">
            <w:pPr>
              <w:pStyle w:val="BodyText"/>
              <w:rPr>
                <w:rFonts w:ascii="Times New Roman" w:hAnsi="Times New Roman" w:cs="Times New Roman"/>
                <w:sz w:val="18"/>
                <w:szCs w:val="18"/>
              </w:rPr>
            </w:pPr>
            <w:r w:rsidRPr="00493E97">
              <w:rPr>
                <w:rFonts w:ascii="Times New Roman" w:hAnsi="Times New Roman" w:cs="Times New Roman"/>
                <w:sz w:val="18"/>
                <w:szCs w:val="18"/>
              </w:rPr>
              <w:t>79</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5CFEA734" w14:textId="77777777" w:rsidR="001E029D" w:rsidRPr="00493E97" w:rsidRDefault="001E029D" w:rsidP="001E029D">
            <w:pPr>
              <w:pStyle w:val="BodyText"/>
              <w:rPr>
                <w:rFonts w:ascii="Times New Roman" w:hAnsi="Times New Roman" w:cs="Times New Roman"/>
                <w:sz w:val="18"/>
                <w:szCs w:val="18"/>
              </w:rPr>
            </w:pPr>
            <w:r w:rsidRPr="00493E97">
              <w:rPr>
                <w:rFonts w:ascii="Times New Roman" w:hAnsi="Times New Roman" w:cs="Times New Roman"/>
                <w:sz w:val="18"/>
                <w:szCs w:val="18"/>
              </w:rPr>
              <w:t>4.67</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306163F6" w14:textId="77777777" w:rsidR="001E029D" w:rsidRPr="00493E97" w:rsidRDefault="001E029D" w:rsidP="001E029D">
            <w:pPr>
              <w:pStyle w:val="BodyText"/>
              <w:rPr>
                <w:rFonts w:ascii="Times New Roman" w:hAnsi="Times New Roman" w:cs="Times New Roman"/>
                <w:sz w:val="18"/>
                <w:szCs w:val="18"/>
              </w:rPr>
            </w:pPr>
            <w:r w:rsidRPr="00493E97">
              <w:rPr>
                <w:rFonts w:ascii="Times New Roman" w:hAnsi="Times New Roman" w:cs="Times New Roman"/>
                <w:sz w:val="18"/>
                <w:szCs w:val="18"/>
              </w:rPr>
              <w:t>.071</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2344A7B1" w14:textId="77777777" w:rsidR="001E029D" w:rsidRPr="00493E97" w:rsidRDefault="001E029D" w:rsidP="001E029D">
            <w:pPr>
              <w:pStyle w:val="BodyText"/>
              <w:rPr>
                <w:rFonts w:ascii="Times New Roman" w:hAnsi="Times New Roman" w:cs="Times New Roman"/>
                <w:sz w:val="18"/>
                <w:szCs w:val="18"/>
              </w:rPr>
            </w:pPr>
            <w:r w:rsidRPr="00493E97">
              <w:rPr>
                <w:rFonts w:ascii="Times New Roman" w:hAnsi="Times New Roman" w:cs="Times New Roman"/>
                <w:sz w:val="18"/>
                <w:szCs w:val="18"/>
              </w:rPr>
              <w:t>.635</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1BE1E42E" w14:textId="77777777" w:rsidR="001E029D" w:rsidRPr="00493E97" w:rsidRDefault="001E029D" w:rsidP="001E029D">
            <w:pPr>
              <w:pStyle w:val="BodyText"/>
              <w:rPr>
                <w:rFonts w:ascii="Times New Roman" w:hAnsi="Times New Roman" w:cs="Times New Roman"/>
                <w:sz w:val="18"/>
                <w:szCs w:val="18"/>
              </w:rPr>
            </w:pPr>
            <w:r w:rsidRPr="00493E97">
              <w:rPr>
                <w:rFonts w:ascii="Times New Roman" w:hAnsi="Times New Roman" w:cs="Times New Roman"/>
                <w:sz w:val="18"/>
                <w:szCs w:val="18"/>
              </w:rPr>
              <w:t>Strong Disagreement (Negatively Worded)</w:t>
            </w:r>
          </w:p>
        </w:tc>
      </w:tr>
    </w:tbl>
    <w:p w14:paraId="215DC8FF" w14:textId="136D8461" w:rsidR="001E029D" w:rsidRPr="00B90854" w:rsidRDefault="00D2618A" w:rsidP="001E029D">
      <w:pPr>
        <w:pStyle w:val="BodyText"/>
        <w:rPr>
          <w:rFonts w:ascii="Times New Roman" w:hAnsi="Times New Roman" w:cs="Times New Roman"/>
        </w:rPr>
      </w:pPr>
      <w:r w:rsidRPr="00B90854">
        <w:rPr>
          <w:rFonts w:ascii="Times New Roman" w:hAnsi="Times New Roman" w:cs="Times New Roman"/>
        </w:rPr>
        <w:t>4.1.</w:t>
      </w:r>
      <w:r w:rsidR="001E029D" w:rsidRPr="00B90854">
        <w:rPr>
          <w:rFonts w:ascii="Times New Roman" w:hAnsi="Times New Roman" w:cs="Times New Roman"/>
        </w:rPr>
        <w:t>2. Distribution and Frequency Analysis</w:t>
      </w:r>
    </w:p>
    <w:p w14:paraId="25F4A9DE" w14:textId="77777777" w:rsidR="001E029D" w:rsidRPr="00D2618A" w:rsidRDefault="001E029D" w:rsidP="001E029D">
      <w:pPr>
        <w:pStyle w:val="BodyText"/>
        <w:rPr>
          <w:rFonts w:ascii="Times New Roman" w:hAnsi="Times New Roman" w:cs="Times New Roman"/>
        </w:rPr>
      </w:pPr>
      <w:r w:rsidRPr="00D2618A">
        <w:rPr>
          <w:rFonts w:ascii="Times New Roman" w:hAnsi="Times New Roman" w:cs="Times New Roman"/>
        </w:rPr>
        <w:t>High-Consensus Positive Indicators (Agreement &gt; 95%)</w:t>
      </w:r>
    </w:p>
    <w:p w14:paraId="36256B36" w14:textId="6D9D974C" w:rsidR="001E029D" w:rsidRPr="00D2618A" w:rsidRDefault="001E029D" w:rsidP="00FE7843">
      <w:pPr>
        <w:pStyle w:val="BodyText"/>
        <w:ind w:left="360"/>
        <w:rPr>
          <w:rFonts w:ascii="Times New Roman" w:hAnsi="Times New Roman" w:cs="Times New Roman"/>
        </w:rPr>
      </w:pPr>
      <w:r w:rsidRPr="00D2618A">
        <w:rPr>
          <w:rFonts w:ascii="Times New Roman" w:hAnsi="Times New Roman" w:cs="Times New Roman"/>
        </w:rPr>
        <w:t>Q1: Exhibited an absolute positive consensus with 100% of participants responding favorably (79.7% Strongly Agree, 20.3% Agree; M = 1.20, SD = .404). This represents the most robust benchmark within the dataset.</w:t>
      </w:r>
    </w:p>
    <w:p w14:paraId="548ECDFC" w14:textId="3A7888D6" w:rsidR="001E029D" w:rsidRPr="00D2618A" w:rsidRDefault="001E029D" w:rsidP="00FE7843">
      <w:pPr>
        <w:pStyle w:val="BodyText"/>
        <w:ind w:left="360"/>
        <w:rPr>
          <w:rFonts w:ascii="Times New Roman" w:hAnsi="Times New Roman" w:cs="Times New Roman"/>
        </w:rPr>
      </w:pPr>
      <w:r w:rsidRPr="00D2618A">
        <w:rPr>
          <w:rFonts w:ascii="Times New Roman" w:hAnsi="Times New Roman" w:cs="Times New Roman"/>
        </w:rPr>
        <w:t>Q5 &amp; Q10: Shared identical distribution properties, yielding a cumulative agreement rate of 98.7% (75.9% Strongly Agree, 22.8% Agree; M = 1.25, SD = .466). Only a nominal 1.3% of respondents remained neutral.</w:t>
      </w:r>
    </w:p>
    <w:p w14:paraId="05810E73" w14:textId="77777777" w:rsidR="001E029D" w:rsidRPr="00D2618A" w:rsidRDefault="001E029D" w:rsidP="001E029D">
      <w:pPr>
        <w:pStyle w:val="BodyText"/>
        <w:rPr>
          <w:rFonts w:ascii="Times New Roman" w:hAnsi="Times New Roman" w:cs="Times New Roman"/>
        </w:rPr>
      </w:pPr>
      <w:r w:rsidRPr="00D2618A">
        <w:rPr>
          <w:rFonts w:ascii="Times New Roman" w:hAnsi="Times New Roman" w:cs="Times New Roman"/>
        </w:rPr>
        <w:t>Moderate-to-High Positive Indicators (Agreement 74% – 85%)</w:t>
      </w:r>
    </w:p>
    <w:p w14:paraId="4313F358" w14:textId="27C7DAD5" w:rsidR="001E029D" w:rsidRPr="00D2618A" w:rsidRDefault="001E029D" w:rsidP="00FE7843">
      <w:pPr>
        <w:pStyle w:val="BodyText"/>
        <w:ind w:left="360"/>
        <w:rPr>
          <w:rFonts w:ascii="Times New Roman" w:hAnsi="Times New Roman" w:cs="Times New Roman"/>
        </w:rPr>
      </w:pPr>
      <w:r w:rsidRPr="00D2618A">
        <w:rPr>
          <w:rFonts w:ascii="Times New Roman" w:hAnsi="Times New Roman" w:cs="Times New Roman"/>
        </w:rPr>
        <w:t>Q4: Attained a cumulative agreement rate of 84.8% (58.2% Strongly Agree, 26.6% Agree; M = 1.57), with a 15.2% neutral position.</w:t>
      </w:r>
    </w:p>
    <w:p w14:paraId="6F6B5F31" w14:textId="0ACF6F69" w:rsidR="001E029D" w:rsidRPr="00D2618A" w:rsidRDefault="001E029D" w:rsidP="00FE7843">
      <w:pPr>
        <w:pStyle w:val="BodyText"/>
        <w:ind w:left="360"/>
        <w:rPr>
          <w:rFonts w:ascii="Times New Roman" w:hAnsi="Times New Roman" w:cs="Times New Roman"/>
        </w:rPr>
      </w:pPr>
      <w:r w:rsidRPr="00D2618A">
        <w:rPr>
          <w:rFonts w:ascii="Times New Roman" w:hAnsi="Times New Roman" w:cs="Times New Roman"/>
        </w:rPr>
        <w:t>Q2 &amp; Q3: Demonstrated highly comparable baseline distributions, both securing an aggregate agreement rate of 81.0% and a neutral baseline of 19.0% (M = 1.63 and 1.67, respectively).</w:t>
      </w:r>
    </w:p>
    <w:p w14:paraId="052FCE0B" w14:textId="77777777" w:rsidR="001E029D" w:rsidRPr="00D2618A" w:rsidRDefault="001E029D" w:rsidP="00FE7843">
      <w:pPr>
        <w:pStyle w:val="BodyText"/>
        <w:ind w:left="360"/>
        <w:rPr>
          <w:rFonts w:ascii="Times New Roman" w:hAnsi="Times New Roman" w:cs="Times New Roman"/>
        </w:rPr>
      </w:pPr>
      <w:r w:rsidRPr="00D2618A">
        <w:rPr>
          <w:rFonts w:ascii="Times New Roman" w:hAnsi="Times New Roman" w:cs="Times New Roman"/>
        </w:rPr>
        <w:t>Q9: Documented 81.0% agreement (49.4% Strongly Agree, 31.6% Agree) alongside a low negative variance (1.3% Disagree).</w:t>
      </w:r>
    </w:p>
    <w:p w14:paraId="16003D90" w14:textId="77777777" w:rsidR="001E029D" w:rsidRPr="00D2618A" w:rsidRDefault="001E029D" w:rsidP="00FE7843">
      <w:pPr>
        <w:pStyle w:val="BodyText"/>
        <w:ind w:left="360"/>
        <w:rPr>
          <w:rFonts w:ascii="Times New Roman" w:hAnsi="Times New Roman" w:cs="Times New Roman"/>
        </w:rPr>
      </w:pPr>
      <w:r w:rsidRPr="00D2618A">
        <w:rPr>
          <w:rFonts w:ascii="Times New Roman" w:hAnsi="Times New Roman" w:cs="Times New Roman"/>
        </w:rPr>
        <w:t>Q8: Maintained an aggregate agreement of 78.4% (50.6% Strongly Agree, 27.8% Agree), accompanied by a minor negative posture of 2.6%.</w:t>
      </w:r>
    </w:p>
    <w:p w14:paraId="22466E51" w14:textId="11C14195" w:rsidR="001E029D" w:rsidRPr="00D2618A" w:rsidRDefault="001E029D" w:rsidP="00FE7843">
      <w:pPr>
        <w:pStyle w:val="BodyText"/>
        <w:ind w:left="360"/>
        <w:rPr>
          <w:rFonts w:ascii="Times New Roman" w:hAnsi="Times New Roman" w:cs="Times New Roman"/>
        </w:rPr>
      </w:pPr>
      <w:r w:rsidRPr="00D2618A">
        <w:rPr>
          <w:rFonts w:ascii="Times New Roman" w:hAnsi="Times New Roman" w:cs="Times New Roman"/>
        </w:rPr>
        <w:t>Q6: Registered the lowest direct agreement rate among the positively phrased items at 74.7% (M = 1.82, SD = .874). This item yielded the highest degree of uncertainty within this category, with a 22.8% neutral rate.</w:t>
      </w:r>
    </w:p>
    <w:p w14:paraId="220A9716" w14:textId="776100B1" w:rsidR="001E029D" w:rsidRDefault="001E029D" w:rsidP="00FE7843">
      <w:pPr>
        <w:pStyle w:val="BodyText"/>
        <w:ind w:left="142"/>
        <w:rPr>
          <w:rFonts w:ascii="Times New Roman" w:hAnsi="Times New Roman" w:cs="Times New Roman"/>
        </w:rPr>
      </w:pPr>
      <w:r w:rsidRPr="00D2618A">
        <w:rPr>
          <w:rFonts w:ascii="Times New Roman" w:hAnsi="Times New Roman" w:cs="Times New Roman"/>
        </w:rPr>
        <w:t>Q7: Formulated a distinct contrast to the rest of the instrument. A substantial 96.2% of the sample disagreed with this statement (73.4% strongly identifying with the maximum scalar value of 5, and 22.8% identifying with value 4). The mean score (M = 4.67, SD = .635) verifies a systemic reverse distribution.</w:t>
      </w:r>
    </w:p>
    <w:p w14:paraId="636B463A" w14:textId="291FC548" w:rsidR="00FE7843" w:rsidRDefault="00FE7843" w:rsidP="00FE7843">
      <w:pPr>
        <w:pStyle w:val="BodyText"/>
        <w:ind w:left="142"/>
        <w:rPr>
          <w:rFonts w:ascii="Times New Roman" w:hAnsi="Times New Roman" w:cs="Times New Roman"/>
        </w:rPr>
      </w:pPr>
      <w:r w:rsidRPr="00FE7843">
        <w:rPr>
          <w:rFonts w:ascii="Times New Roman" w:hAnsi="Times New Roman" w:cs="Times New Roman"/>
        </w:rPr>
        <w:t xml:space="preserve">To improve construct validity and internal consistency, the questionnaire items were classified into four theoretically related scales rather than being analyzed as a single construct. The first scale, Learning Engagement and Motivation (Q1–Q4), measures students’ participation, interest, and enthusiasm in AI-supported TMT activities. The second scale, Collaborative Learning (Q5–Q6), focuses on peer interaction and teamwork. The third scale, AI Satisfaction </w:t>
      </w:r>
      <w:r w:rsidRPr="00FE7843">
        <w:rPr>
          <w:rFonts w:ascii="Times New Roman" w:hAnsi="Times New Roman" w:cs="Times New Roman"/>
        </w:rPr>
        <w:lastRenderedPageBreak/>
        <w:t>and Evaluation (Q7–Q8), examines students’ satisfaction with AI outputs and their critical evaluation of AI-generated content. The fourth scale, Perceived Learning Improvement (Q9–Q10), assesses students’ perceived progress and their ability to utilize AI-generated feedback to enhance performance. Reliability analysis was conducted separately for each scale to ensure that items within a scale measured a common underlying construct.</w:t>
      </w:r>
      <w:r w:rsidR="00B81637">
        <w:rPr>
          <w:rFonts w:ascii="Times New Roman" w:hAnsi="Times New Roman" w:cs="Times New Roman"/>
        </w:rPr>
        <w:t xml:space="preserve"> B</w:t>
      </w:r>
      <w:r w:rsidR="00B81637" w:rsidRPr="00B81637">
        <w:rPr>
          <w:rFonts w:ascii="Times New Roman" w:hAnsi="Times New Roman" w:cs="Times New Roman"/>
        </w:rPr>
        <w:t xml:space="preserve">ecause Cronbach's Alpha tends to be unstable when a scale contains only two items. </w:t>
      </w:r>
      <w:r w:rsidR="00B81637">
        <w:rPr>
          <w:rFonts w:ascii="Times New Roman" w:hAnsi="Times New Roman" w:cs="Times New Roman"/>
        </w:rPr>
        <w:t>This simple survey</w:t>
      </w:r>
      <w:r w:rsidR="00B81637" w:rsidRPr="00B81637">
        <w:rPr>
          <w:rFonts w:ascii="Times New Roman" w:hAnsi="Times New Roman" w:cs="Times New Roman"/>
        </w:rPr>
        <w:t xml:space="preserve"> structure of </w:t>
      </w:r>
      <w:r w:rsidR="00B81637">
        <w:rPr>
          <w:rFonts w:ascii="Times New Roman" w:hAnsi="Times New Roman" w:cs="Times New Roman"/>
        </w:rPr>
        <w:t xml:space="preserve">fewer than </w:t>
      </w:r>
      <w:r w:rsidR="00B81637" w:rsidRPr="00377F16">
        <w:rPr>
          <w:rFonts w:ascii="Times New Roman" w:hAnsi="Times New Roman" w:cs="Times New Roman"/>
        </w:rPr>
        <w:t>4 items per construct</w:t>
      </w:r>
      <w:r w:rsidR="00B81637" w:rsidRPr="00B81637">
        <w:rPr>
          <w:rFonts w:ascii="Times New Roman" w:hAnsi="Times New Roman" w:cs="Times New Roman"/>
        </w:rPr>
        <w:t xml:space="preserve"> would</w:t>
      </w:r>
      <w:r w:rsidR="00B81637">
        <w:rPr>
          <w:rFonts w:ascii="Times New Roman" w:hAnsi="Times New Roman" w:cs="Times New Roman"/>
        </w:rPr>
        <w:t xml:space="preserve"> not</w:t>
      </w:r>
      <w:r w:rsidR="00B81637" w:rsidRPr="00B81637">
        <w:rPr>
          <w:rFonts w:ascii="Times New Roman" w:hAnsi="Times New Roman" w:cs="Times New Roman"/>
        </w:rPr>
        <w:t xml:space="preserve"> provide stronger reliability evidence.</w:t>
      </w:r>
    </w:p>
    <w:p w14:paraId="3503A0F3" w14:textId="77777777" w:rsidR="00493E97" w:rsidRPr="00493E97" w:rsidRDefault="00493E97" w:rsidP="00493E97">
      <w:pPr>
        <w:pStyle w:val="BodyText"/>
        <w:ind w:left="142"/>
        <w:rPr>
          <w:rFonts w:ascii="Times New Roman" w:hAnsi="Times New Roman" w:cs="Times New Roman"/>
        </w:rPr>
      </w:pPr>
      <w:r w:rsidRPr="00493E97">
        <w:rPr>
          <w:rFonts w:ascii="Times New Roman" w:hAnsi="Times New Roman" w:cs="Times New Roman"/>
        </w:rPr>
        <w:t xml:space="preserve">Reliability analysis was conducted to examine the internal consistency of the ten questionnaire items measuring students’ perceptions of AI use in Theories and Methods of </w:t>
      </w:r>
      <w:proofErr w:type="spellStart"/>
      <w:r w:rsidRPr="00493E97">
        <w:rPr>
          <w:rFonts w:ascii="Times New Roman" w:hAnsi="Times New Roman" w:cs="Times New Roman"/>
        </w:rPr>
        <w:t>Transinterpretation</w:t>
      </w:r>
      <w:proofErr w:type="spellEnd"/>
      <w:r w:rsidRPr="00493E97">
        <w:rPr>
          <w:rFonts w:ascii="Times New Roman" w:hAnsi="Times New Roman" w:cs="Times New Roman"/>
        </w:rPr>
        <w:t xml:space="preserve"> (TMT) exercises. The results indicated that the items did not consistently represent a single underlying construct. Although all items were related to AI-supported learning, they addressed several distinct dimensions of students’ experiences and perceptions, which may have contributed to weak inter-item relationships and lower-than-expected reliability coefficients.</w:t>
      </w:r>
    </w:p>
    <w:p w14:paraId="67425A39" w14:textId="77777777" w:rsidR="00493E97" w:rsidRPr="00493E97" w:rsidRDefault="00493E97" w:rsidP="00493E97">
      <w:pPr>
        <w:pStyle w:val="BodyText"/>
        <w:ind w:left="142"/>
        <w:rPr>
          <w:rFonts w:ascii="Times New Roman" w:hAnsi="Times New Roman" w:cs="Times New Roman"/>
        </w:rPr>
      </w:pPr>
      <w:r w:rsidRPr="00493E97">
        <w:rPr>
          <w:rFonts w:ascii="Times New Roman" w:hAnsi="Times New Roman" w:cs="Times New Roman"/>
        </w:rPr>
        <w:t>A closer examination of the questionnaire revealed that the items measured different aspects of AI-assisted learning in TMT courses. Specifically, the items focused on learning engagement and motivation (Q1–Q4), collaborative learning (Q5–Q6), satisfaction with and evaluation of AI-generated outputs (Q7–Q8), and perceived learning improvement and application of AI feedback (Q9–Q10). These dimensions reflect conceptually related but distinct educational outcomes. Therefore, strong correlations among all ten items were not necessarily expected.</w:t>
      </w:r>
    </w:p>
    <w:p w14:paraId="778C35A3" w14:textId="77777777" w:rsidR="00493E97" w:rsidRPr="00493E97" w:rsidRDefault="00493E97" w:rsidP="00493E97">
      <w:pPr>
        <w:pStyle w:val="BodyText"/>
        <w:ind w:left="142"/>
        <w:rPr>
          <w:rFonts w:ascii="Times New Roman" w:hAnsi="Times New Roman" w:cs="Times New Roman"/>
        </w:rPr>
      </w:pPr>
      <w:r w:rsidRPr="00493E97">
        <w:rPr>
          <w:rFonts w:ascii="Times New Roman" w:hAnsi="Times New Roman" w:cs="Times New Roman"/>
        </w:rPr>
        <w:t>The variability in students’ responses suggests that positive perceptions in one area of AI-supported learning did not automatically correspond to positive perceptions in other areas. For instance, students may have reported high levels of engagement and motivation when using AI tools but demonstrated different levels of satisfaction with AI-generated outputs or varying degrees of collaboration with peers. Similarly, students who perceived substantial learning improvement through AI use might not necessarily evaluate AI-generated content critically. As a result, the questionnaire items may not have demonstrated sufficient homogeneity to justify combining them into a single composite scale.</w:t>
      </w:r>
    </w:p>
    <w:p w14:paraId="58F2B4DC" w14:textId="77777777" w:rsidR="00493E97" w:rsidRDefault="00493E97" w:rsidP="00493E97">
      <w:pPr>
        <w:pStyle w:val="BodyText"/>
        <w:ind w:left="142"/>
        <w:rPr>
          <w:rFonts w:ascii="Times New Roman" w:hAnsi="Times New Roman" w:cs="Times New Roman"/>
        </w:rPr>
      </w:pPr>
      <w:r w:rsidRPr="00493E97">
        <w:rPr>
          <w:rFonts w:ascii="Times New Roman" w:hAnsi="Times New Roman" w:cs="Times New Roman"/>
        </w:rPr>
        <w:t>Therefore, rather than treating the ten items as a unidimensional measure of AI use in TMT exercises, this study classified them into four theoretically meaningful subscales: Learning Engagement and Motivation, Collaborative Learning, AI Satisfaction and Evaluation, and Learning Improvement and AI Utilization. Reliability analyses were conducted separately for each subscale to ensure that the items within each group measured a common underlying construct. This approach provides a more accurate representation of the multifaceted nature of students’ experiences with AI-supported learning in TMT courses.</w:t>
      </w:r>
    </w:p>
    <w:p w14:paraId="23955089" w14:textId="04A02876" w:rsidR="004967CE" w:rsidRPr="004967CE" w:rsidRDefault="004967CE" w:rsidP="004967CE">
      <w:pPr>
        <w:pStyle w:val="BodyText"/>
        <w:ind w:left="142"/>
        <w:rPr>
          <w:rFonts w:ascii="Times New Roman" w:hAnsi="Times New Roman" w:cs="Times New Roman"/>
          <w:sz w:val="20"/>
          <w:szCs w:val="20"/>
        </w:rPr>
      </w:pPr>
      <w:r w:rsidRPr="004967CE">
        <w:rPr>
          <w:rFonts w:ascii="Times New Roman" w:hAnsi="Times New Roman" w:cs="Times New Roman"/>
          <w:sz w:val="20"/>
          <w:szCs w:val="20"/>
        </w:rPr>
        <w:t>Table 2: KMO and Bartlett’s Test</w:t>
      </w:r>
    </w:p>
    <w:p w14:paraId="055A8645" w14:textId="77777777" w:rsidR="004967CE" w:rsidRDefault="004967CE" w:rsidP="004967CE">
      <w:pPr>
        <w:pStyle w:val="BodyText"/>
        <w:ind w:left="142"/>
        <w:rPr>
          <w:rFonts w:ascii="Times New Roman" w:hAnsi="Times New Roman" w:cs="Times New Roman"/>
        </w:rPr>
      </w:pPr>
      <w:r>
        <w:rPr>
          <w:rFonts w:ascii="Times New Roman" w:hAnsi="Times New Roman" w:cs="Times New Roman"/>
        </w:rPr>
        <w:t xml:space="preserve"> </w:t>
      </w:r>
      <w:r w:rsidRPr="004967CE">
        <w:rPr>
          <w:rFonts w:ascii="Times New Roman" w:hAnsi="Times New Roman" w:cs="Times New Roman"/>
          <w:noProof/>
        </w:rPr>
        <w:drawing>
          <wp:inline distT="0" distB="0" distL="0" distR="0" wp14:anchorId="726F3E87" wp14:editId="457B67BF">
            <wp:extent cx="2339423" cy="771830"/>
            <wp:effectExtent l="0" t="0" r="0" b="0"/>
            <wp:docPr id="17950578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5057888" name=""/>
                    <pic:cNvPicPr/>
                  </pic:nvPicPr>
                  <pic:blipFill>
                    <a:blip r:embed="rId6"/>
                    <a:stretch>
                      <a:fillRect/>
                    </a:stretch>
                  </pic:blipFill>
                  <pic:spPr>
                    <a:xfrm>
                      <a:off x="0" y="0"/>
                      <a:ext cx="2368675" cy="781481"/>
                    </a:xfrm>
                    <a:prstGeom prst="rect">
                      <a:avLst/>
                    </a:prstGeom>
                  </pic:spPr>
                </pic:pic>
              </a:graphicData>
            </a:graphic>
          </wp:inline>
        </w:drawing>
      </w:r>
    </w:p>
    <w:p w14:paraId="423E1DB5" w14:textId="65E7F3EB" w:rsidR="004967CE" w:rsidRDefault="004967CE" w:rsidP="004967CE">
      <w:pPr>
        <w:pStyle w:val="BodyText"/>
        <w:ind w:left="142"/>
        <w:rPr>
          <w:rFonts w:ascii="Times New Roman" w:hAnsi="Times New Roman" w:cs="Times New Roman"/>
        </w:rPr>
      </w:pPr>
      <w:r w:rsidRPr="004967CE">
        <w:rPr>
          <w:rFonts w:ascii="Times New Roman" w:hAnsi="Times New Roman" w:cs="Times New Roman"/>
        </w:rPr>
        <w:t>The Bartlett's test of sphericity was statistically significant (\chi^2(21) = 41.6</w:t>
      </w:r>
      <w:r w:rsidR="00573D98">
        <w:rPr>
          <w:rFonts w:ascii="Times New Roman" w:hAnsi="Times New Roman" w:cs="Times New Roman"/>
        </w:rPr>
        <w:t>5</w:t>
      </w:r>
      <w:r w:rsidRPr="004967CE">
        <w:rPr>
          <w:rFonts w:ascii="Times New Roman" w:hAnsi="Times New Roman" w:cs="Times New Roman"/>
        </w:rPr>
        <w:t xml:space="preserve">, p = .005), indicating sufficient correlation among the remaining seven items to justify factor analysis. The </w:t>
      </w:r>
      <w:r w:rsidRPr="004967CE">
        <w:rPr>
          <w:rFonts w:ascii="Times New Roman" w:hAnsi="Times New Roman" w:cs="Times New Roman"/>
        </w:rPr>
        <w:lastRenderedPageBreak/>
        <w:t>KMO measure of sampling adequacy was .492; while slightly below the traditional .50 threshold, it was deemed acceptable for exploratory purposes given the streamlined item pool.</w:t>
      </w:r>
    </w:p>
    <w:p w14:paraId="26F0AC4A" w14:textId="493F6AE2" w:rsidR="00E47558" w:rsidRPr="00E47558" w:rsidRDefault="00E47558" w:rsidP="004967CE">
      <w:pPr>
        <w:pStyle w:val="BodyText"/>
        <w:ind w:left="142"/>
        <w:rPr>
          <w:rFonts w:ascii="Times New Roman" w:hAnsi="Times New Roman" w:cs="Times New Roman"/>
          <w:sz w:val="20"/>
          <w:szCs w:val="20"/>
        </w:rPr>
      </w:pPr>
      <w:r w:rsidRPr="00E47558">
        <w:rPr>
          <w:rFonts w:ascii="Times New Roman" w:hAnsi="Times New Roman" w:cs="Times New Roman"/>
          <w:sz w:val="20"/>
          <w:szCs w:val="20"/>
        </w:rPr>
        <w:t>Table 3: Communalities</w:t>
      </w:r>
    </w:p>
    <w:p w14:paraId="687F9E81" w14:textId="4A896EDD" w:rsidR="004967CE" w:rsidRDefault="00E47558" w:rsidP="00493E97">
      <w:pPr>
        <w:pStyle w:val="BodyText"/>
        <w:ind w:left="142"/>
        <w:rPr>
          <w:rFonts w:ascii="Times New Roman" w:hAnsi="Times New Roman" w:cs="Times New Roman"/>
        </w:rPr>
      </w:pPr>
      <w:r w:rsidRPr="00E47558">
        <w:rPr>
          <w:rFonts w:ascii="Times New Roman" w:hAnsi="Times New Roman" w:cs="Times New Roman"/>
          <w:noProof/>
        </w:rPr>
        <w:drawing>
          <wp:inline distT="0" distB="0" distL="0" distR="0" wp14:anchorId="156EF851" wp14:editId="37A630FA">
            <wp:extent cx="1063487" cy="1318724"/>
            <wp:effectExtent l="0" t="0" r="0" b="0"/>
            <wp:docPr id="18499423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9942351" name=""/>
                    <pic:cNvPicPr/>
                  </pic:nvPicPr>
                  <pic:blipFill>
                    <a:blip r:embed="rId7"/>
                    <a:stretch>
                      <a:fillRect/>
                    </a:stretch>
                  </pic:blipFill>
                  <pic:spPr>
                    <a:xfrm>
                      <a:off x="0" y="0"/>
                      <a:ext cx="1068511" cy="1324954"/>
                    </a:xfrm>
                    <a:prstGeom prst="rect">
                      <a:avLst/>
                    </a:prstGeom>
                  </pic:spPr>
                </pic:pic>
              </a:graphicData>
            </a:graphic>
          </wp:inline>
        </w:drawing>
      </w:r>
    </w:p>
    <w:p w14:paraId="56656D78" w14:textId="71861D1C" w:rsidR="00E47558" w:rsidRDefault="00E47558" w:rsidP="00493E97">
      <w:pPr>
        <w:pStyle w:val="BodyText"/>
        <w:ind w:left="142"/>
        <w:rPr>
          <w:rFonts w:ascii="Times New Roman" w:hAnsi="Times New Roman" w:cs="Times New Roman"/>
        </w:rPr>
      </w:pPr>
      <w:r w:rsidRPr="00E47558">
        <w:rPr>
          <w:rFonts w:ascii="Times New Roman" w:hAnsi="Times New Roman" w:cs="Times New Roman"/>
        </w:rPr>
        <w:t xml:space="preserve">The extraction communalities for the final seven items were examined to determine the amount of variance accounted for by the three-component solution. The communalities ranged from a low of .439 (Q1R) to a high of .709 (Q6R). Because all items exceeded the standard threshold of .40, it is confirmed that every retained item </w:t>
      </w:r>
      <w:proofErr w:type="gramStart"/>
      <w:r w:rsidRPr="00E47558">
        <w:rPr>
          <w:rFonts w:ascii="Times New Roman" w:hAnsi="Times New Roman" w:cs="Times New Roman"/>
        </w:rPr>
        <w:t>shares</w:t>
      </w:r>
      <w:proofErr w:type="gramEnd"/>
      <w:r w:rsidRPr="00E47558">
        <w:rPr>
          <w:rFonts w:ascii="Times New Roman" w:hAnsi="Times New Roman" w:cs="Times New Roman"/>
        </w:rPr>
        <w:t xml:space="preserve"> sufficient variance with the extracted components, justifying their inclusion in the final model and ensuring the structural integrity of the scale.</w:t>
      </w:r>
    </w:p>
    <w:p w14:paraId="5B9D7AA1" w14:textId="45A07237" w:rsidR="0071211D" w:rsidRDefault="0071211D" w:rsidP="00493E97">
      <w:pPr>
        <w:pStyle w:val="BodyText"/>
        <w:ind w:left="142"/>
        <w:rPr>
          <w:rFonts w:ascii="Times New Roman" w:hAnsi="Times New Roman" w:cs="Times New Roman"/>
          <w:sz w:val="20"/>
          <w:szCs w:val="20"/>
        </w:rPr>
      </w:pPr>
      <w:r w:rsidRPr="0071211D">
        <w:rPr>
          <w:rFonts w:ascii="Times New Roman" w:hAnsi="Times New Roman" w:cs="Times New Roman"/>
          <w:sz w:val="20"/>
          <w:szCs w:val="20"/>
        </w:rPr>
        <w:t xml:space="preserve">Table 4: </w:t>
      </w:r>
      <w:r w:rsidR="009730B6" w:rsidRPr="009730B6">
        <w:rPr>
          <w:rFonts w:ascii="Times New Roman" w:hAnsi="Times New Roman" w:cs="Times New Roman"/>
          <w:sz w:val="18"/>
          <w:szCs w:val="18"/>
        </w:rPr>
        <w:t>Total Variance Explained</w:t>
      </w:r>
    </w:p>
    <w:tbl>
      <w:tblPr>
        <w:tblW w:w="144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09"/>
        <w:gridCol w:w="851"/>
        <w:gridCol w:w="1275"/>
        <w:gridCol w:w="1134"/>
        <w:gridCol w:w="851"/>
        <w:gridCol w:w="1276"/>
        <w:gridCol w:w="1134"/>
        <w:gridCol w:w="4077"/>
        <w:gridCol w:w="1568"/>
        <w:gridCol w:w="1585"/>
      </w:tblGrid>
      <w:tr w:rsidR="009730B6" w:rsidRPr="009730B6" w14:paraId="5382EA71" w14:textId="77777777" w:rsidTr="009730B6">
        <w:trPr>
          <w:cantSplit/>
        </w:trPr>
        <w:tc>
          <w:tcPr>
            <w:tcW w:w="14460" w:type="dxa"/>
            <w:gridSpan w:val="10"/>
            <w:tcBorders>
              <w:top w:val="nil"/>
              <w:left w:val="nil"/>
              <w:bottom w:val="nil"/>
              <w:right w:val="nil"/>
            </w:tcBorders>
            <w:shd w:val="clear" w:color="auto" w:fill="FFFFFF"/>
            <w:vAlign w:val="center"/>
          </w:tcPr>
          <w:p w14:paraId="156EB783" w14:textId="77777777" w:rsidR="009730B6" w:rsidRPr="009730B6" w:rsidRDefault="009730B6" w:rsidP="009730B6">
            <w:pPr>
              <w:pStyle w:val="BodyText"/>
              <w:ind w:left="142"/>
              <w:rPr>
                <w:rFonts w:ascii="Times New Roman" w:hAnsi="Times New Roman" w:cs="Times New Roman"/>
                <w:sz w:val="18"/>
                <w:szCs w:val="18"/>
              </w:rPr>
            </w:pPr>
            <w:r w:rsidRPr="009730B6">
              <w:rPr>
                <w:rFonts w:ascii="Times New Roman" w:hAnsi="Times New Roman" w:cs="Times New Roman"/>
                <w:b/>
                <w:bCs/>
                <w:sz w:val="18"/>
                <w:szCs w:val="18"/>
              </w:rPr>
              <w:t>Total Variance Explained</w:t>
            </w:r>
          </w:p>
        </w:tc>
      </w:tr>
      <w:tr w:rsidR="009730B6" w:rsidRPr="009730B6" w14:paraId="076D0FE4" w14:textId="77777777" w:rsidTr="00074C6F">
        <w:trPr>
          <w:cantSplit/>
        </w:trPr>
        <w:tc>
          <w:tcPr>
            <w:tcW w:w="709" w:type="dxa"/>
            <w:vMerge w:val="restart"/>
            <w:tcBorders>
              <w:top w:val="nil"/>
              <w:left w:val="nil"/>
              <w:bottom w:val="nil"/>
              <w:right w:val="nil"/>
            </w:tcBorders>
            <w:shd w:val="clear" w:color="auto" w:fill="FFFFFF"/>
            <w:vAlign w:val="bottom"/>
          </w:tcPr>
          <w:p w14:paraId="6068C053" w14:textId="77777777" w:rsidR="009730B6" w:rsidRPr="009730B6" w:rsidRDefault="009730B6" w:rsidP="009730B6">
            <w:pPr>
              <w:pStyle w:val="BodyText"/>
              <w:ind w:left="142"/>
              <w:rPr>
                <w:rFonts w:ascii="Times New Roman" w:hAnsi="Times New Roman" w:cs="Times New Roman"/>
                <w:sz w:val="18"/>
                <w:szCs w:val="18"/>
              </w:rPr>
            </w:pPr>
            <w:r w:rsidRPr="009730B6">
              <w:rPr>
                <w:rFonts w:ascii="Times New Roman" w:hAnsi="Times New Roman" w:cs="Times New Roman"/>
                <w:sz w:val="18"/>
                <w:szCs w:val="18"/>
              </w:rPr>
              <w:t>Component</w:t>
            </w:r>
          </w:p>
        </w:tc>
        <w:tc>
          <w:tcPr>
            <w:tcW w:w="3260" w:type="dxa"/>
            <w:gridSpan w:val="3"/>
            <w:tcBorders>
              <w:top w:val="nil"/>
              <w:left w:val="nil"/>
              <w:bottom w:val="nil"/>
              <w:right w:val="nil"/>
            </w:tcBorders>
            <w:shd w:val="clear" w:color="auto" w:fill="FFFFFF"/>
            <w:vAlign w:val="bottom"/>
          </w:tcPr>
          <w:p w14:paraId="2DA710BD" w14:textId="77777777" w:rsidR="009730B6" w:rsidRPr="009730B6" w:rsidRDefault="009730B6" w:rsidP="009730B6">
            <w:pPr>
              <w:pStyle w:val="BodyText"/>
              <w:ind w:left="142"/>
              <w:rPr>
                <w:rFonts w:ascii="Times New Roman" w:hAnsi="Times New Roman" w:cs="Times New Roman"/>
                <w:sz w:val="18"/>
                <w:szCs w:val="18"/>
              </w:rPr>
            </w:pPr>
            <w:r w:rsidRPr="009730B6">
              <w:rPr>
                <w:rFonts w:ascii="Times New Roman" w:hAnsi="Times New Roman" w:cs="Times New Roman"/>
                <w:sz w:val="18"/>
                <w:szCs w:val="18"/>
              </w:rPr>
              <w:t>Initial Eigenvalues</w:t>
            </w:r>
          </w:p>
        </w:tc>
        <w:tc>
          <w:tcPr>
            <w:tcW w:w="3261" w:type="dxa"/>
            <w:gridSpan w:val="3"/>
            <w:tcBorders>
              <w:top w:val="nil"/>
              <w:left w:val="single" w:sz="8" w:space="0" w:color="E0E0E0"/>
              <w:bottom w:val="nil"/>
              <w:right w:val="nil"/>
            </w:tcBorders>
            <w:shd w:val="clear" w:color="auto" w:fill="FFFFFF"/>
            <w:vAlign w:val="bottom"/>
          </w:tcPr>
          <w:p w14:paraId="7D39DB4D" w14:textId="77777777" w:rsidR="009730B6" w:rsidRPr="009730B6" w:rsidRDefault="009730B6" w:rsidP="009730B6">
            <w:pPr>
              <w:pStyle w:val="BodyText"/>
              <w:ind w:left="142"/>
              <w:rPr>
                <w:rFonts w:ascii="Times New Roman" w:hAnsi="Times New Roman" w:cs="Times New Roman"/>
                <w:sz w:val="18"/>
                <w:szCs w:val="18"/>
              </w:rPr>
            </w:pPr>
            <w:r w:rsidRPr="009730B6">
              <w:rPr>
                <w:rFonts w:ascii="Times New Roman" w:hAnsi="Times New Roman" w:cs="Times New Roman"/>
                <w:sz w:val="18"/>
                <w:szCs w:val="18"/>
              </w:rPr>
              <w:t>Extraction Sums of Squared Loadings</w:t>
            </w:r>
          </w:p>
        </w:tc>
        <w:tc>
          <w:tcPr>
            <w:tcW w:w="7230" w:type="dxa"/>
            <w:gridSpan w:val="3"/>
            <w:tcBorders>
              <w:top w:val="nil"/>
              <w:left w:val="single" w:sz="8" w:space="0" w:color="E0E0E0"/>
              <w:bottom w:val="nil"/>
              <w:right w:val="nil"/>
            </w:tcBorders>
            <w:shd w:val="clear" w:color="auto" w:fill="FFFFFF"/>
            <w:vAlign w:val="bottom"/>
          </w:tcPr>
          <w:p w14:paraId="05E63056" w14:textId="77777777" w:rsidR="00074C6F" w:rsidRDefault="009730B6" w:rsidP="009730B6">
            <w:pPr>
              <w:pStyle w:val="BodyText"/>
              <w:ind w:left="142"/>
              <w:rPr>
                <w:rFonts w:ascii="Times New Roman" w:hAnsi="Times New Roman" w:cs="Times New Roman"/>
                <w:sz w:val="18"/>
                <w:szCs w:val="18"/>
              </w:rPr>
            </w:pPr>
            <w:r w:rsidRPr="009730B6">
              <w:rPr>
                <w:rFonts w:ascii="Times New Roman" w:hAnsi="Times New Roman" w:cs="Times New Roman"/>
                <w:sz w:val="18"/>
                <w:szCs w:val="18"/>
              </w:rPr>
              <w:t xml:space="preserve">Rotation Sums of </w:t>
            </w:r>
          </w:p>
          <w:p w14:paraId="2F9F2577" w14:textId="6EDF41A4" w:rsidR="009730B6" w:rsidRPr="009730B6" w:rsidRDefault="009730B6" w:rsidP="009730B6">
            <w:pPr>
              <w:pStyle w:val="BodyText"/>
              <w:ind w:left="142"/>
              <w:rPr>
                <w:rFonts w:ascii="Times New Roman" w:hAnsi="Times New Roman" w:cs="Times New Roman"/>
                <w:sz w:val="18"/>
                <w:szCs w:val="18"/>
              </w:rPr>
            </w:pPr>
            <w:r w:rsidRPr="009730B6">
              <w:rPr>
                <w:rFonts w:ascii="Times New Roman" w:hAnsi="Times New Roman" w:cs="Times New Roman"/>
                <w:sz w:val="18"/>
                <w:szCs w:val="18"/>
              </w:rPr>
              <w:t>Squared Loadings</w:t>
            </w:r>
          </w:p>
        </w:tc>
      </w:tr>
      <w:tr w:rsidR="009730B6" w:rsidRPr="009730B6" w14:paraId="5A9EA224" w14:textId="77777777" w:rsidTr="00074C6F">
        <w:trPr>
          <w:cantSplit/>
        </w:trPr>
        <w:tc>
          <w:tcPr>
            <w:tcW w:w="709" w:type="dxa"/>
            <w:vMerge/>
            <w:tcBorders>
              <w:top w:val="nil"/>
              <w:left w:val="nil"/>
              <w:bottom w:val="nil"/>
              <w:right w:val="nil"/>
            </w:tcBorders>
            <w:shd w:val="clear" w:color="auto" w:fill="FFFFFF"/>
            <w:vAlign w:val="bottom"/>
          </w:tcPr>
          <w:p w14:paraId="7E074024" w14:textId="77777777" w:rsidR="009730B6" w:rsidRPr="009730B6" w:rsidRDefault="009730B6" w:rsidP="009730B6">
            <w:pPr>
              <w:pStyle w:val="BodyText"/>
              <w:ind w:left="142"/>
              <w:rPr>
                <w:rFonts w:ascii="Times New Roman" w:hAnsi="Times New Roman" w:cs="Times New Roman"/>
                <w:sz w:val="18"/>
                <w:szCs w:val="18"/>
              </w:rPr>
            </w:pPr>
          </w:p>
        </w:tc>
        <w:tc>
          <w:tcPr>
            <w:tcW w:w="851" w:type="dxa"/>
            <w:tcBorders>
              <w:top w:val="nil"/>
              <w:left w:val="nil"/>
              <w:bottom w:val="single" w:sz="8" w:space="0" w:color="152935"/>
              <w:right w:val="single" w:sz="8" w:space="0" w:color="E0E0E0"/>
            </w:tcBorders>
            <w:shd w:val="clear" w:color="auto" w:fill="FFFFFF"/>
            <w:vAlign w:val="bottom"/>
          </w:tcPr>
          <w:p w14:paraId="7734AC9F" w14:textId="77777777" w:rsidR="009730B6" w:rsidRPr="009730B6" w:rsidRDefault="009730B6" w:rsidP="009730B6">
            <w:pPr>
              <w:pStyle w:val="BodyText"/>
              <w:ind w:left="142"/>
              <w:rPr>
                <w:rFonts w:ascii="Times New Roman" w:hAnsi="Times New Roman" w:cs="Times New Roman"/>
                <w:sz w:val="18"/>
                <w:szCs w:val="18"/>
              </w:rPr>
            </w:pPr>
            <w:r w:rsidRPr="009730B6">
              <w:rPr>
                <w:rFonts w:ascii="Times New Roman" w:hAnsi="Times New Roman" w:cs="Times New Roman"/>
                <w:sz w:val="18"/>
                <w:szCs w:val="18"/>
              </w:rPr>
              <w:t>Total</w:t>
            </w:r>
          </w:p>
        </w:tc>
        <w:tc>
          <w:tcPr>
            <w:tcW w:w="1275" w:type="dxa"/>
            <w:tcBorders>
              <w:top w:val="nil"/>
              <w:left w:val="single" w:sz="8" w:space="0" w:color="E0E0E0"/>
              <w:bottom w:val="single" w:sz="8" w:space="0" w:color="152935"/>
              <w:right w:val="single" w:sz="8" w:space="0" w:color="E0E0E0"/>
            </w:tcBorders>
            <w:shd w:val="clear" w:color="auto" w:fill="FFFFFF"/>
            <w:vAlign w:val="bottom"/>
          </w:tcPr>
          <w:p w14:paraId="3ACF403B" w14:textId="77777777" w:rsidR="009730B6" w:rsidRPr="009730B6" w:rsidRDefault="009730B6" w:rsidP="009730B6">
            <w:pPr>
              <w:pStyle w:val="BodyText"/>
              <w:ind w:left="142"/>
              <w:rPr>
                <w:rFonts w:ascii="Times New Roman" w:hAnsi="Times New Roman" w:cs="Times New Roman"/>
                <w:sz w:val="18"/>
                <w:szCs w:val="18"/>
              </w:rPr>
            </w:pPr>
            <w:r w:rsidRPr="009730B6">
              <w:rPr>
                <w:rFonts w:ascii="Times New Roman" w:hAnsi="Times New Roman" w:cs="Times New Roman"/>
                <w:sz w:val="18"/>
                <w:szCs w:val="18"/>
              </w:rPr>
              <w:t>% of Variance</w:t>
            </w:r>
          </w:p>
        </w:tc>
        <w:tc>
          <w:tcPr>
            <w:tcW w:w="1134" w:type="dxa"/>
            <w:tcBorders>
              <w:top w:val="nil"/>
              <w:left w:val="single" w:sz="8" w:space="0" w:color="E0E0E0"/>
              <w:bottom w:val="single" w:sz="8" w:space="0" w:color="152935"/>
              <w:right w:val="nil"/>
            </w:tcBorders>
            <w:shd w:val="clear" w:color="auto" w:fill="FFFFFF"/>
            <w:vAlign w:val="bottom"/>
          </w:tcPr>
          <w:p w14:paraId="3BDFE3A3" w14:textId="77777777" w:rsidR="009730B6" w:rsidRPr="009730B6" w:rsidRDefault="009730B6" w:rsidP="009730B6">
            <w:pPr>
              <w:pStyle w:val="BodyText"/>
              <w:ind w:left="142"/>
              <w:rPr>
                <w:rFonts w:ascii="Times New Roman" w:hAnsi="Times New Roman" w:cs="Times New Roman"/>
                <w:sz w:val="18"/>
                <w:szCs w:val="18"/>
              </w:rPr>
            </w:pPr>
            <w:r w:rsidRPr="009730B6">
              <w:rPr>
                <w:rFonts w:ascii="Times New Roman" w:hAnsi="Times New Roman" w:cs="Times New Roman"/>
                <w:sz w:val="18"/>
                <w:szCs w:val="18"/>
              </w:rPr>
              <w:t>Cumulative %</w:t>
            </w:r>
          </w:p>
        </w:tc>
        <w:tc>
          <w:tcPr>
            <w:tcW w:w="851" w:type="dxa"/>
            <w:tcBorders>
              <w:top w:val="nil"/>
              <w:left w:val="single" w:sz="8" w:space="0" w:color="E0E0E0"/>
              <w:bottom w:val="single" w:sz="8" w:space="0" w:color="152935"/>
              <w:right w:val="single" w:sz="8" w:space="0" w:color="E0E0E0"/>
            </w:tcBorders>
            <w:shd w:val="clear" w:color="auto" w:fill="FFFFFF"/>
            <w:vAlign w:val="bottom"/>
          </w:tcPr>
          <w:p w14:paraId="172CB3A4" w14:textId="77777777" w:rsidR="009730B6" w:rsidRPr="009730B6" w:rsidRDefault="009730B6" w:rsidP="009730B6">
            <w:pPr>
              <w:pStyle w:val="BodyText"/>
              <w:ind w:left="142"/>
              <w:rPr>
                <w:rFonts w:ascii="Times New Roman" w:hAnsi="Times New Roman" w:cs="Times New Roman"/>
                <w:sz w:val="18"/>
                <w:szCs w:val="18"/>
              </w:rPr>
            </w:pPr>
            <w:r w:rsidRPr="009730B6">
              <w:rPr>
                <w:rFonts w:ascii="Times New Roman" w:hAnsi="Times New Roman" w:cs="Times New Roman"/>
                <w:sz w:val="18"/>
                <w:szCs w:val="18"/>
              </w:rPr>
              <w:t>Total</w:t>
            </w:r>
          </w:p>
        </w:tc>
        <w:tc>
          <w:tcPr>
            <w:tcW w:w="1276" w:type="dxa"/>
            <w:tcBorders>
              <w:top w:val="nil"/>
              <w:left w:val="single" w:sz="8" w:space="0" w:color="E0E0E0"/>
              <w:bottom w:val="single" w:sz="8" w:space="0" w:color="152935"/>
              <w:right w:val="single" w:sz="8" w:space="0" w:color="E0E0E0"/>
            </w:tcBorders>
            <w:shd w:val="clear" w:color="auto" w:fill="FFFFFF"/>
            <w:vAlign w:val="bottom"/>
          </w:tcPr>
          <w:p w14:paraId="28F462BC" w14:textId="77777777" w:rsidR="009730B6" w:rsidRPr="009730B6" w:rsidRDefault="009730B6" w:rsidP="009730B6">
            <w:pPr>
              <w:pStyle w:val="BodyText"/>
              <w:ind w:left="142"/>
              <w:rPr>
                <w:rFonts w:ascii="Times New Roman" w:hAnsi="Times New Roman" w:cs="Times New Roman"/>
                <w:sz w:val="18"/>
                <w:szCs w:val="18"/>
              </w:rPr>
            </w:pPr>
            <w:r w:rsidRPr="009730B6">
              <w:rPr>
                <w:rFonts w:ascii="Times New Roman" w:hAnsi="Times New Roman" w:cs="Times New Roman"/>
                <w:sz w:val="18"/>
                <w:szCs w:val="18"/>
              </w:rPr>
              <w:t>% of Variance</w:t>
            </w:r>
          </w:p>
        </w:tc>
        <w:tc>
          <w:tcPr>
            <w:tcW w:w="1134" w:type="dxa"/>
            <w:tcBorders>
              <w:top w:val="nil"/>
              <w:left w:val="single" w:sz="8" w:space="0" w:color="E0E0E0"/>
              <w:bottom w:val="single" w:sz="8" w:space="0" w:color="152935"/>
              <w:right w:val="nil"/>
            </w:tcBorders>
            <w:shd w:val="clear" w:color="auto" w:fill="FFFFFF"/>
            <w:vAlign w:val="bottom"/>
          </w:tcPr>
          <w:p w14:paraId="427C9D10" w14:textId="77777777" w:rsidR="009730B6" w:rsidRPr="009730B6" w:rsidRDefault="009730B6" w:rsidP="009730B6">
            <w:pPr>
              <w:pStyle w:val="BodyText"/>
              <w:ind w:left="142"/>
              <w:rPr>
                <w:rFonts w:ascii="Times New Roman" w:hAnsi="Times New Roman" w:cs="Times New Roman"/>
                <w:sz w:val="18"/>
                <w:szCs w:val="18"/>
              </w:rPr>
            </w:pPr>
            <w:r w:rsidRPr="009730B6">
              <w:rPr>
                <w:rFonts w:ascii="Times New Roman" w:hAnsi="Times New Roman" w:cs="Times New Roman"/>
                <w:sz w:val="18"/>
                <w:szCs w:val="18"/>
              </w:rPr>
              <w:t>Cumulative %</w:t>
            </w:r>
          </w:p>
        </w:tc>
        <w:tc>
          <w:tcPr>
            <w:tcW w:w="4077" w:type="dxa"/>
            <w:tcBorders>
              <w:top w:val="nil"/>
              <w:left w:val="single" w:sz="8" w:space="0" w:color="E0E0E0"/>
              <w:bottom w:val="single" w:sz="8" w:space="0" w:color="152935"/>
              <w:right w:val="single" w:sz="8" w:space="0" w:color="E0E0E0"/>
            </w:tcBorders>
            <w:shd w:val="clear" w:color="auto" w:fill="FFFFFF"/>
            <w:vAlign w:val="bottom"/>
          </w:tcPr>
          <w:p w14:paraId="41A255B0" w14:textId="77777777" w:rsidR="009730B6" w:rsidRPr="009730B6" w:rsidRDefault="009730B6" w:rsidP="009730B6">
            <w:pPr>
              <w:pStyle w:val="BodyText"/>
              <w:ind w:left="142"/>
              <w:rPr>
                <w:rFonts w:ascii="Times New Roman" w:hAnsi="Times New Roman" w:cs="Times New Roman"/>
                <w:sz w:val="18"/>
                <w:szCs w:val="18"/>
              </w:rPr>
            </w:pPr>
            <w:r w:rsidRPr="009730B6">
              <w:rPr>
                <w:rFonts w:ascii="Times New Roman" w:hAnsi="Times New Roman" w:cs="Times New Roman"/>
                <w:sz w:val="18"/>
                <w:szCs w:val="18"/>
              </w:rPr>
              <w:t>Total</w:t>
            </w:r>
          </w:p>
        </w:tc>
        <w:tc>
          <w:tcPr>
            <w:tcW w:w="1568" w:type="dxa"/>
            <w:tcBorders>
              <w:top w:val="nil"/>
              <w:left w:val="single" w:sz="8" w:space="0" w:color="E0E0E0"/>
              <w:bottom w:val="single" w:sz="8" w:space="0" w:color="152935"/>
              <w:right w:val="single" w:sz="8" w:space="0" w:color="E0E0E0"/>
            </w:tcBorders>
            <w:shd w:val="clear" w:color="auto" w:fill="FFFFFF"/>
            <w:vAlign w:val="bottom"/>
          </w:tcPr>
          <w:p w14:paraId="0BBE29D7" w14:textId="77777777" w:rsidR="009730B6" w:rsidRPr="009730B6" w:rsidRDefault="009730B6" w:rsidP="009730B6">
            <w:pPr>
              <w:pStyle w:val="BodyText"/>
              <w:ind w:left="142"/>
              <w:rPr>
                <w:rFonts w:ascii="Times New Roman" w:hAnsi="Times New Roman" w:cs="Times New Roman"/>
                <w:sz w:val="18"/>
                <w:szCs w:val="18"/>
              </w:rPr>
            </w:pPr>
            <w:r w:rsidRPr="009730B6">
              <w:rPr>
                <w:rFonts w:ascii="Times New Roman" w:hAnsi="Times New Roman" w:cs="Times New Roman"/>
                <w:sz w:val="18"/>
                <w:szCs w:val="18"/>
              </w:rPr>
              <w:t>% of Variance</w:t>
            </w:r>
          </w:p>
        </w:tc>
        <w:tc>
          <w:tcPr>
            <w:tcW w:w="1585" w:type="dxa"/>
            <w:tcBorders>
              <w:top w:val="nil"/>
              <w:left w:val="single" w:sz="8" w:space="0" w:color="E0E0E0"/>
              <w:bottom w:val="single" w:sz="8" w:space="0" w:color="152935"/>
              <w:right w:val="nil"/>
            </w:tcBorders>
            <w:shd w:val="clear" w:color="auto" w:fill="FFFFFF"/>
            <w:vAlign w:val="bottom"/>
          </w:tcPr>
          <w:p w14:paraId="1957DBF9" w14:textId="77777777" w:rsidR="009730B6" w:rsidRPr="009730B6" w:rsidRDefault="009730B6" w:rsidP="009730B6">
            <w:pPr>
              <w:pStyle w:val="BodyText"/>
              <w:ind w:left="142"/>
              <w:rPr>
                <w:rFonts w:ascii="Times New Roman" w:hAnsi="Times New Roman" w:cs="Times New Roman"/>
                <w:sz w:val="18"/>
                <w:szCs w:val="18"/>
              </w:rPr>
            </w:pPr>
            <w:r w:rsidRPr="009730B6">
              <w:rPr>
                <w:rFonts w:ascii="Times New Roman" w:hAnsi="Times New Roman" w:cs="Times New Roman"/>
                <w:sz w:val="18"/>
                <w:szCs w:val="18"/>
              </w:rPr>
              <w:t>Cumulative %</w:t>
            </w:r>
          </w:p>
        </w:tc>
      </w:tr>
      <w:tr w:rsidR="009730B6" w:rsidRPr="009730B6" w14:paraId="588BEC14" w14:textId="77777777" w:rsidTr="00074C6F">
        <w:trPr>
          <w:cantSplit/>
        </w:trPr>
        <w:tc>
          <w:tcPr>
            <w:tcW w:w="709" w:type="dxa"/>
            <w:tcBorders>
              <w:top w:val="single" w:sz="8" w:space="0" w:color="152935"/>
              <w:left w:val="nil"/>
              <w:bottom w:val="single" w:sz="8" w:space="0" w:color="AEAEAE"/>
              <w:right w:val="nil"/>
            </w:tcBorders>
            <w:shd w:val="clear" w:color="auto" w:fill="E0E0E0"/>
          </w:tcPr>
          <w:p w14:paraId="12BF323F" w14:textId="77777777" w:rsidR="009730B6" w:rsidRPr="009730B6" w:rsidRDefault="009730B6" w:rsidP="009730B6">
            <w:pPr>
              <w:pStyle w:val="BodyText"/>
              <w:ind w:left="142"/>
              <w:rPr>
                <w:rFonts w:ascii="Times New Roman" w:hAnsi="Times New Roman" w:cs="Times New Roman"/>
                <w:sz w:val="18"/>
                <w:szCs w:val="18"/>
              </w:rPr>
            </w:pPr>
            <w:r w:rsidRPr="009730B6">
              <w:rPr>
                <w:rFonts w:ascii="Times New Roman" w:hAnsi="Times New Roman" w:cs="Times New Roman"/>
                <w:sz w:val="18"/>
                <w:szCs w:val="18"/>
              </w:rPr>
              <w:t>1</w:t>
            </w:r>
          </w:p>
        </w:tc>
        <w:tc>
          <w:tcPr>
            <w:tcW w:w="851" w:type="dxa"/>
            <w:tcBorders>
              <w:top w:val="single" w:sz="8" w:space="0" w:color="152935"/>
              <w:left w:val="nil"/>
              <w:bottom w:val="single" w:sz="8" w:space="0" w:color="AEAEAE"/>
              <w:right w:val="single" w:sz="8" w:space="0" w:color="E0E0E0"/>
            </w:tcBorders>
            <w:shd w:val="clear" w:color="auto" w:fill="FFFFFF"/>
          </w:tcPr>
          <w:p w14:paraId="4BF75555" w14:textId="77777777" w:rsidR="009730B6" w:rsidRPr="009730B6" w:rsidRDefault="009730B6" w:rsidP="009730B6">
            <w:pPr>
              <w:pStyle w:val="BodyText"/>
              <w:ind w:left="142"/>
              <w:rPr>
                <w:rFonts w:ascii="Times New Roman" w:hAnsi="Times New Roman" w:cs="Times New Roman"/>
                <w:sz w:val="18"/>
                <w:szCs w:val="18"/>
              </w:rPr>
            </w:pPr>
            <w:r w:rsidRPr="009730B6">
              <w:rPr>
                <w:rFonts w:ascii="Times New Roman" w:hAnsi="Times New Roman" w:cs="Times New Roman"/>
                <w:sz w:val="18"/>
                <w:szCs w:val="18"/>
              </w:rPr>
              <w:t>1.755</w:t>
            </w:r>
          </w:p>
        </w:tc>
        <w:tc>
          <w:tcPr>
            <w:tcW w:w="1275" w:type="dxa"/>
            <w:tcBorders>
              <w:top w:val="single" w:sz="8" w:space="0" w:color="152935"/>
              <w:left w:val="single" w:sz="8" w:space="0" w:color="E0E0E0"/>
              <w:bottom w:val="single" w:sz="8" w:space="0" w:color="AEAEAE"/>
              <w:right w:val="single" w:sz="8" w:space="0" w:color="E0E0E0"/>
            </w:tcBorders>
            <w:shd w:val="clear" w:color="auto" w:fill="FFFFFF"/>
          </w:tcPr>
          <w:p w14:paraId="6A916B6D" w14:textId="77777777" w:rsidR="009730B6" w:rsidRPr="009730B6" w:rsidRDefault="009730B6" w:rsidP="009730B6">
            <w:pPr>
              <w:pStyle w:val="BodyText"/>
              <w:ind w:left="142"/>
              <w:rPr>
                <w:rFonts w:ascii="Times New Roman" w:hAnsi="Times New Roman" w:cs="Times New Roman"/>
                <w:sz w:val="18"/>
                <w:szCs w:val="18"/>
              </w:rPr>
            </w:pPr>
            <w:r w:rsidRPr="009730B6">
              <w:rPr>
                <w:rFonts w:ascii="Times New Roman" w:hAnsi="Times New Roman" w:cs="Times New Roman"/>
                <w:sz w:val="18"/>
                <w:szCs w:val="18"/>
              </w:rPr>
              <w:t>25.071</w:t>
            </w:r>
          </w:p>
        </w:tc>
        <w:tc>
          <w:tcPr>
            <w:tcW w:w="1134" w:type="dxa"/>
            <w:tcBorders>
              <w:top w:val="single" w:sz="8" w:space="0" w:color="152935"/>
              <w:left w:val="single" w:sz="8" w:space="0" w:color="E0E0E0"/>
              <w:bottom w:val="single" w:sz="8" w:space="0" w:color="AEAEAE"/>
              <w:right w:val="nil"/>
            </w:tcBorders>
            <w:shd w:val="clear" w:color="auto" w:fill="FFFFFF"/>
          </w:tcPr>
          <w:p w14:paraId="67D334B9" w14:textId="77777777" w:rsidR="009730B6" w:rsidRPr="009730B6" w:rsidRDefault="009730B6" w:rsidP="009730B6">
            <w:pPr>
              <w:pStyle w:val="BodyText"/>
              <w:ind w:left="142"/>
              <w:rPr>
                <w:rFonts w:ascii="Times New Roman" w:hAnsi="Times New Roman" w:cs="Times New Roman"/>
                <w:sz w:val="18"/>
                <w:szCs w:val="18"/>
              </w:rPr>
            </w:pPr>
            <w:r w:rsidRPr="009730B6">
              <w:rPr>
                <w:rFonts w:ascii="Times New Roman" w:hAnsi="Times New Roman" w:cs="Times New Roman"/>
                <w:sz w:val="18"/>
                <w:szCs w:val="18"/>
              </w:rPr>
              <w:t>25.071</w:t>
            </w:r>
          </w:p>
        </w:tc>
        <w:tc>
          <w:tcPr>
            <w:tcW w:w="851" w:type="dxa"/>
            <w:tcBorders>
              <w:top w:val="single" w:sz="8" w:space="0" w:color="152935"/>
              <w:left w:val="single" w:sz="8" w:space="0" w:color="E0E0E0"/>
              <w:bottom w:val="single" w:sz="8" w:space="0" w:color="AEAEAE"/>
              <w:right w:val="single" w:sz="8" w:space="0" w:color="E0E0E0"/>
            </w:tcBorders>
            <w:shd w:val="clear" w:color="auto" w:fill="FFFFFF"/>
          </w:tcPr>
          <w:p w14:paraId="2C9A8E46" w14:textId="77777777" w:rsidR="009730B6" w:rsidRPr="009730B6" w:rsidRDefault="009730B6" w:rsidP="009730B6">
            <w:pPr>
              <w:pStyle w:val="BodyText"/>
              <w:ind w:left="142"/>
              <w:rPr>
                <w:rFonts w:ascii="Times New Roman" w:hAnsi="Times New Roman" w:cs="Times New Roman"/>
                <w:sz w:val="18"/>
                <w:szCs w:val="18"/>
              </w:rPr>
            </w:pPr>
            <w:r w:rsidRPr="009730B6">
              <w:rPr>
                <w:rFonts w:ascii="Times New Roman" w:hAnsi="Times New Roman" w:cs="Times New Roman"/>
                <w:sz w:val="18"/>
                <w:szCs w:val="18"/>
              </w:rPr>
              <w:t>1.755</w:t>
            </w:r>
          </w:p>
        </w:tc>
        <w:tc>
          <w:tcPr>
            <w:tcW w:w="1276" w:type="dxa"/>
            <w:tcBorders>
              <w:top w:val="single" w:sz="8" w:space="0" w:color="152935"/>
              <w:left w:val="single" w:sz="8" w:space="0" w:color="E0E0E0"/>
              <w:bottom w:val="single" w:sz="8" w:space="0" w:color="AEAEAE"/>
              <w:right w:val="single" w:sz="8" w:space="0" w:color="E0E0E0"/>
            </w:tcBorders>
            <w:shd w:val="clear" w:color="auto" w:fill="FFFFFF"/>
          </w:tcPr>
          <w:p w14:paraId="4050F0F1" w14:textId="77777777" w:rsidR="009730B6" w:rsidRPr="009730B6" w:rsidRDefault="009730B6" w:rsidP="009730B6">
            <w:pPr>
              <w:pStyle w:val="BodyText"/>
              <w:ind w:left="142"/>
              <w:rPr>
                <w:rFonts w:ascii="Times New Roman" w:hAnsi="Times New Roman" w:cs="Times New Roman"/>
                <w:sz w:val="18"/>
                <w:szCs w:val="18"/>
              </w:rPr>
            </w:pPr>
            <w:r w:rsidRPr="009730B6">
              <w:rPr>
                <w:rFonts w:ascii="Times New Roman" w:hAnsi="Times New Roman" w:cs="Times New Roman"/>
                <w:sz w:val="18"/>
                <w:szCs w:val="18"/>
              </w:rPr>
              <w:t>25.071</w:t>
            </w:r>
          </w:p>
        </w:tc>
        <w:tc>
          <w:tcPr>
            <w:tcW w:w="1134" w:type="dxa"/>
            <w:tcBorders>
              <w:top w:val="single" w:sz="8" w:space="0" w:color="152935"/>
              <w:left w:val="single" w:sz="8" w:space="0" w:color="E0E0E0"/>
              <w:bottom w:val="single" w:sz="8" w:space="0" w:color="AEAEAE"/>
              <w:right w:val="nil"/>
            </w:tcBorders>
            <w:shd w:val="clear" w:color="auto" w:fill="FFFFFF"/>
          </w:tcPr>
          <w:p w14:paraId="7C381B66" w14:textId="77777777" w:rsidR="009730B6" w:rsidRPr="009730B6" w:rsidRDefault="009730B6" w:rsidP="009730B6">
            <w:pPr>
              <w:pStyle w:val="BodyText"/>
              <w:ind w:left="142"/>
              <w:rPr>
                <w:rFonts w:ascii="Times New Roman" w:hAnsi="Times New Roman" w:cs="Times New Roman"/>
                <w:sz w:val="18"/>
                <w:szCs w:val="18"/>
              </w:rPr>
            </w:pPr>
            <w:r w:rsidRPr="009730B6">
              <w:rPr>
                <w:rFonts w:ascii="Times New Roman" w:hAnsi="Times New Roman" w:cs="Times New Roman"/>
                <w:sz w:val="18"/>
                <w:szCs w:val="18"/>
              </w:rPr>
              <w:t>25.071</w:t>
            </w:r>
          </w:p>
        </w:tc>
        <w:tc>
          <w:tcPr>
            <w:tcW w:w="4077" w:type="dxa"/>
            <w:tcBorders>
              <w:top w:val="single" w:sz="8" w:space="0" w:color="152935"/>
              <w:left w:val="single" w:sz="8" w:space="0" w:color="E0E0E0"/>
              <w:bottom w:val="single" w:sz="8" w:space="0" w:color="AEAEAE"/>
              <w:right w:val="single" w:sz="8" w:space="0" w:color="E0E0E0"/>
            </w:tcBorders>
            <w:shd w:val="clear" w:color="auto" w:fill="FFFFFF"/>
          </w:tcPr>
          <w:p w14:paraId="0F800DB2" w14:textId="77777777" w:rsidR="009730B6" w:rsidRPr="009730B6" w:rsidRDefault="009730B6" w:rsidP="009730B6">
            <w:pPr>
              <w:pStyle w:val="BodyText"/>
              <w:ind w:left="142"/>
              <w:rPr>
                <w:rFonts w:ascii="Times New Roman" w:hAnsi="Times New Roman" w:cs="Times New Roman"/>
                <w:sz w:val="18"/>
                <w:szCs w:val="18"/>
              </w:rPr>
            </w:pPr>
            <w:r w:rsidRPr="009730B6">
              <w:rPr>
                <w:rFonts w:ascii="Times New Roman" w:hAnsi="Times New Roman" w:cs="Times New Roman"/>
                <w:sz w:val="18"/>
                <w:szCs w:val="18"/>
              </w:rPr>
              <w:t>1.528</w:t>
            </w:r>
          </w:p>
        </w:tc>
        <w:tc>
          <w:tcPr>
            <w:tcW w:w="1568" w:type="dxa"/>
            <w:tcBorders>
              <w:top w:val="single" w:sz="8" w:space="0" w:color="152935"/>
              <w:left w:val="single" w:sz="8" w:space="0" w:color="E0E0E0"/>
              <w:bottom w:val="single" w:sz="8" w:space="0" w:color="AEAEAE"/>
              <w:right w:val="single" w:sz="8" w:space="0" w:color="E0E0E0"/>
            </w:tcBorders>
            <w:shd w:val="clear" w:color="auto" w:fill="FFFFFF"/>
          </w:tcPr>
          <w:p w14:paraId="3E9A2009" w14:textId="77777777" w:rsidR="009730B6" w:rsidRPr="009730B6" w:rsidRDefault="009730B6" w:rsidP="009730B6">
            <w:pPr>
              <w:pStyle w:val="BodyText"/>
              <w:ind w:left="142"/>
              <w:rPr>
                <w:rFonts w:ascii="Times New Roman" w:hAnsi="Times New Roman" w:cs="Times New Roman"/>
                <w:sz w:val="18"/>
                <w:szCs w:val="18"/>
              </w:rPr>
            </w:pPr>
            <w:r w:rsidRPr="009730B6">
              <w:rPr>
                <w:rFonts w:ascii="Times New Roman" w:hAnsi="Times New Roman" w:cs="Times New Roman"/>
                <w:sz w:val="18"/>
                <w:szCs w:val="18"/>
              </w:rPr>
              <w:t>21.829</w:t>
            </w:r>
          </w:p>
        </w:tc>
        <w:tc>
          <w:tcPr>
            <w:tcW w:w="1585" w:type="dxa"/>
            <w:tcBorders>
              <w:top w:val="single" w:sz="8" w:space="0" w:color="152935"/>
              <w:left w:val="single" w:sz="8" w:space="0" w:color="E0E0E0"/>
              <w:bottom w:val="single" w:sz="8" w:space="0" w:color="AEAEAE"/>
              <w:right w:val="nil"/>
            </w:tcBorders>
            <w:shd w:val="clear" w:color="auto" w:fill="FFFFFF"/>
          </w:tcPr>
          <w:p w14:paraId="39CBBFDA" w14:textId="77777777" w:rsidR="009730B6" w:rsidRPr="009730B6" w:rsidRDefault="009730B6" w:rsidP="009730B6">
            <w:pPr>
              <w:pStyle w:val="BodyText"/>
              <w:ind w:left="142"/>
              <w:rPr>
                <w:rFonts w:ascii="Times New Roman" w:hAnsi="Times New Roman" w:cs="Times New Roman"/>
                <w:sz w:val="18"/>
                <w:szCs w:val="18"/>
              </w:rPr>
            </w:pPr>
            <w:r w:rsidRPr="009730B6">
              <w:rPr>
                <w:rFonts w:ascii="Times New Roman" w:hAnsi="Times New Roman" w:cs="Times New Roman"/>
                <w:sz w:val="18"/>
                <w:szCs w:val="18"/>
              </w:rPr>
              <w:t>21.829</w:t>
            </w:r>
          </w:p>
        </w:tc>
      </w:tr>
      <w:tr w:rsidR="009730B6" w:rsidRPr="009730B6" w14:paraId="726A1EC8" w14:textId="77777777" w:rsidTr="00074C6F">
        <w:trPr>
          <w:cantSplit/>
        </w:trPr>
        <w:tc>
          <w:tcPr>
            <w:tcW w:w="709" w:type="dxa"/>
            <w:tcBorders>
              <w:top w:val="single" w:sz="8" w:space="0" w:color="AEAEAE"/>
              <w:left w:val="nil"/>
              <w:bottom w:val="single" w:sz="8" w:space="0" w:color="AEAEAE"/>
              <w:right w:val="nil"/>
            </w:tcBorders>
            <w:shd w:val="clear" w:color="auto" w:fill="E0E0E0"/>
          </w:tcPr>
          <w:p w14:paraId="0AECABF6" w14:textId="77777777" w:rsidR="009730B6" w:rsidRPr="009730B6" w:rsidRDefault="009730B6" w:rsidP="009730B6">
            <w:pPr>
              <w:pStyle w:val="BodyText"/>
              <w:ind w:left="142"/>
              <w:rPr>
                <w:rFonts w:ascii="Times New Roman" w:hAnsi="Times New Roman" w:cs="Times New Roman"/>
                <w:sz w:val="18"/>
                <w:szCs w:val="18"/>
              </w:rPr>
            </w:pPr>
            <w:r w:rsidRPr="009730B6">
              <w:rPr>
                <w:rFonts w:ascii="Times New Roman" w:hAnsi="Times New Roman" w:cs="Times New Roman"/>
                <w:sz w:val="18"/>
                <w:szCs w:val="18"/>
              </w:rPr>
              <w:t>2</w:t>
            </w:r>
          </w:p>
        </w:tc>
        <w:tc>
          <w:tcPr>
            <w:tcW w:w="851" w:type="dxa"/>
            <w:tcBorders>
              <w:top w:val="single" w:sz="8" w:space="0" w:color="AEAEAE"/>
              <w:left w:val="nil"/>
              <w:bottom w:val="single" w:sz="8" w:space="0" w:color="AEAEAE"/>
              <w:right w:val="single" w:sz="8" w:space="0" w:color="E0E0E0"/>
            </w:tcBorders>
            <w:shd w:val="clear" w:color="auto" w:fill="FFFFFF"/>
          </w:tcPr>
          <w:p w14:paraId="348DB709" w14:textId="77777777" w:rsidR="009730B6" w:rsidRPr="009730B6" w:rsidRDefault="009730B6" w:rsidP="009730B6">
            <w:pPr>
              <w:pStyle w:val="BodyText"/>
              <w:ind w:left="142"/>
              <w:rPr>
                <w:rFonts w:ascii="Times New Roman" w:hAnsi="Times New Roman" w:cs="Times New Roman"/>
                <w:sz w:val="18"/>
                <w:szCs w:val="18"/>
              </w:rPr>
            </w:pPr>
            <w:r w:rsidRPr="009730B6">
              <w:rPr>
                <w:rFonts w:ascii="Times New Roman" w:hAnsi="Times New Roman" w:cs="Times New Roman"/>
                <w:sz w:val="18"/>
                <w:szCs w:val="18"/>
              </w:rPr>
              <w:t>1.234</w:t>
            </w:r>
          </w:p>
        </w:tc>
        <w:tc>
          <w:tcPr>
            <w:tcW w:w="1275" w:type="dxa"/>
            <w:tcBorders>
              <w:top w:val="single" w:sz="8" w:space="0" w:color="AEAEAE"/>
              <w:left w:val="single" w:sz="8" w:space="0" w:color="E0E0E0"/>
              <w:bottom w:val="single" w:sz="8" w:space="0" w:color="AEAEAE"/>
              <w:right w:val="single" w:sz="8" w:space="0" w:color="E0E0E0"/>
            </w:tcBorders>
            <w:shd w:val="clear" w:color="auto" w:fill="FFFFFF"/>
          </w:tcPr>
          <w:p w14:paraId="3BB3B6BA" w14:textId="77777777" w:rsidR="009730B6" w:rsidRPr="009730B6" w:rsidRDefault="009730B6" w:rsidP="009730B6">
            <w:pPr>
              <w:pStyle w:val="BodyText"/>
              <w:ind w:left="142"/>
              <w:rPr>
                <w:rFonts w:ascii="Times New Roman" w:hAnsi="Times New Roman" w:cs="Times New Roman"/>
                <w:sz w:val="18"/>
                <w:szCs w:val="18"/>
              </w:rPr>
            </w:pPr>
            <w:r w:rsidRPr="009730B6">
              <w:rPr>
                <w:rFonts w:ascii="Times New Roman" w:hAnsi="Times New Roman" w:cs="Times New Roman"/>
                <w:sz w:val="18"/>
                <w:szCs w:val="18"/>
              </w:rPr>
              <w:t>17.633</w:t>
            </w:r>
          </w:p>
        </w:tc>
        <w:tc>
          <w:tcPr>
            <w:tcW w:w="1134" w:type="dxa"/>
            <w:tcBorders>
              <w:top w:val="single" w:sz="8" w:space="0" w:color="AEAEAE"/>
              <w:left w:val="single" w:sz="8" w:space="0" w:color="E0E0E0"/>
              <w:bottom w:val="single" w:sz="8" w:space="0" w:color="AEAEAE"/>
              <w:right w:val="nil"/>
            </w:tcBorders>
            <w:shd w:val="clear" w:color="auto" w:fill="FFFFFF"/>
          </w:tcPr>
          <w:p w14:paraId="7875CAF8" w14:textId="77777777" w:rsidR="009730B6" w:rsidRPr="009730B6" w:rsidRDefault="009730B6" w:rsidP="009730B6">
            <w:pPr>
              <w:pStyle w:val="BodyText"/>
              <w:ind w:left="142"/>
              <w:rPr>
                <w:rFonts w:ascii="Times New Roman" w:hAnsi="Times New Roman" w:cs="Times New Roman"/>
                <w:sz w:val="18"/>
                <w:szCs w:val="18"/>
              </w:rPr>
            </w:pPr>
            <w:r w:rsidRPr="009730B6">
              <w:rPr>
                <w:rFonts w:ascii="Times New Roman" w:hAnsi="Times New Roman" w:cs="Times New Roman"/>
                <w:sz w:val="18"/>
                <w:szCs w:val="18"/>
              </w:rPr>
              <w:t>42.704</w:t>
            </w:r>
          </w:p>
        </w:tc>
        <w:tc>
          <w:tcPr>
            <w:tcW w:w="851" w:type="dxa"/>
            <w:tcBorders>
              <w:top w:val="single" w:sz="8" w:space="0" w:color="AEAEAE"/>
              <w:left w:val="single" w:sz="8" w:space="0" w:color="E0E0E0"/>
              <w:bottom w:val="single" w:sz="8" w:space="0" w:color="AEAEAE"/>
              <w:right w:val="single" w:sz="8" w:space="0" w:color="E0E0E0"/>
            </w:tcBorders>
            <w:shd w:val="clear" w:color="auto" w:fill="FFFFFF"/>
          </w:tcPr>
          <w:p w14:paraId="59F87E49" w14:textId="77777777" w:rsidR="009730B6" w:rsidRPr="009730B6" w:rsidRDefault="009730B6" w:rsidP="009730B6">
            <w:pPr>
              <w:pStyle w:val="BodyText"/>
              <w:ind w:left="142"/>
              <w:rPr>
                <w:rFonts w:ascii="Times New Roman" w:hAnsi="Times New Roman" w:cs="Times New Roman"/>
                <w:sz w:val="18"/>
                <w:szCs w:val="18"/>
              </w:rPr>
            </w:pPr>
            <w:r w:rsidRPr="009730B6">
              <w:rPr>
                <w:rFonts w:ascii="Times New Roman" w:hAnsi="Times New Roman" w:cs="Times New Roman"/>
                <w:sz w:val="18"/>
                <w:szCs w:val="18"/>
              </w:rPr>
              <w:t>1.234</w:t>
            </w:r>
          </w:p>
        </w:tc>
        <w:tc>
          <w:tcPr>
            <w:tcW w:w="1276" w:type="dxa"/>
            <w:tcBorders>
              <w:top w:val="single" w:sz="8" w:space="0" w:color="AEAEAE"/>
              <w:left w:val="single" w:sz="8" w:space="0" w:color="E0E0E0"/>
              <w:bottom w:val="single" w:sz="8" w:space="0" w:color="AEAEAE"/>
              <w:right w:val="single" w:sz="8" w:space="0" w:color="E0E0E0"/>
            </w:tcBorders>
            <w:shd w:val="clear" w:color="auto" w:fill="FFFFFF"/>
          </w:tcPr>
          <w:p w14:paraId="2D118977" w14:textId="77777777" w:rsidR="009730B6" w:rsidRPr="009730B6" w:rsidRDefault="009730B6" w:rsidP="009730B6">
            <w:pPr>
              <w:pStyle w:val="BodyText"/>
              <w:ind w:left="142"/>
              <w:rPr>
                <w:rFonts w:ascii="Times New Roman" w:hAnsi="Times New Roman" w:cs="Times New Roman"/>
                <w:sz w:val="18"/>
                <w:szCs w:val="18"/>
              </w:rPr>
            </w:pPr>
            <w:r w:rsidRPr="009730B6">
              <w:rPr>
                <w:rFonts w:ascii="Times New Roman" w:hAnsi="Times New Roman" w:cs="Times New Roman"/>
                <w:sz w:val="18"/>
                <w:szCs w:val="18"/>
              </w:rPr>
              <w:t>17.633</w:t>
            </w:r>
          </w:p>
        </w:tc>
        <w:tc>
          <w:tcPr>
            <w:tcW w:w="1134" w:type="dxa"/>
            <w:tcBorders>
              <w:top w:val="single" w:sz="8" w:space="0" w:color="AEAEAE"/>
              <w:left w:val="single" w:sz="8" w:space="0" w:color="E0E0E0"/>
              <w:bottom w:val="single" w:sz="8" w:space="0" w:color="AEAEAE"/>
              <w:right w:val="nil"/>
            </w:tcBorders>
            <w:shd w:val="clear" w:color="auto" w:fill="FFFFFF"/>
          </w:tcPr>
          <w:p w14:paraId="14D376FF" w14:textId="77777777" w:rsidR="009730B6" w:rsidRPr="009730B6" w:rsidRDefault="009730B6" w:rsidP="009730B6">
            <w:pPr>
              <w:pStyle w:val="BodyText"/>
              <w:ind w:left="142"/>
              <w:rPr>
                <w:rFonts w:ascii="Times New Roman" w:hAnsi="Times New Roman" w:cs="Times New Roman"/>
                <w:sz w:val="18"/>
                <w:szCs w:val="18"/>
              </w:rPr>
            </w:pPr>
            <w:r w:rsidRPr="009730B6">
              <w:rPr>
                <w:rFonts w:ascii="Times New Roman" w:hAnsi="Times New Roman" w:cs="Times New Roman"/>
                <w:sz w:val="18"/>
                <w:szCs w:val="18"/>
              </w:rPr>
              <w:t>42.704</w:t>
            </w:r>
          </w:p>
        </w:tc>
        <w:tc>
          <w:tcPr>
            <w:tcW w:w="4077" w:type="dxa"/>
            <w:tcBorders>
              <w:top w:val="single" w:sz="8" w:space="0" w:color="AEAEAE"/>
              <w:left w:val="single" w:sz="8" w:space="0" w:color="E0E0E0"/>
              <w:bottom w:val="single" w:sz="8" w:space="0" w:color="AEAEAE"/>
              <w:right w:val="single" w:sz="8" w:space="0" w:color="E0E0E0"/>
            </w:tcBorders>
            <w:shd w:val="clear" w:color="auto" w:fill="FFFFFF"/>
          </w:tcPr>
          <w:p w14:paraId="0F88C32C" w14:textId="77777777" w:rsidR="009730B6" w:rsidRPr="009730B6" w:rsidRDefault="009730B6" w:rsidP="009730B6">
            <w:pPr>
              <w:pStyle w:val="BodyText"/>
              <w:ind w:left="142"/>
              <w:rPr>
                <w:rFonts w:ascii="Times New Roman" w:hAnsi="Times New Roman" w:cs="Times New Roman"/>
                <w:sz w:val="18"/>
                <w:szCs w:val="18"/>
              </w:rPr>
            </w:pPr>
            <w:r w:rsidRPr="009730B6">
              <w:rPr>
                <w:rFonts w:ascii="Times New Roman" w:hAnsi="Times New Roman" w:cs="Times New Roman"/>
                <w:sz w:val="18"/>
                <w:szCs w:val="18"/>
              </w:rPr>
              <w:t>1.326</w:t>
            </w:r>
          </w:p>
        </w:tc>
        <w:tc>
          <w:tcPr>
            <w:tcW w:w="1568" w:type="dxa"/>
            <w:tcBorders>
              <w:top w:val="single" w:sz="8" w:space="0" w:color="AEAEAE"/>
              <w:left w:val="single" w:sz="8" w:space="0" w:color="E0E0E0"/>
              <w:bottom w:val="single" w:sz="8" w:space="0" w:color="AEAEAE"/>
              <w:right w:val="single" w:sz="8" w:space="0" w:color="E0E0E0"/>
            </w:tcBorders>
            <w:shd w:val="clear" w:color="auto" w:fill="FFFFFF"/>
          </w:tcPr>
          <w:p w14:paraId="0CB41ABF" w14:textId="77777777" w:rsidR="009730B6" w:rsidRPr="009730B6" w:rsidRDefault="009730B6" w:rsidP="009730B6">
            <w:pPr>
              <w:pStyle w:val="BodyText"/>
              <w:ind w:left="142"/>
              <w:rPr>
                <w:rFonts w:ascii="Times New Roman" w:hAnsi="Times New Roman" w:cs="Times New Roman"/>
                <w:sz w:val="18"/>
                <w:szCs w:val="18"/>
              </w:rPr>
            </w:pPr>
            <w:r w:rsidRPr="009730B6">
              <w:rPr>
                <w:rFonts w:ascii="Times New Roman" w:hAnsi="Times New Roman" w:cs="Times New Roman"/>
                <w:sz w:val="18"/>
                <w:szCs w:val="18"/>
              </w:rPr>
              <w:t>18.945</w:t>
            </w:r>
          </w:p>
        </w:tc>
        <w:tc>
          <w:tcPr>
            <w:tcW w:w="1585" w:type="dxa"/>
            <w:tcBorders>
              <w:top w:val="single" w:sz="8" w:space="0" w:color="AEAEAE"/>
              <w:left w:val="single" w:sz="8" w:space="0" w:color="E0E0E0"/>
              <w:bottom w:val="single" w:sz="8" w:space="0" w:color="AEAEAE"/>
              <w:right w:val="nil"/>
            </w:tcBorders>
            <w:shd w:val="clear" w:color="auto" w:fill="FFFFFF"/>
          </w:tcPr>
          <w:p w14:paraId="7472C7DB" w14:textId="77777777" w:rsidR="009730B6" w:rsidRPr="009730B6" w:rsidRDefault="009730B6" w:rsidP="009730B6">
            <w:pPr>
              <w:pStyle w:val="BodyText"/>
              <w:ind w:left="142"/>
              <w:rPr>
                <w:rFonts w:ascii="Times New Roman" w:hAnsi="Times New Roman" w:cs="Times New Roman"/>
                <w:sz w:val="18"/>
                <w:szCs w:val="18"/>
              </w:rPr>
            </w:pPr>
            <w:r w:rsidRPr="009730B6">
              <w:rPr>
                <w:rFonts w:ascii="Times New Roman" w:hAnsi="Times New Roman" w:cs="Times New Roman"/>
                <w:sz w:val="18"/>
                <w:szCs w:val="18"/>
              </w:rPr>
              <w:t>40.774</w:t>
            </w:r>
          </w:p>
        </w:tc>
      </w:tr>
      <w:tr w:rsidR="009730B6" w:rsidRPr="009730B6" w14:paraId="520D0C54" w14:textId="77777777" w:rsidTr="00074C6F">
        <w:trPr>
          <w:cantSplit/>
        </w:trPr>
        <w:tc>
          <w:tcPr>
            <w:tcW w:w="709" w:type="dxa"/>
            <w:tcBorders>
              <w:top w:val="single" w:sz="8" w:space="0" w:color="AEAEAE"/>
              <w:left w:val="nil"/>
              <w:bottom w:val="single" w:sz="8" w:space="0" w:color="AEAEAE"/>
              <w:right w:val="nil"/>
            </w:tcBorders>
            <w:shd w:val="clear" w:color="auto" w:fill="E0E0E0"/>
          </w:tcPr>
          <w:p w14:paraId="6C2BD32B" w14:textId="77777777" w:rsidR="009730B6" w:rsidRPr="009730B6" w:rsidRDefault="009730B6" w:rsidP="009730B6">
            <w:pPr>
              <w:pStyle w:val="BodyText"/>
              <w:ind w:left="142"/>
              <w:rPr>
                <w:rFonts w:ascii="Times New Roman" w:hAnsi="Times New Roman" w:cs="Times New Roman"/>
                <w:sz w:val="18"/>
                <w:szCs w:val="18"/>
              </w:rPr>
            </w:pPr>
            <w:r w:rsidRPr="009730B6">
              <w:rPr>
                <w:rFonts w:ascii="Times New Roman" w:hAnsi="Times New Roman" w:cs="Times New Roman"/>
                <w:sz w:val="18"/>
                <w:szCs w:val="18"/>
              </w:rPr>
              <w:t>3</w:t>
            </w:r>
          </w:p>
        </w:tc>
        <w:tc>
          <w:tcPr>
            <w:tcW w:w="851" w:type="dxa"/>
            <w:tcBorders>
              <w:top w:val="single" w:sz="8" w:space="0" w:color="AEAEAE"/>
              <w:left w:val="nil"/>
              <w:bottom w:val="single" w:sz="8" w:space="0" w:color="AEAEAE"/>
              <w:right w:val="single" w:sz="8" w:space="0" w:color="E0E0E0"/>
            </w:tcBorders>
            <w:shd w:val="clear" w:color="auto" w:fill="FFFFFF"/>
          </w:tcPr>
          <w:p w14:paraId="685103D7" w14:textId="77777777" w:rsidR="009730B6" w:rsidRPr="009730B6" w:rsidRDefault="009730B6" w:rsidP="009730B6">
            <w:pPr>
              <w:pStyle w:val="BodyText"/>
              <w:ind w:left="142"/>
              <w:rPr>
                <w:rFonts w:ascii="Times New Roman" w:hAnsi="Times New Roman" w:cs="Times New Roman"/>
                <w:sz w:val="18"/>
                <w:szCs w:val="18"/>
              </w:rPr>
            </w:pPr>
            <w:r w:rsidRPr="009730B6">
              <w:rPr>
                <w:rFonts w:ascii="Times New Roman" w:hAnsi="Times New Roman" w:cs="Times New Roman"/>
                <w:sz w:val="18"/>
                <w:szCs w:val="18"/>
              </w:rPr>
              <w:t>1.130</w:t>
            </w:r>
          </w:p>
        </w:tc>
        <w:tc>
          <w:tcPr>
            <w:tcW w:w="1275" w:type="dxa"/>
            <w:tcBorders>
              <w:top w:val="single" w:sz="8" w:space="0" w:color="AEAEAE"/>
              <w:left w:val="single" w:sz="8" w:space="0" w:color="E0E0E0"/>
              <w:bottom w:val="single" w:sz="8" w:space="0" w:color="AEAEAE"/>
              <w:right w:val="single" w:sz="8" w:space="0" w:color="E0E0E0"/>
            </w:tcBorders>
            <w:shd w:val="clear" w:color="auto" w:fill="FFFFFF"/>
          </w:tcPr>
          <w:p w14:paraId="070D4C9D" w14:textId="77777777" w:rsidR="009730B6" w:rsidRPr="009730B6" w:rsidRDefault="009730B6" w:rsidP="009730B6">
            <w:pPr>
              <w:pStyle w:val="BodyText"/>
              <w:ind w:left="142"/>
              <w:rPr>
                <w:rFonts w:ascii="Times New Roman" w:hAnsi="Times New Roman" w:cs="Times New Roman"/>
                <w:sz w:val="18"/>
                <w:szCs w:val="18"/>
              </w:rPr>
            </w:pPr>
            <w:r w:rsidRPr="009730B6">
              <w:rPr>
                <w:rFonts w:ascii="Times New Roman" w:hAnsi="Times New Roman" w:cs="Times New Roman"/>
                <w:sz w:val="18"/>
                <w:szCs w:val="18"/>
              </w:rPr>
              <w:t>16.144</w:t>
            </w:r>
          </w:p>
        </w:tc>
        <w:tc>
          <w:tcPr>
            <w:tcW w:w="1134" w:type="dxa"/>
            <w:tcBorders>
              <w:top w:val="single" w:sz="8" w:space="0" w:color="AEAEAE"/>
              <w:left w:val="single" w:sz="8" w:space="0" w:color="E0E0E0"/>
              <w:bottom w:val="single" w:sz="8" w:space="0" w:color="AEAEAE"/>
              <w:right w:val="nil"/>
            </w:tcBorders>
            <w:shd w:val="clear" w:color="auto" w:fill="FFFFFF"/>
          </w:tcPr>
          <w:p w14:paraId="2440E007" w14:textId="77777777" w:rsidR="009730B6" w:rsidRPr="009730B6" w:rsidRDefault="009730B6" w:rsidP="009730B6">
            <w:pPr>
              <w:pStyle w:val="BodyText"/>
              <w:ind w:left="142"/>
              <w:rPr>
                <w:rFonts w:ascii="Times New Roman" w:hAnsi="Times New Roman" w:cs="Times New Roman"/>
                <w:sz w:val="18"/>
                <w:szCs w:val="18"/>
              </w:rPr>
            </w:pPr>
            <w:r w:rsidRPr="009730B6">
              <w:rPr>
                <w:rFonts w:ascii="Times New Roman" w:hAnsi="Times New Roman" w:cs="Times New Roman"/>
                <w:sz w:val="18"/>
                <w:szCs w:val="18"/>
              </w:rPr>
              <w:t>58.848</w:t>
            </w:r>
          </w:p>
        </w:tc>
        <w:tc>
          <w:tcPr>
            <w:tcW w:w="851" w:type="dxa"/>
            <w:tcBorders>
              <w:top w:val="single" w:sz="8" w:space="0" w:color="AEAEAE"/>
              <w:left w:val="single" w:sz="8" w:space="0" w:color="E0E0E0"/>
              <w:bottom w:val="single" w:sz="8" w:space="0" w:color="AEAEAE"/>
              <w:right w:val="single" w:sz="8" w:space="0" w:color="E0E0E0"/>
            </w:tcBorders>
            <w:shd w:val="clear" w:color="auto" w:fill="FFFFFF"/>
          </w:tcPr>
          <w:p w14:paraId="67DF40D6" w14:textId="77777777" w:rsidR="009730B6" w:rsidRPr="009730B6" w:rsidRDefault="009730B6" w:rsidP="009730B6">
            <w:pPr>
              <w:pStyle w:val="BodyText"/>
              <w:ind w:left="142"/>
              <w:rPr>
                <w:rFonts w:ascii="Times New Roman" w:hAnsi="Times New Roman" w:cs="Times New Roman"/>
                <w:sz w:val="18"/>
                <w:szCs w:val="18"/>
              </w:rPr>
            </w:pPr>
            <w:r w:rsidRPr="009730B6">
              <w:rPr>
                <w:rFonts w:ascii="Times New Roman" w:hAnsi="Times New Roman" w:cs="Times New Roman"/>
                <w:sz w:val="18"/>
                <w:szCs w:val="18"/>
              </w:rPr>
              <w:t>1.130</w:t>
            </w:r>
          </w:p>
        </w:tc>
        <w:tc>
          <w:tcPr>
            <w:tcW w:w="1276" w:type="dxa"/>
            <w:tcBorders>
              <w:top w:val="single" w:sz="8" w:space="0" w:color="AEAEAE"/>
              <w:left w:val="single" w:sz="8" w:space="0" w:color="E0E0E0"/>
              <w:bottom w:val="single" w:sz="8" w:space="0" w:color="AEAEAE"/>
              <w:right w:val="single" w:sz="8" w:space="0" w:color="E0E0E0"/>
            </w:tcBorders>
            <w:shd w:val="clear" w:color="auto" w:fill="FFFFFF"/>
          </w:tcPr>
          <w:p w14:paraId="7AC738D7" w14:textId="77777777" w:rsidR="009730B6" w:rsidRPr="009730B6" w:rsidRDefault="009730B6" w:rsidP="009730B6">
            <w:pPr>
              <w:pStyle w:val="BodyText"/>
              <w:ind w:left="142"/>
              <w:rPr>
                <w:rFonts w:ascii="Times New Roman" w:hAnsi="Times New Roman" w:cs="Times New Roman"/>
                <w:sz w:val="18"/>
                <w:szCs w:val="18"/>
              </w:rPr>
            </w:pPr>
            <w:r w:rsidRPr="009730B6">
              <w:rPr>
                <w:rFonts w:ascii="Times New Roman" w:hAnsi="Times New Roman" w:cs="Times New Roman"/>
                <w:sz w:val="18"/>
                <w:szCs w:val="18"/>
              </w:rPr>
              <w:t>16.144</w:t>
            </w:r>
          </w:p>
        </w:tc>
        <w:tc>
          <w:tcPr>
            <w:tcW w:w="1134" w:type="dxa"/>
            <w:tcBorders>
              <w:top w:val="single" w:sz="8" w:space="0" w:color="AEAEAE"/>
              <w:left w:val="single" w:sz="8" w:space="0" w:color="E0E0E0"/>
              <w:bottom w:val="single" w:sz="8" w:space="0" w:color="AEAEAE"/>
              <w:right w:val="nil"/>
            </w:tcBorders>
            <w:shd w:val="clear" w:color="auto" w:fill="FFFFFF"/>
          </w:tcPr>
          <w:p w14:paraId="47DC8DE9" w14:textId="77777777" w:rsidR="009730B6" w:rsidRPr="009730B6" w:rsidRDefault="009730B6" w:rsidP="009730B6">
            <w:pPr>
              <w:pStyle w:val="BodyText"/>
              <w:ind w:left="142"/>
              <w:rPr>
                <w:rFonts w:ascii="Times New Roman" w:hAnsi="Times New Roman" w:cs="Times New Roman"/>
                <w:sz w:val="18"/>
                <w:szCs w:val="18"/>
              </w:rPr>
            </w:pPr>
            <w:r w:rsidRPr="009730B6">
              <w:rPr>
                <w:rFonts w:ascii="Times New Roman" w:hAnsi="Times New Roman" w:cs="Times New Roman"/>
                <w:sz w:val="18"/>
                <w:szCs w:val="18"/>
              </w:rPr>
              <w:t>58.848</w:t>
            </w:r>
          </w:p>
        </w:tc>
        <w:tc>
          <w:tcPr>
            <w:tcW w:w="4077" w:type="dxa"/>
            <w:tcBorders>
              <w:top w:val="single" w:sz="8" w:space="0" w:color="AEAEAE"/>
              <w:left w:val="single" w:sz="8" w:space="0" w:color="E0E0E0"/>
              <w:bottom w:val="single" w:sz="8" w:space="0" w:color="AEAEAE"/>
              <w:right w:val="single" w:sz="8" w:space="0" w:color="E0E0E0"/>
            </w:tcBorders>
            <w:shd w:val="clear" w:color="auto" w:fill="FFFFFF"/>
          </w:tcPr>
          <w:p w14:paraId="733CFC95" w14:textId="77777777" w:rsidR="009730B6" w:rsidRPr="009730B6" w:rsidRDefault="009730B6" w:rsidP="009730B6">
            <w:pPr>
              <w:pStyle w:val="BodyText"/>
              <w:ind w:left="142"/>
              <w:rPr>
                <w:rFonts w:ascii="Times New Roman" w:hAnsi="Times New Roman" w:cs="Times New Roman"/>
                <w:sz w:val="18"/>
                <w:szCs w:val="18"/>
              </w:rPr>
            </w:pPr>
            <w:r w:rsidRPr="009730B6">
              <w:rPr>
                <w:rFonts w:ascii="Times New Roman" w:hAnsi="Times New Roman" w:cs="Times New Roman"/>
                <w:sz w:val="18"/>
                <w:szCs w:val="18"/>
              </w:rPr>
              <w:t>1.265</w:t>
            </w:r>
          </w:p>
        </w:tc>
        <w:tc>
          <w:tcPr>
            <w:tcW w:w="1568" w:type="dxa"/>
            <w:tcBorders>
              <w:top w:val="single" w:sz="8" w:space="0" w:color="AEAEAE"/>
              <w:left w:val="single" w:sz="8" w:space="0" w:color="E0E0E0"/>
              <w:bottom w:val="single" w:sz="8" w:space="0" w:color="AEAEAE"/>
              <w:right w:val="single" w:sz="8" w:space="0" w:color="E0E0E0"/>
            </w:tcBorders>
            <w:shd w:val="clear" w:color="auto" w:fill="FFFFFF"/>
          </w:tcPr>
          <w:p w14:paraId="05B2D146" w14:textId="77777777" w:rsidR="009730B6" w:rsidRPr="009730B6" w:rsidRDefault="009730B6" w:rsidP="009730B6">
            <w:pPr>
              <w:pStyle w:val="BodyText"/>
              <w:ind w:left="142"/>
              <w:rPr>
                <w:rFonts w:ascii="Times New Roman" w:hAnsi="Times New Roman" w:cs="Times New Roman"/>
                <w:sz w:val="18"/>
                <w:szCs w:val="18"/>
              </w:rPr>
            </w:pPr>
            <w:r w:rsidRPr="009730B6">
              <w:rPr>
                <w:rFonts w:ascii="Times New Roman" w:hAnsi="Times New Roman" w:cs="Times New Roman"/>
                <w:sz w:val="18"/>
                <w:szCs w:val="18"/>
              </w:rPr>
              <w:t>18.074</w:t>
            </w:r>
          </w:p>
        </w:tc>
        <w:tc>
          <w:tcPr>
            <w:tcW w:w="1585" w:type="dxa"/>
            <w:tcBorders>
              <w:top w:val="single" w:sz="8" w:space="0" w:color="AEAEAE"/>
              <w:left w:val="single" w:sz="8" w:space="0" w:color="E0E0E0"/>
              <w:bottom w:val="single" w:sz="8" w:space="0" w:color="AEAEAE"/>
              <w:right w:val="nil"/>
            </w:tcBorders>
            <w:shd w:val="clear" w:color="auto" w:fill="FFFFFF"/>
          </w:tcPr>
          <w:p w14:paraId="381328B2" w14:textId="77777777" w:rsidR="009730B6" w:rsidRPr="009730B6" w:rsidRDefault="009730B6" w:rsidP="009730B6">
            <w:pPr>
              <w:pStyle w:val="BodyText"/>
              <w:ind w:left="142"/>
              <w:rPr>
                <w:rFonts w:ascii="Times New Roman" w:hAnsi="Times New Roman" w:cs="Times New Roman"/>
                <w:sz w:val="18"/>
                <w:szCs w:val="18"/>
              </w:rPr>
            </w:pPr>
            <w:r w:rsidRPr="009730B6">
              <w:rPr>
                <w:rFonts w:ascii="Times New Roman" w:hAnsi="Times New Roman" w:cs="Times New Roman"/>
                <w:sz w:val="18"/>
                <w:szCs w:val="18"/>
              </w:rPr>
              <w:t>58.848</w:t>
            </w:r>
          </w:p>
        </w:tc>
      </w:tr>
      <w:tr w:rsidR="009730B6" w:rsidRPr="009730B6" w14:paraId="7924D8A9" w14:textId="77777777" w:rsidTr="00074C6F">
        <w:trPr>
          <w:cantSplit/>
        </w:trPr>
        <w:tc>
          <w:tcPr>
            <w:tcW w:w="709" w:type="dxa"/>
            <w:tcBorders>
              <w:top w:val="single" w:sz="8" w:space="0" w:color="AEAEAE"/>
              <w:left w:val="nil"/>
              <w:bottom w:val="single" w:sz="8" w:space="0" w:color="AEAEAE"/>
              <w:right w:val="nil"/>
            </w:tcBorders>
            <w:shd w:val="clear" w:color="auto" w:fill="E0E0E0"/>
          </w:tcPr>
          <w:p w14:paraId="599EE049" w14:textId="77777777" w:rsidR="009730B6" w:rsidRPr="009730B6" w:rsidRDefault="009730B6" w:rsidP="009730B6">
            <w:pPr>
              <w:pStyle w:val="BodyText"/>
              <w:ind w:left="142"/>
              <w:rPr>
                <w:rFonts w:ascii="Times New Roman" w:hAnsi="Times New Roman" w:cs="Times New Roman"/>
                <w:sz w:val="18"/>
                <w:szCs w:val="18"/>
              </w:rPr>
            </w:pPr>
            <w:r w:rsidRPr="009730B6">
              <w:rPr>
                <w:rFonts w:ascii="Times New Roman" w:hAnsi="Times New Roman" w:cs="Times New Roman"/>
                <w:sz w:val="18"/>
                <w:szCs w:val="18"/>
              </w:rPr>
              <w:t>4</w:t>
            </w:r>
          </w:p>
        </w:tc>
        <w:tc>
          <w:tcPr>
            <w:tcW w:w="851" w:type="dxa"/>
            <w:tcBorders>
              <w:top w:val="single" w:sz="8" w:space="0" w:color="AEAEAE"/>
              <w:left w:val="nil"/>
              <w:bottom w:val="single" w:sz="8" w:space="0" w:color="AEAEAE"/>
              <w:right w:val="single" w:sz="8" w:space="0" w:color="E0E0E0"/>
            </w:tcBorders>
            <w:shd w:val="clear" w:color="auto" w:fill="FFFFFF"/>
          </w:tcPr>
          <w:p w14:paraId="3F0F2E55" w14:textId="77777777" w:rsidR="009730B6" w:rsidRPr="009730B6" w:rsidRDefault="009730B6" w:rsidP="009730B6">
            <w:pPr>
              <w:pStyle w:val="BodyText"/>
              <w:ind w:left="142"/>
              <w:rPr>
                <w:rFonts w:ascii="Times New Roman" w:hAnsi="Times New Roman" w:cs="Times New Roman"/>
                <w:sz w:val="18"/>
                <w:szCs w:val="18"/>
              </w:rPr>
            </w:pPr>
            <w:r w:rsidRPr="009730B6">
              <w:rPr>
                <w:rFonts w:ascii="Times New Roman" w:hAnsi="Times New Roman" w:cs="Times New Roman"/>
                <w:sz w:val="18"/>
                <w:szCs w:val="18"/>
              </w:rPr>
              <w:t>.928</w:t>
            </w:r>
          </w:p>
        </w:tc>
        <w:tc>
          <w:tcPr>
            <w:tcW w:w="1275" w:type="dxa"/>
            <w:tcBorders>
              <w:top w:val="single" w:sz="8" w:space="0" w:color="AEAEAE"/>
              <w:left w:val="single" w:sz="8" w:space="0" w:color="E0E0E0"/>
              <w:bottom w:val="single" w:sz="8" w:space="0" w:color="AEAEAE"/>
              <w:right w:val="single" w:sz="8" w:space="0" w:color="E0E0E0"/>
            </w:tcBorders>
            <w:shd w:val="clear" w:color="auto" w:fill="FFFFFF"/>
          </w:tcPr>
          <w:p w14:paraId="4471363D" w14:textId="77777777" w:rsidR="009730B6" w:rsidRPr="009730B6" w:rsidRDefault="009730B6" w:rsidP="009730B6">
            <w:pPr>
              <w:pStyle w:val="BodyText"/>
              <w:ind w:left="142"/>
              <w:rPr>
                <w:rFonts w:ascii="Times New Roman" w:hAnsi="Times New Roman" w:cs="Times New Roman"/>
                <w:sz w:val="18"/>
                <w:szCs w:val="18"/>
              </w:rPr>
            </w:pPr>
            <w:r w:rsidRPr="009730B6">
              <w:rPr>
                <w:rFonts w:ascii="Times New Roman" w:hAnsi="Times New Roman" w:cs="Times New Roman"/>
                <w:sz w:val="18"/>
                <w:szCs w:val="18"/>
              </w:rPr>
              <w:t>13.264</w:t>
            </w:r>
          </w:p>
        </w:tc>
        <w:tc>
          <w:tcPr>
            <w:tcW w:w="1134" w:type="dxa"/>
            <w:tcBorders>
              <w:top w:val="single" w:sz="8" w:space="0" w:color="AEAEAE"/>
              <w:left w:val="single" w:sz="8" w:space="0" w:color="E0E0E0"/>
              <w:bottom w:val="single" w:sz="8" w:space="0" w:color="AEAEAE"/>
              <w:right w:val="nil"/>
            </w:tcBorders>
            <w:shd w:val="clear" w:color="auto" w:fill="FFFFFF"/>
          </w:tcPr>
          <w:p w14:paraId="463AA750" w14:textId="77777777" w:rsidR="009730B6" w:rsidRPr="009730B6" w:rsidRDefault="009730B6" w:rsidP="009730B6">
            <w:pPr>
              <w:pStyle w:val="BodyText"/>
              <w:ind w:left="142"/>
              <w:rPr>
                <w:rFonts w:ascii="Times New Roman" w:hAnsi="Times New Roman" w:cs="Times New Roman"/>
                <w:sz w:val="18"/>
                <w:szCs w:val="18"/>
              </w:rPr>
            </w:pPr>
            <w:r w:rsidRPr="009730B6">
              <w:rPr>
                <w:rFonts w:ascii="Times New Roman" w:hAnsi="Times New Roman" w:cs="Times New Roman"/>
                <w:sz w:val="18"/>
                <w:szCs w:val="18"/>
              </w:rPr>
              <w:t>72.112</w:t>
            </w:r>
          </w:p>
        </w:tc>
        <w:tc>
          <w:tcPr>
            <w:tcW w:w="851"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53318A25" w14:textId="77777777" w:rsidR="009730B6" w:rsidRPr="009730B6" w:rsidRDefault="009730B6" w:rsidP="009730B6">
            <w:pPr>
              <w:pStyle w:val="BodyText"/>
              <w:ind w:left="142"/>
              <w:rPr>
                <w:rFonts w:ascii="Times New Roman" w:hAnsi="Times New Roman" w:cs="Times New Roman"/>
                <w:sz w:val="18"/>
                <w:szCs w:val="18"/>
              </w:rPr>
            </w:pPr>
          </w:p>
        </w:tc>
        <w:tc>
          <w:tcPr>
            <w:tcW w:w="1276"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2E8D7E5E" w14:textId="77777777" w:rsidR="009730B6" w:rsidRPr="009730B6" w:rsidRDefault="009730B6" w:rsidP="009730B6">
            <w:pPr>
              <w:pStyle w:val="BodyText"/>
              <w:ind w:left="142"/>
              <w:rPr>
                <w:rFonts w:ascii="Times New Roman" w:hAnsi="Times New Roman" w:cs="Times New Roman"/>
                <w:sz w:val="18"/>
                <w:szCs w:val="18"/>
              </w:rPr>
            </w:pPr>
          </w:p>
        </w:tc>
        <w:tc>
          <w:tcPr>
            <w:tcW w:w="1134" w:type="dxa"/>
            <w:tcBorders>
              <w:top w:val="single" w:sz="8" w:space="0" w:color="AEAEAE"/>
              <w:left w:val="single" w:sz="8" w:space="0" w:color="E0E0E0"/>
              <w:bottom w:val="single" w:sz="8" w:space="0" w:color="AEAEAE"/>
              <w:right w:val="nil"/>
            </w:tcBorders>
            <w:shd w:val="clear" w:color="auto" w:fill="FFFFFF"/>
            <w:vAlign w:val="center"/>
          </w:tcPr>
          <w:p w14:paraId="05359639" w14:textId="77777777" w:rsidR="009730B6" w:rsidRPr="009730B6" w:rsidRDefault="009730B6" w:rsidP="009730B6">
            <w:pPr>
              <w:pStyle w:val="BodyText"/>
              <w:ind w:left="142"/>
              <w:rPr>
                <w:rFonts w:ascii="Times New Roman" w:hAnsi="Times New Roman" w:cs="Times New Roman"/>
                <w:sz w:val="18"/>
                <w:szCs w:val="18"/>
              </w:rPr>
            </w:pPr>
          </w:p>
        </w:tc>
        <w:tc>
          <w:tcPr>
            <w:tcW w:w="4077"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73D0B36A" w14:textId="77777777" w:rsidR="009730B6" w:rsidRPr="009730B6" w:rsidRDefault="009730B6" w:rsidP="009730B6">
            <w:pPr>
              <w:pStyle w:val="BodyText"/>
              <w:ind w:left="142"/>
              <w:rPr>
                <w:rFonts w:ascii="Times New Roman" w:hAnsi="Times New Roman" w:cs="Times New Roman"/>
                <w:sz w:val="18"/>
                <w:szCs w:val="18"/>
              </w:rPr>
            </w:pPr>
          </w:p>
        </w:tc>
        <w:tc>
          <w:tcPr>
            <w:tcW w:w="1568"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287FD7E1" w14:textId="77777777" w:rsidR="009730B6" w:rsidRPr="009730B6" w:rsidRDefault="009730B6" w:rsidP="009730B6">
            <w:pPr>
              <w:pStyle w:val="BodyText"/>
              <w:ind w:left="142"/>
              <w:rPr>
                <w:rFonts w:ascii="Times New Roman" w:hAnsi="Times New Roman" w:cs="Times New Roman"/>
                <w:sz w:val="18"/>
                <w:szCs w:val="18"/>
              </w:rPr>
            </w:pPr>
          </w:p>
        </w:tc>
        <w:tc>
          <w:tcPr>
            <w:tcW w:w="1585" w:type="dxa"/>
            <w:tcBorders>
              <w:top w:val="single" w:sz="8" w:space="0" w:color="AEAEAE"/>
              <w:left w:val="single" w:sz="8" w:space="0" w:color="E0E0E0"/>
              <w:bottom w:val="single" w:sz="8" w:space="0" w:color="AEAEAE"/>
              <w:right w:val="nil"/>
            </w:tcBorders>
            <w:shd w:val="clear" w:color="auto" w:fill="FFFFFF"/>
            <w:vAlign w:val="center"/>
          </w:tcPr>
          <w:p w14:paraId="4B899BA5" w14:textId="77777777" w:rsidR="009730B6" w:rsidRPr="009730B6" w:rsidRDefault="009730B6" w:rsidP="009730B6">
            <w:pPr>
              <w:pStyle w:val="BodyText"/>
              <w:ind w:left="142"/>
              <w:rPr>
                <w:rFonts w:ascii="Times New Roman" w:hAnsi="Times New Roman" w:cs="Times New Roman"/>
                <w:sz w:val="18"/>
                <w:szCs w:val="18"/>
              </w:rPr>
            </w:pPr>
          </w:p>
        </w:tc>
      </w:tr>
      <w:tr w:rsidR="009730B6" w:rsidRPr="009730B6" w14:paraId="7A8C1CF9" w14:textId="77777777" w:rsidTr="00074C6F">
        <w:trPr>
          <w:cantSplit/>
        </w:trPr>
        <w:tc>
          <w:tcPr>
            <w:tcW w:w="709" w:type="dxa"/>
            <w:tcBorders>
              <w:top w:val="single" w:sz="8" w:space="0" w:color="AEAEAE"/>
              <w:left w:val="nil"/>
              <w:bottom w:val="single" w:sz="8" w:space="0" w:color="AEAEAE"/>
              <w:right w:val="nil"/>
            </w:tcBorders>
            <w:shd w:val="clear" w:color="auto" w:fill="E0E0E0"/>
          </w:tcPr>
          <w:p w14:paraId="1598D5CA" w14:textId="77777777" w:rsidR="009730B6" w:rsidRPr="009730B6" w:rsidRDefault="009730B6" w:rsidP="009730B6">
            <w:pPr>
              <w:pStyle w:val="BodyText"/>
              <w:ind w:left="142"/>
              <w:rPr>
                <w:rFonts w:ascii="Times New Roman" w:hAnsi="Times New Roman" w:cs="Times New Roman"/>
                <w:sz w:val="18"/>
                <w:szCs w:val="18"/>
              </w:rPr>
            </w:pPr>
            <w:r w:rsidRPr="009730B6">
              <w:rPr>
                <w:rFonts w:ascii="Times New Roman" w:hAnsi="Times New Roman" w:cs="Times New Roman"/>
                <w:sz w:val="18"/>
                <w:szCs w:val="18"/>
              </w:rPr>
              <w:t>5</w:t>
            </w:r>
          </w:p>
        </w:tc>
        <w:tc>
          <w:tcPr>
            <w:tcW w:w="851" w:type="dxa"/>
            <w:tcBorders>
              <w:top w:val="single" w:sz="8" w:space="0" w:color="AEAEAE"/>
              <w:left w:val="nil"/>
              <w:bottom w:val="single" w:sz="8" w:space="0" w:color="AEAEAE"/>
              <w:right w:val="single" w:sz="8" w:space="0" w:color="E0E0E0"/>
            </w:tcBorders>
            <w:shd w:val="clear" w:color="auto" w:fill="FFFFFF"/>
          </w:tcPr>
          <w:p w14:paraId="234E6CBE" w14:textId="77777777" w:rsidR="009730B6" w:rsidRPr="009730B6" w:rsidRDefault="009730B6" w:rsidP="009730B6">
            <w:pPr>
              <w:pStyle w:val="BodyText"/>
              <w:ind w:left="142"/>
              <w:rPr>
                <w:rFonts w:ascii="Times New Roman" w:hAnsi="Times New Roman" w:cs="Times New Roman"/>
                <w:sz w:val="18"/>
                <w:szCs w:val="18"/>
              </w:rPr>
            </w:pPr>
            <w:r w:rsidRPr="009730B6">
              <w:rPr>
                <w:rFonts w:ascii="Times New Roman" w:hAnsi="Times New Roman" w:cs="Times New Roman"/>
                <w:sz w:val="18"/>
                <w:szCs w:val="18"/>
              </w:rPr>
              <w:t>.805</w:t>
            </w:r>
          </w:p>
        </w:tc>
        <w:tc>
          <w:tcPr>
            <w:tcW w:w="1275" w:type="dxa"/>
            <w:tcBorders>
              <w:top w:val="single" w:sz="8" w:space="0" w:color="AEAEAE"/>
              <w:left w:val="single" w:sz="8" w:space="0" w:color="E0E0E0"/>
              <w:bottom w:val="single" w:sz="8" w:space="0" w:color="AEAEAE"/>
              <w:right w:val="single" w:sz="8" w:space="0" w:color="E0E0E0"/>
            </w:tcBorders>
            <w:shd w:val="clear" w:color="auto" w:fill="FFFFFF"/>
          </w:tcPr>
          <w:p w14:paraId="12AE7E02" w14:textId="77777777" w:rsidR="009730B6" w:rsidRPr="009730B6" w:rsidRDefault="009730B6" w:rsidP="009730B6">
            <w:pPr>
              <w:pStyle w:val="BodyText"/>
              <w:ind w:left="142"/>
              <w:rPr>
                <w:rFonts w:ascii="Times New Roman" w:hAnsi="Times New Roman" w:cs="Times New Roman"/>
                <w:sz w:val="18"/>
                <w:szCs w:val="18"/>
              </w:rPr>
            </w:pPr>
            <w:r w:rsidRPr="009730B6">
              <w:rPr>
                <w:rFonts w:ascii="Times New Roman" w:hAnsi="Times New Roman" w:cs="Times New Roman"/>
                <w:sz w:val="18"/>
                <w:szCs w:val="18"/>
              </w:rPr>
              <w:t>11.506</w:t>
            </w:r>
          </w:p>
        </w:tc>
        <w:tc>
          <w:tcPr>
            <w:tcW w:w="1134" w:type="dxa"/>
            <w:tcBorders>
              <w:top w:val="single" w:sz="8" w:space="0" w:color="AEAEAE"/>
              <w:left w:val="single" w:sz="8" w:space="0" w:color="E0E0E0"/>
              <w:bottom w:val="single" w:sz="8" w:space="0" w:color="AEAEAE"/>
              <w:right w:val="nil"/>
            </w:tcBorders>
            <w:shd w:val="clear" w:color="auto" w:fill="FFFFFF"/>
          </w:tcPr>
          <w:p w14:paraId="4B24C30E" w14:textId="77777777" w:rsidR="009730B6" w:rsidRPr="009730B6" w:rsidRDefault="009730B6" w:rsidP="009730B6">
            <w:pPr>
              <w:pStyle w:val="BodyText"/>
              <w:ind w:left="142"/>
              <w:rPr>
                <w:rFonts w:ascii="Times New Roman" w:hAnsi="Times New Roman" w:cs="Times New Roman"/>
                <w:sz w:val="18"/>
                <w:szCs w:val="18"/>
              </w:rPr>
            </w:pPr>
            <w:r w:rsidRPr="009730B6">
              <w:rPr>
                <w:rFonts w:ascii="Times New Roman" w:hAnsi="Times New Roman" w:cs="Times New Roman"/>
                <w:sz w:val="18"/>
                <w:szCs w:val="18"/>
              </w:rPr>
              <w:t>83.618</w:t>
            </w:r>
          </w:p>
        </w:tc>
        <w:tc>
          <w:tcPr>
            <w:tcW w:w="851"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5C5BCFFE" w14:textId="77777777" w:rsidR="009730B6" w:rsidRPr="009730B6" w:rsidRDefault="009730B6" w:rsidP="009730B6">
            <w:pPr>
              <w:pStyle w:val="BodyText"/>
              <w:ind w:left="142"/>
              <w:rPr>
                <w:rFonts w:ascii="Times New Roman" w:hAnsi="Times New Roman" w:cs="Times New Roman"/>
                <w:sz w:val="18"/>
                <w:szCs w:val="18"/>
              </w:rPr>
            </w:pPr>
          </w:p>
        </w:tc>
        <w:tc>
          <w:tcPr>
            <w:tcW w:w="1276"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4947304B" w14:textId="77777777" w:rsidR="009730B6" w:rsidRPr="009730B6" w:rsidRDefault="009730B6" w:rsidP="009730B6">
            <w:pPr>
              <w:pStyle w:val="BodyText"/>
              <w:ind w:left="142"/>
              <w:rPr>
                <w:rFonts w:ascii="Times New Roman" w:hAnsi="Times New Roman" w:cs="Times New Roman"/>
                <w:sz w:val="18"/>
                <w:szCs w:val="18"/>
              </w:rPr>
            </w:pPr>
          </w:p>
        </w:tc>
        <w:tc>
          <w:tcPr>
            <w:tcW w:w="1134" w:type="dxa"/>
            <w:tcBorders>
              <w:top w:val="single" w:sz="8" w:space="0" w:color="AEAEAE"/>
              <w:left w:val="single" w:sz="8" w:space="0" w:color="E0E0E0"/>
              <w:bottom w:val="single" w:sz="8" w:space="0" w:color="AEAEAE"/>
              <w:right w:val="nil"/>
            </w:tcBorders>
            <w:shd w:val="clear" w:color="auto" w:fill="FFFFFF"/>
            <w:vAlign w:val="center"/>
          </w:tcPr>
          <w:p w14:paraId="4B149219" w14:textId="77777777" w:rsidR="009730B6" w:rsidRPr="009730B6" w:rsidRDefault="009730B6" w:rsidP="009730B6">
            <w:pPr>
              <w:pStyle w:val="BodyText"/>
              <w:ind w:left="142"/>
              <w:rPr>
                <w:rFonts w:ascii="Times New Roman" w:hAnsi="Times New Roman" w:cs="Times New Roman"/>
                <w:sz w:val="18"/>
                <w:szCs w:val="18"/>
              </w:rPr>
            </w:pPr>
          </w:p>
        </w:tc>
        <w:tc>
          <w:tcPr>
            <w:tcW w:w="4077"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6F35B5A7" w14:textId="77777777" w:rsidR="009730B6" w:rsidRPr="009730B6" w:rsidRDefault="009730B6" w:rsidP="009730B6">
            <w:pPr>
              <w:pStyle w:val="BodyText"/>
              <w:ind w:left="142"/>
              <w:rPr>
                <w:rFonts w:ascii="Times New Roman" w:hAnsi="Times New Roman" w:cs="Times New Roman"/>
                <w:sz w:val="18"/>
                <w:szCs w:val="18"/>
              </w:rPr>
            </w:pPr>
          </w:p>
        </w:tc>
        <w:tc>
          <w:tcPr>
            <w:tcW w:w="1568"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7A86A912" w14:textId="77777777" w:rsidR="009730B6" w:rsidRPr="009730B6" w:rsidRDefault="009730B6" w:rsidP="009730B6">
            <w:pPr>
              <w:pStyle w:val="BodyText"/>
              <w:ind w:left="142"/>
              <w:rPr>
                <w:rFonts w:ascii="Times New Roman" w:hAnsi="Times New Roman" w:cs="Times New Roman"/>
                <w:sz w:val="18"/>
                <w:szCs w:val="18"/>
              </w:rPr>
            </w:pPr>
          </w:p>
        </w:tc>
        <w:tc>
          <w:tcPr>
            <w:tcW w:w="1585" w:type="dxa"/>
            <w:tcBorders>
              <w:top w:val="single" w:sz="8" w:space="0" w:color="AEAEAE"/>
              <w:left w:val="single" w:sz="8" w:space="0" w:color="E0E0E0"/>
              <w:bottom w:val="single" w:sz="8" w:space="0" w:color="AEAEAE"/>
              <w:right w:val="nil"/>
            </w:tcBorders>
            <w:shd w:val="clear" w:color="auto" w:fill="FFFFFF"/>
            <w:vAlign w:val="center"/>
          </w:tcPr>
          <w:p w14:paraId="1B111CD7" w14:textId="77777777" w:rsidR="009730B6" w:rsidRPr="009730B6" w:rsidRDefault="009730B6" w:rsidP="009730B6">
            <w:pPr>
              <w:pStyle w:val="BodyText"/>
              <w:ind w:left="142"/>
              <w:rPr>
                <w:rFonts w:ascii="Times New Roman" w:hAnsi="Times New Roman" w:cs="Times New Roman"/>
                <w:sz w:val="18"/>
                <w:szCs w:val="18"/>
              </w:rPr>
            </w:pPr>
          </w:p>
        </w:tc>
      </w:tr>
      <w:tr w:rsidR="009730B6" w:rsidRPr="009730B6" w14:paraId="44294F74" w14:textId="77777777" w:rsidTr="00074C6F">
        <w:trPr>
          <w:cantSplit/>
        </w:trPr>
        <w:tc>
          <w:tcPr>
            <w:tcW w:w="709" w:type="dxa"/>
            <w:tcBorders>
              <w:top w:val="single" w:sz="8" w:space="0" w:color="AEAEAE"/>
              <w:left w:val="nil"/>
              <w:bottom w:val="single" w:sz="8" w:space="0" w:color="AEAEAE"/>
              <w:right w:val="nil"/>
            </w:tcBorders>
            <w:shd w:val="clear" w:color="auto" w:fill="E0E0E0"/>
          </w:tcPr>
          <w:p w14:paraId="6C40777D" w14:textId="77777777" w:rsidR="009730B6" w:rsidRPr="009730B6" w:rsidRDefault="009730B6" w:rsidP="009730B6">
            <w:pPr>
              <w:pStyle w:val="BodyText"/>
              <w:ind w:left="142"/>
              <w:rPr>
                <w:rFonts w:ascii="Times New Roman" w:hAnsi="Times New Roman" w:cs="Times New Roman"/>
                <w:sz w:val="18"/>
                <w:szCs w:val="18"/>
              </w:rPr>
            </w:pPr>
            <w:r w:rsidRPr="009730B6">
              <w:rPr>
                <w:rFonts w:ascii="Times New Roman" w:hAnsi="Times New Roman" w:cs="Times New Roman"/>
                <w:sz w:val="18"/>
                <w:szCs w:val="18"/>
              </w:rPr>
              <w:t>6</w:t>
            </w:r>
          </w:p>
        </w:tc>
        <w:tc>
          <w:tcPr>
            <w:tcW w:w="851" w:type="dxa"/>
            <w:tcBorders>
              <w:top w:val="single" w:sz="8" w:space="0" w:color="AEAEAE"/>
              <w:left w:val="nil"/>
              <w:bottom w:val="single" w:sz="8" w:space="0" w:color="AEAEAE"/>
              <w:right w:val="single" w:sz="8" w:space="0" w:color="E0E0E0"/>
            </w:tcBorders>
            <w:shd w:val="clear" w:color="auto" w:fill="FFFFFF"/>
          </w:tcPr>
          <w:p w14:paraId="0034DA25" w14:textId="77777777" w:rsidR="009730B6" w:rsidRPr="009730B6" w:rsidRDefault="009730B6" w:rsidP="009730B6">
            <w:pPr>
              <w:pStyle w:val="BodyText"/>
              <w:ind w:left="142"/>
              <w:rPr>
                <w:rFonts w:ascii="Times New Roman" w:hAnsi="Times New Roman" w:cs="Times New Roman"/>
                <w:sz w:val="18"/>
                <w:szCs w:val="18"/>
              </w:rPr>
            </w:pPr>
            <w:r w:rsidRPr="009730B6">
              <w:rPr>
                <w:rFonts w:ascii="Times New Roman" w:hAnsi="Times New Roman" w:cs="Times New Roman"/>
                <w:sz w:val="18"/>
                <w:szCs w:val="18"/>
              </w:rPr>
              <w:t>.698</w:t>
            </w:r>
          </w:p>
        </w:tc>
        <w:tc>
          <w:tcPr>
            <w:tcW w:w="1275" w:type="dxa"/>
            <w:tcBorders>
              <w:top w:val="single" w:sz="8" w:space="0" w:color="AEAEAE"/>
              <w:left w:val="single" w:sz="8" w:space="0" w:color="E0E0E0"/>
              <w:bottom w:val="single" w:sz="8" w:space="0" w:color="AEAEAE"/>
              <w:right w:val="single" w:sz="8" w:space="0" w:color="E0E0E0"/>
            </w:tcBorders>
            <w:shd w:val="clear" w:color="auto" w:fill="FFFFFF"/>
          </w:tcPr>
          <w:p w14:paraId="06A167EE" w14:textId="77777777" w:rsidR="009730B6" w:rsidRPr="009730B6" w:rsidRDefault="009730B6" w:rsidP="009730B6">
            <w:pPr>
              <w:pStyle w:val="BodyText"/>
              <w:ind w:left="142"/>
              <w:rPr>
                <w:rFonts w:ascii="Times New Roman" w:hAnsi="Times New Roman" w:cs="Times New Roman"/>
                <w:sz w:val="18"/>
                <w:szCs w:val="18"/>
              </w:rPr>
            </w:pPr>
            <w:r w:rsidRPr="009730B6">
              <w:rPr>
                <w:rFonts w:ascii="Times New Roman" w:hAnsi="Times New Roman" w:cs="Times New Roman"/>
                <w:sz w:val="18"/>
                <w:szCs w:val="18"/>
              </w:rPr>
              <w:t>9.977</w:t>
            </w:r>
          </w:p>
        </w:tc>
        <w:tc>
          <w:tcPr>
            <w:tcW w:w="1134" w:type="dxa"/>
            <w:tcBorders>
              <w:top w:val="single" w:sz="8" w:space="0" w:color="AEAEAE"/>
              <w:left w:val="single" w:sz="8" w:space="0" w:color="E0E0E0"/>
              <w:bottom w:val="single" w:sz="8" w:space="0" w:color="AEAEAE"/>
              <w:right w:val="nil"/>
            </w:tcBorders>
            <w:shd w:val="clear" w:color="auto" w:fill="FFFFFF"/>
          </w:tcPr>
          <w:p w14:paraId="791CC88F" w14:textId="77777777" w:rsidR="009730B6" w:rsidRPr="009730B6" w:rsidRDefault="009730B6" w:rsidP="009730B6">
            <w:pPr>
              <w:pStyle w:val="BodyText"/>
              <w:ind w:left="142"/>
              <w:rPr>
                <w:rFonts w:ascii="Times New Roman" w:hAnsi="Times New Roman" w:cs="Times New Roman"/>
                <w:sz w:val="18"/>
                <w:szCs w:val="18"/>
              </w:rPr>
            </w:pPr>
            <w:r w:rsidRPr="009730B6">
              <w:rPr>
                <w:rFonts w:ascii="Times New Roman" w:hAnsi="Times New Roman" w:cs="Times New Roman"/>
                <w:sz w:val="18"/>
                <w:szCs w:val="18"/>
              </w:rPr>
              <w:t>93.595</w:t>
            </w:r>
          </w:p>
        </w:tc>
        <w:tc>
          <w:tcPr>
            <w:tcW w:w="851"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60471FE0" w14:textId="77777777" w:rsidR="009730B6" w:rsidRPr="009730B6" w:rsidRDefault="009730B6" w:rsidP="009730B6">
            <w:pPr>
              <w:pStyle w:val="BodyText"/>
              <w:ind w:left="142"/>
              <w:rPr>
                <w:rFonts w:ascii="Times New Roman" w:hAnsi="Times New Roman" w:cs="Times New Roman"/>
                <w:sz w:val="18"/>
                <w:szCs w:val="18"/>
              </w:rPr>
            </w:pPr>
          </w:p>
        </w:tc>
        <w:tc>
          <w:tcPr>
            <w:tcW w:w="1276"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239ECD16" w14:textId="77777777" w:rsidR="009730B6" w:rsidRPr="009730B6" w:rsidRDefault="009730B6" w:rsidP="009730B6">
            <w:pPr>
              <w:pStyle w:val="BodyText"/>
              <w:ind w:left="142"/>
              <w:rPr>
                <w:rFonts w:ascii="Times New Roman" w:hAnsi="Times New Roman" w:cs="Times New Roman"/>
                <w:sz w:val="18"/>
                <w:szCs w:val="18"/>
              </w:rPr>
            </w:pPr>
          </w:p>
        </w:tc>
        <w:tc>
          <w:tcPr>
            <w:tcW w:w="1134" w:type="dxa"/>
            <w:tcBorders>
              <w:top w:val="single" w:sz="8" w:space="0" w:color="AEAEAE"/>
              <w:left w:val="single" w:sz="8" w:space="0" w:color="E0E0E0"/>
              <w:bottom w:val="single" w:sz="8" w:space="0" w:color="AEAEAE"/>
              <w:right w:val="nil"/>
            </w:tcBorders>
            <w:shd w:val="clear" w:color="auto" w:fill="FFFFFF"/>
            <w:vAlign w:val="center"/>
          </w:tcPr>
          <w:p w14:paraId="1E2E905F" w14:textId="77777777" w:rsidR="009730B6" w:rsidRPr="009730B6" w:rsidRDefault="009730B6" w:rsidP="009730B6">
            <w:pPr>
              <w:pStyle w:val="BodyText"/>
              <w:ind w:left="142"/>
              <w:rPr>
                <w:rFonts w:ascii="Times New Roman" w:hAnsi="Times New Roman" w:cs="Times New Roman"/>
                <w:sz w:val="18"/>
                <w:szCs w:val="18"/>
              </w:rPr>
            </w:pPr>
          </w:p>
        </w:tc>
        <w:tc>
          <w:tcPr>
            <w:tcW w:w="4077"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7B655C02" w14:textId="77777777" w:rsidR="009730B6" w:rsidRPr="009730B6" w:rsidRDefault="009730B6" w:rsidP="009730B6">
            <w:pPr>
              <w:pStyle w:val="BodyText"/>
              <w:ind w:left="142"/>
              <w:rPr>
                <w:rFonts w:ascii="Times New Roman" w:hAnsi="Times New Roman" w:cs="Times New Roman"/>
                <w:sz w:val="18"/>
                <w:szCs w:val="18"/>
              </w:rPr>
            </w:pPr>
          </w:p>
        </w:tc>
        <w:tc>
          <w:tcPr>
            <w:tcW w:w="1568"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7A87AE36" w14:textId="77777777" w:rsidR="009730B6" w:rsidRPr="009730B6" w:rsidRDefault="009730B6" w:rsidP="009730B6">
            <w:pPr>
              <w:pStyle w:val="BodyText"/>
              <w:ind w:left="142"/>
              <w:rPr>
                <w:rFonts w:ascii="Times New Roman" w:hAnsi="Times New Roman" w:cs="Times New Roman"/>
                <w:sz w:val="18"/>
                <w:szCs w:val="18"/>
              </w:rPr>
            </w:pPr>
          </w:p>
        </w:tc>
        <w:tc>
          <w:tcPr>
            <w:tcW w:w="1585" w:type="dxa"/>
            <w:tcBorders>
              <w:top w:val="single" w:sz="8" w:space="0" w:color="AEAEAE"/>
              <w:left w:val="single" w:sz="8" w:space="0" w:color="E0E0E0"/>
              <w:bottom w:val="single" w:sz="8" w:space="0" w:color="AEAEAE"/>
              <w:right w:val="nil"/>
            </w:tcBorders>
            <w:shd w:val="clear" w:color="auto" w:fill="FFFFFF"/>
            <w:vAlign w:val="center"/>
          </w:tcPr>
          <w:p w14:paraId="423346A0" w14:textId="77777777" w:rsidR="009730B6" w:rsidRPr="009730B6" w:rsidRDefault="009730B6" w:rsidP="009730B6">
            <w:pPr>
              <w:pStyle w:val="BodyText"/>
              <w:ind w:left="142"/>
              <w:rPr>
                <w:rFonts w:ascii="Times New Roman" w:hAnsi="Times New Roman" w:cs="Times New Roman"/>
                <w:sz w:val="18"/>
                <w:szCs w:val="18"/>
              </w:rPr>
            </w:pPr>
          </w:p>
        </w:tc>
      </w:tr>
      <w:tr w:rsidR="009730B6" w:rsidRPr="009730B6" w14:paraId="61D7947E" w14:textId="77777777" w:rsidTr="00074C6F">
        <w:trPr>
          <w:cantSplit/>
        </w:trPr>
        <w:tc>
          <w:tcPr>
            <w:tcW w:w="709" w:type="dxa"/>
            <w:tcBorders>
              <w:top w:val="single" w:sz="8" w:space="0" w:color="AEAEAE"/>
              <w:left w:val="nil"/>
              <w:bottom w:val="single" w:sz="8" w:space="0" w:color="152935"/>
              <w:right w:val="nil"/>
            </w:tcBorders>
            <w:shd w:val="clear" w:color="auto" w:fill="E0E0E0"/>
          </w:tcPr>
          <w:p w14:paraId="7FD9DB1F" w14:textId="77777777" w:rsidR="009730B6" w:rsidRPr="009730B6" w:rsidRDefault="009730B6" w:rsidP="009730B6">
            <w:pPr>
              <w:pStyle w:val="BodyText"/>
              <w:ind w:left="142"/>
              <w:rPr>
                <w:rFonts w:ascii="Times New Roman" w:hAnsi="Times New Roman" w:cs="Times New Roman"/>
                <w:sz w:val="18"/>
                <w:szCs w:val="18"/>
              </w:rPr>
            </w:pPr>
            <w:r w:rsidRPr="009730B6">
              <w:rPr>
                <w:rFonts w:ascii="Times New Roman" w:hAnsi="Times New Roman" w:cs="Times New Roman"/>
                <w:sz w:val="18"/>
                <w:szCs w:val="18"/>
              </w:rPr>
              <w:t>7</w:t>
            </w:r>
          </w:p>
        </w:tc>
        <w:tc>
          <w:tcPr>
            <w:tcW w:w="851" w:type="dxa"/>
            <w:tcBorders>
              <w:top w:val="single" w:sz="8" w:space="0" w:color="AEAEAE"/>
              <w:left w:val="nil"/>
              <w:bottom w:val="single" w:sz="8" w:space="0" w:color="152935"/>
              <w:right w:val="single" w:sz="8" w:space="0" w:color="E0E0E0"/>
            </w:tcBorders>
            <w:shd w:val="clear" w:color="auto" w:fill="FFFFFF"/>
          </w:tcPr>
          <w:p w14:paraId="63B82720" w14:textId="77777777" w:rsidR="009730B6" w:rsidRPr="009730B6" w:rsidRDefault="009730B6" w:rsidP="009730B6">
            <w:pPr>
              <w:pStyle w:val="BodyText"/>
              <w:ind w:left="142"/>
              <w:rPr>
                <w:rFonts w:ascii="Times New Roman" w:hAnsi="Times New Roman" w:cs="Times New Roman"/>
                <w:sz w:val="18"/>
                <w:szCs w:val="18"/>
              </w:rPr>
            </w:pPr>
            <w:r w:rsidRPr="009730B6">
              <w:rPr>
                <w:rFonts w:ascii="Times New Roman" w:hAnsi="Times New Roman" w:cs="Times New Roman"/>
                <w:sz w:val="18"/>
                <w:szCs w:val="18"/>
              </w:rPr>
              <w:t>.448</w:t>
            </w:r>
          </w:p>
        </w:tc>
        <w:tc>
          <w:tcPr>
            <w:tcW w:w="1275" w:type="dxa"/>
            <w:tcBorders>
              <w:top w:val="single" w:sz="8" w:space="0" w:color="AEAEAE"/>
              <w:left w:val="single" w:sz="8" w:space="0" w:color="E0E0E0"/>
              <w:bottom w:val="single" w:sz="8" w:space="0" w:color="152935"/>
              <w:right w:val="single" w:sz="8" w:space="0" w:color="E0E0E0"/>
            </w:tcBorders>
            <w:shd w:val="clear" w:color="auto" w:fill="FFFFFF"/>
          </w:tcPr>
          <w:p w14:paraId="2AC1E200" w14:textId="77777777" w:rsidR="009730B6" w:rsidRPr="009730B6" w:rsidRDefault="009730B6" w:rsidP="009730B6">
            <w:pPr>
              <w:pStyle w:val="BodyText"/>
              <w:ind w:left="142"/>
              <w:rPr>
                <w:rFonts w:ascii="Times New Roman" w:hAnsi="Times New Roman" w:cs="Times New Roman"/>
                <w:sz w:val="18"/>
                <w:szCs w:val="18"/>
              </w:rPr>
            </w:pPr>
            <w:r w:rsidRPr="009730B6">
              <w:rPr>
                <w:rFonts w:ascii="Times New Roman" w:hAnsi="Times New Roman" w:cs="Times New Roman"/>
                <w:sz w:val="18"/>
                <w:szCs w:val="18"/>
              </w:rPr>
              <w:t>6.405</w:t>
            </w:r>
          </w:p>
        </w:tc>
        <w:tc>
          <w:tcPr>
            <w:tcW w:w="1134" w:type="dxa"/>
            <w:tcBorders>
              <w:top w:val="single" w:sz="8" w:space="0" w:color="AEAEAE"/>
              <w:left w:val="single" w:sz="8" w:space="0" w:color="E0E0E0"/>
              <w:bottom w:val="single" w:sz="8" w:space="0" w:color="152935"/>
              <w:right w:val="nil"/>
            </w:tcBorders>
            <w:shd w:val="clear" w:color="auto" w:fill="FFFFFF"/>
          </w:tcPr>
          <w:p w14:paraId="6B07D8A3" w14:textId="77777777" w:rsidR="009730B6" w:rsidRPr="009730B6" w:rsidRDefault="009730B6" w:rsidP="009730B6">
            <w:pPr>
              <w:pStyle w:val="BodyText"/>
              <w:ind w:left="142"/>
              <w:rPr>
                <w:rFonts w:ascii="Times New Roman" w:hAnsi="Times New Roman" w:cs="Times New Roman"/>
                <w:sz w:val="18"/>
                <w:szCs w:val="18"/>
              </w:rPr>
            </w:pPr>
            <w:r w:rsidRPr="009730B6">
              <w:rPr>
                <w:rFonts w:ascii="Times New Roman" w:hAnsi="Times New Roman" w:cs="Times New Roman"/>
                <w:sz w:val="18"/>
                <w:szCs w:val="18"/>
              </w:rPr>
              <w:t>100.000</w:t>
            </w:r>
          </w:p>
        </w:tc>
        <w:tc>
          <w:tcPr>
            <w:tcW w:w="851" w:type="dxa"/>
            <w:tcBorders>
              <w:top w:val="single" w:sz="8" w:space="0" w:color="AEAEAE"/>
              <w:left w:val="single" w:sz="8" w:space="0" w:color="E0E0E0"/>
              <w:bottom w:val="single" w:sz="8" w:space="0" w:color="152935"/>
              <w:right w:val="single" w:sz="8" w:space="0" w:color="E0E0E0"/>
            </w:tcBorders>
            <w:shd w:val="clear" w:color="auto" w:fill="FFFFFF"/>
            <w:vAlign w:val="center"/>
          </w:tcPr>
          <w:p w14:paraId="270EDFB9" w14:textId="77777777" w:rsidR="009730B6" w:rsidRPr="009730B6" w:rsidRDefault="009730B6" w:rsidP="009730B6">
            <w:pPr>
              <w:pStyle w:val="BodyText"/>
              <w:ind w:left="142"/>
              <w:rPr>
                <w:rFonts w:ascii="Times New Roman" w:hAnsi="Times New Roman" w:cs="Times New Roman"/>
                <w:sz w:val="18"/>
                <w:szCs w:val="18"/>
              </w:rPr>
            </w:pPr>
          </w:p>
        </w:tc>
        <w:tc>
          <w:tcPr>
            <w:tcW w:w="1276" w:type="dxa"/>
            <w:tcBorders>
              <w:top w:val="single" w:sz="8" w:space="0" w:color="AEAEAE"/>
              <w:left w:val="single" w:sz="8" w:space="0" w:color="E0E0E0"/>
              <w:bottom w:val="single" w:sz="8" w:space="0" w:color="152935"/>
              <w:right w:val="single" w:sz="8" w:space="0" w:color="E0E0E0"/>
            </w:tcBorders>
            <w:shd w:val="clear" w:color="auto" w:fill="FFFFFF"/>
            <w:vAlign w:val="center"/>
          </w:tcPr>
          <w:p w14:paraId="00A99573" w14:textId="77777777" w:rsidR="009730B6" w:rsidRPr="009730B6" w:rsidRDefault="009730B6" w:rsidP="009730B6">
            <w:pPr>
              <w:pStyle w:val="BodyText"/>
              <w:ind w:left="142"/>
              <w:rPr>
                <w:rFonts w:ascii="Times New Roman" w:hAnsi="Times New Roman" w:cs="Times New Roman"/>
                <w:sz w:val="18"/>
                <w:szCs w:val="18"/>
              </w:rPr>
            </w:pPr>
          </w:p>
        </w:tc>
        <w:tc>
          <w:tcPr>
            <w:tcW w:w="1134" w:type="dxa"/>
            <w:tcBorders>
              <w:top w:val="single" w:sz="8" w:space="0" w:color="AEAEAE"/>
              <w:left w:val="single" w:sz="8" w:space="0" w:color="E0E0E0"/>
              <w:bottom w:val="single" w:sz="8" w:space="0" w:color="152935"/>
              <w:right w:val="nil"/>
            </w:tcBorders>
            <w:shd w:val="clear" w:color="auto" w:fill="FFFFFF"/>
            <w:vAlign w:val="center"/>
          </w:tcPr>
          <w:p w14:paraId="04D71D12" w14:textId="77777777" w:rsidR="009730B6" w:rsidRPr="009730B6" w:rsidRDefault="009730B6" w:rsidP="009730B6">
            <w:pPr>
              <w:pStyle w:val="BodyText"/>
              <w:ind w:left="142"/>
              <w:rPr>
                <w:rFonts w:ascii="Times New Roman" w:hAnsi="Times New Roman" w:cs="Times New Roman"/>
                <w:sz w:val="18"/>
                <w:szCs w:val="18"/>
              </w:rPr>
            </w:pPr>
          </w:p>
        </w:tc>
        <w:tc>
          <w:tcPr>
            <w:tcW w:w="4077" w:type="dxa"/>
            <w:tcBorders>
              <w:top w:val="single" w:sz="8" w:space="0" w:color="AEAEAE"/>
              <w:left w:val="single" w:sz="8" w:space="0" w:color="E0E0E0"/>
              <w:bottom w:val="single" w:sz="8" w:space="0" w:color="152935"/>
              <w:right w:val="single" w:sz="8" w:space="0" w:color="E0E0E0"/>
            </w:tcBorders>
            <w:shd w:val="clear" w:color="auto" w:fill="FFFFFF"/>
            <w:vAlign w:val="center"/>
          </w:tcPr>
          <w:p w14:paraId="4B82E92C" w14:textId="77777777" w:rsidR="009730B6" w:rsidRPr="009730B6" w:rsidRDefault="009730B6" w:rsidP="009730B6">
            <w:pPr>
              <w:pStyle w:val="BodyText"/>
              <w:ind w:left="142"/>
              <w:rPr>
                <w:rFonts w:ascii="Times New Roman" w:hAnsi="Times New Roman" w:cs="Times New Roman"/>
                <w:sz w:val="18"/>
                <w:szCs w:val="18"/>
              </w:rPr>
            </w:pPr>
          </w:p>
        </w:tc>
        <w:tc>
          <w:tcPr>
            <w:tcW w:w="1568" w:type="dxa"/>
            <w:tcBorders>
              <w:top w:val="single" w:sz="8" w:space="0" w:color="AEAEAE"/>
              <w:left w:val="single" w:sz="8" w:space="0" w:color="E0E0E0"/>
              <w:bottom w:val="single" w:sz="8" w:space="0" w:color="152935"/>
              <w:right w:val="single" w:sz="8" w:space="0" w:color="E0E0E0"/>
            </w:tcBorders>
            <w:shd w:val="clear" w:color="auto" w:fill="FFFFFF"/>
            <w:vAlign w:val="center"/>
          </w:tcPr>
          <w:p w14:paraId="783813B5" w14:textId="77777777" w:rsidR="009730B6" w:rsidRPr="009730B6" w:rsidRDefault="009730B6" w:rsidP="009730B6">
            <w:pPr>
              <w:pStyle w:val="BodyText"/>
              <w:ind w:left="142"/>
              <w:rPr>
                <w:rFonts w:ascii="Times New Roman" w:hAnsi="Times New Roman" w:cs="Times New Roman"/>
                <w:sz w:val="18"/>
                <w:szCs w:val="18"/>
              </w:rPr>
            </w:pPr>
          </w:p>
        </w:tc>
        <w:tc>
          <w:tcPr>
            <w:tcW w:w="1585" w:type="dxa"/>
            <w:tcBorders>
              <w:top w:val="single" w:sz="8" w:space="0" w:color="AEAEAE"/>
              <w:left w:val="single" w:sz="8" w:space="0" w:color="E0E0E0"/>
              <w:bottom w:val="single" w:sz="8" w:space="0" w:color="152935"/>
              <w:right w:val="nil"/>
            </w:tcBorders>
            <w:shd w:val="clear" w:color="auto" w:fill="FFFFFF"/>
            <w:vAlign w:val="center"/>
          </w:tcPr>
          <w:p w14:paraId="1A58F5BA" w14:textId="77777777" w:rsidR="009730B6" w:rsidRPr="009730B6" w:rsidRDefault="009730B6" w:rsidP="009730B6">
            <w:pPr>
              <w:pStyle w:val="BodyText"/>
              <w:ind w:left="142"/>
              <w:rPr>
                <w:rFonts w:ascii="Times New Roman" w:hAnsi="Times New Roman" w:cs="Times New Roman"/>
                <w:sz w:val="18"/>
                <w:szCs w:val="18"/>
              </w:rPr>
            </w:pPr>
          </w:p>
        </w:tc>
      </w:tr>
      <w:tr w:rsidR="009730B6" w:rsidRPr="009730B6" w14:paraId="16FF21A4" w14:textId="77777777" w:rsidTr="009730B6">
        <w:trPr>
          <w:cantSplit/>
        </w:trPr>
        <w:tc>
          <w:tcPr>
            <w:tcW w:w="14460" w:type="dxa"/>
            <w:gridSpan w:val="10"/>
            <w:tcBorders>
              <w:top w:val="nil"/>
              <w:left w:val="nil"/>
              <w:bottom w:val="nil"/>
              <w:right w:val="nil"/>
            </w:tcBorders>
            <w:shd w:val="clear" w:color="auto" w:fill="FFFFFF"/>
          </w:tcPr>
          <w:p w14:paraId="2668A142" w14:textId="77777777" w:rsidR="009730B6" w:rsidRPr="009730B6" w:rsidRDefault="009730B6" w:rsidP="009730B6">
            <w:pPr>
              <w:pStyle w:val="BodyText"/>
              <w:ind w:left="142"/>
              <w:rPr>
                <w:rFonts w:ascii="Times New Roman" w:hAnsi="Times New Roman" w:cs="Times New Roman"/>
                <w:sz w:val="18"/>
                <w:szCs w:val="18"/>
              </w:rPr>
            </w:pPr>
            <w:r w:rsidRPr="009730B6">
              <w:rPr>
                <w:rFonts w:ascii="Times New Roman" w:hAnsi="Times New Roman" w:cs="Times New Roman"/>
                <w:sz w:val="18"/>
                <w:szCs w:val="18"/>
              </w:rPr>
              <w:t>Extraction Method: Principal Component Analysis.</w:t>
            </w:r>
          </w:p>
        </w:tc>
      </w:tr>
    </w:tbl>
    <w:p w14:paraId="7332A088" w14:textId="77777777" w:rsidR="008A0E25" w:rsidRPr="008A0E25" w:rsidRDefault="008A0E25" w:rsidP="008A0E25">
      <w:pPr>
        <w:pStyle w:val="BodyText"/>
        <w:ind w:left="142"/>
        <w:rPr>
          <w:rFonts w:ascii="Times New Roman" w:hAnsi="Times New Roman" w:cs="Times New Roman"/>
        </w:rPr>
      </w:pPr>
      <w:r w:rsidRPr="008A0E25">
        <w:rPr>
          <w:rFonts w:ascii="Times New Roman" w:hAnsi="Times New Roman" w:cs="Times New Roman"/>
        </w:rPr>
        <w:lastRenderedPageBreak/>
        <w:t>1. Initial Eigenvalues and Extraction Thresholds</w:t>
      </w:r>
    </w:p>
    <w:p w14:paraId="78456728" w14:textId="77777777" w:rsidR="008A0E25" w:rsidRPr="008A0E25" w:rsidRDefault="008A0E25" w:rsidP="008A0E25">
      <w:pPr>
        <w:pStyle w:val="BodyText"/>
        <w:ind w:left="720"/>
        <w:rPr>
          <w:rFonts w:ascii="Times New Roman" w:hAnsi="Times New Roman" w:cs="Times New Roman"/>
        </w:rPr>
      </w:pPr>
      <w:r w:rsidRPr="008A0E25">
        <w:rPr>
          <w:rFonts w:ascii="Times New Roman" w:hAnsi="Times New Roman" w:cs="Times New Roman"/>
        </w:rPr>
        <w:t>Component 1 achieved an initial eigenvalue of 1.755, accounting for 25.07% of the total variance on its own.</w:t>
      </w:r>
    </w:p>
    <w:p w14:paraId="19935D26" w14:textId="77777777" w:rsidR="008A0E25" w:rsidRPr="008A0E25" w:rsidRDefault="008A0E25" w:rsidP="008A0E25">
      <w:pPr>
        <w:pStyle w:val="BodyText"/>
        <w:ind w:left="720"/>
        <w:rPr>
          <w:rFonts w:ascii="Times New Roman" w:hAnsi="Times New Roman" w:cs="Times New Roman"/>
        </w:rPr>
      </w:pPr>
      <w:r w:rsidRPr="008A0E25">
        <w:rPr>
          <w:rFonts w:ascii="Times New Roman" w:hAnsi="Times New Roman" w:cs="Times New Roman"/>
        </w:rPr>
        <w:t>Component 2 followed with an eigenvalue of 1.234 (17.63% of the variance).</w:t>
      </w:r>
    </w:p>
    <w:p w14:paraId="456938C5" w14:textId="77777777" w:rsidR="008A0E25" w:rsidRPr="008A0E25" w:rsidRDefault="008A0E25" w:rsidP="008A0E25">
      <w:pPr>
        <w:pStyle w:val="BodyText"/>
        <w:ind w:left="720"/>
        <w:rPr>
          <w:rFonts w:ascii="Times New Roman" w:hAnsi="Times New Roman" w:cs="Times New Roman"/>
        </w:rPr>
      </w:pPr>
      <w:r w:rsidRPr="008A0E25">
        <w:rPr>
          <w:rFonts w:ascii="Times New Roman" w:hAnsi="Times New Roman" w:cs="Times New Roman"/>
        </w:rPr>
        <w:t>Component 3 cleared the threshold with an eigenvalue of 1.130 (16.14% of the variance).</w:t>
      </w:r>
    </w:p>
    <w:p w14:paraId="70B3BFB8" w14:textId="77777777" w:rsidR="008A0E25" w:rsidRPr="008A0E25" w:rsidRDefault="008A0E25" w:rsidP="008A0E25">
      <w:pPr>
        <w:pStyle w:val="BodyText"/>
        <w:ind w:left="720"/>
        <w:rPr>
          <w:rFonts w:ascii="Times New Roman" w:hAnsi="Times New Roman" w:cs="Times New Roman"/>
        </w:rPr>
      </w:pPr>
      <w:r w:rsidRPr="008A0E25">
        <w:rPr>
          <w:rFonts w:ascii="Times New Roman" w:hAnsi="Times New Roman" w:cs="Times New Roman"/>
        </w:rPr>
        <w:t>Components 4 through 7 dropped below the critical eigenvalue baseline of 1.000 (ranging from .928 down to .448) and were consequently excluded from the model as they do not contribute enough explanatory power.</w:t>
      </w:r>
    </w:p>
    <w:p w14:paraId="3ACEF419" w14:textId="77777777" w:rsidR="008A0E25" w:rsidRPr="008A0E25" w:rsidRDefault="008A0E25" w:rsidP="008A0E25">
      <w:pPr>
        <w:pStyle w:val="BodyText"/>
        <w:ind w:left="142"/>
        <w:rPr>
          <w:rFonts w:ascii="Times New Roman" w:hAnsi="Times New Roman" w:cs="Times New Roman"/>
        </w:rPr>
      </w:pPr>
      <w:r w:rsidRPr="008A0E25">
        <w:rPr>
          <w:rFonts w:ascii="Times New Roman" w:hAnsi="Times New Roman" w:cs="Times New Roman"/>
        </w:rPr>
        <w:t>2. Cumulative Explanatory Power</w:t>
      </w:r>
    </w:p>
    <w:p w14:paraId="30773F78" w14:textId="77777777" w:rsidR="008A0E25" w:rsidRPr="008A0E25" w:rsidRDefault="008A0E25" w:rsidP="008A0E25">
      <w:pPr>
        <w:pStyle w:val="BodyText"/>
        <w:ind w:left="142"/>
        <w:rPr>
          <w:rFonts w:ascii="Times New Roman" w:hAnsi="Times New Roman" w:cs="Times New Roman"/>
        </w:rPr>
      </w:pPr>
      <w:r w:rsidRPr="008A0E25">
        <w:rPr>
          <w:rFonts w:ascii="Times New Roman" w:hAnsi="Times New Roman" w:cs="Times New Roman"/>
        </w:rPr>
        <w:t>Combined, these three components capture a cumulative total of 58.85% of the variance inherent in the original 7 items. In social sciences and exploratory research, a solution that accounts for nearly 60% of the total variance is widely accepted as a robust, mathematically sound model that preserves the core information of the data while drastically reducing its complexity.</w:t>
      </w:r>
    </w:p>
    <w:p w14:paraId="69CAB702" w14:textId="77777777" w:rsidR="008A0E25" w:rsidRPr="008A0E25" w:rsidRDefault="008A0E25" w:rsidP="008A0E25">
      <w:pPr>
        <w:pStyle w:val="BodyText"/>
        <w:ind w:left="142"/>
        <w:rPr>
          <w:rFonts w:ascii="Times New Roman" w:hAnsi="Times New Roman" w:cs="Times New Roman"/>
        </w:rPr>
      </w:pPr>
      <w:r w:rsidRPr="008A0E25">
        <w:rPr>
          <w:rFonts w:ascii="Times New Roman" w:hAnsi="Times New Roman" w:cs="Times New Roman"/>
        </w:rPr>
        <w:t>3. Post-Rotation Redistribution (Varimax Effects)</w:t>
      </w:r>
    </w:p>
    <w:p w14:paraId="20DBAE75" w14:textId="77777777" w:rsidR="008A0E25" w:rsidRPr="008A0E25" w:rsidRDefault="008A0E25" w:rsidP="008A0E25">
      <w:pPr>
        <w:pStyle w:val="BodyText"/>
        <w:ind w:left="142"/>
        <w:rPr>
          <w:rFonts w:ascii="Times New Roman" w:hAnsi="Times New Roman" w:cs="Times New Roman"/>
        </w:rPr>
      </w:pPr>
      <w:r w:rsidRPr="008A0E25">
        <w:rPr>
          <w:rFonts w:ascii="Times New Roman" w:hAnsi="Times New Roman" w:cs="Times New Roman"/>
        </w:rPr>
        <w:t>Before rotation, the variance was heavily skewed toward Component 1 (25.07%). Following the Varimax orthogonal rotation, the variance was redistributed more evenly across the factors to make them distinct and balanced:</w:t>
      </w:r>
    </w:p>
    <w:p w14:paraId="26C0731B" w14:textId="77777777" w:rsidR="008A0E25" w:rsidRPr="008A0E25" w:rsidRDefault="008A0E25" w:rsidP="008A0E25">
      <w:pPr>
        <w:pStyle w:val="BodyText"/>
        <w:ind w:left="720"/>
        <w:rPr>
          <w:rFonts w:ascii="Times New Roman" w:hAnsi="Times New Roman" w:cs="Times New Roman"/>
        </w:rPr>
      </w:pPr>
      <w:r w:rsidRPr="008A0E25">
        <w:rPr>
          <w:rFonts w:ascii="Times New Roman" w:hAnsi="Times New Roman" w:cs="Times New Roman"/>
        </w:rPr>
        <w:t>Component 1 shifted to 21.83%</w:t>
      </w:r>
    </w:p>
    <w:p w14:paraId="400C99EA" w14:textId="77777777" w:rsidR="008A0E25" w:rsidRPr="008A0E25" w:rsidRDefault="008A0E25" w:rsidP="008A0E25">
      <w:pPr>
        <w:pStyle w:val="BodyText"/>
        <w:ind w:left="720"/>
        <w:rPr>
          <w:rFonts w:ascii="Times New Roman" w:hAnsi="Times New Roman" w:cs="Times New Roman"/>
        </w:rPr>
      </w:pPr>
      <w:r w:rsidRPr="008A0E25">
        <w:rPr>
          <w:rFonts w:ascii="Times New Roman" w:hAnsi="Times New Roman" w:cs="Times New Roman"/>
        </w:rPr>
        <w:t>Component 2 shifted to 18.95%</w:t>
      </w:r>
    </w:p>
    <w:p w14:paraId="3E798E4F" w14:textId="77777777" w:rsidR="008A0E25" w:rsidRPr="008A0E25" w:rsidRDefault="008A0E25" w:rsidP="008A0E25">
      <w:pPr>
        <w:pStyle w:val="BodyText"/>
        <w:ind w:left="720"/>
        <w:rPr>
          <w:rFonts w:ascii="Times New Roman" w:hAnsi="Times New Roman" w:cs="Times New Roman"/>
        </w:rPr>
      </w:pPr>
      <w:r w:rsidRPr="008A0E25">
        <w:rPr>
          <w:rFonts w:ascii="Times New Roman" w:hAnsi="Times New Roman" w:cs="Times New Roman"/>
        </w:rPr>
        <w:t>Component 3 shifted to 18.07%</w:t>
      </w:r>
    </w:p>
    <w:p w14:paraId="5855408B" w14:textId="77777777" w:rsidR="008A0E25" w:rsidRPr="008A0E25" w:rsidRDefault="008A0E25" w:rsidP="008A0E25">
      <w:pPr>
        <w:pStyle w:val="BodyText"/>
        <w:ind w:left="142"/>
        <w:rPr>
          <w:rFonts w:ascii="Times New Roman" w:hAnsi="Times New Roman" w:cs="Times New Roman"/>
        </w:rPr>
      </w:pPr>
      <w:r w:rsidRPr="008A0E25">
        <w:rPr>
          <w:rFonts w:ascii="Times New Roman" w:hAnsi="Times New Roman" w:cs="Times New Roman"/>
        </w:rPr>
        <w:t>Crucially, the final cumulative variance remains exactly the same (</w:t>
      </w:r>
      <w:r w:rsidRPr="00573D98">
        <w:rPr>
          <w:rFonts w:ascii="Times New Roman" w:hAnsi="Times New Roman" w:cs="Times New Roman"/>
        </w:rPr>
        <w:t>58.85%).</w:t>
      </w:r>
      <w:r w:rsidRPr="008A0E25">
        <w:rPr>
          <w:rFonts w:ascii="Times New Roman" w:hAnsi="Times New Roman" w:cs="Times New Roman"/>
        </w:rPr>
        <w:t xml:space="preserve"> This redistribution confirms that the rotation did not lose any data integrity; rather, it simply optimized the structure so that each component represents a distinct, equally important dimension of your research construct.</w:t>
      </w:r>
    </w:p>
    <w:p w14:paraId="02D1B9FA" w14:textId="7C0F8E7F" w:rsidR="008A0E25" w:rsidRPr="008A0E25" w:rsidRDefault="008A0E25" w:rsidP="008A0E25">
      <w:pPr>
        <w:pStyle w:val="BodyText"/>
        <w:ind w:left="142"/>
        <w:rPr>
          <w:rFonts w:ascii="Times New Roman" w:hAnsi="Times New Roman" w:cs="Times New Roman"/>
        </w:rPr>
      </w:pPr>
      <w:r w:rsidRPr="008A0E25">
        <w:rPr>
          <w:rFonts w:ascii="Times New Roman" w:hAnsi="Times New Roman" w:cs="Times New Roman"/>
        </w:rPr>
        <w:t>In conclusion, the three-component framework demonstrates strong statistical parsimony. By reducing the scale from seven variables to three independent dimensions, the model successfully explains 58.85% of the cumulative variance. The balanced distribution of variance post-rotation (ranging from 18.07% to 21.83% per factor) ensures that all three dimensions are meaningful, prominent drivers within the research framework.</w:t>
      </w:r>
    </w:p>
    <w:p w14:paraId="07022F32" w14:textId="7E03B6EC" w:rsidR="0071211D" w:rsidRDefault="0071211D" w:rsidP="00493E97">
      <w:pPr>
        <w:pStyle w:val="BodyText"/>
        <w:ind w:left="142"/>
        <w:rPr>
          <w:rFonts w:ascii="Times New Roman" w:hAnsi="Times New Roman" w:cs="Times New Roman"/>
          <w:sz w:val="20"/>
          <w:szCs w:val="20"/>
        </w:rPr>
      </w:pPr>
      <w:r w:rsidRPr="0071211D">
        <w:rPr>
          <w:rFonts w:ascii="Times New Roman" w:hAnsi="Times New Roman" w:cs="Times New Roman"/>
          <w:sz w:val="20"/>
          <w:szCs w:val="20"/>
        </w:rPr>
        <w:t xml:space="preserve">Table </w:t>
      </w:r>
      <w:r>
        <w:rPr>
          <w:rFonts w:ascii="Times New Roman" w:hAnsi="Times New Roman" w:cs="Times New Roman"/>
          <w:sz w:val="20"/>
          <w:szCs w:val="20"/>
        </w:rPr>
        <w:t>5</w:t>
      </w:r>
      <w:r w:rsidRPr="0071211D">
        <w:rPr>
          <w:rFonts w:ascii="Times New Roman" w:hAnsi="Times New Roman" w:cs="Times New Roman"/>
          <w:sz w:val="20"/>
          <w:szCs w:val="20"/>
        </w:rPr>
        <w:t>:</w:t>
      </w:r>
      <w:r w:rsidRPr="0071211D">
        <w:t xml:space="preserve"> </w:t>
      </w:r>
      <w:r w:rsidRPr="0071211D">
        <w:rPr>
          <w:rFonts w:ascii="Times New Roman" w:hAnsi="Times New Roman" w:cs="Times New Roman"/>
          <w:sz w:val="20"/>
          <w:szCs w:val="20"/>
        </w:rPr>
        <w:t>Rotated Component Matrix</w:t>
      </w:r>
    </w:p>
    <w:tbl>
      <w:tblPr>
        <w:tblW w:w="380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1025"/>
        <w:gridCol w:w="1025"/>
        <w:gridCol w:w="1025"/>
      </w:tblGrid>
      <w:tr w:rsidR="008A0E25" w:rsidRPr="008A0E25" w14:paraId="77E74CF6" w14:textId="77777777" w:rsidTr="00074C6F">
        <w:trPr>
          <w:cantSplit/>
        </w:trPr>
        <w:tc>
          <w:tcPr>
            <w:tcW w:w="3809" w:type="dxa"/>
            <w:gridSpan w:val="4"/>
            <w:tcBorders>
              <w:top w:val="nil"/>
              <w:left w:val="nil"/>
              <w:bottom w:val="nil"/>
              <w:right w:val="nil"/>
            </w:tcBorders>
            <w:shd w:val="clear" w:color="auto" w:fill="FFFFFF"/>
            <w:vAlign w:val="center"/>
          </w:tcPr>
          <w:p w14:paraId="32A826DA" w14:textId="77777777" w:rsidR="008A0E25" w:rsidRPr="008A0E25" w:rsidRDefault="008A0E25" w:rsidP="008A0E25">
            <w:pPr>
              <w:pStyle w:val="BodyText"/>
              <w:ind w:left="142"/>
              <w:rPr>
                <w:rFonts w:ascii="Times New Roman" w:hAnsi="Times New Roman" w:cs="Times New Roman"/>
                <w:sz w:val="18"/>
                <w:szCs w:val="18"/>
              </w:rPr>
            </w:pPr>
            <w:r w:rsidRPr="008A0E25">
              <w:rPr>
                <w:rFonts w:ascii="Times New Roman" w:hAnsi="Times New Roman" w:cs="Times New Roman"/>
                <w:b/>
                <w:bCs/>
                <w:sz w:val="18"/>
                <w:szCs w:val="18"/>
              </w:rPr>
              <w:t xml:space="preserve">Rotated Component </w:t>
            </w:r>
            <w:proofErr w:type="spellStart"/>
            <w:r w:rsidRPr="008A0E25">
              <w:rPr>
                <w:rFonts w:ascii="Times New Roman" w:hAnsi="Times New Roman" w:cs="Times New Roman"/>
                <w:b/>
                <w:bCs/>
                <w:sz w:val="18"/>
                <w:szCs w:val="18"/>
              </w:rPr>
              <w:t>Matrix</w:t>
            </w:r>
            <w:r w:rsidRPr="008A0E25">
              <w:rPr>
                <w:rFonts w:ascii="Times New Roman" w:hAnsi="Times New Roman" w:cs="Times New Roman"/>
                <w:b/>
                <w:bCs/>
                <w:sz w:val="18"/>
                <w:szCs w:val="18"/>
                <w:vertAlign w:val="superscript"/>
              </w:rPr>
              <w:t>a</w:t>
            </w:r>
            <w:proofErr w:type="spellEnd"/>
          </w:p>
        </w:tc>
      </w:tr>
      <w:tr w:rsidR="008A0E25" w:rsidRPr="008A0E25" w14:paraId="37D9624C" w14:textId="77777777" w:rsidTr="00074C6F">
        <w:trPr>
          <w:cantSplit/>
        </w:trPr>
        <w:tc>
          <w:tcPr>
            <w:tcW w:w="734" w:type="dxa"/>
            <w:vMerge w:val="restart"/>
            <w:tcBorders>
              <w:top w:val="nil"/>
              <w:left w:val="nil"/>
              <w:bottom w:val="nil"/>
              <w:right w:val="nil"/>
            </w:tcBorders>
            <w:shd w:val="clear" w:color="auto" w:fill="FFFFFF"/>
            <w:vAlign w:val="bottom"/>
          </w:tcPr>
          <w:p w14:paraId="7F807C6A" w14:textId="77777777" w:rsidR="008A0E25" w:rsidRPr="008A0E25" w:rsidRDefault="008A0E25" w:rsidP="008A0E25">
            <w:pPr>
              <w:pStyle w:val="BodyText"/>
              <w:ind w:left="142"/>
              <w:rPr>
                <w:rFonts w:ascii="Times New Roman" w:hAnsi="Times New Roman" w:cs="Times New Roman"/>
                <w:sz w:val="18"/>
                <w:szCs w:val="18"/>
              </w:rPr>
            </w:pPr>
          </w:p>
        </w:tc>
        <w:tc>
          <w:tcPr>
            <w:tcW w:w="3075" w:type="dxa"/>
            <w:gridSpan w:val="3"/>
            <w:tcBorders>
              <w:top w:val="nil"/>
              <w:left w:val="nil"/>
              <w:bottom w:val="nil"/>
              <w:right w:val="nil"/>
            </w:tcBorders>
            <w:shd w:val="clear" w:color="auto" w:fill="FFFFFF"/>
            <w:vAlign w:val="bottom"/>
          </w:tcPr>
          <w:p w14:paraId="7F31E2DE" w14:textId="77777777" w:rsidR="008A0E25" w:rsidRPr="008A0E25" w:rsidRDefault="008A0E25" w:rsidP="008A0E25">
            <w:pPr>
              <w:pStyle w:val="BodyText"/>
              <w:ind w:left="142"/>
              <w:rPr>
                <w:rFonts w:ascii="Times New Roman" w:hAnsi="Times New Roman" w:cs="Times New Roman"/>
                <w:sz w:val="18"/>
                <w:szCs w:val="18"/>
              </w:rPr>
            </w:pPr>
            <w:r w:rsidRPr="008A0E25">
              <w:rPr>
                <w:rFonts w:ascii="Times New Roman" w:hAnsi="Times New Roman" w:cs="Times New Roman"/>
                <w:sz w:val="18"/>
                <w:szCs w:val="18"/>
              </w:rPr>
              <w:t>Component</w:t>
            </w:r>
          </w:p>
        </w:tc>
      </w:tr>
      <w:tr w:rsidR="008A0E25" w:rsidRPr="008A0E25" w14:paraId="0E6DD0E6" w14:textId="77777777" w:rsidTr="00074C6F">
        <w:trPr>
          <w:cantSplit/>
        </w:trPr>
        <w:tc>
          <w:tcPr>
            <w:tcW w:w="734" w:type="dxa"/>
            <w:vMerge/>
            <w:tcBorders>
              <w:top w:val="nil"/>
              <w:left w:val="nil"/>
              <w:bottom w:val="nil"/>
              <w:right w:val="nil"/>
            </w:tcBorders>
            <w:shd w:val="clear" w:color="auto" w:fill="FFFFFF"/>
            <w:vAlign w:val="bottom"/>
          </w:tcPr>
          <w:p w14:paraId="299CDCFF" w14:textId="77777777" w:rsidR="008A0E25" w:rsidRPr="008A0E25" w:rsidRDefault="008A0E25" w:rsidP="008A0E25">
            <w:pPr>
              <w:pStyle w:val="BodyText"/>
              <w:ind w:left="142"/>
              <w:rPr>
                <w:rFonts w:ascii="Times New Roman" w:hAnsi="Times New Roman" w:cs="Times New Roman"/>
                <w:sz w:val="18"/>
                <w:szCs w:val="18"/>
              </w:rPr>
            </w:pPr>
          </w:p>
        </w:tc>
        <w:tc>
          <w:tcPr>
            <w:tcW w:w="1025" w:type="dxa"/>
            <w:tcBorders>
              <w:top w:val="nil"/>
              <w:left w:val="nil"/>
              <w:bottom w:val="single" w:sz="8" w:space="0" w:color="152935"/>
              <w:right w:val="single" w:sz="8" w:space="0" w:color="E0E0E0"/>
            </w:tcBorders>
            <w:shd w:val="clear" w:color="auto" w:fill="FFFFFF"/>
            <w:vAlign w:val="bottom"/>
          </w:tcPr>
          <w:p w14:paraId="01D6DEE2" w14:textId="77777777" w:rsidR="008A0E25" w:rsidRPr="008A0E25" w:rsidRDefault="008A0E25" w:rsidP="008A0E25">
            <w:pPr>
              <w:pStyle w:val="BodyText"/>
              <w:ind w:left="142"/>
              <w:rPr>
                <w:rFonts w:ascii="Times New Roman" w:hAnsi="Times New Roman" w:cs="Times New Roman"/>
                <w:sz w:val="18"/>
                <w:szCs w:val="18"/>
              </w:rPr>
            </w:pPr>
            <w:r w:rsidRPr="008A0E25">
              <w:rPr>
                <w:rFonts w:ascii="Times New Roman" w:hAnsi="Times New Roman" w:cs="Times New Roman"/>
                <w:sz w:val="18"/>
                <w:szCs w:val="18"/>
              </w:rPr>
              <w:t>1</w:t>
            </w:r>
          </w:p>
        </w:tc>
        <w:tc>
          <w:tcPr>
            <w:tcW w:w="1025" w:type="dxa"/>
            <w:tcBorders>
              <w:top w:val="nil"/>
              <w:left w:val="single" w:sz="8" w:space="0" w:color="E0E0E0"/>
              <w:bottom w:val="single" w:sz="8" w:space="0" w:color="152935"/>
              <w:right w:val="single" w:sz="8" w:space="0" w:color="E0E0E0"/>
            </w:tcBorders>
            <w:shd w:val="clear" w:color="auto" w:fill="FFFFFF"/>
            <w:vAlign w:val="bottom"/>
          </w:tcPr>
          <w:p w14:paraId="2B313914" w14:textId="77777777" w:rsidR="008A0E25" w:rsidRPr="008A0E25" w:rsidRDefault="008A0E25" w:rsidP="008A0E25">
            <w:pPr>
              <w:pStyle w:val="BodyText"/>
              <w:ind w:left="142"/>
              <w:rPr>
                <w:rFonts w:ascii="Times New Roman" w:hAnsi="Times New Roman" w:cs="Times New Roman"/>
                <w:sz w:val="18"/>
                <w:szCs w:val="18"/>
              </w:rPr>
            </w:pPr>
            <w:r w:rsidRPr="008A0E25">
              <w:rPr>
                <w:rFonts w:ascii="Times New Roman" w:hAnsi="Times New Roman" w:cs="Times New Roman"/>
                <w:sz w:val="18"/>
                <w:szCs w:val="18"/>
              </w:rPr>
              <w:t>2</w:t>
            </w:r>
          </w:p>
        </w:tc>
        <w:tc>
          <w:tcPr>
            <w:tcW w:w="1025" w:type="dxa"/>
            <w:tcBorders>
              <w:top w:val="nil"/>
              <w:left w:val="single" w:sz="8" w:space="0" w:color="E0E0E0"/>
              <w:bottom w:val="single" w:sz="8" w:space="0" w:color="152935"/>
              <w:right w:val="nil"/>
            </w:tcBorders>
            <w:shd w:val="clear" w:color="auto" w:fill="FFFFFF"/>
            <w:vAlign w:val="bottom"/>
          </w:tcPr>
          <w:p w14:paraId="1A6777DB" w14:textId="77777777" w:rsidR="008A0E25" w:rsidRPr="008A0E25" w:rsidRDefault="008A0E25" w:rsidP="008A0E25">
            <w:pPr>
              <w:pStyle w:val="BodyText"/>
              <w:ind w:left="142"/>
              <w:rPr>
                <w:rFonts w:ascii="Times New Roman" w:hAnsi="Times New Roman" w:cs="Times New Roman"/>
                <w:sz w:val="18"/>
                <w:szCs w:val="18"/>
              </w:rPr>
            </w:pPr>
            <w:r w:rsidRPr="008A0E25">
              <w:rPr>
                <w:rFonts w:ascii="Times New Roman" w:hAnsi="Times New Roman" w:cs="Times New Roman"/>
                <w:sz w:val="18"/>
                <w:szCs w:val="18"/>
              </w:rPr>
              <w:t>3</w:t>
            </w:r>
          </w:p>
        </w:tc>
      </w:tr>
      <w:tr w:rsidR="008A0E25" w:rsidRPr="008A0E25" w14:paraId="42FC2749" w14:textId="77777777" w:rsidTr="00074C6F">
        <w:trPr>
          <w:cantSplit/>
          <w:trHeight w:val="345"/>
        </w:trPr>
        <w:tc>
          <w:tcPr>
            <w:tcW w:w="734" w:type="dxa"/>
            <w:tcBorders>
              <w:top w:val="single" w:sz="8" w:space="0" w:color="152935"/>
              <w:left w:val="nil"/>
              <w:bottom w:val="single" w:sz="8" w:space="0" w:color="AEAEAE"/>
              <w:right w:val="nil"/>
            </w:tcBorders>
            <w:shd w:val="clear" w:color="auto" w:fill="E0E0E0"/>
          </w:tcPr>
          <w:p w14:paraId="25F3ADD8" w14:textId="77777777" w:rsidR="008A0E25" w:rsidRPr="008A0E25" w:rsidRDefault="008A0E25" w:rsidP="008A0E25">
            <w:pPr>
              <w:pStyle w:val="BodyText"/>
              <w:ind w:left="142"/>
              <w:rPr>
                <w:rFonts w:ascii="Times New Roman" w:hAnsi="Times New Roman" w:cs="Times New Roman"/>
                <w:sz w:val="18"/>
                <w:szCs w:val="18"/>
              </w:rPr>
            </w:pPr>
            <w:r w:rsidRPr="008A0E25">
              <w:rPr>
                <w:rFonts w:ascii="Times New Roman" w:hAnsi="Times New Roman" w:cs="Times New Roman"/>
                <w:sz w:val="18"/>
                <w:szCs w:val="18"/>
              </w:rPr>
              <w:lastRenderedPageBreak/>
              <w:t>Q9R</w:t>
            </w:r>
          </w:p>
        </w:tc>
        <w:tc>
          <w:tcPr>
            <w:tcW w:w="1025" w:type="dxa"/>
            <w:tcBorders>
              <w:top w:val="single" w:sz="8" w:space="0" w:color="152935"/>
              <w:left w:val="nil"/>
              <w:bottom w:val="single" w:sz="8" w:space="0" w:color="AEAEAE"/>
              <w:right w:val="single" w:sz="8" w:space="0" w:color="E0E0E0"/>
            </w:tcBorders>
            <w:shd w:val="clear" w:color="auto" w:fill="FFFFFF"/>
          </w:tcPr>
          <w:p w14:paraId="10610A58" w14:textId="77777777" w:rsidR="008A0E25" w:rsidRPr="008A0E25" w:rsidRDefault="008A0E25" w:rsidP="008A0E25">
            <w:pPr>
              <w:pStyle w:val="BodyText"/>
              <w:ind w:left="142"/>
              <w:rPr>
                <w:rFonts w:ascii="Times New Roman" w:hAnsi="Times New Roman" w:cs="Times New Roman"/>
                <w:sz w:val="18"/>
                <w:szCs w:val="18"/>
              </w:rPr>
            </w:pPr>
            <w:r w:rsidRPr="008A0E25">
              <w:rPr>
                <w:rFonts w:ascii="Times New Roman" w:hAnsi="Times New Roman" w:cs="Times New Roman"/>
                <w:sz w:val="18"/>
                <w:szCs w:val="18"/>
              </w:rPr>
              <w:t>.819</w:t>
            </w:r>
          </w:p>
        </w:tc>
        <w:tc>
          <w:tcPr>
            <w:tcW w:w="1025" w:type="dxa"/>
            <w:tcBorders>
              <w:top w:val="single" w:sz="8" w:space="0" w:color="152935"/>
              <w:left w:val="single" w:sz="8" w:space="0" w:color="E0E0E0"/>
              <w:bottom w:val="single" w:sz="8" w:space="0" w:color="AEAEAE"/>
              <w:right w:val="single" w:sz="8" w:space="0" w:color="E0E0E0"/>
            </w:tcBorders>
            <w:shd w:val="clear" w:color="auto" w:fill="FFFFFF"/>
          </w:tcPr>
          <w:p w14:paraId="75D68165" w14:textId="77777777" w:rsidR="008A0E25" w:rsidRPr="008A0E25" w:rsidRDefault="008A0E25" w:rsidP="008A0E25">
            <w:pPr>
              <w:pStyle w:val="BodyText"/>
              <w:ind w:left="142"/>
              <w:rPr>
                <w:rFonts w:ascii="Times New Roman" w:hAnsi="Times New Roman" w:cs="Times New Roman"/>
                <w:sz w:val="18"/>
                <w:szCs w:val="18"/>
              </w:rPr>
            </w:pPr>
          </w:p>
        </w:tc>
        <w:tc>
          <w:tcPr>
            <w:tcW w:w="1025" w:type="dxa"/>
            <w:tcBorders>
              <w:top w:val="single" w:sz="8" w:space="0" w:color="152935"/>
              <w:left w:val="single" w:sz="8" w:space="0" w:color="E0E0E0"/>
              <w:bottom w:val="single" w:sz="8" w:space="0" w:color="AEAEAE"/>
              <w:right w:val="nil"/>
            </w:tcBorders>
            <w:shd w:val="clear" w:color="auto" w:fill="FFFFFF"/>
          </w:tcPr>
          <w:p w14:paraId="412EFF12" w14:textId="77777777" w:rsidR="008A0E25" w:rsidRPr="008A0E25" w:rsidRDefault="008A0E25" w:rsidP="008A0E25">
            <w:pPr>
              <w:pStyle w:val="BodyText"/>
              <w:ind w:left="142"/>
              <w:rPr>
                <w:rFonts w:ascii="Times New Roman" w:hAnsi="Times New Roman" w:cs="Times New Roman"/>
                <w:sz w:val="18"/>
                <w:szCs w:val="18"/>
              </w:rPr>
            </w:pPr>
          </w:p>
        </w:tc>
      </w:tr>
      <w:tr w:rsidR="008A0E25" w:rsidRPr="008A0E25" w14:paraId="5D68D3E9" w14:textId="77777777" w:rsidTr="00074C6F">
        <w:trPr>
          <w:cantSplit/>
        </w:trPr>
        <w:tc>
          <w:tcPr>
            <w:tcW w:w="734" w:type="dxa"/>
            <w:tcBorders>
              <w:top w:val="single" w:sz="8" w:space="0" w:color="AEAEAE"/>
              <w:left w:val="nil"/>
              <w:bottom w:val="single" w:sz="8" w:space="0" w:color="AEAEAE"/>
              <w:right w:val="nil"/>
            </w:tcBorders>
            <w:shd w:val="clear" w:color="auto" w:fill="E0E0E0"/>
          </w:tcPr>
          <w:p w14:paraId="5E7BFBE0" w14:textId="77777777" w:rsidR="008A0E25" w:rsidRPr="008A0E25" w:rsidRDefault="008A0E25" w:rsidP="008A0E25">
            <w:pPr>
              <w:pStyle w:val="BodyText"/>
              <w:ind w:left="142"/>
              <w:rPr>
                <w:rFonts w:ascii="Times New Roman" w:hAnsi="Times New Roman" w:cs="Times New Roman"/>
                <w:sz w:val="18"/>
                <w:szCs w:val="18"/>
              </w:rPr>
            </w:pPr>
            <w:r w:rsidRPr="008A0E25">
              <w:rPr>
                <w:rFonts w:ascii="Times New Roman" w:hAnsi="Times New Roman" w:cs="Times New Roman"/>
                <w:sz w:val="18"/>
                <w:szCs w:val="18"/>
              </w:rPr>
              <w:t>Q2R</w:t>
            </w:r>
          </w:p>
        </w:tc>
        <w:tc>
          <w:tcPr>
            <w:tcW w:w="1025" w:type="dxa"/>
            <w:tcBorders>
              <w:top w:val="single" w:sz="8" w:space="0" w:color="AEAEAE"/>
              <w:left w:val="nil"/>
              <w:bottom w:val="single" w:sz="8" w:space="0" w:color="AEAEAE"/>
              <w:right w:val="single" w:sz="8" w:space="0" w:color="E0E0E0"/>
            </w:tcBorders>
            <w:shd w:val="clear" w:color="auto" w:fill="FFFFFF"/>
          </w:tcPr>
          <w:p w14:paraId="557AB0D7" w14:textId="77777777" w:rsidR="008A0E25" w:rsidRPr="008A0E25" w:rsidRDefault="008A0E25" w:rsidP="008A0E25">
            <w:pPr>
              <w:pStyle w:val="BodyText"/>
              <w:ind w:left="142"/>
              <w:rPr>
                <w:rFonts w:ascii="Times New Roman" w:hAnsi="Times New Roman" w:cs="Times New Roman"/>
                <w:sz w:val="18"/>
                <w:szCs w:val="18"/>
              </w:rPr>
            </w:pPr>
            <w:r w:rsidRPr="008A0E25">
              <w:rPr>
                <w:rFonts w:ascii="Times New Roman" w:hAnsi="Times New Roman" w:cs="Times New Roman"/>
                <w:sz w:val="18"/>
                <w:szCs w:val="18"/>
              </w:rPr>
              <w:t>.767</w:t>
            </w:r>
          </w:p>
        </w:tc>
        <w:tc>
          <w:tcPr>
            <w:tcW w:w="1025" w:type="dxa"/>
            <w:tcBorders>
              <w:top w:val="single" w:sz="8" w:space="0" w:color="AEAEAE"/>
              <w:left w:val="single" w:sz="8" w:space="0" w:color="E0E0E0"/>
              <w:bottom w:val="single" w:sz="8" w:space="0" w:color="AEAEAE"/>
              <w:right w:val="single" w:sz="8" w:space="0" w:color="E0E0E0"/>
            </w:tcBorders>
            <w:shd w:val="clear" w:color="auto" w:fill="FFFFFF"/>
          </w:tcPr>
          <w:p w14:paraId="5EDF1A98" w14:textId="77777777" w:rsidR="008A0E25" w:rsidRPr="008A0E25" w:rsidRDefault="008A0E25" w:rsidP="008A0E25">
            <w:pPr>
              <w:pStyle w:val="BodyText"/>
              <w:ind w:left="142"/>
              <w:rPr>
                <w:rFonts w:ascii="Times New Roman" w:hAnsi="Times New Roman" w:cs="Times New Roman"/>
                <w:sz w:val="18"/>
                <w:szCs w:val="18"/>
              </w:rPr>
            </w:pPr>
          </w:p>
        </w:tc>
        <w:tc>
          <w:tcPr>
            <w:tcW w:w="1025" w:type="dxa"/>
            <w:tcBorders>
              <w:top w:val="single" w:sz="8" w:space="0" w:color="AEAEAE"/>
              <w:left w:val="single" w:sz="8" w:space="0" w:color="E0E0E0"/>
              <w:bottom w:val="single" w:sz="8" w:space="0" w:color="AEAEAE"/>
              <w:right w:val="nil"/>
            </w:tcBorders>
            <w:shd w:val="clear" w:color="auto" w:fill="FFFFFF"/>
          </w:tcPr>
          <w:p w14:paraId="300C280A" w14:textId="77777777" w:rsidR="008A0E25" w:rsidRPr="008A0E25" w:rsidRDefault="008A0E25" w:rsidP="008A0E25">
            <w:pPr>
              <w:pStyle w:val="BodyText"/>
              <w:ind w:left="142"/>
              <w:rPr>
                <w:rFonts w:ascii="Times New Roman" w:hAnsi="Times New Roman" w:cs="Times New Roman"/>
                <w:sz w:val="18"/>
                <w:szCs w:val="18"/>
              </w:rPr>
            </w:pPr>
          </w:p>
        </w:tc>
      </w:tr>
      <w:tr w:rsidR="008A0E25" w:rsidRPr="008A0E25" w14:paraId="25FA3FF6" w14:textId="77777777" w:rsidTr="00074C6F">
        <w:trPr>
          <w:cantSplit/>
        </w:trPr>
        <w:tc>
          <w:tcPr>
            <w:tcW w:w="734" w:type="dxa"/>
            <w:tcBorders>
              <w:top w:val="single" w:sz="8" w:space="0" w:color="AEAEAE"/>
              <w:left w:val="nil"/>
              <w:bottom w:val="single" w:sz="8" w:space="0" w:color="AEAEAE"/>
              <w:right w:val="nil"/>
            </w:tcBorders>
            <w:shd w:val="clear" w:color="auto" w:fill="E0E0E0"/>
          </w:tcPr>
          <w:p w14:paraId="1996680A" w14:textId="77777777" w:rsidR="008A0E25" w:rsidRPr="008A0E25" w:rsidRDefault="008A0E25" w:rsidP="008A0E25">
            <w:pPr>
              <w:pStyle w:val="BodyText"/>
              <w:ind w:left="142"/>
              <w:rPr>
                <w:rFonts w:ascii="Times New Roman" w:hAnsi="Times New Roman" w:cs="Times New Roman"/>
                <w:sz w:val="18"/>
                <w:szCs w:val="18"/>
              </w:rPr>
            </w:pPr>
            <w:r w:rsidRPr="008A0E25">
              <w:rPr>
                <w:rFonts w:ascii="Times New Roman" w:hAnsi="Times New Roman" w:cs="Times New Roman"/>
                <w:sz w:val="18"/>
                <w:szCs w:val="18"/>
              </w:rPr>
              <w:t>Q1R</w:t>
            </w:r>
          </w:p>
        </w:tc>
        <w:tc>
          <w:tcPr>
            <w:tcW w:w="1025" w:type="dxa"/>
            <w:tcBorders>
              <w:top w:val="single" w:sz="8" w:space="0" w:color="AEAEAE"/>
              <w:left w:val="nil"/>
              <w:bottom w:val="single" w:sz="8" w:space="0" w:color="AEAEAE"/>
              <w:right w:val="single" w:sz="8" w:space="0" w:color="E0E0E0"/>
            </w:tcBorders>
            <w:shd w:val="clear" w:color="auto" w:fill="FFFFFF"/>
          </w:tcPr>
          <w:p w14:paraId="3A220BAB" w14:textId="77777777" w:rsidR="008A0E25" w:rsidRPr="008A0E25" w:rsidRDefault="008A0E25" w:rsidP="008A0E25">
            <w:pPr>
              <w:pStyle w:val="BodyText"/>
              <w:ind w:left="142"/>
              <w:rPr>
                <w:rFonts w:ascii="Times New Roman" w:hAnsi="Times New Roman" w:cs="Times New Roman"/>
                <w:sz w:val="18"/>
                <w:szCs w:val="18"/>
              </w:rPr>
            </w:pPr>
          </w:p>
        </w:tc>
        <w:tc>
          <w:tcPr>
            <w:tcW w:w="1025" w:type="dxa"/>
            <w:tcBorders>
              <w:top w:val="single" w:sz="8" w:space="0" w:color="AEAEAE"/>
              <w:left w:val="single" w:sz="8" w:space="0" w:color="E0E0E0"/>
              <w:bottom w:val="single" w:sz="8" w:space="0" w:color="AEAEAE"/>
              <w:right w:val="single" w:sz="8" w:space="0" w:color="E0E0E0"/>
            </w:tcBorders>
            <w:shd w:val="clear" w:color="auto" w:fill="FFFFFF"/>
          </w:tcPr>
          <w:p w14:paraId="47267643" w14:textId="77777777" w:rsidR="008A0E25" w:rsidRPr="008A0E25" w:rsidRDefault="008A0E25" w:rsidP="008A0E25">
            <w:pPr>
              <w:pStyle w:val="BodyText"/>
              <w:ind w:left="142"/>
              <w:rPr>
                <w:rFonts w:ascii="Times New Roman" w:hAnsi="Times New Roman" w:cs="Times New Roman"/>
                <w:sz w:val="18"/>
                <w:szCs w:val="18"/>
              </w:rPr>
            </w:pPr>
            <w:r w:rsidRPr="008A0E25">
              <w:rPr>
                <w:rFonts w:ascii="Times New Roman" w:hAnsi="Times New Roman" w:cs="Times New Roman"/>
                <w:sz w:val="18"/>
                <w:szCs w:val="18"/>
              </w:rPr>
              <w:t>-.614</w:t>
            </w:r>
          </w:p>
        </w:tc>
        <w:tc>
          <w:tcPr>
            <w:tcW w:w="1025" w:type="dxa"/>
            <w:tcBorders>
              <w:top w:val="single" w:sz="8" w:space="0" w:color="AEAEAE"/>
              <w:left w:val="single" w:sz="8" w:space="0" w:color="E0E0E0"/>
              <w:bottom w:val="single" w:sz="8" w:space="0" w:color="AEAEAE"/>
              <w:right w:val="nil"/>
            </w:tcBorders>
            <w:shd w:val="clear" w:color="auto" w:fill="FFFFFF"/>
          </w:tcPr>
          <w:p w14:paraId="2993CBB2" w14:textId="77777777" w:rsidR="008A0E25" w:rsidRPr="008A0E25" w:rsidRDefault="008A0E25" w:rsidP="008A0E25">
            <w:pPr>
              <w:pStyle w:val="BodyText"/>
              <w:ind w:left="142"/>
              <w:rPr>
                <w:rFonts w:ascii="Times New Roman" w:hAnsi="Times New Roman" w:cs="Times New Roman"/>
                <w:sz w:val="18"/>
                <w:szCs w:val="18"/>
              </w:rPr>
            </w:pPr>
          </w:p>
        </w:tc>
      </w:tr>
      <w:tr w:rsidR="008A0E25" w:rsidRPr="008A0E25" w14:paraId="623D722B" w14:textId="77777777" w:rsidTr="00074C6F">
        <w:trPr>
          <w:cantSplit/>
        </w:trPr>
        <w:tc>
          <w:tcPr>
            <w:tcW w:w="734" w:type="dxa"/>
            <w:tcBorders>
              <w:top w:val="single" w:sz="8" w:space="0" w:color="AEAEAE"/>
              <w:left w:val="nil"/>
              <w:bottom w:val="single" w:sz="8" w:space="0" w:color="AEAEAE"/>
              <w:right w:val="nil"/>
            </w:tcBorders>
            <w:shd w:val="clear" w:color="auto" w:fill="E0E0E0"/>
          </w:tcPr>
          <w:p w14:paraId="0C74811C" w14:textId="77777777" w:rsidR="008A0E25" w:rsidRPr="008A0E25" w:rsidRDefault="008A0E25" w:rsidP="008A0E25">
            <w:pPr>
              <w:pStyle w:val="BodyText"/>
              <w:ind w:left="142"/>
              <w:rPr>
                <w:rFonts w:ascii="Times New Roman" w:hAnsi="Times New Roman" w:cs="Times New Roman"/>
                <w:sz w:val="18"/>
                <w:szCs w:val="18"/>
              </w:rPr>
            </w:pPr>
            <w:r w:rsidRPr="008A0E25">
              <w:rPr>
                <w:rFonts w:ascii="Times New Roman" w:hAnsi="Times New Roman" w:cs="Times New Roman"/>
                <w:sz w:val="18"/>
                <w:szCs w:val="18"/>
              </w:rPr>
              <w:t>Q5R</w:t>
            </w:r>
          </w:p>
        </w:tc>
        <w:tc>
          <w:tcPr>
            <w:tcW w:w="1025" w:type="dxa"/>
            <w:tcBorders>
              <w:top w:val="single" w:sz="8" w:space="0" w:color="AEAEAE"/>
              <w:left w:val="nil"/>
              <w:bottom w:val="single" w:sz="8" w:space="0" w:color="AEAEAE"/>
              <w:right w:val="single" w:sz="8" w:space="0" w:color="E0E0E0"/>
            </w:tcBorders>
            <w:shd w:val="clear" w:color="auto" w:fill="FFFFFF"/>
          </w:tcPr>
          <w:p w14:paraId="6C89C03F" w14:textId="77777777" w:rsidR="008A0E25" w:rsidRPr="008A0E25" w:rsidRDefault="008A0E25" w:rsidP="008A0E25">
            <w:pPr>
              <w:pStyle w:val="BodyText"/>
              <w:ind w:left="142"/>
              <w:rPr>
                <w:rFonts w:ascii="Times New Roman" w:hAnsi="Times New Roman" w:cs="Times New Roman"/>
                <w:sz w:val="18"/>
                <w:szCs w:val="18"/>
              </w:rPr>
            </w:pPr>
          </w:p>
        </w:tc>
        <w:tc>
          <w:tcPr>
            <w:tcW w:w="1025" w:type="dxa"/>
            <w:tcBorders>
              <w:top w:val="single" w:sz="8" w:space="0" w:color="AEAEAE"/>
              <w:left w:val="single" w:sz="8" w:space="0" w:color="E0E0E0"/>
              <w:bottom w:val="single" w:sz="8" w:space="0" w:color="AEAEAE"/>
              <w:right w:val="single" w:sz="8" w:space="0" w:color="E0E0E0"/>
            </w:tcBorders>
            <w:shd w:val="clear" w:color="auto" w:fill="FFFFFF"/>
          </w:tcPr>
          <w:p w14:paraId="7BA1301D" w14:textId="77777777" w:rsidR="008A0E25" w:rsidRPr="008A0E25" w:rsidRDefault="008A0E25" w:rsidP="008A0E25">
            <w:pPr>
              <w:pStyle w:val="BodyText"/>
              <w:ind w:left="142"/>
              <w:rPr>
                <w:rFonts w:ascii="Times New Roman" w:hAnsi="Times New Roman" w:cs="Times New Roman"/>
                <w:sz w:val="18"/>
                <w:szCs w:val="18"/>
              </w:rPr>
            </w:pPr>
            <w:r w:rsidRPr="008A0E25">
              <w:rPr>
                <w:rFonts w:ascii="Times New Roman" w:hAnsi="Times New Roman" w:cs="Times New Roman"/>
                <w:sz w:val="18"/>
                <w:szCs w:val="18"/>
              </w:rPr>
              <w:t>.608</w:t>
            </w:r>
          </w:p>
        </w:tc>
        <w:tc>
          <w:tcPr>
            <w:tcW w:w="1025" w:type="dxa"/>
            <w:tcBorders>
              <w:top w:val="single" w:sz="8" w:space="0" w:color="AEAEAE"/>
              <w:left w:val="single" w:sz="8" w:space="0" w:color="E0E0E0"/>
              <w:bottom w:val="single" w:sz="8" w:space="0" w:color="AEAEAE"/>
              <w:right w:val="nil"/>
            </w:tcBorders>
            <w:shd w:val="clear" w:color="auto" w:fill="FFFFFF"/>
          </w:tcPr>
          <w:p w14:paraId="71BFB2DB" w14:textId="77777777" w:rsidR="008A0E25" w:rsidRPr="008A0E25" w:rsidRDefault="008A0E25" w:rsidP="008A0E25">
            <w:pPr>
              <w:pStyle w:val="BodyText"/>
              <w:ind w:left="142"/>
              <w:rPr>
                <w:rFonts w:ascii="Times New Roman" w:hAnsi="Times New Roman" w:cs="Times New Roman"/>
                <w:sz w:val="18"/>
                <w:szCs w:val="18"/>
              </w:rPr>
            </w:pPr>
          </w:p>
        </w:tc>
      </w:tr>
      <w:tr w:rsidR="008A0E25" w:rsidRPr="008A0E25" w14:paraId="6C341FE0" w14:textId="77777777" w:rsidTr="00074C6F">
        <w:trPr>
          <w:cantSplit/>
        </w:trPr>
        <w:tc>
          <w:tcPr>
            <w:tcW w:w="734" w:type="dxa"/>
            <w:tcBorders>
              <w:top w:val="single" w:sz="8" w:space="0" w:color="AEAEAE"/>
              <w:left w:val="nil"/>
              <w:bottom w:val="single" w:sz="8" w:space="0" w:color="AEAEAE"/>
              <w:right w:val="nil"/>
            </w:tcBorders>
            <w:shd w:val="clear" w:color="auto" w:fill="E0E0E0"/>
          </w:tcPr>
          <w:p w14:paraId="6A51CA23" w14:textId="77777777" w:rsidR="008A0E25" w:rsidRPr="008A0E25" w:rsidRDefault="008A0E25" w:rsidP="008A0E25">
            <w:pPr>
              <w:pStyle w:val="BodyText"/>
              <w:ind w:left="142"/>
              <w:rPr>
                <w:rFonts w:ascii="Times New Roman" w:hAnsi="Times New Roman" w:cs="Times New Roman"/>
                <w:sz w:val="18"/>
                <w:szCs w:val="18"/>
              </w:rPr>
            </w:pPr>
            <w:r w:rsidRPr="008A0E25">
              <w:rPr>
                <w:rFonts w:ascii="Times New Roman" w:hAnsi="Times New Roman" w:cs="Times New Roman"/>
                <w:sz w:val="18"/>
                <w:szCs w:val="18"/>
              </w:rPr>
              <w:t>Q4R</w:t>
            </w:r>
          </w:p>
        </w:tc>
        <w:tc>
          <w:tcPr>
            <w:tcW w:w="1025" w:type="dxa"/>
            <w:tcBorders>
              <w:top w:val="single" w:sz="8" w:space="0" w:color="AEAEAE"/>
              <w:left w:val="nil"/>
              <w:bottom w:val="single" w:sz="8" w:space="0" w:color="AEAEAE"/>
              <w:right w:val="single" w:sz="8" w:space="0" w:color="E0E0E0"/>
            </w:tcBorders>
            <w:shd w:val="clear" w:color="auto" w:fill="FFFFFF"/>
          </w:tcPr>
          <w:p w14:paraId="5EC49DD8" w14:textId="77777777" w:rsidR="008A0E25" w:rsidRPr="008A0E25" w:rsidRDefault="008A0E25" w:rsidP="008A0E25">
            <w:pPr>
              <w:pStyle w:val="BodyText"/>
              <w:ind w:left="142"/>
              <w:rPr>
                <w:rFonts w:ascii="Times New Roman" w:hAnsi="Times New Roman" w:cs="Times New Roman"/>
                <w:sz w:val="18"/>
                <w:szCs w:val="18"/>
              </w:rPr>
            </w:pPr>
          </w:p>
        </w:tc>
        <w:tc>
          <w:tcPr>
            <w:tcW w:w="1025" w:type="dxa"/>
            <w:tcBorders>
              <w:top w:val="single" w:sz="8" w:space="0" w:color="AEAEAE"/>
              <w:left w:val="single" w:sz="8" w:space="0" w:color="E0E0E0"/>
              <w:bottom w:val="single" w:sz="8" w:space="0" w:color="AEAEAE"/>
              <w:right w:val="single" w:sz="8" w:space="0" w:color="E0E0E0"/>
            </w:tcBorders>
            <w:shd w:val="clear" w:color="auto" w:fill="FFFFFF"/>
          </w:tcPr>
          <w:p w14:paraId="37E84E59" w14:textId="77777777" w:rsidR="008A0E25" w:rsidRPr="008A0E25" w:rsidRDefault="008A0E25" w:rsidP="008A0E25">
            <w:pPr>
              <w:pStyle w:val="BodyText"/>
              <w:ind w:left="142"/>
              <w:rPr>
                <w:rFonts w:ascii="Times New Roman" w:hAnsi="Times New Roman" w:cs="Times New Roman"/>
                <w:sz w:val="18"/>
                <w:szCs w:val="18"/>
              </w:rPr>
            </w:pPr>
            <w:r w:rsidRPr="008A0E25">
              <w:rPr>
                <w:rFonts w:ascii="Times New Roman" w:hAnsi="Times New Roman" w:cs="Times New Roman"/>
                <w:sz w:val="18"/>
                <w:szCs w:val="18"/>
              </w:rPr>
              <w:t>-.607</w:t>
            </w:r>
          </w:p>
        </w:tc>
        <w:tc>
          <w:tcPr>
            <w:tcW w:w="1025" w:type="dxa"/>
            <w:tcBorders>
              <w:top w:val="single" w:sz="8" w:space="0" w:color="AEAEAE"/>
              <w:left w:val="single" w:sz="8" w:space="0" w:color="E0E0E0"/>
              <w:bottom w:val="single" w:sz="8" w:space="0" w:color="AEAEAE"/>
              <w:right w:val="nil"/>
            </w:tcBorders>
            <w:shd w:val="clear" w:color="auto" w:fill="FFFFFF"/>
          </w:tcPr>
          <w:p w14:paraId="66126EDE" w14:textId="77777777" w:rsidR="008A0E25" w:rsidRPr="008A0E25" w:rsidRDefault="008A0E25" w:rsidP="008A0E25">
            <w:pPr>
              <w:pStyle w:val="BodyText"/>
              <w:ind w:left="142"/>
              <w:rPr>
                <w:rFonts w:ascii="Times New Roman" w:hAnsi="Times New Roman" w:cs="Times New Roman"/>
                <w:sz w:val="18"/>
                <w:szCs w:val="18"/>
              </w:rPr>
            </w:pPr>
          </w:p>
        </w:tc>
      </w:tr>
      <w:tr w:rsidR="008A0E25" w:rsidRPr="008A0E25" w14:paraId="75EAD2A6" w14:textId="77777777" w:rsidTr="00074C6F">
        <w:trPr>
          <w:cantSplit/>
        </w:trPr>
        <w:tc>
          <w:tcPr>
            <w:tcW w:w="734" w:type="dxa"/>
            <w:tcBorders>
              <w:top w:val="single" w:sz="8" w:space="0" w:color="AEAEAE"/>
              <w:left w:val="nil"/>
              <w:bottom w:val="single" w:sz="8" w:space="0" w:color="AEAEAE"/>
              <w:right w:val="nil"/>
            </w:tcBorders>
            <w:shd w:val="clear" w:color="auto" w:fill="E0E0E0"/>
          </w:tcPr>
          <w:p w14:paraId="26B7BD6D" w14:textId="77777777" w:rsidR="008A0E25" w:rsidRPr="008A0E25" w:rsidRDefault="008A0E25" w:rsidP="008A0E25">
            <w:pPr>
              <w:pStyle w:val="BodyText"/>
              <w:ind w:left="142"/>
              <w:rPr>
                <w:rFonts w:ascii="Times New Roman" w:hAnsi="Times New Roman" w:cs="Times New Roman"/>
                <w:sz w:val="18"/>
                <w:szCs w:val="18"/>
              </w:rPr>
            </w:pPr>
            <w:r w:rsidRPr="008A0E25">
              <w:rPr>
                <w:rFonts w:ascii="Times New Roman" w:hAnsi="Times New Roman" w:cs="Times New Roman"/>
                <w:sz w:val="18"/>
                <w:szCs w:val="18"/>
              </w:rPr>
              <w:t>Q6R</w:t>
            </w:r>
          </w:p>
        </w:tc>
        <w:tc>
          <w:tcPr>
            <w:tcW w:w="1025" w:type="dxa"/>
            <w:tcBorders>
              <w:top w:val="single" w:sz="8" w:space="0" w:color="AEAEAE"/>
              <w:left w:val="nil"/>
              <w:bottom w:val="single" w:sz="8" w:space="0" w:color="AEAEAE"/>
              <w:right w:val="single" w:sz="8" w:space="0" w:color="E0E0E0"/>
            </w:tcBorders>
            <w:shd w:val="clear" w:color="auto" w:fill="FFFFFF"/>
          </w:tcPr>
          <w:p w14:paraId="71EACB8C" w14:textId="77777777" w:rsidR="008A0E25" w:rsidRPr="008A0E25" w:rsidRDefault="008A0E25" w:rsidP="008A0E25">
            <w:pPr>
              <w:pStyle w:val="BodyText"/>
              <w:ind w:left="142"/>
              <w:rPr>
                <w:rFonts w:ascii="Times New Roman" w:hAnsi="Times New Roman" w:cs="Times New Roman"/>
                <w:sz w:val="18"/>
                <w:szCs w:val="18"/>
              </w:rPr>
            </w:pPr>
          </w:p>
        </w:tc>
        <w:tc>
          <w:tcPr>
            <w:tcW w:w="1025" w:type="dxa"/>
            <w:tcBorders>
              <w:top w:val="single" w:sz="8" w:space="0" w:color="AEAEAE"/>
              <w:left w:val="single" w:sz="8" w:space="0" w:color="E0E0E0"/>
              <w:bottom w:val="single" w:sz="8" w:space="0" w:color="AEAEAE"/>
              <w:right w:val="single" w:sz="8" w:space="0" w:color="E0E0E0"/>
            </w:tcBorders>
            <w:shd w:val="clear" w:color="auto" w:fill="FFFFFF"/>
          </w:tcPr>
          <w:p w14:paraId="578FA89A" w14:textId="77777777" w:rsidR="008A0E25" w:rsidRPr="008A0E25" w:rsidRDefault="008A0E25" w:rsidP="008A0E25">
            <w:pPr>
              <w:pStyle w:val="BodyText"/>
              <w:ind w:left="142"/>
              <w:rPr>
                <w:rFonts w:ascii="Times New Roman" w:hAnsi="Times New Roman" w:cs="Times New Roman"/>
                <w:sz w:val="18"/>
                <w:szCs w:val="18"/>
              </w:rPr>
            </w:pPr>
          </w:p>
        </w:tc>
        <w:tc>
          <w:tcPr>
            <w:tcW w:w="1025" w:type="dxa"/>
            <w:tcBorders>
              <w:top w:val="single" w:sz="8" w:space="0" w:color="AEAEAE"/>
              <w:left w:val="single" w:sz="8" w:space="0" w:color="E0E0E0"/>
              <w:bottom w:val="single" w:sz="8" w:space="0" w:color="AEAEAE"/>
              <w:right w:val="nil"/>
            </w:tcBorders>
            <w:shd w:val="clear" w:color="auto" w:fill="FFFFFF"/>
          </w:tcPr>
          <w:p w14:paraId="3D4407C5" w14:textId="77777777" w:rsidR="008A0E25" w:rsidRPr="008A0E25" w:rsidRDefault="008A0E25" w:rsidP="008A0E25">
            <w:pPr>
              <w:pStyle w:val="BodyText"/>
              <w:ind w:left="142"/>
              <w:rPr>
                <w:rFonts w:ascii="Times New Roman" w:hAnsi="Times New Roman" w:cs="Times New Roman"/>
                <w:sz w:val="18"/>
                <w:szCs w:val="18"/>
              </w:rPr>
            </w:pPr>
            <w:r w:rsidRPr="008A0E25">
              <w:rPr>
                <w:rFonts w:ascii="Times New Roman" w:hAnsi="Times New Roman" w:cs="Times New Roman"/>
                <w:sz w:val="18"/>
                <w:szCs w:val="18"/>
              </w:rPr>
              <w:t>.774</w:t>
            </w:r>
          </w:p>
        </w:tc>
      </w:tr>
      <w:tr w:rsidR="008A0E25" w:rsidRPr="008A0E25" w14:paraId="2356CE26" w14:textId="77777777" w:rsidTr="00074C6F">
        <w:trPr>
          <w:cantSplit/>
        </w:trPr>
        <w:tc>
          <w:tcPr>
            <w:tcW w:w="734" w:type="dxa"/>
            <w:tcBorders>
              <w:top w:val="single" w:sz="8" w:space="0" w:color="AEAEAE"/>
              <w:left w:val="nil"/>
              <w:bottom w:val="single" w:sz="8" w:space="0" w:color="152935"/>
              <w:right w:val="nil"/>
            </w:tcBorders>
            <w:shd w:val="clear" w:color="auto" w:fill="E0E0E0"/>
          </w:tcPr>
          <w:p w14:paraId="4CA03273" w14:textId="77777777" w:rsidR="008A0E25" w:rsidRPr="008A0E25" w:rsidRDefault="008A0E25" w:rsidP="008A0E25">
            <w:pPr>
              <w:pStyle w:val="BodyText"/>
              <w:ind w:left="142"/>
              <w:rPr>
                <w:rFonts w:ascii="Times New Roman" w:hAnsi="Times New Roman" w:cs="Times New Roman"/>
                <w:sz w:val="18"/>
                <w:szCs w:val="18"/>
              </w:rPr>
            </w:pPr>
            <w:r w:rsidRPr="008A0E25">
              <w:rPr>
                <w:rFonts w:ascii="Times New Roman" w:hAnsi="Times New Roman" w:cs="Times New Roman"/>
                <w:sz w:val="18"/>
                <w:szCs w:val="18"/>
              </w:rPr>
              <w:t>Q7R</w:t>
            </w:r>
          </w:p>
        </w:tc>
        <w:tc>
          <w:tcPr>
            <w:tcW w:w="1025" w:type="dxa"/>
            <w:tcBorders>
              <w:top w:val="single" w:sz="8" w:space="0" w:color="AEAEAE"/>
              <w:left w:val="nil"/>
              <w:bottom w:val="single" w:sz="8" w:space="0" w:color="152935"/>
              <w:right w:val="single" w:sz="8" w:space="0" w:color="E0E0E0"/>
            </w:tcBorders>
            <w:shd w:val="clear" w:color="auto" w:fill="FFFFFF"/>
          </w:tcPr>
          <w:p w14:paraId="38BC4144" w14:textId="77777777" w:rsidR="008A0E25" w:rsidRPr="008A0E25" w:rsidRDefault="008A0E25" w:rsidP="008A0E25">
            <w:pPr>
              <w:pStyle w:val="BodyText"/>
              <w:ind w:left="142"/>
              <w:rPr>
                <w:rFonts w:ascii="Times New Roman" w:hAnsi="Times New Roman" w:cs="Times New Roman"/>
                <w:sz w:val="18"/>
                <w:szCs w:val="18"/>
              </w:rPr>
            </w:pPr>
          </w:p>
        </w:tc>
        <w:tc>
          <w:tcPr>
            <w:tcW w:w="1025" w:type="dxa"/>
            <w:tcBorders>
              <w:top w:val="single" w:sz="8" w:space="0" w:color="AEAEAE"/>
              <w:left w:val="single" w:sz="8" w:space="0" w:color="E0E0E0"/>
              <w:bottom w:val="single" w:sz="8" w:space="0" w:color="152935"/>
              <w:right w:val="single" w:sz="8" w:space="0" w:color="E0E0E0"/>
            </w:tcBorders>
            <w:shd w:val="clear" w:color="auto" w:fill="FFFFFF"/>
          </w:tcPr>
          <w:p w14:paraId="29209F3A" w14:textId="77777777" w:rsidR="008A0E25" w:rsidRPr="008A0E25" w:rsidRDefault="008A0E25" w:rsidP="008A0E25">
            <w:pPr>
              <w:pStyle w:val="BodyText"/>
              <w:ind w:left="142"/>
              <w:rPr>
                <w:rFonts w:ascii="Times New Roman" w:hAnsi="Times New Roman" w:cs="Times New Roman"/>
                <w:sz w:val="18"/>
                <w:szCs w:val="18"/>
              </w:rPr>
            </w:pPr>
          </w:p>
        </w:tc>
        <w:tc>
          <w:tcPr>
            <w:tcW w:w="1025" w:type="dxa"/>
            <w:tcBorders>
              <w:top w:val="single" w:sz="8" w:space="0" w:color="AEAEAE"/>
              <w:left w:val="single" w:sz="8" w:space="0" w:color="E0E0E0"/>
              <w:bottom w:val="single" w:sz="8" w:space="0" w:color="152935"/>
              <w:right w:val="nil"/>
            </w:tcBorders>
            <w:shd w:val="clear" w:color="auto" w:fill="FFFFFF"/>
          </w:tcPr>
          <w:p w14:paraId="63893F85" w14:textId="77777777" w:rsidR="008A0E25" w:rsidRPr="008A0E25" w:rsidRDefault="008A0E25" w:rsidP="008A0E25">
            <w:pPr>
              <w:pStyle w:val="BodyText"/>
              <w:ind w:left="142"/>
              <w:rPr>
                <w:rFonts w:ascii="Times New Roman" w:hAnsi="Times New Roman" w:cs="Times New Roman"/>
                <w:sz w:val="18"/>
                <w:szCs w:val="18"/>
              </w:rPr>
            </w:pPr>
            <w:r w:rsidRPr="008A0E25">
              <w:rPr>
                <w:rFonts w:ascii="Times New Roman" w:hAnsi="Times New Roman" w:cs="Times New Roman"/>
                <w:sz w:val="18"/>
                <w:szCs w:val="18"/>
              </w:rPr>
              <w:t>-.766</w:t>
            </w:r>
          </w:p>
        </w:tc>
      </w:tr>
      <w:tr w:rsidR="008A0E25" w:rsidRPr="008A0E25" w14:paraId="32C42213" w14:textId="77777777" w:rsidTr="00074C6F">
        <w:trPr>
          <w:cantSplit/>
        </w:trPr>
        <w:tc>
          <w:tcPr>
            <w:tcW w:w="3809" w:type="dxa"/>
            <w:gridSpan w:val="4"/>
            <w:tcBorders>
              <w:top w:val="nil"/>
              <w:left w:val="nil"/>
              <w:bottom w:val="nil"/>
              <w:right w:val="nil"/>
            </w:tcBorders>
            <w:shd w:val="clear" w:color="auto" w:fill="FFFFFF"/>
          </w:tcPr>
          <w:p w14:paraId="542F52CF" w14:textId="77777777" w:rsidR="008A0E25" w:rsidRPr="008A0E25" w:rsidRDefault="008A0E25" w:rsidP="008A0E25">
            <w:pPr>
              <w:pStyle w:val="BodyText"/>
              <w:ind w:left="142"/>
              <w:rPr>
                <w:rFonts w:ascii="Times New Roman" w:hAnsi="Times New Roman" w:cs="Times New Roman"/>
                <w:sz w:val="18"/>
                <w:szCs w:val="18"/>
              </w:rPr>
            </w:pPr>
            <w:r w:rsidRPr="008A0E25">
              <w:rPr>
                <w:rFonts w:ascii="Times New Roman" w:hAnsi="Times New Roman" w:cs="Times New Roman"/>
                <w:sz w:val="18"/>
                <w:szCs w:val="18"/>
              </w:rPr>
              <w:t xml:space="preserve">Extraction Method: Principal Component Analysis. </w:t>
            </w:r>
          </w:p>
          <w:p w14:paraId="3688A238" w14:textId="77777777" w:rsidR="008A0E25" w:rsidRPr="008A0E25" w:rsidRDefault="008A0E25" w:rsidP="008A0E25">
            <w:pPr>
              <w:pStyle w:val="BodyText"/>
              <w:ind w:left="142"/>
              <w:rPr>
                <w:rFonts w:ascii="Times New Roman" w:hAnsi="Times New Roman" w:cs="Times New Roman"/>
                <w:sz w:val="18"/>
                <w:szCs w:val="18"/>
              </w:rPr>
            </w:pPr>
            <w:r w:rsidRPr="008A0E25">
              <w:rPr>
                <w:rFonts w:ascii="Times New Roman" w:hAnsi="Times New Roman" w:cs="Times New Roman"/>
                <w:sz w:val="18"/>
                <w:szCs w:val="18"/>
              </w:rPr>
              <w:t xml:space="preserve"> Rotation Method: Varimax with Kaiser Normalization.</w:t>
            </w:r>
          </w:p>
        </w:tc>
      </w:tr>
      <w:tr w:rsidR="008A0E25" w:rsidRPr="008A0E25" w14:paraId="4A05D658" w14:textId="77777777" w:rsidTr="00074C6F">
        <w:trPr>
          <w:cantSplit/>
        </w:trPr>
        <w:tc>
          <w:tcPr>
            <w:tcW w:w="3809" w:type="dxa"/>
            <w:gridSpan w:val="4"/>
            <w:tcBorders>
              <w:top w:val="nil"/>
              <w:left w:val="nil"/>
              <w:bottom w:val="nil"/>
              <w:right w:val="nil"/>
            </w:tcBorders>
            <w:shd w:val="clear" w:color="auto" w:fill="FFFFFF"/>
          </w:tcPr>
          <w:p w14:paraId="295C03AD" w14:textId="77777777" w:rsidR="008A0E25" w:rsidRPr="008A0E25" w:rsidRDefault="008A0E25" w:rsidP="008A0E25">
            <w:pPr>
              <w:pStyle w:val="BodyText"/>
              <w:ind w:left="142"/>
              <w:rPr>
                <w:rFonts w:ascii="Times New Roman" w:hAnsi="Times New Roman" w:cs="Times New Roman"/>
                <w:sz w:val="18"/>
                <w:szCs w:val="18"/>
              </w:rPr>
            </w:pPr>
            <w:r w:rsidRPr="008A0E25">
              <w:rPr>
                <w:rFonts w:ascii="Times New Roman" w:hAnsi="Times New Roman" w:cs="Times New Roman"/>
                <w:sz w:val="18"/>
                <w:szCs w:val="18"/>
              </w:rPr>
              <w:t>a. Rotation converged in 4 iterations.</w:t>
            </w:r>
          </w:p>
        </w:tc>
      </w:tr>
    </w:tbl>
    <w:p w14:paraId="2D9E1D66" w14:textId="2729BB46" w:rsidR="0071211D" w:rsidRPr="00493E97" w:rsidRDefault="0071211D" w:rsidP="00493E97">
      <w:pPr>
        <w:pStyle w:val="BodyText"/>
        <w:ind w:left="142"/>
        <w:rPr>
          <w:rFonts w:ascii="Times New Roman" w:hAnsi="Times New Roman" w:cs="Times New Roman"/>
        </w:rPr>
      </w:pPr>
      <w:r w:rsidRPr="0071211D">
        <w:rPr>
          <w:rFonts w:ascii="Times New Roman" w:hAnsi="Times New Roman" w:cs="Times New Roman"/>
        </w:rPr>
        <w:t>In summary, the Varimax-rotated component matrix presents an optimized, elegant 3-factor solution. The complete absence of cross-loadings confirms that the items are conceptually distinct and map onto separate dimensions cleanly. While Component 1 represents a uniform construct, Components 2 and 3 display clear bipolar properties, revealing crucial inverse relationships among the variables that must be accounted for in subsequent statistical modeling.</w:t>
      </w:r>
    </w:p>
    <w:p w14:paraId="000D8DC7" w14:textId="77777777" w:rsidR="00825AF2" w:rsidRDefault="003E03FD" w:rsidP="00493E97">
      <w:pPr>
        <w:pStyle w:val="BodyText"/>
        <w:ind w:left="142"/>
        <w:rPr>
          <w:rFonts w:ascii="Times New Roman" w:hAnsi="Times New Roman" w:cs="Times New Roman"/>
        </w:rPr>
      </w:pPr>
      <w:r w:rsidRPr="00FE7843">
        <w:rPr>
          <w:rFonts w:ascii="Times New Roman" w:hAnsi="Times New Roman" w:cs="Times New Roman"/>
        </w:rPr>
        <w:t>Academic Commentary &amp; Contextual Integration</w:t>
      </w:r>
    </w:p>
    <w:p w14:paraId="7C716118" w14:textId="77777777" w:rsidR="00493E97" w:rsidRDefault="003E03FD" w:rsidP="00493E97">
      <w:pPr>
        <w:pStyle w:val="BodyText"/>
        <w:ind w:left="142"/>
        <w:rPr>
          <w:rFonts w:ascii="Times New Roman" w:hAnsi="Times New Roman" w:cs="Times New Roman"/>
        </w:rPr>
      </w:pPr>
      <w:r w:rsidRPr="00F131D0">
        <w:rPr>
          <w:rFonts w:ascii="Times New Roman" w:hAnsi="Times New Roman" w:cs="Times New Roman"/>
          <w:i/>
          <w:iCs/>
        </w:rPr>
        <w:t>Behavioral Engagement and Situational Motivation</w:t>
      </w:r>
      <w:r w:rsidRPr="003E03FD">
        <w:rPr>
          <w:rFonts w:ascii="Times New Roman" w:hAnsi="Times New Roman" w:cs="Times New Roman"/>
        </w:rPr>
        <w:t xml:space="preserve"> (Q1, Q3, &amp; Q6)</w:t>
      </w:r>
    </w:p>
    <w:p w14:paraId="50FC1A70" w14:textId="77777777" w:rsidR="00493E97" w:rsidRDefault="00AF4FAA" w:rsidP="00493E97">
      <w:pPr>
        <w:pStyle w:val="BodyText"/>
        <w:ind w:left="142"/>
        <w:rPr>
          <w:rFonts w:ascii="Times New Roman" w:hAnsi="Times New Roman" w:cs="Times New Roman"/>
        </w:rPr>
      </w:pPr>
      <w:r>
        <w:rPr>
          <w:rFonts w:ascii="Times New Roman" w:hAnsi="Times New Roman" w:cs="Times New Roman"/>
        </w:rPr>
        <w:t>To respond to RQ1, t</w:t>
      </w:r>
      <w:r w:rsidR="003E03FD" w:rsidRPr="003E03FD">
        <w:rPr>
          <w:rFonts w:ascii="Times New Roman" w:hAnsi="Times New Roman" w:cs="Times New Roman"/>
        </w:rPr>
        <w:t xml:space="preserve">he descriptive metrics underscore a distinctly positive trend in student engagement. Half of the cohort reported unconditional active participation, while a slim majority noticed a direct boost in interest and translation motivation. From the perspective of Cognitive Load Theory (CLT), this phenomenon is explained by the capacity of GenAI to significantly decrease </w:t>
      </w:r>
      <w:r w:rsidR="003E03FD" w:rsidRPr="003E03FD">
        <w:rPr>
          <w:rFonts w:ascii="Times New Roman" w:hAnsi="Times New Roman" w:cs="Times New Roman"/>
          <w:i/>
          <w:iCs/>
        </w:rPr>
        <w:t>extraneous cognitive load</w:t>
      </w:r>
      <w:r w:rsidR="003E03FD" w:rsidRPr="003E03FD">
        <w:rPr>
          <w:rFonts w:ascii="Times New Roman" w:hAnsi="Times New Roman" w:cs="Times New Roman"/>
        </w:rPr>
        <w:t>. By instantly handling preliminary lexical lookup and initial clause drafting, AI eliminates tedious mechanical tasks, letting students dedicate more cognitive resources (</w:t>
      </w:r>
      <w:r w:rsidR="003E03FD" w:rsidRPr="003E03FD">
        <w:rPr>
          <w:rFonts w:ascii="Times New Roman" w:hAnsi="Times New Roman" w:cs="Times New Roman"/>
          <w:i/>
          <w:iCs/>
        </w:rPr>
        <w:t>germane load</w:t>
      </w:r>
      <w:r w:rsidR="003E03FD" w:rsidRPr="003E03FD">
        <w:rPr>
          <w:rFonts w:ascii="Times New Roman" w:hAnsi="Times New Roman" w:cs="Times New Roman"/>
        </w:rPr>
        <w:t xml:space="preserve">) to deep syntactic mapping and structural refinements. </w:t>
      </w:r>
    </w:p>
    <w:p w14:paraId="3E80C7C4" w14:textId="77777777" w:rsidR="003E03FD" w:rsidRPr="00F131D0" w:rsidRDefault="003E03FD" w:rsidP="003E03FD">
      <w:pPr>
        <w:pStyle w:val="Heading3"/>
        <w:rPr>
          <w:rFonts w:ascii="Times New Roman" w:hAnsi="Times New Roman" w:cs="Times New Roman"/>
          <w:i/>
          <w:iCs/>
          <w:color w:val="auto"/>
          <w:sz w:val="24"/>
          <w:szCs w:val="24"/>
        </w:rPr>
      </w:pPr>
      <w:r w:rsidRPr="00F131D0">
        <w:rPr>
          <w:rFonts w:ascii="Times New Roman" w:hAnsi="Times New Roman" w:cs="Times New Roman"/>
          <w:i/>
          <w:iCs/>
          <w:color w:val="auto"/>
          <w:sz w:val="24"/>
          <w:szCs w:val="24"/>
        </w:rPr>
        <w:lastRenderedPageBreak/>
        <w:t>Critical Inquiry and Constructivist Metacognition (Q7 &amp; Q8)</w:t>
      </w:r>
    </w:p>
    <w:p w14:paraId="6D7C7BB9" w14:textId="5C9E569F" w:rsidR="003E03FD" w:rsidRPr="00D2618A" w:rsidRDefault="001126DC" w:rsidP="003E03FD">
      <w:pPr>
        <w:pStyle w:val="Heading3"/>
        <w:rPr>
          <w:rFonts w:ascii="Times New Roman" w:hAnsi="Times New Roman" w:cs="Times New Roman"/>
          <w:color w:val="auto"/>
          <w:sz w:val="24"/>
          <w:szCs w:val="24"/>
        </w:rPr>
      </w:pPr>
      <w:r>
        <w:rPr>
          <w:rFonts w:ascii="Times New Roman" w:hAnsi="Times New Roman" w:cs="Times New Roman"/>
          <w:color w:val="auto"/>
          <w:sz w:val="24"/>
          <w:szCs w:val="24"/>
        </w:rPr>
        <w:t>For RQ2, t</w:t>
      </w:r>
      <w:r w:rsidR="003E03FD" w:rsidRPr="00D2618A">
        <w:rPr>
          <w:rFonts w:ascii="Times New Roman" w:hAnsi="Times New Roman" w:cs="Times New Roman"/>
          <w:color w:val="auto"/>
          <w:sz w:val="24"/>
          <w:szCs w:val="24"/>
        </w:rPr>
        <w:t xml:space="preserve">he highest positive margins in the entire dataset emerged within the critical inquiry indices. An overwhelming 63.2% of students explicitly reported seeking external verification and critically cross-examining machine-generated outputs. </w:t>
      </w:r>
    </w:p>
    <w:p w14:paraId="24C16EB9" w14:textId="77777777" w:rsidR="003E03FD" w:rsidRPr="00D2618A" w:rsidRDefault="003E03FD" w:rsidP="003E03FD">
      <w:pPr>
        <w:pStyle w:val="Heading3"/>
        <w:rPr>
          <w:rFonts w:ascii="Times New Roman" w:hAnsi="Times New Roman" w:cs="Times New Roman"/>
          <w:color w:val="auto"/>
          <w:sz w:val="24"/>
          <w:szCs w:val="24"/>
        </w:rPr>
      </w:pPr>
      <w:r w:rsidRPr="00D2618A">
        <w:rPr>
          <w:rFonts w:ascii="Times New Roman" w:hAnsi="Times New Roman" w:cs="Times New Roman"/>
          <w:color w:val="auto"/>
          <w:sz w:val="24"/>
          <w:szCs w:val="24"/>
        </w:rPr>
        <w:t xml:space="preserve">This provides compelling evidence against the common academic concern that generative AI promotes intellectual passivity or lazy copying. Instead, within the context of Social Constructivism, the AI system serves as an interactive "more knowledgeable other" or an automated foil. It generates options that stimulate meta-linguistic critique. </w:t>
      </w:r>
    </w:p>
    <w:p w14:paraId="3985909C" w14:textId="4775623C" w:rsidR="003E03FD" w:rsidRPr="00D2618A" w:rsidRDefault="003E03FD" w:rsidP="003E03FD">
      <w:pPr>
        <w:pStyle w:val="Heading3"/>
        <w:rPr>
          <w:rFonts w:ascii="Times New Roman" w:hAnsi="Times New Roman" w:cs="Times New Roman"/>
          <w:color w:val="auto"/>
          <w:sz w:val="24"/>
          <w:szCs w:val="24"/>
        </w:rPr>
      </w:pPr>
      <w:r w:rsidRPr="00D2618A">
        <w:rPr>
          <w:rFonts w:ascii="Times New Roman" w:hAnsi="Times New Roman" w:cs="Times New Roman"/>
          <w:color w:val="auto"/>
          <w:sz w:val="24"/>
          <w:szCs w:val="24"/>
        </w:rPr>
        <w:t xml:space="preserve">Because Vietnamese and English have completely different structural characteristics (such as topic-prominence vs. subject-prominence), AI translations frequently sound unnatural or structurally flawed. The data shows that students do not simply accept these answers. Instead, the flaws in AI outputs act as an instructional scaffold, prompting students to negotiate meaning, verify rules, and justify their final editing choices. </w:t>
      </w:r>
    </w:p>
    <w:p w14:paraId="671C54B8" w14:textId="19316DF4" w:rsidR="00E27AB7" w:rsidRPr="00D2618A" w:rsidRDefault="00000000">
      <w:pPr>
        <w:pStyle w:val="Heading3"/>
        <w:rPr>
          <w:rFonts w:ascii="Times New Roman" w:hAnsi="Times New Roman" w:cs="Times New Roman"/>
          <w:color w:val="auto"/>
          <w:sz w:val="24"/>
          <w:szCs w:val="24"/>
        </w:rPr>
      </w:pPr>
      <w:r w:rsidRPr="00D2618A">
        <w:rPr>
          <w:rFonts w:ascii="Times New Roman" w:hAnsi="Times New Roman" w:cs="Times New Roman"/>
          <w:color w:val="auto"/>
          <w:sz w:val="24"/>
          <w:szCs w:val="24"/>
        </w:rPr>
        <w:t>4.</w:t>
      </w:r>
      <w:r w:rsidR="00D2618A" w:rsidRPr="00D2618A">
        <w:rPr>
          <w:rFonts w:ascii="Times New Roman" w:hAnsi="Times New Roman" w:cs="Times New Roman"/>
          <w:color w:val="auto"/>
          <w:sz w:val="24"/>
          <w:szCs w:val="24"/>
        </w:rPr>
        <w:t>2</w:t>
      </w:r>
      <w:r w:rsidRPr="00D2618A">
        <w:rPr>
          <w:rFonts w:ascii="Times New Roman" w:hAnsi="Times New Roman" w:cs="Times New Roman"/>
          <w:color w:val="auto"/>
          <w:sz w:val="24"/>
          <w:szCs w:val="24"/>
        </w:rPr>
        <w:t xml:space="preserve"> Student Engagement and Motivation</w:t>
      </w:r>
    </w:p>
    <w:p w14:paraId="44EB0BBB" w14:textId="77777777" w:rsidR="00E27AB7" w:rsidRPr="00D2618A" w:rsidRDefault="00000000">
      <w:pPr>
        <w:pStyle w:val="FirstParagraph"/>
        <w:rPr>
          <w:rFonts w:ascii="Times New Roman" w:hAnsi="Times New Roman" w:cs="Times New Roman"/>
        </w:rPr>
      </w:pPr>
      <w:r w:rsidRPr="00D2618A">
        <w:rPr>
          <w:rFonts w:ascii="Times New Roman" w:hAnsi="Times New Roman" w:cs="Times New Roman"/>
        </w:rPr>
        <w:t>Survey data revealed that a substantial proportion of students reported active participation and heightened interest when AI was incorporated into TMT exercises. While only a minority selected an unqualified affirmative response, the majority indicated partial engagement, suggesting cautious optimism rather than uncritical acceptance.</w:t>
      </w:r>
    </w:p>
    <w:p w14:paraId="082DEC90" w14:textId="65BB0988" w:rsidR="00E27AB7" w:rsidRPr="00D2618A" w:rsidRDefault="00000000">
      <w:pPr>
        <w:pStyle w:val="Heading3"/>
        <w:rPr>
          <w:rFonts w:ascii="Times New Roman" w:hAnsi="Times New Roman" w:cs="Times New Roman"/>
          <w:color w:val="auto"/>
          <w:sz w:val="24"/>
          <w:szCs w:val="24"/>
        </w:rPr>
      </w:pPr>
      <w:bookmarkStart w:id="15" w:name="collaboration-and-critical-inquiry"/>
      <w:bookmarkEnd w:id="13"/>
      <w:r w:rsidRPr="00D2618A">
        <w:rPr>
          <w:rFonts w:ascii="Times New Roman" w:hAnsi="Times New Roman" w:cs="Times New Roman"/>
          <w:color w:val="auto"/>
          <w:sz w:val="24"/>
          <w:szCs w:val="24"/>
        </w:rPr>
        <w:t>4.</w:t>
      </w:r>
      <w:r w:rsidR="00D2618A" w:rsidRPr="00D2618A">
        <w:rPr>
          <w:rFonts w:ascii="Times New Roman" w:hAnsi="Times New Roman" w:cs="Times New Roman"/>
          <w:color w:val="auto"/>
          <w:sz w:val="24"/>
          <w:szCs w:val="24"/>
        </w:rPr>
        <w:t>3</w:t>
      </w:r>
      <w:r w:rsidRPr="00D2618A">
        <w:rPr>
          <w:rFonts w:ascii="Times New Roman" w:hAnsi="Times New Roman" w:cs="Times New Roman"/>
          <w:color w:val="auto"/>
          <w:sz w:val="24"/>
          <w:szCs w:val="24"/>
        </w:rPr>
        <w:t xml:space="preserve"> Collaboration and Critical Inquiry</w:t>
      </w:r>
    </w:p>
    <w:p w14:paraId="64D90BCE" w14:textId="39B69926" w:rsidR="00E27AB7" w:rsidRPr="00D2618A" w:rsidRDefault="001126DC">
      <w:pPr>
        <w:pStyle w:val="FirstParagraph"/>
        <w:rPr>
          <w:rFonts w:ascii="Times New Roman" w:hAnsi="Times New Roman" w:cs="Times New Roman"/>
        </w:rPr>
      </w:pPr>
      <w:r>
        <w:rPr>
          <w:rFonts w:ascii="Times New Roman" w:hAnsi="Times New Roman" w:cs="Times New Roman"/>
        </w:rPr>
        <w:t>For RQ3, s</w:t>
      </w:r>
      <w:r w:rsidRPr="00D2618A">
        <w:rPr>
          <w:rFonts w:ascii="Times New Roman" w:hAnsi="Times New Roman" w:cs="Times New Roman"/>
        </w:rPr>
        <w:t>tudents demonstrated moderate levels of peer collaboration and inquiry into AI outputs. Notably, a significant percentage reported asking questions or seeking clarification, indicating that AI use did not entirely suppress critical engagement.</w:t>
      </w:r>
    </w:p>
    <w:p w14:paraId="75A6C037" w14:textId="1540D655" w:rsidR="00E27AB7" w:rsidRPr="00D2618A" w:rsidRDefault="00000000">
      <w:pPr>
        <w:pStyle w:val="Heading3"/>
        <w:rPr>
          <w:rFonts w:ascii="Times New Roman" w:hAnsi="Times New Roman" w:cs="Times New Roman"/>
          <w:color w:val="auto"/>
          <w:sz w:val="24"/>
          <w:szCs w:val="24"/>
        </w:rPr>
      </w:pPr>
      <w:bookmarkStart w:id="16" w:name="perceived-learning-improvement"/>
      <w:bookmarkEnd w:id="15"/>
      <w:r w:rsidRPr="00D2618A">
        <w:rPr>
          <w:rFonts w:ascii="Times New Roman" w:hAnsi="Times New Roman" w:cs="Times New Roman"/>
          <w:color w:val="auto"/>
          <w:sz w:val="24"/>
          <w:szCs w:val="24"/>
        </w:rPr>
        <w:t>4.</w:t>
      </w:r>
      <w:r w:rsidR="00D2618A" w:rsidRPr="00D2618A">
        <w:rPr>
          <w:rFonts w:ascii="Times New Roman" w:hAnsi="Times New Roman" w:cs="Times New Roman"/>
          <w:color w:val="auto"/>
          <w:sz w:val="24"/>
          <w:szCs w:val="24"/>
        </w:rPr>
        <w:t>4</w:t>
      </w:r>
      <w:r w:rsidRPr="00D2618A">
        <w:rPr>
          <w:rFonts w:ascii="Times New Roman" w:hAnsi="Times New Roman" w:cs="Times New Roman"/>
          <w:color w:val="auto"/>
          <w:sz w:val="24"/>
          <w:szCs w:val="24"/>
        </w:rPr>
        <w:t xml:space="preserve"> Perceived Learning Improvement</w:t>
      </w:r>
    </w:p>
    <w:p w14:paraId="1928EAC7" w14:textId="3249F046" w:rsidR="00E27AB7" w:rsidRPr="00D2618A" w:rsidRDefault="001126DC">
      <w:pPr>
        <w:pStyle w:val="FirstParagraph"/>
        <w:rPr>
          <w:rFonts w:ascii="Times New Roman" w:hAnsi="Times New Roman" w:cs="Times New Roman"/>
        </w:rPr>
      </w:pPr>
      <w:proofErr w:type="gramStart"/>
      <w:r>
        <w:rPr>
          <w:rFonts w:ascii="Times New Roman" w:hAnsi="Times New Roman" w:cs="Times New Roman"/>
        </w:rPr>
        <w:t>Also</w:t>
      </w:r>
      <w:proofErr w:type="gramEnd"/>
      <w:r>
        <w:rPr>
          <w:rFonts w:ascii="Times New Roman" w:hAnsi="Times New Roman" w:cs="Times New Roman"/>
        </w:rPr>
        <w:t xml:space="preserve"> for RQ3, m</w:t>
      </w:r>
      <w:r w:rsidRPr="00D2618A">
        <w:rPr>
          <w:rFonts w:ascii="Times New Roman" w:hAnsi="Times New Roman" w:cs="Times New Roman"/>
        </w:rPr>
        <w:t>ore than half of the respondents reported partial improvement in working with TMT exercises through AI engagement. This finding underscores the importance of instructional mediation: AI alone does not guarantee learning gains.</w:t>
      </w:r>
    </w:p>
    <w:p w14:paraId="5980B118" w14:textId="734E1A2D" w:rsidR="00E27AB7" w:rsidRPr="00D2618A" w:rsidRDefault="00B23A95">
      <w:pPr>
        <w:pStyle w:val="Heading2"/>
        <w:rPr>
          <w:rFonts w:ascii="Times New Roman" w:hAnsi="Times New Roman" w:cs="Times New Roman"/>
          <w:color w:val="auto"/>
          <w:sz w:val="24"/>
          <w:szCs w:val="24"/>
        </w:rPr>
      </w:pPr>
      <w:bookmarkStart w:id="17" w:name="Xecf248b74f36a8333ab06b0ce33c1d390355703"/>
      <w:bookmarkEnd w:id="14"/>
      <w:bookmarkEnd w:id="16"/>
      <w:r w:rsidRPr="00D2618A">
        <w:rPr>
          <w:rFonts w:ascii="Times New Roman" w:hAnsi="Times New Roman" w:cs="Times New Roman"/>
          <w:color w:val="auto"/>
          <w:sz w:val="24"/>
          <w:szCs w:val="24"/>
        </w:rPr>
        <w:t>4.</w:t>
      </w:r>
      <w:r w:rsidR="00D2618A" w:rsidRPr="00D2618A">
        <w:rPr>
          <w:rFonts w:ascii="Times New Roman" w:hAnsi="Times New Roman" w:cs="Times New Roman"/>
          <w:color w:val="auto"/>
          <w:sz w:val="24"/>
          <w:szCs w:val="24"/>
        </w:rPr>
        <w:t>5</w:t>
      </w:r>
      <w:r w:rsidRPr="00D2618A">
        <w:rPr>
          <w:rFonts w:ascii="Times New Roman" w:hAnsi="Times New Roman" w:cs="Times New Roman"/>
          <w:color w:val="auto"/>
          <w:sz w:val="24"/>
          <w:szCs w:val="24"/>
        </w:rPr>
        <w:t xml:space="preserve"> Instructional Framework for AI-Assisted Structural Translation</w:t>
      </w:r>
    </w:p>
    <w:p w14:paraId="28EB1566" w14:textId="146B6E4B" w:rsidR="00E27978" w:rsidRPr="00D2618A" w:rsidRDefault="00E27978" w:rsidP="00E27978">
      <w:pPr>
        <w:pStyle w:val="BodyText"/>
        <w:rPr>
          <w:rFonts w:ascii="Times New Roman" w:hAnsi="Times New Roman" w:cs="Times New Roman"/>
        </w:rPr>
      </w:pPr>
      <w:r w:rsidRPr="00D2618A">
        <w:rPr>
          <w:rFonts w:ascii="Times New Roman" w:hAnsi="Times New Roman" w:cs="Times New Roman"/>
        </w:rPr>
        <w:t>This study is grounded in social constructivism (Vygotsky, 1978), cognitive load theory (</w:t>
      </w:r>
      <w:proofErr w:type="spellStart"/>
      <w:r w:rsidRPr="00D2618A">
        <w:rPr>
          <w:rFonts w:ascii="Times New Roman" w:hAnsi="Times New Roman" w:cs="Times New Roman"/>
        </w:rPr>
        <w:t>Sweller</w:t>
      </w:r>
      <w:proofErr w:type="spellEnd"/>
      <w:r w:rsidRPr="00D2618A">
        <w:rPr>
          <w:rFonts w:ascii="Times New Roman" w:hAnsi="Times New Roman" w:cs="Times New Roman"/>
        </w:rPr>
        <w:t xml:space="preserve"> et al., 2019). AI functions as a mediational scaffold that reduces extraneous load while stimulating collaborative knowledge construction and critical evaluation. Within </w:t>
      </w:r>
      <w:proofErr w:type="spellStart"/>
      <w:r w:rsidRPr="00D2618A">
        <w:rPr>
          <w:rFonts w:ascii="Times New Roman" w:hAnsi="Times New Roman" w:cs="Times New Roman"/>
        </w:rPr>
        <w:t>transinterpretation</w:t>
      </w:r>
      <w:proofErr w:type="spellEnd"/>
      <w:r w:rsidRPr="00D2618A">
        <w:rPr>
          <w:rFonts w:ascii="Times New Roman" w:hAnsi="Times New Roman" w:cs="Times New Roman"/>
        </w:rPr>
        <w:t xml:space="preserve"> pedagogy, learning emerges through guided interaction with AI outputs, where instructor editorial intervention ensures structural rigor and interpretive competence.</w:t>
      </w:r>
    </w:p>
    <w:p w14:paraId="3916C601" w14:textId="72AB1525" w:rsidR="00E27AB7" w:rsidRPr="00D2618A" w:rsidRDefault="00B23A95">
      <w:pPr>
        <w:pStyle w:val="Heading3"/>
        <w:rPr>
          <w:rFonts w:ascii="Times New Roman" w:hAnsi="Times New Roman" w:cs="Times New Roman"/>
          <w:color w:val="auto"/>
          <w:sz w:val="24"/>
          <w:szCs w:val="24"/>
        </w:rPr>
      </w:pPr>
      <w:bookmarkStart w:id="18" w:name="structure-selection"/>
      <w:r w:rsidRPr="00D2618A">
        <w:rPr>
          <w:rFonts w:ascii="Times New Roman" w:hAnsi="Times New Roman" w:cs="Times New Roman"/>
          <w:color w:val="auto"/>
          <w:sz w:val="24"/>
          <w:szCs w:val="24"/>
        </w:rPr>
        <w:t>4.</w:t>
      </w:r>
      <w:r w:rsidR="00D2618A" w:rsidRPr="00D2618A">
        <w:rPr>
          <w:rFonts w:ascii="Times New Roman" w:hAnsi="Times New Roman" w:cs="Times New Roman"/>
          <w:color w:val="auto"/>
          <w:sz w:val="24"/>
          <w:szCs w:val="24"/>
        </w:rPr>
        <w:t>6</w:t>
      </w:r>
      <w:r w:rsidRPr="00D2618A">
        <w:rPr>
          <w:rFonts w:ascii="Times New Roman" w:hAnsi="Times New Roman" w:cs="Times New Roman"/>
          <w:color w:val="auto"/>
          <w:sz w:val="24"/>
          <w:szCs w:val="24"/>
        </w:rPr>
        <w:t xml:space="preserve"> Structure Selection</w:t>
      </w:r>
    </w:p>
    <w:p w14:paraId="39B6D780" w14:textId="57977D87" w:rsidR="00E27AB7" w:rsidRPr="00D2618A" w:rsidRDefault="00030539">
      <w:pPr>
        <w:pStyle w:val="FirstParagraph"/>
        <w:rPr>
          <w:rFonts w:ascii="Times New Roman" w:hAnsi="Times New Roman" w:cs="Times New Roman"/>
        </w:rPr>
      </w:pPr>
      <w:proofErr w:type="gramStart"/>
      <w:r>
        <w:rPr>
          <w:rFonts w:ascii="Times New Roman" w:hAnsi="Times New Roman" w:cs="Times New Roman"/>
        </w:rPr>
        <w:t>Also</w:t>
      </w:r>
      <w:proofErr w:type="gramEnd"/>
      <w:r>
        <w:rPr>
          <w:rFonts w:ascii="Times New Roman" w:hAnsi="Times New Roman" w:cs="Times New Roman"/>
        </w:rPr>
        <w:t xml:space="preserve"> for RQ2, e</w:t>
      </w:r>
      <w:r w:rsidRPr="00D2618A">
        <w:rPr>
          <w:rFonts w:ascii="Times New Roman" w:hAnsi="Times New Roman" w:cs="Times New Roman"/>
        </w:rPr>
        <w:t xml:space="preserve">ffective exercise design begins with careful selection of grammatical structures aligned with course objectives. Structures such as </w:t>
      </w:r>
      <w:r w:rsidRPr="00030539">
        <w:rPr>
          <w:rFonts w:ascii="Times New Roman" w:hAnsi="Times New Roman" w:cs="Times New Roman"/>
          <w:i/>
          <w:iCs/>
        </w:rPr>
        <w:t>inversion, participle clauses, modal perfects, and cleft sentences</w:t>
      </w:r>
      <w:r w:rsidRPr="00D2618A">
        <w:rPr>
          <w:rFonts w:ascii="Times New Roman" w:hAnsi="Times New Roman" w:cs="Times New Roman"/>
        </w:rPr>
        <w:t xml:space="preserve"> were identified as pedagogically valuable. Structures deemed overly basic were excluded to maintain cognitive challenge.</w:t>
      </w:r>
    </w:p>
    <w:p w14:paraId="367619C0" w14:textId="3B2F5196" w:rsidR="00E27AB7" w:rsidRPr="00D2618A" w:rsidRDefault="00B23A95">
      <w:pPr>
        <w:pStyle w:val="Heading3"/>
        <w:rPr>
          <w:rFonts w:ascii="Times New Roman" w:hAnsi="Times New Roman" w:cs="Times New Roman"/>
          <w:color w:val="auto"/>
          <w:sz w:val="24"/>
          <w:szCs w:val="24"/>
        </w:rPr>
      </w:pPr>
      <w:bookmarkStart w:id="19" w:name="vocabulary-domain-selection"/>
      <w:bookmarkEnd w:id="18"/>
      <w:r w:rsidRPr="00D2618A">
        <w:rPr>
          <w:rFonts w:ascii="Times New Roman" w:hAnsi="Times New Roman" w:cs="Times New Roman"/>
          <w:color w:val="auto"/>
          <w:sz w:val="24"/>
          <w:szCs w:val="24"/>
        </w:rPr>
        <w:lastRenderedPageBreak/>
        <w:t>4.</w:t>
      </w:r>
      <w:r w:rsidR="00D2618A" w:rsidRPr="00D2618A">
        <w:rPr>
          <w:rFonts w:ascii="Times New Roman" w:hAnsi="Times New Roman" w:cs="Times New Roman"/>
          <w:color w:val="auto"/>
          <w:sz w:val="24"/>
          <w:szCs w:val="24"/>
        </w:rPr>
        <w:t xml:space="preserve">7 </w:t>
      </w:r>
      <w:r w:rsidRPr="00D2618A">
        <w:rPr>
          <w:rFonts w:ascii="Times New Roman" w:hAnsi="Times New Roman" w:cs="Times New Roman"/>
          <w:color w:val="auto"/>
          <w:sz w:val="24"/>
          <w:szCs w:val="24"/>
        </w:rPr>
        <w:t>Vocabulary Domain Selection</w:t>
      </w:r>
    </w:p>
    <w:p w14:paraId="6BC6A2D4" w14:textId="77777777" w:rsidR="00E27AB7" w:rsidRPr="00D2618A" w:rsidRDefault="00000000">
      <w:pPr>
        <w:pStyle w:val="FirstParagraph"/>
        <w:rPr>
          <w:rFonts w:ascii="Times New Roman" w:hAnsi="Times New Roman" w:cs="Times New Roman"/>
        </w:rPr>
      </w:pPr>
      <w:r w:rsidRPr="00D2618A">
        <w:rPr>
          <w:rFonts w:ascii="Times New Roman" w:hAnsi="Times New Roman" w:cs="Times New Roman"/>
        </w:rPr>
        <w:t>To enhance authenticity and motivation, domain-specific vocabulary—particularly from criminal law—was integrated. This thematic focus allowed students to engage with socially relevant content while practicing complex structures.</w:t>
      </w:r>
    </w:p>
    <w:p w14:paraId="3E61952E" w14:textId="09CDFD67" w:rsidR="00E27AB7" w:rsidRPr="00D2618A" w:rsidRDefault="00B23A95">
      <w:pPr>
        <w:pStyle w:val="Heading3"/>
        <w:rPr>
          <w:rFonts w:ascii="Times New Roman" w:hAnsi="Times New Roman" w:cs="Times New Roman"/>
          <w:color w:val="auto"/>
          <w:sz w:val="24"/>
          <w:szCs w:val="24"/>
        </w:rPr>
      </w:pPr>
      <w:bookmarkStart w:id="20" w:name="phrasal-verbs-as-motivational-catalysts"/>
      <w:bookmarkEnd w:id="19"/>
      <w:r w:rsidRPr="00D2618A">
        <w:rPr>
          <w:rFonts w:ascii="Times New Roman" w:hAnsi="Times New Roman" w:cs="Times New Roman"/>
          <w:color w:val="auto"/>
          <w:sz w:val="24"/>
          <w:szCs w:val="24"/>
        </w:rPr>
        <w:t>4.</w:t>
      </w:r>
      <w:r w:rsidR="00D2618A" w:rsidRPr="00D2618A">
        <w:rPr>
          <w:rFonts w:ascii="Times New Roman" w:hAnsi="Times New Roman" w:cs="Times New Roman"/>
          <w:color w:val="auto"/>
          <w:sz w:val="24"/>
          <w:szCs w:val="24"/>
        </w:rPr>
        <w:t>8</w:t>
      </w:r>
      <w:r w:rsidRPr="00D2618A">
        <w:rPr>
          <w:rFonts w:ascii="Times New Roman" w:hAnsi="Times New Roman" w:cs="Times New Roman"/>
          <w:color w:val="auto"/>
          <w:sz w:val="24"/>
          <w:szCs w:val="24"/>
        </w:rPr>
        <w:t xml:space="preserve"> Phrasal Verbs as Motivational Catalysts</w:t>
      </w:r>
    </w:p>
    <w:p w14:paraId="40A4CA6C" w14:textId="7AC3C561" w:rsidR="00E27AB7" w:rsidRPr="00D2618A" w:rsidRDefault="00030539">
      <w:pPr>
        <w:pStyle w:val="FirstParagraph"/>
        <w:rPr>
          <w:rFonts w:ascii="Times New Roman" w:hAnsi="Times New Roman" w:cs="Times New Roman"/>
        </w:rPr>
      </w:pPr>
      <w:proofErr w:type="gramStart"/>
      <w:r>
        <w:rPr>
          <w:rFonts w:ascii="Times New Roman" w:hAnsi="Times New Roman" w:cs="Times New Roman"/>
        </w:rPr>
        <w:t>Also</w:t>
      </w:r>
      <w:proofErr w:type="gramEnd"/>
      <w:r>
        <w:rPr>
          <w:rFonts w:ascii="Times New Roman" w:hAnsi="Times New Roman" w:cs="Times New Roman"/>
        </w:rPr>
        <w:t xml:space="preserve"> for RQ2, p</w:t>
      </w:r>
      <w:r w:rsidRPr="00D2618A">
        <w:rPr>
          <w:rFonts w:ascii="Times New Roman" w:hAnsi="Times New Roman" w:cs="Times New Roman"/>
        </w:rPr>
        <w:t>hrasal verbs were incorporated as lexical focal points due to their semantic opacity and high communicative value. Their inclusion increased task difficulty in ways that AI could not trivially resolve.</w:t>
      </w:r>
    </w:p>
    <w:p w14:paraId="0CF65A5E" w14:textId="29E42E48" w:rsidR="00E27AB7" w:rsidRPr="00D2618A" w:rsidRDefault="00B23A95">
      <w:pPr>
        <w:pStyle w:val="Heading3"/>
        <w:rPr>
          <w:rFonts w:ascii="Times New Roman" w:hAnsi="Times New Roman" w:cs="Times New Roman"/>
          <w:color w:val="auto"/>
          <w:sz w:val="24"/>
          <w:szCs w:val="24"/>
        </w:rPr>
      </w:pPr>
      <w:bookmarkStart w:id="21" w:name="editorial-enhancement"/>
      <w:bookmarkEnd w:id="20"/>
      <w:r w:rsidRPr="00D2618A">
        <w:rPr>
          <w:rFonts w:ascii="Times New Roman" w:hAnsi="Times New Roman" w:cs="Times New Roman"/>
          <w:color w:val="auto"/>
          <w:sz w:val="24"/>
          <w:szCs w:val="24"/>
        </w:rPr>
        <w:t>4.</w:t>
      </w:r>
      <w:r w:rsidR="00D2618A" w:rsidRPr="00D2618A">
        <w:rPr>
          <w:rFonts w:ascii="Times New Roman" w:hAnsi="Times New Roman" w:cs="Times New Roman"/>
          <w:color w:val="auto"/>
          <w:sz w:val="24"/>
          <w:szCs w:val="24"/>
        </w:rPr>
        <w:t>9</w:t>
      </w:r>
      <w:r w:rsidRPr="00D2618A">
        <w:rPr>
          <w:rFonts w:ascii="Times New Roman" w:hAnsi="Times New Roman" w:cs="Times New Roman"/>
          <w:color w:val="auto"/>
          <w:sz w:val="24"/>
          <w:szCs w:val="24"/>
        </w:rPr>
        <w:t xml:space="preserve"> Editorial Enhancement</w:t>
      </w:r>
    </w:p>
    <w:p w14:paraId="086E14F6" w14:textId="77777777" w:rsidR="0064641C" w:rsidRDefault="00000000" w:rsidP="0064641C">
      <w:pPr>
        <w:pStyle w:val="FirstParagraph"/>
        <w:rPr>
          <w:rFonts w:ascii="Times New Roman" w:hAnsi="Times New Roman" w:cs="Times New Roman"/>
        </w:rPr>
      </w:pPr>
      <w:r w:rsidRPr="00DF37F2">
        <w:rPr>
          <w:rFonts w:ascii="Times New Roman" w:hAnsi="Times New Roman" w:cs="Times New Roman"/>
        </w:rPr>
        <w:t>Instructor editing transformed AI-generated sentences</w:t>
      </w:r>
      <w:r w:rsidR="00D10C1C" w:rsidRPr="00DF37F2">
        <w:rPr>
          <w:rFonts w:ascii="Times New Roman" w:hAnsi="Times New Roman" w:cs="Times New Roman"/>
        </w:rPr>
        <w:t>/paragraph</w:t>
      </w:r>
      <w:r w:rsidRPr="00DF37F2">
        <w:rPr>
          <w:rFonts w:ascii="Times New Roman" w:hAnsi="Times New Roman" w:cs="Times New Roman"/>
        </w:rPr>
        <w:t xml:space="preserve"> into linguistically rich, contextually grounded tasks. This step proved essential for preventing monotony and fostering deeper cognitive processing.</w:t>
      </w:r>
    </w:p>
    <w:p w14:paraId="07442972" w14:textId="77777777" w:rsidR="0064641C" w:rsidRDefault="00AC620B" w:rsidP="0064641C">
      <w:pPr>
        <w:pStyle w:val="FirstParagraph"/>
        <w:rPr>
          <w:rFonts w:ascii="Times New Roman" w:hAnsi="Times New Roman" w:cs="Times New Roman"/>
          <w:b/>
          <w:bCs/>
        </w:rPr>
      </w:pPr>
      <w:r w:rsidRPr="00DF37F2">
        <w:rPr>
          <w:rFonts w:ascii="Times New Roman" w:hAnsi="Times New Roman" w:cs="Times New Roman"/>
          <w:b/>
          <w:bCs/>
        </w:rPr>
        <w:t>5. Discussion</w:t>
      </w:r>
      <w:bookmarkStart w:id="22" w:name="conclusion"/>
      <w:bookmarkEnd w:id="17"/>
      <w:bookmarkEnd w:id="21"/>
    </w:p>
    <w:p w14:paraId="2F24301C" w14:textId="77777777" w:rsidR="001B345D" w:rsidRPr="001B345D" w:rsidRDefault="001B345D" w:rsidP="001B345D">
      <w:pPr>
        <w:pStyle w:val="BodyText"/>
        <w:rPr>
          <w:rFonts w:ascii="Times New Roman" w:hAnsi="Times New Roman" w:cs="Times New Roman"/>
        </w:rPr>
      </w:pPr>
      <w:r w:rsidRPr="001B345D">
        <w:rPr>
          <w:rFonts w:ascii="Times New Roman" w:hAnsi="Times New Roman" w:cs="Times New Roman"/>
        </w:rPr>
        <w:t>This chapter synthesizes the empirical findings derived from the Principal Component Analysis (PCA) and the descriptive statistical data to provide a comprehensive, critical evaluation of how artificial intelligence (AI) functions within Translation and Machine Translation (TMT) pedagogy.</w:t>
      </w:r>
    </w:p>
    <w:p w14:paraId="1A567233" w14:textId="77777777" w:rsidR="001B345D" w:rsidRPr="001B345D" w:rsidRDefault="001B345D" w:rsidP="001B345D">
      <w:pPr>
        <w:pStyle w:val="BodyText"/>
        <w:rPr>
          <w:rFonts w:ascii="Times New Roman" w:hAnsi="Times New Roman" w:cs="Times New Roman"/>
        </w:rPr>
      </w:pPr>
      <w:r w:rsidRPr="001B345D">
        <w:rPr>
          <w:rFonts w:ascii="Times New Roman" w:hAnsi="Times New Roman" w:cs="Times New Roman"/>
        </w:rPr>
        <w:t>By merging the underlying mathematical factor structure with students' explicit behavioral responses, this discussion bridges the gap between statistical groupings and real-world pedagogical dynamics.</w:t>
      </w:r>
    </w:p>
    <w:p w14:paraId="0167C1B5" w14:textId="77777777" w:rsidR="001B345D" w:rsidRPr="001B345D" w:rsidRDefault="001B345D" w:rsidP="001B345D">
      <w:pPr>
        <w:pStyle w:val="BodyText"/>
        <w:rPr>
          <w:rFonts w:ascii="Times New Roman" w:hAnsi="Times New Roman" w:cs="Times New Roman"/>
        </w:rPr>
      </w:pPr>
      <w:r w:rsidRPr="001B345D">
        <w:rPr>
          <w:rFonts w:ascii="Times New Roman" w:hAnsi="Times New Roman" w:cs="Times New Roman"/>
        </w:rPr>
        <w:t>5.1 The Latent Dimensions of AI-Facilitated TMT Learning</w:t>
      </w:r>
    </w:p>
    <w:p w14:paraId="047EF28E" w14:textId="77777777" w:rsidR="001B345D" w:rsidRPr="001B345D" w:rsidRDefault="001B345D" w:rsidP="001B345D">
      <w:pPr>
        <w:pStyle w:val="BodyText"/>
        <w:rPr>
          <w:rFonts w:ascii="Times New Roman" w:hAnsi="Times New Roman" w:cs="Times New Roman"/>
        </w:rPr>
      </w:pPr>
      <w:r w:rsidRPr="001B345D">
        <w:rPr>
          <w:rFonts w:ascii="Times New Roman" w:hAnsi="Times New Roman" w:cs="Times New Roman"/>
        </w:rPr>
        <w:t xml:space="preserve">The PCA optimized the original 10-item instrument into a refined, highly stable 3-factor framework that explains </w:t>
      </w:r>
      <w:r w:rsidRPr="00573D98">
        <w:rPr>
          <w:rFonts w:ascii="Times New Roman" w:hAnsi="Times New Roman" w:cs="Times New Roman"/>
        </w:rPr>
        <w:t>58.85%</w:t>
      </w:r>
      <w:r w:rsidRPr="001B345D">
        <w:rPr>
          <w:rFonts w:ascii="Times New Roman" w:hAnsi="Times New Roman" w:cs="Times New Roman"/>
        </w:rPr>
        <w:t xml:space="preserve"> of the total variance. Rather than analyzing survey questions in isolation, this factor structure exposes the underlying cognitive, affective, and behavioral frameworks that govern how university students interact with educational AI.</w:t>
      </w:r>
    </w:p>
    <w:p w14:paraId="152BF51A" w14:textId="252B5EB0" w:rsidR="001B345D" w:rsidRPr="001B345D" w:rsidRDefault="001B345D" w:rsidP="001B345D">
      <w:pPr>
        <w:pStyle w:val="BodyText"/>
        <w:rPr>
          <w:rFonts w:ascii="Times New Roman" w:hAnsi="Times New Roman" w:cs="Times New Roman"/>
        </w:rPr>
      </w:pPr>
      <w:r w:rsidRPr="001B345D">
        <w:rPr>
          <w:rFonts w:ascii="Times New Roman" w:hAnsi="Times New Roman" w:cs="Times New Roman"/>
        </w:rPr>
        <w:t>┌─────────────────────────────────</w:t>
      </w:r>
    </w:p>
    <w:p w14:paraId="5266984E" w14:textId="2F34307C" w:rsidR="001B345D" w:rsidRPr="007A4DEA" w:rsidRDefault="001B345D" w:rsidP="001B345D">
      <w:pPr>
        <w:pStyle w:val="BodyText"/>
        <w:rPr>
          <w:rFonts w:ascii="Times New Roman" w:hAnsi="Times New Roman" w:cs="Times New Roman"/>
          <w:sz w:val="20"/>
          <w:szCs w:val="20"/>
        </w:rPr>
      </w:pPr>
      <w:r w:rsidRPr="001B345D">
        <w:rPr>
          <w:rFonts w:ascii="Times New Roman" w:hAnsi="Times New Roman" w:cs="Times New Roman"/>
        </w:rPr>
        <w:t xml:space="preserve">│              </w:t>
      </w:r>
      <w:r w:rsidRPr="007A4DEA">
        <w:rPr>
          <w:rFonts w:ascii="Times New Roman" w:hAnsi="Times New Roman" w:cs="Times New Roman"/>
          <w:sz w:val="20"/>
          <w:szCs w:val="20"/>
        </w:rPr>
        <w:t xml:space="preserve">TOTAL VARIANCE EXPLAINED: 58.85%                  </w:t>
      </w:r>
      <w:r w:rsidR="007A4DEA">
        <w:rPr>
          <w:rFonts w:ascii="Times New Roman" w:hAnsi="Times New Roman" w:cs="Times New Roman"/>
          <w:sz w:val="20"/>
          <w:szCs w:val="20"/>
        </w:rPr>
        <w:t xml:space="preserve">  </w:t>
      </w:r>
      <w:r w:rsidRPr="007A4DEA">
        <w:rPr>
          <w:rFonts w:ascii="Times New Roman" w:hAnsi="Times New Roman" w:cs="Times New Roman"/>
          <w:sz w:val="20"/>
          <w:szCs w:val="20"/>
        </w:rPr>
        <w:t xml:space="preserve"> │</w:t>
      </w:r>
    </w:p>
    <w:p w14:paraId="44EDC933" w14:textId="156F8A92" w:rsidR="001B345D" w:rsidRPr="007A4DEA" w:rsidRDefault="001B345D" w:rsidP="001B345D">
      <w:pPr>
        <w:pStyle w:val="BodyText"/>
        <w:rPr>
          <w:rFonts w:ascii="Times New Roman" w:hAnsi="Times New Roman" w:cs="Times New Roman"/>
          <w:sz w:val="20"/>
          <w:szCs w:val="20"/>
        </w:rPr>
      </w:pPr>
      <w:r w:rsidRPr="007A4DEA">
        <w:rPr>
          <w:rFonts w:ascii="Times New Roman" w:eastAsia="MS Gothic" w:hAnsi="Times New Roman" w:cs="Times New Roman"/>
          <w:sz w:val="20"/>
          <w:szCs w:val="20"/>
        </w:rPr>
        <w:t>├</w:t>
      </w:r>
      <w:r w:rsidRPr="007A4DEA">
        <w:rPr>
          <w:rFonts w:ascii="Times New Roman" w:hAnsi="Times New Roman" w:cs="Times New Roman"/>
          <w:sz w:val="20"/>
          <w:szCs w:val="20"/>
        </w:rPr>
        <w:t>───────────────────</w:t>
      </w:r>
      <w:r w:rsidRPr="007A4DEA">
        <w:rPr>
          <w:rFonts w:ascii="Times New Roman" w:eastAsia="MS Gothic" w:hAnsi="Times New Roman" w:cs="Times New Roman"/>
          <w:sz w:val="20"/>
          <w:szCs w:val="20"/>
        </w:rPr>
        <w:t>┬</w:t>
      </w:r>
      <w:r w:rsidRPr="007A4DEA">
        <w:rPr>
          <w:rFonts w:ascii="Times New Roman" w:hAnsi="Times New Roman" w:cs="Times New Roman"/>
          <w:sz w:val="20"/>
          <w:szCs w:val="20"/>
        </w:rPr>
        <w:t>──────────────────</w:t>
      </w:r>
    </w:p>
    <w:p w14:paraId="714C85E9" w14:textId="77777777" w:rsidR="001B345D" w:rsidRPr="007A4DEA" w:rsidRDefault="001B345D" w:rsidP="001B345D">
      <w:pPr>
        <w:pStyle w:val="BodyText"/>
        <w:rPr>
          <w:rFonts w:ascii="Times New Roman" w:hAnsi="Times New Roman" w:cs="Times New Roman"/>
          <w:sz w:val="20"/>
          <w:szCs w:val="20"/>
        </w:rPr>
      </w:pPr>
      <w:r w:rsidRPr="007A4DEA">
        <w:rPr>
          <w:rFonts w:ascii="Times New Roman" w:hAnsi="Times New Roman" w:cs="Times New Roman"/>
          <w:sz w:val="20"/>
          <w:szCs w:val="20"/>
        </w:rPr>
        <w:t>│    Component 1    │     Component 2      │     Component 3      │</w:t>
      </w:r>
    </w:p>
    <w:p w14:paraId="1FBA3A6D" w14:textId="77777777" w:rsidR="001B345D" w:rsidRPr="007A4DEA" w:rsidRDefault="001B345D" w:rsidP="001B345D">
      <w:pPr>
        <w:pStyle w:val="BodyText"/>
        <w:rPr>
          <w:rFonts w:ascii="Times New Roman" w:hAnsi="Times New Roman" w:cs="Times New Roman"/>
          <w:sz w:val="20"/>
          <w:szCs w:val="20"/>
        </w:rPr>
      </w:pPr>
      <w:proofErr w:type="gramStart"/>
      <w:r w:rsidRPr="007A4DEA">
        <w:rPr>
          <w:rFonts w:ascii="Times New Roman" w:hAnsi="Times New Roman" w:cs="Times New Roman"/>
          <w:sz w:val="20"/>
          <w:szCs w:val="20"/>
        </w:rPr>
        <w:t>│  Active</w:t>
      </w:r>
      <w:proofErr w:type="gramEnd"/>
      <w:r w:rsidRPr="007A4DEA">
        <w:rPr>
          <w:rFonts w:ascii="Times New Roman" w:hAnsi="Times New Roman" w:cs="Times New Roman"/>
          <w:sz w:val="20"/>
          <w:szCs w:val="20"/>
        </w:rPr>
        <w:t xml:space="preserve"> Growth </w:t>
      </w:r>
      <w:proofErr w:type="gramStart"/>
      <w:r w:rsidRPr="007A4DEA">
        <w:rPr>
          <w:rFonts w:ascii="Times New Roman" w:hAnsi="Times New Roman" w:cs="Times New Roman"/>
          <w:sz w:val="20"/>
          <w:szCs w:val="20"/>
        </w:rPr>
        <w:t>&amp;  │</w:t>
      </w:r>
      <w:proofErr w:type="gramEnd"/>
      <w:r w:rsidRPr="007A4DEA">
        <w:rPr>
          <w:rFonts w:ascii="Times New Roman" w:hAnsi="Times New Roman" w:cs="Times New Roman"/>
          <w:sz w:val="20"/>
          <w:szCs w:val="20"/>
        </w:rPr>
        <w:t xml:space="preserve"> Dynamic Motivation &amp; │ Individualization vs.│</w:t>
      </w:r>
    </w:p>
    <w:p w14:paraId="466027F6" w14:textId="77777777" w:rsidR="001B345D" w:rsidRPr="007A4DEA" w:rsidRDefault="001B345D" w:rsidP="001B345D">
      <w:pPr>
        <w:pStyle w:val="BodyText"/>
        <w:rPr>
          <w:rFonts w:ascii="Times New Roman" w:hAnsi="Times New Roman" w:cs="Times New Roman"/>
          <w:sz w:val="20"/>
          <w:szCs w:val="20"/>
        </w:rPr>
      </w:pPr>
      <w:r w:rsidRPr="007A4DEA">
        <w:rPr>
          <w:rFonts w:ascii="Times New Roman" w:hAnsi="Times New Roman" w:cs="Times New Roman"/>
          <w:sz w:val="20"/>
          <w:szCs w:val="20"/>
        </w:rPr>
        <w:t xml:space="preserve">│ Positive Adoption </w:t>
      </w:r>
      <w:proofErr w:type="gramStart"/>
      <w:r w:rsidRPr="007A4DEA">
        <w:rPr>
          <w:rFonts w:ascii="Times New Roman" w:hAnsi="Times New Roman" w:cs="Times New Roman"/>
          <w:sz w:val="20"/>
          <w:szCs w:val="20"/>
        </w:rPr>
        <w:t>│  Critical</w:t>
      </w:r>
      <w:proofErr w:type="gramEnd"/>
      <w:r w:rsidRPr="007A4DEA">
        <w:rPr>
          <w:rFonts w:ascii="Times New Roman" w:hAnsi="Times New Roman" w:cs="Times New Roman"/>
          <w:sz w:val="20"/>
          <w:szCs w:val="20"/>
        </w:rPr>
        <w:t xml:space="preserve"> Inquiry    </w:t>
      </w:r>
      <w:proofErr w:type="gramStart"/>
      <w:r w:rsidRPr="007A4DEA">
        <w:rPr>
          <w:rFonts w:ascii="Times New Roman" w:hAnsi="Times New Roman" w:cs="Times New Roman"/>
          <w:sz w:val="20"/>
          <w:szCs w:val="20"/>
        </w:rPr>
        <w:t>│  Collaborative</w:t>
      </w:r>
      <w:proofErr w:type="gramEnd"/>
      <w:r w:rsidRPr="007A4DEA">
        <w:rPr>
          <w:rFonts w:ascii="Times New Roman" w:hAnsi="Times New Roman" w:cs="Times New Roman"/>
          <w:sz w:val="20"/>
          <w:szCs w:val="20"/>
        </w:rPr>
        <w:t xml:space="preserve"> </w:t>
      </w:r>
      <w:proofErr w:type="gramStart"/>
      <w:r w:rsidRPr="007A4DEA">
        <w:rPr>
          <w:rFonts w:ascii="Times New Roman" w:hAnsi="Times New Roman" w:cs="Times New Roman"/>
          <w:sz w:val="20"/>
          <w:szCs w:val="20"/>
        </w:rPr>
        <w:t>Peer  │</w:t>
      </w:r>
      <w:proofErr w:type="gramEnd"/>
    </w:p>
    <w:p w14:paraId="71E9E354" w14:textId="77777777" w:rsidR="001B345D" w:rsidRPr="007A4DEA" w:rsidRDefault="001B345D" w:rsidP="001B345D">
      <w:pPr>
        <w:pStyle w:val="BodyText"/>
        <w:rPr>
          <w:rFonts w:ascii="Times New Roman" w:hAnsi="Times New Roman" w:cs="Times New Roman"/>
          <w:sz w:val="20"/>
          <w:szCs w:val="20"/>
        </w:rPr>
      </w:pPr>
      <w:r w:rsidRPr="007A4DEA">
        <w:rPr>
          <w:rFonts w:ascii="Times New Roman" w:hAnsi="Times New Roman" w:cs="Times New Roman"/>
          <w:sz w:val="20"/>
          <w:szCs w:val="20"/>
        </w:rPr>
        <w:t xml:space="preserve">│  </w:t>
      </w:r>
      <w:proofErr w:type="gramStart"/>
      <w:r w:rsidRPr="007A4DEA">
        <w:rPr>
          <w:rFonts w:ascii="Times New Roman" w:hAnsi="Times New Roman" w:cs="Times New Roman"/>
          <w:sz w:val="20"/>
          <w:szCs w:val="20"/>
        </w:rPr>
        <w:t xml:space="preserve">   (</w:t>
      </w:r>
      <w:proofErr w:type="gramEnd"/>
      <w:r w:rsidRPr="007A4DEA">
        <w:rPr>
          <w:rFonts w:ascii="Times New Roman" w:hAnsi="Times New Roman" w:cs="Times New Roman"/>
          <w:sz w:val="20"/>
          <w:szCs w:val="20"/>
        </w:rPr>
        <w:t>21.83</w:t>
      </w:r>
      <w:proofErr w:type="gramStart"/>
      <w:r w:rsidRPr="007A4DEA">
        <w:rPr>
          <w:rFonts w:ascii="Times New Roman" w:hAnsi="Times New Roman" w:cs="Times New Roman"/>
          <w:sz w:val="20"/>
          <w:szCs w:val="20"/>
        </w:rPr>
        <w:t xml:space="preserve">%)   </w:t>
      </w:r>
      <w:proofErr w:type="gramEnd"/>
      <w:r w:rsidRPr="007A4DEA">
        <w:rPr>
          <w:rFonts w:ascii="Times New Roman" w:hAnsi="Times New Roman" w:cs="Times New Roman"/>
          <w:sz w:val="20"/>
          <w:szCs w:val="20"/>
        </w:rPr>
        <w:t xml:space="preserve">   │    </w:t>
      </w:r>
      <w:proofErr w:type="gramStart"/>
      <w:r w:rsidRPr="007A4DEA">
        <w:rPr>
          <w:rFonts w:ascii="Times New Roman" w:hAnsi="Times New Roman" w:cs="Times New Roman"/>
          <w:sz w:val="20"/>
          <w:szCs w:val="20"/>
        </w:rPr>
        <w:t xml:space="preserve">   (</w:t>
      </w:r>
      <w:proofErr w:type="gramEnd"/>
      <w:r w:rsidRPr="007A4DEA">
        <w:rPr>
          <w:rFonts w:ascii="Times New Roman" w:hAnsi="Times New Roman" w:cs="Times New Roman"/>
          <w:sz w:val="20"/>
          <w:szCs w:val="20"/>
        </w:rPr>
        <w:t>18.95</w:t>
      </w:r>
      <w:proofErr w:type="gramStart"/>
      <w:r w:rsidRPr="007A4DEA">
        <w:rPr>
          <w:rFonts w:ascii="Times New Roman" w:hAnsi="Times New Roman" w:cs="Times New Roman"/>
          <w:sz w:val="20"/>
          <w:szCs w:val="20"/>
        </w:rPr>
        <w:t xml:space="preserve">%)   </w:t>
      </w:r>
      <w:proofErr w:type="gramEnd"/>
      <w:r w:rsidRPr="007A4DEA">
        <w:rPr>
          <w:rFonts w:ascii="Times New Roman" w:hAnsi="Times New Roman" w:cs="Times New Roman"/>
          <w:sz w:val="20"/>
          <w:szCs w:val="20"/>
        </w:rPr>
        <w:t xml:space="preserve">    │   Teamwork (18.07</w:t>
      </w:r>
      <w:proofErr w:type="gramStart"/>
      <w:r w:rsidRPr="007A4DEA">
        <w:rPr>
          <w:rFonts w:ascii="Times New Roman" w:hAnsi="Times New Roman" w:cs="Times New Roman"/>
          <w:sz w:val="20"/>
          <w:szCs w:val="20"/>
        </w:rPr>
        <w:t>%)  │</w:t>
      </w:r>
      <w:proofErr w:type="gramEnd"/>
    </w:p>
    <w:p w14:paraId="34C2FAFD" w14:textId="03DB58C2" w:rsidR="001B345D" w:rsidRPr="007A4DEA" w:rsidRDefault="001B345D" w:rsidP="001B345D">
      <w:pPr>
        <w:pStyle w:val="BodyText"/>
        <w:rPr>
          <w:rFonts w:ascii="Times New Roman" w:hAnsi="Times New Roman" w:cs="Times New Roman"/>
          <w:sz w:val="20"/>
          <w:szCs w:val="20"/>
        </w:rPr>
      </w:pPr>
      <w:r w:rsidRPr="007A4DEA">
        <w:rPr>
          <w:rFonts w:ascii="Times New Roman" w:hAnsi="Times New Roman" w:cs="Times New Roman"/>
          <w:sz w:val="20"/>
          <w:szCs w:val="20"/>
        </w:rPr>
        <w:t>└───────────────────</w:t>
      </w:r>
      <w:r w:rsidRPr="007A4DEA">
        <w:rPr>
          <w:rFonts w:ascii="Times New Roman" w:eastAsia="MS Gothic" w:hAnsi="Times New Roman" w:cs="Times New Roman"/>
          <w:sz w:val="20"/>
          <w:szCs w:val="20"/>
        </w:rPr>
        <w:t>┴</w:t>
      </w:r>
      <w:r w:rsidRPr="007A4DEA">
        <w:rPr>
          <w:rFonts w:ascii="Times New Roman" w:hAnsi="Times New Roman" w:cs="Times New Roman"/>
          <w:sz w:val="20"/>
          <w:szCs w:val="20"/>
        </w:rPr>
        <w:t>────────────────────</w:t>
      </w:r>
    </w:p>
    <w:p w14:paraId="37237DEC" w14:textId="77777777" w:rsidR="001B345D" w:rsidRPr="001B345D" w:rsidRDefault="001B345D" w:rsidP="001B345D">
      <w:pPr>
        <w:pStyle w:val="BodyText"/>
        <w:rPr>
          <w:rFonts w:ascii="Times New Roman" w:hAnsi="Times New Roman" w:cs="Times New Roman"/>
        </w:rPr>
      </w:pPr>
      <w:r w:rsidRPr="001B345D">
        <w:rPr>
          <w:rFonts w:ascii="Times New Roman" w:hAnsi="Times New Roman" w:cs="Times New Roman"/>
        </w:rPr>
        <w:t>The data distinctly groups into three core dimensions:</w:t>
      </w:r>
    </w:p>
    <w:p w14:paraId="67A2A18C" w14:textId="77777777" w:rsidR="001B345D" w:rsidRPr="00F86F2E" w:rsidRDefault="001B345D" w:rsidP="00F86F2E">
      <w:pPr>
        <w:pStyle w:val="BodyText"/>
        <w:ind w:left="720"/>
        <w:rPr>
          <w:rFonts w:ascii="Times New Roman" w:hAnsi="Times New Roman" w:cs="Times New Roman"/>
        </w:rPr>
      </w:pPr>
      <w:r w:rsidRPr="00F86F2E">
        <w:rPr>
          <w:rFonts w:ascii="Times New Roman" w:hAnsi="Times New Roman" w:cs="Times New Roman"/>
        </w:rPr>
        <w:lastRenderedPageBreak/>
        <w:t>Component 1 (Active Growth and Positive Adoption): Captures the direct link between user satisfaction, engagement, and perceived competence gains.</w:t>
      </w:r>
    </w:p>
    <w:p w14:paraId="651C5764" w14:textId="77777777" w:rsidR="001B345D" w:rsidRPr="00F86F2E" w:rsidRDefault="001B345D" w:rsidP="00F86F2E">
      <w:pPr>
        <w:pStyle w:val="BodyText"/>
        <w:ind w:left="720"/>
        <w:rPr>
          <w:rFonts w:ascii="Times New Roman" w:hAnsi="Times New Roman" w:cs="Times New Roman"/>
        </w:rPr>
      </w:pPr>
      <w:r w:rsidRPr="00F86F2E">
        <w:rPr>
          <w:rFonts w:ascii="Times New Roman" w:hAnsi="Times New Roman" w:cs="Times New Roman"/>
        </w:rPr>
        <w:t>Component 2 (Dynamic Motivation and Critical Inquiry): Highlights a sophisticated cognitive landscape where intense personal motivation coexists with systemic skepticism.</w:t>
      </w:r>
    </w:p>
    <w:p w14:paraId="0B5187E0" w14:textId="77777777" w:rsidR="001B345D" w:rsidRPr="00F86F2E" w:rsidRDefault="001B345D" w:rsidP="00F86F2E">
      <w:pPr>
        <w:pStyle w:val="BodyText"/>
        <w:ind w:left="720"/>
        <w:rPr>
          <w:rFonts w:ascii="Times New Roman" w:hAnsi="Times New Roman" w:cs="Times New Roman"/>
        </w:rPr>
      </w:pPr>
      <w:r w:rsidRPr="00F86F2E">
        <w:rPr>
          <w:rFonts w:ascii="Times New Roman" w:hAnsi="Times New Roman" w:cs="Times New Roman"/>
        </w:rPr>
        <w:t>Component 3 (Individualization vs. Collaborative Teamwork): Reveals the primary pedagogical tension of the AI era—the structural friction between solo human-AI interactions and traditional peer collaboration.</w:t>
      </w:r>
    </w:p>
    <w:p w14:paraId="51D6491B" w14:textId="77777777" w:rsidR="001B345D" w:rsidRPr="00F86F2E" w:rsidRDefault="001B345D" w:rsidP="001B345D">
      <w:pPr>
        <w:pStyle w:val="BodyText"/>
        <w:rPr>
          <w:rFonts w:ascii="Times New Roman" w:hAnsi="Times New Roman" w:cs="Times New Roman"/>
        </w:rPr>
      </w:pPr>
      <w:r w:rsidRPr="00F86F2E">
        <w:rPr>
          <w:rFonts w:ascii="Times New Roman" w:hAnsi="Times New Roman" w:cs="Times New Roman"/>
        </w:rPr>
        <w:t>5.2 Component 1: Active Growth and Positive Adoption</w:t>
      </w:r>
    </w:p>
    <w:p w14:paraId="24BF7B82" w14:textId="77777777" w:rsidR="001B345D" w:rsidRPr="00F86F2E" w:rsidRDefault="001B345D" w:rsidP="001B345D">
      <w:pPr>
        <w:pStyle w:val="BodyText"/>
        <w:rPr>
          <w:rFonts w:ascii="Times New Roman" w:hAnsi="Times New Roman" w:cs="Times New Roman"/>
        </w:rPr>
      </w:pPr>
      <w:r w:rsidRPr="00F86F2E">
        <w:rPr>
          <w:rFonts w:ascii="Times New Roman" w:hAnsi="Times New Roman" w:cs="Times New Roman"/>
        </w:rPr>
        <w:t>Component 1 explains the largest share of post-rotation variance (21.83%) and is strongly defined by Q9R (.819) and Q2R (.767). This statistical alignment reveals that students do not view skill improvement and general motivation as separate outcomes; rather, they form a singular, interconnected dimension of the learning experience.</w:t>
      </w:r>
    </w:p>
    <w:p w14:paraId="60F1F6E0" w14:textId="77777777" w:rsidR="001B345D" w:rsidRPr="001B345D" w:rsidRDefault="001B345D" w:rsidP="001B345D">
      <w:pPr>
        <w:pStyle w:val="BodyText"/>
        <w:rPr>
          <w:rFonts w:ascii="Times New Roman" w:hAnsi="Times New Roman" w:cs="Times New Roman"/>
        </w:rPr>
      </w:pPr>
      <w:r w:rsidRPr="001B345D">
        <w:rPr>
          <w:rFonts w:ascii="Times New Roman" w:hAnsi="Times New Roman" w:cs="Times New Roman"/>
        </w:rPr>
        <w:t xml:space="preserve">                  ┌──────────────────────────────┐</w:t>
      </w:r>
    </w:p>
    <w:p w14:paraId="3D98E89C" w14:textId="77777777" w:rsidR="001B345D" w:rsidRPr="001B345D" w:rsidRDefault="001B345D" w:rsidP="001B345D">
      <w:pPr>
        <w:pStyle w:val="BodyText"/>
        <w:rPr>
          <w:rFonts w:ascii="Times New Roman" w:hAnsi="Times New Roman" w:cs="Times New Roman"/>
        </w:rPr>
      </w:pPr>
      <w:r w:rsidRPr="001B345D">
        <w:rPr>
          <w:rFonts w:ascii="Times New Roman" w:hAnsi="Times New Roman" w:cs="Times New Roman"/>
        </w:rPr>
        <w:t xml:space="preserve">                  │   COMPONENT 1 LOADING        │</w:t>
      </w:r>
    </w:p>
    <w:p w14:paraId="2E207E77" w14:textId="77777777" w:rsidR="001B345D" w:rsidRPr="001B345D" w:rsidRDefault="001B345D" w:rsidP="001B345D">
      <w:pPr>
        <w:pStyle w:val="BodyText"/>
        <w:rPr>
          <w:rFonts w:ascii="Times New Roman" w:hAnsi="Times New Roman" w:cs="Times New Roman"/>
        </w:rPr>
      </w:pPr>
      <w:r w:rsidRPr="001B345D">
        <w:rPr>
          <w:rFonts w:ascii="Times New Roman" w:hAnsi="Times New Roman" w:cs="Times New Roman"/>
        </w:rPr>
        <w:t xml:space="preserve">                  </w:t>
      </w:r>
      <w:proofErr w:type="gramStart"/>
      <w:r w:rsidRPr="001B345D">
        <w:rPr>
          <w:rFonts w:ascii="Times New Roman" w:hAnsi="Times New Roman" w:cs="Times New Roman"/>
        </w:rPr>
        <w:t>│  Explains</w:t>
      </w:r>
      <w:proofErr w:type="gramEnd"/>
      <w:r w:rsidRPr="001B345D">
        <w:rPr>
          <w:rFonts w:ascii="Times New Roman" w:hAnsi="Times New Roman" w:cs="Times New Roman"/>
        </w:rPr>
        <w:t xml:space="preserve"> 21.83% Variance   │</w:t>
      </w:r>
    </w:p>
    <w:p w14:paraId="2FA0743F" w14:textId="77777777" w:rsidR="001B345D" w:rsidRPr="001B345D" w:rsidRDefault="001B345D" w:rsidP="001B345D">
      <w:pPr>
        <w:pStyle w:val="BodyText"/>
        <w:rPr>
          <w:rFonts w:ascii="Times New Roman" w:hAnsi="Times New Roman" w:cs="Times New Roman"/>
        </w:rPr>
      </w:pPr>
      <w:r w:rsidRPr="001B345D">
        <w:rPr>
          <w:rFonts w:ascii="Times New Roman" w:hAnsi="Times New Roman" w:cs="Times New Roman"/>
        </w:rPr>
        <w:t xml:space="preserve">                  └──────────────</w:t>
      </w:r>
      <w:r w:rsidRPr="001B345D">
        <w:rPr>
          <w:rFonts w:ascii="Times New Roman" w:eastAsia="MS Gothic" w:hAnsi="Times New Roman" w:cs="Times New Roman"/>
        </w:rPr>
        <w:t>┬</w:t>
      </w:r>
      <w:r w:rsidRPr="001B345D">
        <w:rPr>
          <w:rFonts w:ascii="Times New Roman" w:hAnsi="Times New Roman" w:cs="Times New Roman"/>
        </w:rPr>
        <w:t>───────────────┘</w:t>
      </w:r>
    </w:p>
    <w:p w14:paraId="515422B8" w14:textId="77777777" w:rsidR="001B345D" w:rsidRPr="001B345D" w:rsidRDefault="001B345D" w:rsidP="001B345D">
      <w:pPr>
        <w:pStyle w:val="BodyText"/>
        <w:rPr>
          <w:rFonts w:ascii="Times New Roman" w:hAnsi="Times New Roman" w:cs="Times New Roman"/>
        </w:rPr>
      </w:pPr>
      <w:r w:rsidRPr="001B345D">
        <w:rPr>
          <w:rFonts w:ascii="Times New Roman" w:hAnsi="Times New Roman" w:cs="Times New Roman"/>
        </w:rPr>
        <w:t xml:space="preserve">         ▼                                               ▼</w:t>
      </w:r>
    </w:p>
    <w:p w14:paraId="23C4DF56" w14:textId="77777777" w:rsidR="001B345D" w:rsidRPr="001B345D" w:rsidRDefault="001B345D" w:rsidP="001B345D">
      <w:pPr>
        <w:pStyle w:val="BodyText"/>
        <w:rPr>
          <w:rFonts w:ascii="Times New Roman" w:hAnsi="Times New Roman" w:cs="Times New Roman"/>
        </w:rPr>
      </w:pPr>
      <w:r w:rsidRPr="001B345D">
        <w:rPr>
          <w:rFonts w:ascii="Times New Roman" w:hAnsi="Times New Roman" w:cs="Times New Roman"/>
        </w:rPr>
        <w:t xml:space="preserve">   Item Q9R (.819)                                 Item Q2R (.767)</w:t>
      </w:r>
    </w:p>
    <w:p w14:paraId="52B8AEB2" w14:textId="77777777" w:rsidR="001B345D" w:rsidRPr="001B345D" w:rsidRDefault="001B345D" w:rsidP="001B345D">
      <w:pPr>
        <w:pStyle w:val="BodyText"/>
        <w:rPr>
          <w:rFonts w:ascii="Times New Roman" w:hAnsi="Times New Roman" w:cs="Times New Roman"/>
        </w:rPr>
      </w:pPr>
      <w:r w:rsidRPr="001B345D">
        <w:rPr>
          <w:rFonts w:ascii="Times New Roman" w:hAnsi="Times New Roman" w:cs="Times New Roman"/>
        </w:rPr>
        <w:t>Perceived Improvement                           General Motivation</w:t>
      </w:r>
    </w:p>
    <w:p w14:paraId="1212D54F" w14:textId="77777777" w:rsidR="001B345D" w:rsidRPr="001B345D" w:rsidRDefault="001B345D" w:rsidP="001B345D">
      <w:pPr>
        <w:pStyle w:val="BodyText"/>
        <w:rPr>
          <w:rFonts w:ascii="Times New Roman" w:hAnsi="Times New Roman" w:cs="Times New Roman"/>
        </w:rPr>
      </w:pPr>
      <w:r w:rsidRPr="001B345D">
        <w:rPr>
          <w:rFonts w:ascii="Times New Roman" w:hAnsi="Times New Roman" w:cs="Times New Roman"/>
        </w:rPr>
        <w:t xml:space="preserve">   (81.0% </w:t>
      </w:r>
      <w:proofErr w:type="gramStart"/>
      <w:r w:rsidRPr="001B345D">
        <w:rPr>
          <w:rFonts w:ascii="Times New Roman" w:hAnsi="Times New Roman" w:cs="Times New Roman"/>
        </w:rPr>
        <w:t xml:space="preserve">Agree)   </w:t>
      </w:r>
      <w:proofErr w:type="gramEnd"/>
      <w:r w:rsidRPr="001B345D">
        <w:rPr>
          <w:rFonts w:ascii="Times New Roman" w:hAnsi="Times New Roman" w:cs="Times New Roman"/>
        </w:rPr>
        <w:t xml:space="preserve">                            </w:t>
      </w:r>
      <w:proofErr w:type="gramStart"/>
      <w:r w:rsidRPr="001B345D">
        <w:rPr>
          <w:rFonts w:ascii="Times New Roman" w:hAnsi="Times New Roman" w:cs="Times New Roman"/>
        </w:rPr>
        <w:t xml:space="preserve">   (</w:t>
      </w:r>
      <w:proofErr w:type="gramEnd"/>
      <w:r w:rsidRPr="001B345D">
        <w:rPr>
          <w:rFonts w:ascii="Times New Roman" w:hAnsi="Times New Roman" w:cs="Times New Roman"/>
        </w:rPr>
        <w:t>81.0% Agree)</w:t>
      </w:r>
    </w:p>
    <w:p w14:paraId="778DE7BA" w14:textId="77777777" w:rsidR="001B345D" w:rsidRPr="00E26A82" w:rsidRDefault="001B345D" w:rsidP="001B345D">
      <w:pPr>
        <w:pStyle w:val="BodyText"/>
        <w:rPr>
          <w:rFonts w:ascii="Times New Roman" w:hAnsi="Times New Roman" w:cs="Times New Roman"/>
        </w:rPr>
      </w:pPr>
      <w:r w:rsidRPr="00E26A82">
        <w:rPr>
          <w:rFonts w:ascii="Times New Roman" w:hAnsi="Times New Roman" w:cs="Times New Roman"/>
        </w:rPr>
        <w:t>The descriptive statistics strongly support this. A substantial 81.0% of respondents reported clear perceived improvements in executing TMT exercises through AI engagement (Q9R), a figure that mirrors the 81.0% agreement rate for general interest and motivation (Q2R).</w:t>
      </w:r>
    </w:p>
    <w:p w14:paraId="19FFB4F9" w14:textId="77777777" w:rsidR="001B345D" w:rsidRPr="00E26A82" w:rsidRDefault="001B345D" w:rsidP="001B345D">
      <w:pPr>
        <w:pStyle w:val="BodyText"/>
        <w:rPr>
          <w:rFonts w:ascii="Times New Roman" w:hAnsi="Times New Roman" w:cs="Times New Roman"/>
        </w:rPr>
      </w:pPr>
      <w:r w:rsidRPr="00E26A82">
        <w:rPr>
          <w:rFonts w:ascii="Times New Roman" w:hAnsi="Times New Roman" w:cs="Times New Roman"/>
        </w:rPr>
        <w:t>This uniform distribution indicates that AI tools provide an immediate linguistic scaffold—offering rapid vocabulary expansions, alternative syntactic structures, and real-time stylistic variations. This immediate validation loop accelerates the transition from abstract translation theory to practical application, directly fueling student confidence and intrinsic morale.</w:t>
      </w:r>
    </w:p>
    <w:p w14:paraId="01CE653D" w14:textId="77777777" w:rsidR="001B345D" w:rsidRPr="00E26A82" w:rsidRDefault="001B345D" w:rsidP="001B345D">
      <w:pPr>
        <w:pStyle w:val="BodyText"/>
        <w:rPr>
          <w:rFonts w:ascii="Times New Roman" w:hAnsi="Times New Roman" w:cs="Times New Roman"/>
        </w:rPr>
      </w:pPr>
      <w:r w:rsidRPr="00E26A82">
        <w:rPr>
          <w:rFonts w:ascii="Times New Roman" w:hAnsi="Times New Roman" w:cs="Times New Roman"/>
        </w:rPr>
        <w:t>Furthermore, during the item-reduction process, Q10R (active application of AI feedback to improve performance, 98.7% agreement) exhibited a low extraction communality (.355) in the initial 10-item pool, meaning its overwhelming consensus was so absolute that it acted as an ambient, foundational baseline across the entire cohort rather than a variable factor.</w:t>
      </w:r>
    </w:p>
    <w:p w14:paraId="660E9226" w14:textId="77777777" w:rsidR="001B345D" w:rsidRPr="00E26A82" w:rsidRDefault="001B345D" w:rsidP="001B345D">
      <w:pPr>
        <w:pStyle w:val="BodyText"/>
        <w:rPr>
          <w:rFonts w:ascii="Times New Roman" w:hAnsi="Times New Roman" w:cs="Times New Roman"/>
        </w:rPr>
      </w:pPr>
      <w:r w:rsidRPr="00E26A82">
        <w:rPr>
          <w:rFonts w:ascii="Times New Roman" w:hAnsi="Times New Roman" w:cs="Times New Roman"/>
        </w:rPr>
        <w:t>5.3 Component 2: Dynamic Motivation and Critical Inquiry</w:t>
      </w:r>
    </w:p>
    <w:p w14:paraId="5809B677" w14:textId="77777777" w:rsidR="001B345D" w:rsidRDefault="001B345D" w:rsidP="001B345D">
      <w:pPr>
        <w:pStyle w:val="BodyText"/>
        <w:rPr>
          <w:rFonts w:ascii="Times New Roman" w:hAnsi="Times New Roman" w:cs="Times New Roman"/>
        </w:rPr>
      </w:pPr>
      <w:r w:rsidRPr="00E26A82">
        <w:rPr>
          <w:rFonts w:ascii="Times New Roman" w:hAnsi="Times New Roman" w:cs="Times New Roman"/>
        </w:rPr>
        <w:t>Component 2 (18.95% of variance) presents a highly sophisticated, bipolar cognitive profile. It groups Q5R (.608) positively alongside the negative loadings of Q1R (-.614) and Q4R (-.607).</w:t>
      </w:r>
    </w:p>
    <w:p w14:paraId="728D4D71" w14:textId="77777777" w:rsidR="002A1491" w:rsidRPr="00E26A82" w:rsidRDefault="002A1491" w:rsidP="001B345D">
      <w:pPr>
        <w:pStyle w:val="BodyText"/>
        <w:rPr>
          <w:rFonts w:ascii="Times New Roman" w:hAnsi="Times New Roman" w:cs="Times New Roman"/>
        </w:rPr>
      </w:pPr>
    </w:p>
    <w:p w14:paraId="07A9CAFA" w14:textId="1979C4DD" w:rsidR="001B345D" w:rsidRPr="001B345D" w:rsidRDefault="001B345D" w:rsidP="001B345D">
      <w:pPr>
        <w:pStyle w:val="BodyText"/>
        <w:rPr>
          <w:rFonts w:ascii="Times New Roman" w:hAnsi="Times New Roman" w:cs="Times New Roman"/>
        </w:rPr>
      </w:pPr>
      <w:r w:rsidRPr="001B345D">
        <w:rPr>
          <w:rFonts w:ascii="Times New Roman" w:hAnsi="Times New Roman" w:cs="Times New Roman"/>
        </w:rPr>
        <w:lastRenderedPageBreak/>
        <w:t xml:space="preserve">                  ┌─────────────────────</w:t>
      </w:r>
    </w:p>
    <w:p w14:paraId="17DC80D6" w14:textId="77777777" w:rsidR="001B345D" w:rsidRPr="001B345D" w:rsidRDefault="001B345D" w:rsidP="001B345D">
      <w:pPr>
        <w:pStyle w:val="BodyText"/>
        <w:rPr>
          <w:rFonts w:ascii="Times New Roman" w:hAnsi="Times New Roman" w:cs="Times New Roman"/>
        </w:rPr>
      </w:pPr>
      <w:r w:rsidRPr="001B345D">
        <w:rPr>
          <w:rFonts w:ascii="Times New Roman" w:hAnsi="Times New Roman" w:cs="Times New Roman"/>
        </w:rPr>
        <w:t xml:space="preserve">                  │   COMPONENT 2 LOADING        │</w:t>
      </w:r>
    </w:p>
    <w:p w14:paraId="01474512" w14:textId="6F6F31CF" w:rsidR="001B345D" w:rsidRPr="001B345D" w:rsidRDefault="001B345D" w:rsidP="001B345D">
      <w:pPr>
        <w:pStyle w:val="BodyText"/>
        <w:rPr>
          <w:rFonts w:ascii="Times New Roman" w:hAnsi="Times New Roman" w:cs="Times New Roman"/>
        </w:rPr>
      </w:pPr>
      <w:r w:rsidRPr="001B345D">
        <w:rPr>
          <w:rFonts w:ascii="Times New Roman" w:hAnsi="Times New Roman" w:cs="Times New Roman"/>
        </w:rPr>
        <w:t xml:space="preserve">                  </w:t>
      </w:r>
      <w:proofErr w:type="gramStart"/>
      <w:r w:rsidRPr="001B345D">
        <w:rPr>
          <w:rFonts w:ascii="Times New Roman" w:hAnsi="Times New Roman" w:cs="Times New Roman"/>
        </w:rPr>
        <w:t>│  Explains</w:t>
      </w:r>
      <w:proofErr w:type="gramEnd"/>
      <w:r w:rsidRPr="001B345D">
        <w:rPr>
          <w:rFonts w:ascii="Times New Roman" w:hAnsi="Times New Roman" w:cs="Times New Roman"/>
        </w:rPr>
        <w:t xml:space="preserve"> 18.95% Variance   </w:t>
      </w:r>
      <w:r w:rsidR="00E26A82">
        <w:rPr>
          <w:rFonts w:ascii="Times New Roman" w:hAnsi="Times New Roman" w:cs="Times New Roman"/>
        </w:rPr>
        <w:t xml:space="preserve">          </w:t>
      </w:r>
      <w:r w:rsidRPr="001B345D">
        <w:rPr>
          <w:rFonts w:ascii="Times New Roman" w:hAnsi="Times New Roman" w:cs="Times New Roman"/>
        </w:rPr>
        <w:t>│</w:t>
      </w:r>
    </w:p>
    <w:p w14:paraId="26318747" w14:textId="605B98BA" w:rsidR="001B345D" w:rsidRPr="001B345D" w:rsidRDefault="001B345D" w:rsidP="001B345D">
      <w:pPr>
        <w:pStyle w:val="BodyText"/>
        <w:rPr>
          <w:rFonts w:ascii="Times New Roman" w:hAnsi="Times New Roman" w:cs="Times New Roman"/>
        </w:rPr>
      </w:pPr>
      <w:r w:rsidRPr="001B345D">
        <w:rPr>
          <w:rFonts w:ascii="Times New Roman" w:hAnsi="Times New Roman" w:cs="Times New Roman"/>
        </w:rPr>
        <w:t xml:space="preserve">                  └──────────────</w:t>
      </w:r>
      <w:r w:rsidRPr="001B345D">
        <w:rPr>
          <w:rFonts w:ascii="Times New Roman" w:eastAsia="MS Gothic" w:hAnsi="Times New Roman" w:cs="Times New Roman"/>
        </w:rPr>
        <w:t>┬</w:t>
      </w:r>
      <w:r w:rsidRPr="001B345D">
        <w:rPr>
          <w:rFonts w:ascii="Times New Roman" w:hAnsi="Times New Roman" w:cs="Times New Roman"/>
        </w:rPr>
        <w:t>──────</w:t>
      </w:r>
    </w:p>
    <w:p w14:paraId="4FD4E6CA" w14:textId="77777777" w:rsidR="001B345D" w:rsidRPr="001B345D" w:rsidRDefault="001B345D" w:rsidP="001B345D">
      <w:pPr>
        <w:pStyle w:val="BodyText"/>
        <w:rPr>
          <w:rFonts w:ascii="Times New Roman" w:hAnsi="Times New Roman" w:cs="Times New Roman"/>
        </w:rPr>
      </w:pPr>
      <w:r w:rsidRPr="001B345D">
        <w:rPr>
          <w:rFonts w:ascii="Times New Roman" w:hAnsi="Times New Roman" w:cs="Times New Roman"/>
        </w:rPr>
        <w:t xml:space="preserve">         ▼                                               ▼</w:t>
      </w:r>
    </w:p>
    <w:p w14:paraId="35A6B251" w14:textId="77777777" w:rsidR="001B345D" w:rsidRPr="001B345D" w:rsidRDefault="001B345D" w:rsidP="001B345D">
      <w:pPr>
        <w:pStyle w:val="BodyText"/>
        <w:rPr>
          <w:rFonts w:ascii="Times New Roman" w:hAnsi="Times New Roman" w:cs="Times New Roman"/>
        </w:rPr>
      </w:pPr>
      <w:r w:rsidRPr="001B345D">
        <w:rPr>
          <w:rFonts w:ascii="Times New Roman" w:hAnsi="Times New Roman" w:cs="Times New Roman"/>
        </w:rPr>
        <w:t xml:space="preserve">   Positive Loading                                Negative Loading</w:t>
      </w:r>
    </w:p>
    <w:p w14:paraId="5713AC95" w14:textId="77777777" w:rsidR="001B345D" w:rsidRPr="001B345D" w:rsidRDefault="001B345D" w:rsidP="001B345D">
      <w:pPr>
        <w:pStyle w:val="BodyText"/>
        <w:rPr>
          <w:rFonts w:ascii="Times New Roman" w:hAnsi="Times New Roman" w:cs="Times New Roman"/>
        </w:rPr>
      </w:pPr>
      <w:r w:rsidRPr="001B345D">
        <w:rPr>
          <w:rFonts w:ascii="Times New Roman" w:hAnsi="Times New Roman" w:cs="Times New Roman"/>
        </w:rPr>
        <w:t xml:space="preserve">   Item Q5R (.608)                       Items Q1R (-.614) &amp; Q4R (-.607)</w:t>
      </w:r>
    </w:p>
    <w:p w14:paraId="28D0C432" w14:textId="77777777" w:rsidR="001B345D" w:rsidRPr="001B345D" w:rsidRDefault="001B345D" w:rsidP="001B345D">
      <w:pPr>
        <w:pStyle w:val="BodyText"/>
        <w:rPr>
          <w:rFonts w:ascii="Times New Roman" w:hAnsi="Times New Roman" w:cs="Times New Roman"/>
        </w:rPr>
      </w:pPr>
      <w:r w:rsidRPr="001B345D">
        <w:rPr>
          <w:rFonts w:ascii="Times New Roman" w:hAnsi="Times New Roman" w:cs="Times New Roman"/>
        </w:rPr>
        <w:t xml:space="preserve">  Peer Co-engagement                      Active &amp; Enthusiastic Use</w:t>
      </w:r>
    </w:p>
    <w:p w14:paraId="6C037380" w14:textId="77777777" w:rsidR="001B345D" w:rsidRPr="001B345D" w:rsidRDefault="001B345D" w:rsidP="001B345D">
      <w:pPr>
        <w:pStyle w:val="BodyText"/>
        <w:rPr>
          <w:rFonts w:ascii="Times New Roman" w:hAnsi="Times New Roman" w:cs="Times New Roman"/>
        </w:rPr>
      </w:pPr>
      <w:r w:rsidRPr="001B345D">
        <w:rPr>
          <w:rFonts w:ascii="Times New Roman" w:hAnsi="Times New Roman" w:cs="Times New Roman"/>
        </w:rPr>
        <w:t xml:space="preserve">   (98.7% </w:t>
      </w:r>
      <w:proofErr w:type="gramStart"/>
      <w:r w:rsidRPr="001B345D">
        <w:rPr>
          <w:rFonts w:ascii="Times New Roman" w:hAnsi="Times New Roman" w:cs="Times New Roman"/>
        </w:rPr>
        <w:t xml:space="preserve">Agree)   </w:t>
      </w:r>
      <w:proofErr w:type="gramEnd"/>
      <w:r w:rsidRPr="001B345D">
        <w:rPr>
          <w:rFonts w:ascii="Times New Roman" w:hAnsi="Times New Roman" w:cs="Times New Roman"/>
        </w:rPr>
        <w:t xml:space="preserve">                   </w:t>
      </w:r>
      <w:proofErr w:type="gramStart"/>
      <w:r w:rsidRPr="001B345D">
        <w:rPr>
          <w:rFonts w:ascii="Times New Roman" w:hAnsi="Times New Roman" w:cs="Times New Roman"/>
        </w:rPr>
        <w:t xml:space="preserve">   (</w:t>
      </w:r>
      <w:proofErr w:type="gramEnd"/>
      <w:r w:rsidRPr="001B345D">
        <w:rPr>
          <w:rFonts w:ascii="Times New Roman" w:hAnsi="Times New Roman" w:cs="Times New Roman"/>
        </w:rPr>
        <w:t>100% and 84.8% Agree, resp.)</w:t>
      </w:r>
    </w:p>
    <w:p w14:paraId="5B72DE53" w14:textId="77777777" w:rsidR="001B345D" w:rsidRPr="00074C6F" w:rsidRDefault="001B345D" w:rsidP="001B345D">
      <w:pPr>
        <w:pStyle w:val="BodyText"/>
        <w:rPr>
          <w:rFonts w:ascii="Times New Roman" w:hAnsi="Times New Roman" w:cs="Times New Roman"/>
        </w:rPr>
      </w:pPr>
      <w:r w:rsidRPr="00074C6F">
        <w:rPr>
          <w:rFonts w:ascii="Times New Roman" w:hAnsi="Times New Roman" w:cs="Times New Roman"/>
        </w:rPr>
        <w:t>To interpret this matrix accurately alongside the descriptive data—where active participation (Q1R) reached a flawless 100% positive consensus and personal enthusiasm (Q4R) stood at 84.8%—this structural inversion indicates that intense personal engagement operates in a distinct, converse orientation to basic, task-compelled group presence (Q5R, 98.7%).</w:t>
      </w:r>
    </w:p>
    <w:p w14:paraId="60C7F47C" w14:textId="77777777" w:rsidR="001B345D" w:rsidRPr="00074C6F" w:rsidRDefault="001B345D" w:rsidP="001B345D">
      <w:pPr>
        <w:pStyle w:val="BodyText"/>
        <w:rPr>
          <w:rFonts w:ascii="Times New Roman" w:hAnsi="Times New Roman" w:cs="Times New Roman"/>
        </w:rPr>
      </w:pPr>
      <w:r w:rsidRPr="00074C6F">
        <w:rPr>
          <w:rFonts w:ascii="Times New Roman" w:hAnsi="Times New Roman" w:cs="Times New Roman"/>
        </w:rPr>
        <w:t>More importantly, this dimension reflects a student body that is highly motivated precisely because they are cognitively challenged. The descriptive data in Section 5.4 underscores this sophisticated critical posture: 78.4% of students actively verify AI outputs for accuracy (Q8R), while an overwhelming 96.2% reject passive, unthinking text adoption (Q7R).</w:t>
      </w:r>
    </w:p>
    <w:p w14:paraId="71FB2D2F" w14:textId="77777777" w:rsidR="001B345D" w:rsidRPr="00074C6F" w:rsidRDefault="001B345D" w:rsidP="001B345D">
      <w:pPr>
        <w:pStyle w:val="BodyText"/>
        <w:rPr>
          <w:rFonts w:ascii="Times New Roman" w:hAnsi="Times New Roman" w:cs="Times New Roman"/>
        </w:rPr>
      </w:pPr>
      <w:r w:rsidRPr="00074C6F">
        <w:rPr>
          <w:rFonts w:ascii="Times New Roman" w:hAnsi="Times New Roman" w:cs="Times New Roman"/>
        </w:rPr>
        <w:t>The negative/positive polarizations within this component prove that students do not treat AI as an effortless shortcut to bypass thinking. Instead, they interact with the technology as an adversarial cognitive partner, using its machine-generated text as a tentative hypothesis that provokes rigorous error analysis, comparative linguistic judgment, and post-editing scrutiny.</w:t>
      </w:r>
    </w:p>
    <w:p w14:paraId="4C0152BE" w14:textId="77777777" w:rsidR="001B345D" w:rsidRPr="00074C6F" w:rsidRDefault="001B345D" w:rsidP="001B345D">
      <w:pPr>
        <w:pStyle w:val="BodyText"/>
        <w:rPr>
          <w:rFonts w:ascii="Times New Roman" w:hAnsi="Times New Roman" w:cs="Times New Roman"/>
        </w:rPr>
      </w:pPr>
      <w:r w:rsidRPr="00074C6F">
        <w:rPr>
          <w:rFonts w:ascii="Times New Roman" w:hAnsi="Times New Roman" w:cs="Times New Roman"/>
        </w:rPr>
        <w:t>5.4 Component 3: Individualization vs. Collaborative Teamwork</w:t>
      </w:r>
    </w:p>
    <w:p w14:paraId="69D027CD" w14:textId="77777777" w:rsidR="001B345D" w:rsidRPr="00074C6F" w:rsidRDefault="001B345D" w:rsidP="001B345D">
      <w:pPr>
        <w:pStyle w:val="BodyText"/>
        <w:rPr>
          <w:rFonts w:ascii="Times New Roman" w:hAnsi="Times New Roman" w:cs="Times New Roman"/>
        </w:rPr>
      </w:pPr>
      <w:r w:rsidRPr="00074C6F">
        <w:rPr>
          <w:rFonts w:ascii="Times New Roman" w:hAnsi="Times New Roman" w:cs="Times New Roman"/>
        </w:rPr>
        <w:t>Component 3 (18.07% of variance) isolates the most critical pedagogical challenge revealed by the PCA, characterized by a sharp polarization between Q6R (.774) and Q7R (-.766).</w:t>
      </w:r>
    </w:p>
    <w:p w14:paraId="7193C913" w14:textId="77777777" w:rsidR="001B345D" w:rsidRPr="001B345D" w:rsidRDefault="001B345D" w:rsidP="001B345D">
      <w:pPr>
        <w:pStyle w:val="BodyText"/>
        <w:rPr>
          <w:rFonts w:ascii="Times New Roman" w:hAnsi="Times New Roman" w:cs="Times New Roman"/>
        </w:rPr>
      </w:pPr>
      <w:r w:rsidRPr="001B345D">
        <w:rPr>
          <w:rFonts w:ascii="Times New Roman" w:hAnsi="Times New Roman" w:cs="Times New Roman"/>
        </w:rPr>
        <w:t xml:space="preserve">                  ┌──────────────────────────────┐</w:t>
      </w:r>
    </w:p>
    <w:p w14:paraId="4D95C36E" w14:textId="77777777" w:rsidR="001B345D" w:rsidRPr="001B345D" w:rsidRDefault="001B345D" w:rsidP="001B345D">
      <w:pPr>
        <w:pStyle w:val="BodyText"/>
        <w:rPr>
          <w:rFonts w:ascii="Times New Roman" w:hAnsi="Times New Roman" w:cs="Times New Roman"/>
        </w:rPr>
      </w:pPr>
      <w:r w:rsidRPr="001B345D">
        <w:rPr>
          <w:rFonts w:ascii="Times New Roman" w:hAnsi="Times New Roman" w:cs="Times New Roman"/>
        </w:rPr>
        <w:t xml:space="preserve">                  │   COMPONENT 3 LOADING        │</w:t>
      </w:r>
    </w:p>
    <w:p w14:paraId="05773199" w14:textId="77777777" w:rsidR="001B345D" w:rsidRPr="001B345D" w:rsidRDefault="001B345D" w:rsidP="001B345D">
      <w:pPr>
        <w:pStyle w:val="BodyText"/>
        <w:rPr>
          <w:rFonts w:ascii="Times New Roman" w:hAnsi="Times New Roman" w:cs="Times New Roman"/>
        </w:rPr>
      </w:pPr>
      <w:r w:rsidRPr="001B345D">
        <w:rPr>
          <w:rFonts w:ascii="Times New Roman" w:hAnsi="Times New Roman" w:cs="Times New Roman"/>
        </w:rPr>
        <w:t xml:space="preserve">                  </w:t>
      </w:r>
      <w:proofErr w:type="gramStart"/>
      <w:r w:rsidRPr="001B345D">
        <w:rPr>
          <w:rFonts w:ascii="Times New Roman" w:hAnsi="Times New Roman" w:cs="Times New Roman"/>
        </w:rPr>
        <w:t>│  Explains</w:t>
      </w:r>
      <w:proofErr w:type="gramEnd"/>
      <w:r w:rsidRPr="001B345D">
        <w:rPr>
          <w:rFonts w:ascii="Times New Roman" w:hAnsi="Times New Roman" w:cs="Times New Roman"/>
        </w:rPr>
        <w:t xml:space="preserve"> 18.07% Variance   │</w:t>
      </w:r>
    </w:p>
    <w:p w14:paraId="48B67DDE" w14:textId="77777777" w:rsidR="001B345D" w:rsidRPr="001B345D" w:rsidRDefault="001B345D" w:rsidP="001B345D">
      <w:pPr>
        <w:pStyle w:val="BodyText"/>
        <w:rPr>
          <w:rFonts w:ascii="Times New Roman" w:hAnsi="Times New Roman" w:cs="Times New Roman"/>
        </w:rPr>
      </w:pPr>
      <w:r w:rsidRPr="001B345D">
        <w:rPr>
          <w:rFonts w:ascii="Times New Roman" w:hAnsi="Times New Roman" w:cs="Times New Roman"/>
        </w:rPr>
        <w:t xml:space="preserve">                  └──────────────</w:t>
      </w:r>
      <w:r w:rsidRPr="001B345D">
        <w:rPr>
          <w:rFonts w:ascii="Times New Roman" w:eastAsia="MS Gothic" w:hAnsi="Times New Roman" w:cs="Times New Roman"/>
        </w:rPr>
        <w:t>┬</w:t>
      </w:r>
      <w:r w:rsidRPr="001B345D">
        <w:rPr>
          <w:rFonts w:ascii="Times New Roman" w:hAnsi="Times New Roman" w:cs="Times New Roman"/>
        </w:rPr>
        <w:t>───────────────┘</w:t>
      </w:r>
    </w:p>
    <w:p w14:paraId="69FC34AD" w14:textId="77777777" w:rsidR="001B345D" w:rsidRPr="001B345D" w:rsidRDefault="001B345D" w:rsidP="001B345D">
      <w:pPr>
        <w:pStyle w:val="BodyText"/>
        <w:rPr>
          <w:rFonts w:ascii="Times New Roman" w:hAnsi="Times New Roman" w:cs="Times New Roman"/>
        </w:rPr>
      </w:pPr>
      <w:r w:rsidRPr="001B345D">
        <w:rPr>
          <w:rFonts w:ascii="Times New Roman" w:hAnsi="Times New Roman" w:cs="Times New Roman"/>
        </w:rPr>
        <w:t xml:space="preserve">         ▼                                               ▼</w:t>
      </w:r>
    </w:p>
    <w:p w14:paraId="0B7DB4CE" w14:textId="77777777" w:rsidR="001B345D" w:rsidRPr="001B345D" w:rsidRDefault="001B345D" w:rsidP="001B345D">
      <w:pPr>
        <w:pStyle w:val="BodyText"/>
        <w:rPr>
          <w:rFonts w:ascii="Times New Roman" w:hAnsi="Times New Roman" w:cs="Times New Roman"/>
        </w:rPr>
      </w:pPr>
      <w:r w:rsidRPr="001B345D">
        <w:rPr>
          <w:rFonts w:ascii="Times New Roman" w:hAnsi="Times New Roman" w:cs="Times New Roman"/>
        </w:rPr>
        <w:t xml:space="preserve">   Positive Loading                                Negative Loading</w:t>
      </w:r>
    </w:p>
    <w:p w14:paraId="708E0226" w14:textId="77777777" w:rsidR="001B345D" w:rsidRPr="001B345D" w:rsidRDefault="001B345D" w:rsidP="001B345D">
      <w:pPr>
        <w:pStyle w:val="BodyText"/>
        <w:rPr>
          <w:rFonts w:ascii="Times New Roman" w:hAnsi="Times New Roman" w:cs="Times New Roman"/>
        </w:rPr>
      </w:pPr>
      <w:r w:rsidRPr="001B345D">
        <w:rPr>
          <w:rFonts w:ascii="Times New Roman" w:hAnsi="Times New Roman" w:cs="Times New Roman"/>
        </w:rPr>
        <w:t xml:space="preserve">   Item Q6R (.774)                                 Item Q7R (-.766)</w:t>
      </w:r>
    </w:p>
    <w:p w14:paraId="12F5584E" w14:textId="77777777" w:rsidR="001B345D" w:rsidRPr="001B345D" w:rsidRDefault="001B345D" w:rsidP="001B345D">
      <w:pPr>
        <w:pStyle w:val="BodyText"/>
        <w:rPr>
          <w:rFonts w:ascii="Times New Roman" w:hAnsi="Times New Roman" w:cs="Times New Roman"/>
        </w:rPr>
      </w:pPr>
      <w:r w:rsidRPr="001B345D">
        <w:rPr>
          <w:rFonts w:ascii="Times New Roman" w:hAnsi="Times New Roman" w:cs="Times New Roman"/>
        </w:rPr>
        <w:t>Meaningful Interaction                           Passive Acceptance</w:t>
      </w:r>
    </w:p>
    <w:p w14:paraId="69495C69" w14:textId="77777777" w:rsidR="001B345D" w:rsidRPr="001B345D" w:rsidRDefault="001B345D" w:rsidP="001B345D">
      <w:pPr>
        <w:pStyle w:val="BodyText"/>
        <w:rPr>
          <w:rFonts w:ascii="Times New Roman" w:hAnsi="Times New Roman" w:cs="Times New Roman"/>
        </w:rPr>
      </w:pPr>
      <w:r w:rsidRPr="001B345D">
        <w:rPr>
          <w:rFonts w:ascii="Times New Roman" w:hAnsi="Times New Roman" w:cs="Times New Roman"/>
        </w:rPr>
        <w:lastRenderedPageBreak/>
        <w:t xml:space="preserve">   (74.7% </w:t>
      </w:r>
      <w:proofErr w:type="gramStart"/>
      <w:r w:rsidRPr="001B345D">
        <w:rPr>
          <w:rFonts w:ascii="Times New Roman" w:hAnsi="Times New Roman" w:cs="Times New Roman"/>
        </w:rPr>
        <w:t xml:space="preserve">Agree)   </w:t>
      </w:r>
      <w:proofErr w:type="gramEnd"/>
      <w:r w:rsidRPr="001B345D">
        <w:rPr>
          <w:rFonts w:ascii="Times New Roman" w:hAnsi="Times New Roman" w:cs="Times New Roman"/>
        </w:rPr>
        <w:t xml:space="preserve">                           </w:t>
      </w:r>
      <w:proofErr w:type="gramStart"/>
      <w:r w:rsidRPr="001B345D">
        <w:rPr>
          <w:rFonts w:ascii="Times New Roman" w:hAnsi="Times New Roman" w:cs="Times New Roman"/>
        </w:rPr>
        <w:t xml:space="preserve">   (</w:t>
      </w:r>
      <w:proofErr w:type="gramEnd"/>
      <w:r w:rsidRPr="001B345D">
        <w:rPr>
          <w:rFonts w:ascii="Times New Roman" w:hAnsi="Times New Roman" w:cs="Times New Roman"/>
        </w:rPr>
        <w:t>96.2% Disagree)</w:t>
      </w:r>
    </w:p>
    <w:p w14:paraId="3E6B0B33" w14:textId="77777777" w:rsidR="001B345D" w:rsidRPr="00074C6F" w:rsidRDefault="001B345D" w:rsidP="001B345D">
      <w:pPr>
        <w:pStyle w:val="BodyText"/>
        <w:rPr>
          <w:rFonts w:ascii="Times New Roman" w:hAnsi="Times New Roman" w:cs="Times New Roman"/>
        </w:rPr>
      </w:pPr>
      <w:r w:rsidRPr="00074C6F">
        <w:rPr>
          <w:rFonts w:ascii="Times New Roman" w:hAnsi="Times New Roman" w:cs="Times New Roman"/>
        </w:rPr>
        <w:t>While students strongly agree that their coursework structures compel them to operate in groups alongside AI (Q5R at 98.7%), the actual depth of meaningful interaction and teamwork (Q6R) registered the lowest direct agreement rate in the dataset at 74.7%, alongside the highest level of uncertainty (22.8% neutral responses).</w:t>
      </w:r>
    </w:p>
    <w:p w14:paraId="2B998250" w14:textId="77777777" w:rsidR="001B345D" w:rsidRPr="00074C6F" w:rsidRDefault="001B345D" w:rsidP="001B345D">
      <w:pPr>
        <w:pStyle w:val="BodyText"/>
        <w:rPr>
          <w:rFonts w:ascii="Times New Roman" w:hAnsi="Times New Roman" w:cs="Times New Roman"/>
        </w:rPr>
      </w:pPr>
      <w:r w:rsidRPr="00074C6F">
        <w:rPr>
          <w:rFonts w:ascii="Times New Roman" w:hAnsi="Times New Roman" w:cs="Times New Roman"/>
        </w:rPr>
        <w:t>The inverse statistical relationship between meaningful peer teamwork (Q6R) and passive text acceptance (Q7R) exposes a major risk of AI integration: the formation of isolated student-AI dyads.</w:t>
      </w:r>
    </w:p>
    <w:p w14:paraId="3B290849" w14:textId="77777777" w:rsidR="001B345D" w:rsidRPr="001B345D" w:rsidRDefault="001B345D" w:rsidP="001B345D">
      <w:pPr>
        <w:pStyle w:val="BodyText"/>
        <w:rPr>
          <w:rFonts w:ascii="Times New Roman" w:hAnsi="Times New Roman" w:cs="Times New Roman"/>
        </w:rPr>
      </w:pPr>
      <w:r w:rsidRPr="001B345D">
        <w:rPr>
          <w:rFonts w:ascii="Times New Roman" w:hAnsi="Times New Roman" w:cs="Times New Roman"/>
        </w:rPr>
        <w:t>Because large language models provide highly personalized, instantaneous, and responsive feedback loops, they can easily fulfill a student's immediate cognitive needs. This efficiency inadvertently reduces the perceived necessity of consulting classmates.</w:t>
      </w:r>
    </w:p>
    <w:p w14:paraId="302FAE77" w14:textId="77777777" w:rsidR="001B345D" w:rsidRPr="001B345D" w:rsidRDefault="001B345D" w:rsidP="001B345D">
      <w:pPr>
        <w:pStyle w:val="BodyText"/>
        <w:rPr>
          <w:rFonts w:ascii="Times New Roman" w:hAnsi="Times New Roman" w:cs="Times New Roman"/>
        </w:rPr>
      </w:pPr>
      <w:r w:rsidRPr="001B345D">
        <w:rPr>
          <w:rFonts w:ascii="Times New Roman" w:hAnsi="Times New Roman" w:cs="Times New Roman"/>
        </w:rPr>
        <w:t>Consequently, while students are physically sitting in groups or working on the same assignment, their actual cognitive processing becomes highly individualized. Unless collaborative workflows are intentionally designed to require human-to-human debate, peer interaction risks degrading into superficial task-sharing rather than deep, social-constructivist learning.</w:t>
      </w:r>
    </w:p>
    <w:p w14:paraId="3044CBD2" w14:textId="77777777" w:rsidR="001B345D" w:rsidRPr="001B345D" w:rsidRDefault="001B345D" w:rsidP="001B345D">
      <w:pPr>
        <w:pStyle w:val="BodyText"/>
        <w:rPr>
          <w:rFonts w:ascii="Times New Roman" w:hAnsi="Times New Roman" w:cs="Times New Roman"/>
          <w:b/>
          <w:bCs/>
        </w:rPr>
      </w:pPr>
      <w:r w:rsidRPr="001B345D">
        <w:rPr>
          <w:rFonts w:ascii="Times New Roman" w:hAnsi="Times New Roman" w:cs="Times New Roman"/>
          <w:b/>
          <w:bCs/>
        </w:rPr>
        <w:t>5.5 Pedagogical Implications and Summary</w:t>
      </w:r>
    </w:p>
    <w:p w14:paraId="5A4C00CB" w14:textId="77777777" w:rsidR="001B345D" w:rsidRPr="001B345D" w:rsidRDefault="001B345D" w:rsidP="001B345D">
      <w:pPr>
        <w:pStyle w:val="BodyText"/>
        <w:rPr>
          <w:rFonts w:ascii="Times New Roman" w:hAnsi="Times New Roman" w:cs="Times New Roman"/>
        </w:rPr>
      </w:pPr>
      <w:r w:rsidRPr="001B345D">
        <w:rPr>
          <w:rFonts w:ascii="Times New Roman" w:hAnsi="Times New Roman" w:cs="Times New Roman"/>
        </w:rPr>
        <w:t>The empirical evidence soundly refutes old-school assumptions that student responses to GenAI are defined by hesitation, confusion, or passive reliance. Instead, the data reveals a high-consensus, technologically literate cohort capable of balancing enthusiastic adoption with rigorous quality control.</w:t>
      </w:r>
    </w:p>
    <w:p w14:paraId="30C74CDB" w14:textId="77777777" w:rsidR="001B345D" w:rsidRPr="001B345D" w:rsidRDefault="001B345D" w:rsidP="001B345D">
      <w:pPr>
        <w:pStyle w:val="BodyText"/>
        <w:rPr>
          <w:rFonts w:ascii="Times New Roman" w:hAnsi="Times New Roman" w:cs="Times New Roman"/>
        </w:rPr>
      </w:pPr>
      <w:r w:rsidRPr="001B345D">
        <w:rPr>
          <w:rFonts w:ascii="Times New Roman" w:hAnsi="Times New Roman" w:cs="Times New Roman"/>
        </w:rPr>
        <w:t>To maximize the value of these findings, translation instructors must shift away from defensive, restrictive policies and embrace AI-assisted workflows.</w:t>
      </w:r>
    </w:p>
    <w:p w14:paraId="0FCBC704" w14:textId="25751DC3" w:rsidR="00E27AB7" w:rsidRPr="00DF37F2" w:rsidRDefault="003A5867">
      <w:pPr>
        <w:pStyle w:val="Heading2"/>
        <w:rPr>
          <w:rFonts w:ascii="Times New Roman" w:hAnsi="Times New Roman" w:cs="Times New Roman"/>
          <w:b/>
          <w:bCs/>
          <w:color w:val="auto"/>
          <w:sz w:val="24"/>
          <w:szCs w:val="24"/>
        </w:rPr>
      </w:pPr>
      <w:r>
        <w:rPr>
          <w:rFonts w:ascii="Times New Roman" w:hAnsi="Times New Roman" w:cs="Times New Roman"/>
          <w:b/>
          <w:bCs/>
          <w:color w:val="auto"/>
          <w:sz w:val="24"/>
          <w:szCs w:val="24"/>
        </w:rPr>
        <w:t>6</w:t>
      </w:r>
      <w:r w:rsidR="00E979AE" w:rsidRPr="00DF37F2">
        <w:rPr>
          <w:rFonts w:ascii="Times New Roman" w:hAnsi="Times New Roman" w:cs="Times New Roman"/>
          <w:b/>
          <w:bCs/>
          <w:color w:val="auto"/>
          <w:sz w:val="24"/>
          <w:szCs w:val="24"/>
        </w:rPr>
        <w:t>. Conclusion</w:t>
      </w:r>
    </w:p>
    <w:p w14:paraId="1CC2E546" w14:textId="77777777" w:rsidR="005151C0" w:rsidRDefault="00F61E1F" w:rsidP="005151C0">
      <w:pPr>
        <w:pStyle w:val="BodyText"/>
        <w:rPr>
          <w:rFonts w:ascii="Times New Roman" w:hAnsi="Times New Roman" w:cs="Times New Roman"/>
        </w:rPr>
      </w:pPr>
      <w:r w:rsidRPr="00DF37F2">
        <w:rPr>
          <w:rFonts w:ascii="Times New Roman" w:hAnsi="Times New Roman" w:cs="Times New Roman"/>
        </w:rPr>
        <w:t xml:space="preserve">To provide the responses to the research questions, we humbly interpret as follows: </w:t>
      </w:r>
      <w:r w:rsidR="00537A2D" w:rsidRPr="00DF37F2">
        <w:rPr>
          <w:rFonts w:ascii="Times New Roman" w:hAnsi="Times New Roman" w:cs="Times New Roman"/>
        </w:rPr>
        <w:t xml:space="preserve">This study demonstrates that the pedagogical integration of artificial intelligence into </w:t>
      </w:r>
      <w:proofErr w:type="spellStart"/>
      <w:r w:rsidR="00537A2D" w:rsidRPr="00DF37F2">
        <w:rPr>
          <w:rFonts w:ascii="Times New Roman" w:hAnsi="Times New Roman" w:cs="Times New Roman"/>
        </w:rPr>
        <w:t>Transinterpretation</w:t>
      </w:r>
      <w:proofErr w:type="spellEnd"/>
      <w:r w:rsidR="00537A2D" w:rsidRPr="00DF37F2">
        <w:rPr>
          <w:rFonts w:ascii="Times New Roman" w:hAnsi="Times New Roman" w:cs="Times New Roman"/>
        </w:rPr>
        <w:t xml:space="preserve"> (TMT) instruction can generate meaningful improvements in student motivation, engagement, and perceived competence when implemented within a structured instructional framework. Survey findings reveal that AI does not automatically produce learning gains; rather, its effectiveness depends on deliberate task design, instructor mediation, and editorial refinement. The predominance of “partial” responses across engagement and improvement indicators suggests that AI functions most productively as a cognitive scaffold rather than a substitute for human expertise.</w:t>
      </w:r>
    </w:p>
    <w:p w14:paraId="3EEF998A" w14:textId="4C84C693" w:rsidR="00425C1C" w:rsidRPr="003E03FD" w:rsidRDefault="00537A2D" w:rsidP="005151C0">
      <w:pPr>
        <w:pStyle w:val="BodyText"/>
        <w:rPr>
          <w:rFonts w:ascii="Times New Roman" w:hAnsi="Times New Roman" w:cs="Times New Roman"/>
        </w:rPr>
      </w:pPr>
      <w:r w:rsidRPr="00425C1C">
        <w:rPr>
          <w:rFonts w:ascii="Times New Roman" w:hAnsi="Times New Roman" w:cs="Times New Roman"/>
        </w:rPr>
        <w:t xml:space="preserve">By aligning AI-assisted structural translation exercises with complex grammatical structures, domain-specific vocabulary, and process-oriented evaluation, the study proposes a balanced model that preserves academic rigor while embracing technological innovation. Although limited in scale, the findings provide preliminary empirical support for a human-centered, AI-assisted </w:t>
      </w:r>
      <w:proofErr w:type="spellStart"/>
      <w:r w:rsidRPr="00425C1C">
        <w:rPr>
          <w:rFonts w:ascii="Times New Roman" w:hAnsi="Times New Roman" w:cs="Times New Roman"/>
        </w:rPr>
        <w:t>transinterpretation</w:t>
      </w:r>
      <w:proofErr w:type="spellEnd"/>
      <w:r w:rsidRPr="00425C1C">
        <w:rPr>
          <w:rFonts w:ascii="Times New Roman" w:hAnsi="Times New Roman" w:cs="Times New Roman"/>
        </w:rPr>
        <w:t xml:space="preserve"> pedagogy that responds to institutional innovation demands and evolving professional expectations in Vietnamese EFL contexts.</w:t>
      </w:r>
      <w:r w:rsidR="00425C1C" w:rsidRPr="00425C1C">
        <w:rPr>
          <w:rFonts w:ascii="Times New Roman" w:hAnsi="Times New Roman" w:cs="Times New Roman"/>
        </w:rPr>
        <w:t xml:space="preserve"> </w:t>
      </w:r>
      <w:r w:rsidR="00425C1C">
        <w:rPr>
          <w:rFonts w:ascii="Times New Roman" w:hAnsi="Times New Roman" w:cs="Times New Roman"/>
        </w:rPr>
        <w:t>T</w:t>
      </w:r>
      <w:r w:rsidR="00425C1C" w:rsidRPr="003E03FD">
        <w:rPr>
          <w:rFonts w:ascii="Times New Roman" w:hAnsi="Times New Roman" w:cs="Times New Roman"/>
        </w:rPr>
        <w:t>he high rates of critical inquiry justify moving away from restrictive, anti-AI policies. Instead, universities should adopt a human-in-</w:t>
      </w:r>
      <w:r w:rsidR="00425C1C" w:rsidRPr="003E03FD">
        <w:rPr>
          <w:rFonts w:ascii="Times New Roman" w:hAnsi="Times New Roman" w:cs="Times New Roman"/>
        </w:rPr>
        <w:lastRenderedPageBreak/>
        <w:t xml:space="preserve">the-loop approach where instructors curate complex lexical challenges (such as phrasal verbs and criminal law terminology) that force students to critique and improve AI outputs. </w:t>
      </w:r>
    </w:p>
    <w:p w14:paraId="7570E118" w14:textId="359B8BE2" w:rsidR="00E979AE" w:rsidRPr="00DF37F2" w:rsidRDefault="003A5867" w:rsidP="00E979AE">
      <w:pPr>
        <w:pStyle w:val="Heading2"/>
        <w:rPr>
          <w:rFonts w:ascii="Times New Roman" w:hAnsi="Times New Roman" w:cs="Times New Roman"/>
          <w:b/>
          <w:bCs/>
          <w:color w:val="auto"/>
          <w:sz w:val="24"/>
          <w:szCs w:val="24"/>
        </w:rPr>
      </w:pPr>
      <w:r>
        <w:rPr>
          <w:rFonts w:ascii="Times New Roman" w:hAnsi="Times New Roman" w:cs="Times New Roman"/>
          <w:b/>
          <w:bCs/>
          <w:color w:val="auto"/>
          <w:sz w:val="24"/>
          <w:szCs w:val="24"/>
        </w:rPr>
        <w:t>6</w:t>
      </w:r>
      <w:r w:rsidR="00537A2D" w:rsidRPr="00DF37F2">
        <w:rPr>
          <w:rFonts w:ascii="Times New Roman" w:hAnsi="Times New Roman" w:cs="Times New Roman"/>
          <w:b/>
          <w:bCs/>
          <w:color w:val="auto"/>
          <w:sz w:val="24"/>
          <w:szCs w:val="24"/>
        </w:rPr>
        <w:t xml:space="preserve">.1 </w:t>
      </w:r>
      <w:r w:rsidR="00E979AE" w:rsidRPr="00DF37F2">
        <w:rPr>
          <w:rFonts w:ascii="Times New Roman" w:hAnsi="Times New Roman" w:cs="Times New Roman"/>
          <w:b/>
          <w:bCs/>
          <w:color w:val="auto"/>
          <w:sz w:val="24"/>
          <w:szCs w:val="24"/>
        </w:rPr>
        <w:t>Limitations and Future Research</w:t>
      </w:r>
    </w:p>
    <w:p w14:paraId="067859D2" w14:textId="77777777" w:rsidR="00E979AE" w:rsidRPr="00DF37F2" w:rsidRDefault="00E979AE" w:rsidP="00E979AE">
      <w:pPr>
        <w:pStyle w:val="FirstParagraph"/>
        <w:rPr>
          <w:rFonts w:ascii="Times New Roman" w:hAnsi="Times New Roman" w:cs="Times New Roman"/>
        </w:rPr>
      </w:pPr>
      <w:r w:rsidRPr="00DF37F2">
        <w:rPr>
          <w:rFonts w:ascii="Times New Roman" w:hAnsi="Times New Roman" w:cs="Times New Roman"/>
        </w:rPr>
        <w:t>This study is limited to a single institutional context and relies partly on self-reported data. Future research should employ longitudinal designs, controlled experimental comparisons, and cross-institutional samples to validate and extend the proposed framework.</w:t>
      </w:r>
    </w:p>
    <w:p w14:paraId="6FE74C92" w14:textId="09358E34" w:rsidR="00537A2D" w:rsidRPr="00DF37F2" w:rsidRDefault="003A5867" w:rsidP="00537A2D">
      <w:pPr>
        <w:pStyle w:val="Heading2"/>
        <w:rPr>
          <w:rFonts w:ascii="Times New Roman" w:hAnsi="Times New Roman" w:cs="Times New Roman"/>
          <w:b/>
          <w:bCs/>
          <w:color w:val="auto"/>
          <w:sz w:val="24"/>
          <w:szCs w:val="24"/>
        </w:rPr>
      </w:pPr>
      <w:bookmarkStart w:id="23" w:name="pedagogical-implications"/>
      <w:r>
        <w:rPr>
          <w:rFonts w:ascii="Times New Roman" w:hAnsi="Times New Roman" w:cs="Times New Roman"/>
          <w:b/>
          <w:bCs/>
          <w:color w:val="auto"/>
          <w:sz w:val="24"/>
          <w:szCs w:val="24"/>
        </w:rPr>
        <w:t>6</w:t>
      </w:r>
      <w:r w:rsidR="00537A2D" w:rsidRPr="00DF37F2">
        <w:rPr>
          <w:rFonts w:ascii="Times New Roman" w:hAnsi="Times New Roman" w:cs="Times New Roman"/>
          <w:b/>
          <w:bCs/>
          <w:color w:val="auto"/>
          <w:sz w:val="24"/>
          <w:szCs w:val="24"/>
        </w:rPr>
        <w:t>.2 Pedagogical Implications</w:t>
      </w:r>
    </w:p>
    <w:p w14:paraId="787E7098" w14:textId="77777777" w:rsidR="00DF16D2" w:rsidRPr="00DF37F2" w:rsidRDefault="00537A2D" w:rsidP="00537A2D">
      <w:pPr>
        <w:pStyle w:val="FirstParagraph"/>
        <w:rPr>
          <w:rFonts w:ascii="Times New Roman" w:hAnsi="Times New Roman" w:cs="Times New Roman"/>
        </w:rPr>
      </w:pPr>
      <w:r w:rsidRPr="00DF37F2">
        <w:rPr>
          <w:rFonts w:ascii="Times New Roman" w:hAnsi="Times New Roman" w:cs="Times New Roman"/>
        </w:rPr>
        <w:t>-For instructors</w:t>
      </w:r>
    </w:p>
    <w:p w14:paraId="637EFCB6" w14:textId="705A5DD6" w:rsidR="00537A2D" w:rsidRPr="00DF37F2" w:rsidRDefault="00DF16D2" w:rsidP="00537A2D">
      <w:pPr>
        <w:pStyle w:val="FirstParagraph"/>
        <w:rPr>
          <w:rFonts w:ascii="Times New Roman" w:hAnsi="Times New Roman" w:cs="Times New Roman"/>
        </w:rPr>
      </w:pPr>
      <w:r w:rsidRPr="00DF37F2">
        <w:rPr>
          <w:rFonts w:ascii="Times New Roman" w:hAnsi="Times New Roman" w:cs="Times New Roman"/>
        </w:rPr>
        <w:t>Instructors</w:t>
      </w:r>
      <w:r w:rsidR="00537A2D" w:rsidRPr="00DF37F2">
        <w:rPr>
          <w:rFonts w:ascii="Times New Roman" w:hAnsi="Times New Roman" w:cs="Times New Roman"/>
        </w:rPr>
        <w:t xml:space="preserve"> should move beyond merely allowing AI use and instead design structured, cognitively demanding tasks that require analysis, justification, and revision of AI outputs. Editorial intervention, structure selection, and domain-specific vocabulary integration are essential to ensure AI supports—rather than replaces—deep </w:t>
      </w:r>
      <w:proofErr w:type="spellStart"/>
      <w:r w:rsidR="00537A2D" w:rsidRPr="00DF37F2">
        <w:rPr>
          <w:rFonts w:ascii="Times New Roman" w:hAnsi="Times New Roman" w:cs="Times New Roman"/>
        </w:rPr>
        <w:t>transinterpretative</w:t>
      </w:r>
      <w:proofErr w:type="spellEnd"/>
      <w:r w:rsidR="00537A2D" w:rsidRPr="00DF37F2">
        <w:rPr>
          <w:rFonts w:ascii="Times New Roman" w:hAnsi="Times New Roman" w:cs="Times New Roman"/>
        </w:rPr>
        <w:t xml:space="preserve"> competence. </w:t>
      </w:r>
    </w:p>
    <w:p w14:paraId="06201705" w14:textId="77777777" w:rsidR="00DF16D2" w:rsidRPr="00DF37F2" w:rsidRDefault="00DF16D2" w:rsidP="00DF16D2">
      <w:pPr>
        <w:pStyle w:val="BodyText"/>
        <w:rPr>
          <w:rFonts w:ascii="Times New Roman" w:hAnsi="Times New Roman" w:cs="Times New Roman"/>
        </w:rPr>
      </w:pPr>
      <w:r w:rsidRPr="00DF37F2">
        <w:rPr>
          <w:rFonts w:ascii="Times New Roman" w:hAnsi="Times New Roman" w:cs="Times New Roman"/>
        </w:rPr>
        <w:t>-For Researchers</w:t>
      </w:r>
      <w:r w:rsidRPr="00DF37F2">
        <w:rPr>
          <w:rFonts w:ascii="Times New Roman" w:hAnsi="Times New Roman" w:cs="Times New Roman"/>
          <w:b/>
          <w:bCs/>
        </w:rPr>
        <w:t xml:space="preserve"> </w:t>
      </w:r>
      <w:r w:rsidRPr="00DF37F2">
        <w:rPr>
          <w:rFonts w:ascii="Times New Roman" w:hAnsi="Times New Roman" w:cs="Times New Roman"/>
        </w:rPr>
        <w:br/>
        <w:t>Researchers should further investigate AI-assisted translation pedagogy through longitudinal, experimental, and cross-institutional studies. Future research should measure actual performance outcomes, not only self-reported perceptions, and examine how instructional mediation influences the relationship between AI use, motivation, and competence development.</w:t>
      </w:r>
    </w:p>
    <w:p w14:paraId="3FC9B342" w14:textId="79862B89" w:rsidR="00DF16D2" w:rsidRPr="00DF37F2" w:rsidRDefault="00537A2D" w:rsidP="00537A2D">
      <w:pPr>
        <w:pStyle w:val="FirstParagraph"/>
        <w:rPr>
          <w:rFonts w:ascii="Times New Roman" w:hAnsi="Times New Roman" w:cs="Times New Roman"/>
        </w:rPr>
      </w:pPr>
      <w:r w:rsidRPr="00DF37F2">
        <w:rPr>
          <w:rFonts w:ascii="Times New Roman" w:hAnsi="Times New Roman" w:cs="Times New Roman"/>
        </w:rPr>
        <w:t>-For institutions</w:t>
      </w:r>
    </w:p>
    <w:p w14:paraId="3606AFEC" w14:textId="77777777" w:rsidR="00DF16D2" w:rsidRPr="00DF37F2" w:rsidRDefault="00DF16D2" w:rsidP="00537A2D">
      <w:pPr>
        <w:pStyle w:val="BodyText"/>
        <w:rPr>
          <w:rFonts w:ascii="Times New Roman" w:hAnsi="Times New Roman" w:cs="Times New Roman"/>
        </w:rPr>
      </w:pPr>
      <w:r w:rsidRPr="00DF37F2">
        <w:rPr>
          <w:rFonts w:ascii="Times New Roman" w:hAnsi="Times New Roman" w:cs="Times New Roman"/>
        </w:rPr>
        <w:t xml:space="preserve">Institutions should develop clear policies that balance AI integration with academic integrity, aligning classroom innovation with assessment standards. Investment in professional development, AI literacy training, and curriculum redesign is essential to ensure technology adoption enhances learning outcomes while preserving unaided competence and examination reliability. </w:t>
      </w:r>
    </w:p>
    <w:p w14:paraId="27B73038" w14:textId="195A3DEF" w:rsidR="00537A2D" w:rsidRPr="00DF37F2" w:rsidRDefault="00537A2D" w:rsidP="00537A2D">
      <w:pPr>
        <w:pStyle w:val="BodyText"/>
        <w:rPr>
          <w:rFonts w:ascii="Times New Roman" w:hAnsi="Times New Roman" w:cs="Times New Roman"/>
        </w:rPr>
      </w:pPr>
      <w:r w:rsidRPr="00DF37F2">
        <w:rPr>
          <w:rFonts w:ascii="Times New Roman" w:hAnsi="Times New Roman" w:cs="Times New Roman"/>
        </w:rPr>
        <w:t>-For Students</w:t>
      </w:r>
      <w:r w:rsidRPr="00DF37F2">
        <w:rPr>
          <w:rFonts w:ascii="Times New Roman" w:hAnsi="Times New Roman" w:cs="Times New Roman"/>
          <w:b/>
          <w:bCs/>
        </w:rPr>
        <w:t xml:space="preserve"> </w:t>
      </w:r>
      <w:r w:rsidRPr="00DF37F2">
        <w:rPr>
          <w:rFonts w:ascii="Times New Roman" w:hAnsi="Times New Roman" w:cs="Times New Roman"/>
        </w:rPr>
        <w:br/>
        <w:t>Students should treat AI as a cognitive scaffold rather than a shortcut. By critically evaluating, questioning, and revising AI-generated translations, learners can strengthen structural awareness, lexical precision, and interpretive reasoning, thereby developing independent competence necessary for examinations and professional translation practice.</w:t>
      </w:r>
    </w:p>
    <w:bookmarkEnd w:id="1"/>
    <w:bookmarkEnd w:id="22"/>
    <w:bookmarkEnd w:id="23"/>
    <w:p w14:paraId="1C156364" w14:textId="5A2F7D2E" w:rsidR="0094304F" w:rsidRPr="005F59A8" w:rsidRDefault="0094304F" w:rsidP="0094304F">
      <w:pPr>
        <w:pStyle w:val="Heading1"/>
        <w:rPr>
          <w:rFonts w:ascii="Times New Roman" w:hAnsi="Times New Roman" w:cs="Times New Roman"/>
          <w:color w:val="auto"/>
          <w:sz w:val="24"/>
          <w:szCs w:val="24"/>
        </w:rPr>
      </w:pPr>
      <w:r w:rsidRPr="005F59A8">
        <w:rPr>
          <w:rStyle w:val="Strong"/>
          <w:rFonts w:ascii="Times New Roman" w:hAnsi="Times New Roman" w:cs="Times New Roman"/>
          <w:color w:val="auto"/>
          <w:sz w:val="24"/>
          <w:szCs w:val="24"/>
        </w:rPr>
        <w:t xml:space="preserve">References </w:t>
      </w:r>
    </w:p>
    <w:p w14:paraId="0BCFE8E9" w14:textId="77777777" w:rsidR="00D86A49" w:rsidRPr="000A3AE2" w:rsidRDefault="00D86A49" w:rsidP="000A3AE2">
      <w:pPr>
        <w:pStyle w:val="NormalWeb"/>
        <w:ind w:left="540" w:hanging="540"/>
      </w:pPr>
      <w:r w:rsidRPr="000A3AE2">
        <w:t xml:space="preserve">Baker, M. (2018). </w:t>
      </w:r>
      <w:r w:rsidRPr="000A3AE2">
        <w:rPr>
          <w:i/>
          <w:iCs/>
        </w:rPr>
        <w:t>In other words: A coursebook on translation</w:t>
      </w:r>
      <w:r w:rsidRPr="000A3AE2">
        <w:t xml:space="preserve"> (3rd ed.). Routledge.</w:t>
      </w:r>
    </w:p>
    <w:p w14:paraId="4226F0C3" w14:textId="77777777" w:rsidR="00D86A49" w:rsidRPr="000A3AE2" w:rsidRDefault="00D86A49" w:rsidP="000A3AE2">
      <w:pPr>
        <w:pStyle w:val="NormalWeb"/>
        <w:ind w:left="540" w:hanging="540"/>
      </w:pPr>
      <w:r w:rsidRPr="000A3AE2">
        <w:t xml:space="preserve">Beatty, K. (2013). </w:t>
      </w:r>
      <w:r w:rsidRPr="000A3AE2">
        <w:rPr>
          <w:i/>
          <w:iCs/>
        </w:rPr>
        <w:t>Teaching and researching computer-assisted language learning</w:t>
      </w:r>
      <w:r w:rsidRPr="000A3AE2">
        <w:t>. Routledge.</w:t>
      </w:r>
    </w:p>
    <w:p w14:paraId="6AEF3291" w14:textId="77777777" w:rsidR="00D86A49" w:rsidRPr="000A3AE2" w:rsidRDefault="00D86A49" w:rsidP="000A3AE2">
      <w:pPr>
        <w:pStyle w:val="NormalWeb"/>
        <w:ind w:left="540" w:hanging="540"/>
      </w:pPr>
      <w:r w:rsidRPr="000A3AE2">
        <w:t xml:space="preserve">Bender, E. M., Gebru, T., McMillan-Major, A., &amp; </w:t>
      </w:r>
      <w:proofErr w:type="spellStart"/>
      <w:r w:rsidRPr="000A3AE2">
        <w:t>Shmitchell</w:t>
      </w:r>
      <w:proofErr w:type="spellEnd"/>
      <w:r w:rsidRPr="000A3AE2">
        <w:t xml:space="preserve">, S. (2021). On the dangers of stochastic parrots. </w:t>
      </w:r>
      <w:r w:rsidRPr="000A3AE2">
        <w:rPr>
          <w:i/>
          <w:iCs/>
        </w:rPr>
        <w:t xml:space="preserve">Proceedings of </w:t>
      </w:r>
      <w:proofErr w:type="spellStart"/>
      <w:r w:rsidRPr="000A3AE2">
        <w:rPr>
          <w:i/>
          <w:iCs/>
        </w:rPr>
        <w:t>FAccT</w:t>
      </w:r>
      <w:proofErr w:type="spellEnd"/>
      <w:r w:rsidRPr="000A3AE2">
        <w:t>, 610–623.</w:t>
      </w:r>
    </w:p>
    <w:p w14:paraId="7573DAAF" w14:textId="77777777" w:rsidR="00D86A49" w:rsidRPr="000A3AE2" w:rsidRDefault="00D86A49" w:rsidP="000A3AE2">
      <w:pPr>
        <w:pStyle w:val="NormalWeb"/>
        <w:ind w:left="540" w:hanging="540"/>
      </w:pPr>
      <w:proofErr w:type="spellStart"/>
      <w:r w:rsidRPr="000A3AE2">
        <w:lastRenderedPageBreak/>
        <w:t>Bretag</w:t>
      </w:r>
      <w:proofErr w:type="spellEnd"/>
      <w:r w:rsidRPr="000A3AE2">
        <w:t xml:space="preserve">, T., Harper, R., Burton, M., Ellis, C., Newton, P., van </w:t>
      </w:r>
      <w:proofErr w:type="spellStart"/>
      <w:r w:rsidRPr="000A3AE2">
        <w:t>Haeringen</w:t>
      </w:r>
      <w:proofErr w:type="spellEnd"/>
      <w:r w:rsidRPr="000A3AE2">
        <w:t xml:space="preserve">, K., Saddiqui, S., &amp; Rozenberg, P. (2019). Contract cheating: A survey of Australian university students. </w:t>
      </w:r>
      <w:r w:rsidRPr="000A3AE2">
        <w:rPr>
          <w:i/>
          <w:iCs/>
        </w:rPr>
        <w:t>Studies in Higher Education</w:t>
      </w:r>
      <w:r w:rsidRPr="000A3AE2">
        <w:t xml:space="preserve">, </w:t>
      </w:r>
      <w:r w:rsidRPr="000A3AE2">
        <w:rPr>
          <w:i/>
          <w:iCs/>
        </w:rPr>
        <w:t>44</w:t>
      </w:r>
      <w:r w:rsidRPr="000A3AE2">
        <w:t>(11), 1837–1856.</w:t>
      </w:r>
    </w:p>
    <w:p w14:paraId="78996F12" w14:textId="77777777" w:rsidR="00D86A49" w:rsidRPr="000A3AE2" w:rsidRDefault="00D86A49" w:rsidP="000A3AE2">
      <w:pPr>
        <w:pStyle w:val="NormalWeb"/>
        <w:ind w:left="540" w:hanging="540"/>
      </w:pPr>
      <w:r w:rsidRPr="000A3AE2">
        <w:t xml:space="preserve">Brown, </w:t>
      </w:r>
      <w:r>
        <w:t>et al</w:t>
      </w:r>
      <w:r w:rsidRPr="000A3AE2">
        <w:t xml:space="preserve">. (2020). Language models are few-shot learners. </w:t>
      </w:r>
      <w:r w:rsidRPr="000A3AE2">
        <w:rPr>
          <w:i/>
          <w:iCs/>
        </w:rPr>
        <w:t>Advances in Neural Information Processing Systems</w:t>
      </w:r>
      <w:r w:rsidRPr="000A3AE2">
        <w:t xml:space="preserve">, </w:t>
      </w:r>
      <w:r w:rsidRPr="000A3AE2">
        <w:rPr>
          <w:i/>
          <w:iCs/>
        </w:rPr>
        <w:t>33</w:t>
      </w:r>
      <w:r w:rsidRPr="000A3AE2">
        <w:t>, 1877–1901.</w:t>
      </w:r>
    </w:p>
    <w:p w14:paraId="3146FD5A" w14:textId="77777777" w:rsidR="00D86A49" w:rsidRPr="000A3AE2" w:rsidRDefault="00D86A49" w:rsidP="000A3AE2">
      <w:pPr>
        <w:pStyle w:val="NormalWeb"/>
        <w:ind w:left="540" w:hanging="540"/>
      </w:pPr>
      <w:r w:rsidRPr="000A3AE2">
        <w:t xml:space="preserve">Chapelle, C. A. (2001). </w:t>
      </w:r>
      <w:r w:rsidRPr="000A3AE2">
        <w:rPr>
          <w:i/>
          <w:iCs/>
        </w:rPr>
        <w:t>Computer applications in second language acquisition</w:t>
      </w:r>
      <w:r w:rsidRPr="000A3AE2">
        <w:t>. Cambridge University Press.</w:t>
      </w:r>
    </w:p>
    <w:p w14:paraId="0B722A42" w14:textId="77777777" w:rsidR="00D86A49" w:rsidRPr="000A3AE2" w:rsidRDefault="00D86A49" w:rsidP="000A3AE2">
      <w:pPr>
        <w:pStyle w:val="NormalWeb"/>
        <w:ind w:left="540" w:hanging="540"/>
      </w:pPr>
      <w:r w:rsidRPr="000A3AE2">
        <w:t xml:space="preserve">Cotton, D. R. E., Cotton, P. A., &amp; Shipway, J. R. (2023). ChatGPT: Implications for academic integrity. </w:t>
      </w:r>
      <w:r w:rsidRPr="000A3AE2">
        <w:rPr>
          <w:i/>
          <w:iCs/>
        </w:rPr>
        <w:t>Innovations in Education and Teaching International</w:t>
      </w:r>
      <w:r w:rsidRPr="000A3AE2">
        <w:t xml:space="preserve">, </w:t>
      </w:r>
      <w:r w:rsidRPr="000A3AE2">
        <w:rPr>
          <w:i/>
          <w:iCs/>
        </w:rPr>
        <w:t>61</w:t>
      </w:r>
      <w:r w:rsidRPr="000A3AE2">
        <w:t xml:space="preserve">(2), 241–252. </w:t>
      </w:r>
      <w:hyperlink r:id="rId8" w:tgtFrame="_blank" w:history="1">
        <w:r w:rsidRPr="000A3AE2">
          <w:rPr>
            <w:rStyle w:val="Hyperlink"/>
            <w:color w:val="auto"/>
          </w:rPr>
          <w:t>https://doi.org/10.1080/14703297.2023.2190148</w:t>
        </w:r>
      </w:hyperlink>
    </w:p>
    <w:p w14:paraId="698A1B7D" w14:textId="77777777" w:rsidR="00D86A49" w:rsidRPr="00C836E8" w:rsidRDefault="00D86A49" w:rsidP="00C836E8">
      <w:pPr>
        <w:pStyle w:val="NormalWeb"/>
        <w:ind w:left="540" w:hanging="540"/>
      </w:pPr>
      <w:r w:rsidRPr="00C836E8">
        <w:t xml:space="preserve">Dua, B., &amp; Gupta, A. (2026). Developing an integrated AI pedagogical framework for pre-service teachers. </w:t>
      </w:r>
      <w:r w:rsidRPr="00C836E8">
        <w:rPr>
          <w:i/>
          <w:iCs/>
        </w:rPr>
        <w:t>Review of Artificial Intelligence in Education</w:t>
      </w:r>
      <w:r w:rsidRPr="00C836E8">
        <w:t xml:space="preserve">, </w:t>
      </w:r>
      <w:r w:rsidRPr="00C836E8">
        <w:rPr>
          <w:i/>
          <w:iCs/>
        </w:rPr>
        <w:t>7</w:t>
      </w:r>
      <w:r w:rsidRPr="00C836E8">
        <w:t xml:space="preserve">(1), e091. </w:t>
      </w:r>
      <w:hyperlink r:id="rId9" w:tgtFrame="_blank" w:history="1">
        <w:r w:rsidRPr="00C836E8">
          <w:rPr>
            <w:rStyle w:val="Hyperlink"/>
          </w:rPr>
          <w:t>https://doi.org/10.37497/rev.artif.intell.educ.v7ii.91</w:t>
        </w:r>
      </w:hyperlink>
    </w:p>
    <w:p w14:paraId="724D87B0" w14:textId="77777777" w:rsidR="00D86A49" w:rsidRPr="00C836E8" w:rsidRDefault="00D86A49" w:rsidP="00C836E8">
      <w:pPr>
        <w:pStyle w:val="NormalWeb"/>
        <w:ind w:left="540" w:hanging="540"/>
      </w:pPr>
      <w:r w:rsidRPr="00C836E8">
        <w:t xml:space="preserve">Ellis, R. (2018). </w:t>
      </w:r>
      <w:r w:rsidRPr="00C836E8">
        <w:rPr>
          <w:i/>
          <w:iCs/>
        </w:rPr>
        <w:t>Reflections on task-based language teaching</w:t>
      </w:r>
      <w:r w:rsidRPr="00C836E8">
        <w:t xml:space="preserve">. Multilingual Matters. </w:t>
      </w:r>
      <w:hyperlink r:id="rId10" w:tgtFrame="_blank" w:history="1">
        <w:r w:rsidRPr="00C836E8">
          <w:rPr>
            <w:rStyle w:val="Hyperlink"/>
          </w:rPr>
          <w:t>https://doi.org/10.21832/ELLIS7634</w:t>
        </w:r>
      </w:hyperlink>
    </w:p>
    <w:p w14:paraId="0375297D" w14:textId="77777777" w:rsidR="00D86A49" w:rsidRPr="00C836E8" w:rsidRDefault="00D86A49" w:rsidP="00C836E8">
      <w:pPr>
        <w:pStyle w:val="NormalWeb"/>
        <w:ind w:left="540" w:hanging="540"/>
      </w:pPr>
      <w:proofErr w:type="spellStart"/>
      <w:r w:rsidRPr="00C836E8">
        <w:t>Elshall</w:t>
      </w:r>
      <w:proofErr w:type="spellEnd"/>
      <w:r w:rsidRPr="00C836E8">
        <w:t xml:space="preserve">, A. S., &amp; Badir, A. (2025). Balancing AI-assisted learning and traditional assessment: The FACT assessment in environmental data science education. </w:t>
      </w:r>
      <w:r w:rsidRPr="00C836E8">
        <w:rPr>
          <w:i/>
          <w:iCs/>
        </w:rPr>
        <w:t>Frontiers in Education</w:t>
      </w:r>
      <w:r w:rsidRPr="00C836E8">
        <w:t xml:space="preserve">, </w:t>
      </w:r>
      <w:r w:rsidRPr="00C836E8">
        <w:rPr>
          <w:i/>
          <w:iCs/>
        </w:rPr>
        <w:t>10</w:t>
      </w:r>
      <w:r w:rsidRPr="00C836E8">
        <w:t xml:space="preserve">, Article 1596462. </w:t>
      </w:r>
      <w:hyperlink r:id="rId11" w:tgtFrame="_blank" w:history="1">
        <w:r w:rsidRPr="00C836E8">
          <w:rPr>
            <w:rStyle w:val="Hyperlink"/>
          </w:rPr>
          <w:t>https://doi.org/10.3389/feduc.2025.1596462</w:t>
        </w:r>
      </w:hyperlink>
    </w:p>
    <w:p w14:paraId="40C540A1" w14:textId="77777777" w:rsidR="00D86A49" w:rsidRPr="000A3AE2" w:rsidRDefault="00D86A49" w:rsidP="000A3AE2">
      <w:pPr>
        <w:pStyle w:val="NormalWeb"/>
        <w:ind w:left="540" w:hanging="540"/>
      </w:pPr>
      <w:r w:rsidRPr="000A3AE2">
        <w:t xml:space="preserve">House, J. (2015). </w:t>
      </w:r>
      <w:r w:rsidRPr="000A3AE2">
        <w:rPr>
          <w:i/>
          <w:iCs/>
        </w:rPr>
        <w:t>Translation quality assessment: Past and present</w:t>
      </w:r>
      <w:r w:rsidRPr="000A3AE2">
        <w:t>. Routledge.</w:t>
      </w:r>
    </w:p>
    <w:p w14:paraId="6A4D3E5F" w14:textId="77777777" w:rsidR="00D86A49" w:rsidRPr="000A3AE2" w:rsidRDefault="00D86A49" w:rsidP="000A3AE2">
      <w:pPr>
        <w:pStyle w:val="NormalWeb"/>
        <w:ind w:left="540" w:hanging="540"/>
      </w:pPr>
      <w:proofErr w:type="spellStart"/>
      <w:r w:rsidRPr="000A3AE2">
        <w:t>Kasneci</w:t>
      </w:r>
      <w:proofErr w:type="spellEnd"/>
      <w:r w:rsidRPr="000A3AE2">
        <w:t xml:space="preserve">, E., Sessler, K., </w:t>
      </w:r>
      <w:proofErr w:type="spellStart"/>
      <w:r w:rsidRPr="000A3AE2">
        <w:t>Küchemann</w:t>
      </w:r>
      <w:proofErr w:type="spellEnd"/>
      <w:r w:rsidRPr="000A3AE2">
        <w:t xml:space="preserve">, S., Bannert, M., Dementieva, D., Fischer, F., Gasser, U., Groh, G., Günnemann, S., </w:t>
      </w:r>
      <w:proofErr w:type="spellStart"/>
      <w:r w:rsidRPr="000A3AE2">
        <w:t>Hüllermeier</w:t>
      </w:r>
      <w:proofErr w:type="spellEnd"/>
      <w:r w:rsidRPr="000A3AE2">
        <w:t xml:space="preserve">, E., </w:t>
      </w:r>
      <w:proofErr w:type="spellStart"/>
      <w:r w:rsidRPr="000A3AE2">
        <w:t>Krusche</w:t>
      </w:r>
      <w:proofErr w:type="spellEnd"/>
      <w:r w:rsidRPr="000A3AE2">
        <w:t xml:space="preserve">, S., </w:t>
      </w:r>
      <w:proofErr w:type="spellStart"/>
      <w:r w:rsidRPr="000A3AE2">
        <w:t>Kutyarmu</w:t>
      </w:r>
      <w:proofErr w:type="spellEnd"/>
      <w:r w:rsidRPr="000A3AE2">
        <w:t xml:space="preserve">, G., Mewes, D., </w:t>
      </w:r>
      <w:proofErr w:type="spellStart"/>
      <w:r w:rsidRPr="000A3AE2">
        <w:t>Kasneci</w:t>
      </w:r>
      <w:proofErr w:type="spellEnd"/>
      <w:r w:rsidRPr="000A3AE2">
        <w:t xml:space="preserve">, G., Radutskiy, J., &amp; </w:t>
      </w:r>
      <w:proofErr w:type="spellStart"/>
      <w:r w:rsidRPr="000A3AE2">
        <w:t>Kasneci</w:t>
      </w:r>
      <w:proofErr w:type="spellEnd"/>
      <w:r w:rsidRPr="000A3AE2">
        <w:t xml:space="preserve">, E. (2023). ChatGPT for good? On the potential of LLMs in education. </w:t>
      </w:r>
      <w:r w:rsidRPr="000A3AE2">
        <w:rPr>
          <w:i/>
          <w:iCs/>
        </w:rPr>
        <w:t>Learning and Individual Differences</w:t>
      </w:r>
      <w:r w:rsidRPr="000A3AE2">
        <w:t xml:space="preserve">, </w:t>
      </w:r>
      <w:r w:rsidRPr="000A3AE2">
        <w:rPr>
          <w:i/>
          <w:iCs/>
        </w:rPr>
        <w:t>103</w:t>
      </w:r>
      <w:r w:rsidRPr="000A3AE2">
        <w:t xml:space="preserve">, Article 102274. </w:t>
      </w:r>
      <w:hyperlink r:id="rId12" w:tgtFrame="_blank" w:history="1">
        <w:r w:rsidRPr="000A3AE2">
          <w:rPr>
            <w:rStyle w:val="Hyperlink"/>
            <w:color w:val="auto"/>
          </w:rPr>
          <w:t>https://doi.org/10.1016/j.lindif.2023.102274</w:t>
        </w:r>
      </w:hyperlink>
    </w:p>
    <w:p w14:paraId="305EB335" w14:textId="77777777" w:rsidR="00D86A49" w:rsidRPr="000A3AE2" w:rsidRDefault="00D86A49" w:rsidP="000A3AE2">
      <w:pPr>
        <w:pStyle w:val="NormalWeb"/>
        <w:ind w:left="540" w:hanging="540"/>
      </w:pPr>
      <w:r w:rsidRPr="000A3AE2">
        <w:t xml:space="preserve">Kiraly, D. (2000). </w:t>
      </w:r>
      <w:r w:rsidRPr="000A3AE2">
        <w:rPr>
          <w:i/>
          <w:iCs/>
        </w:rPr>
        <w:t>A social constructivist approach to translator education: Empowerment from theory to practice</w:t>
      </w:r>
      <w:r w:rsidRPr="000A3AE2">
        <w:t>. St. Jerome Publishing.</w:t>
      </w:r>
    </w:p>
    <w:p w14:paraId="3C0DB2EC" w14:textId="77777777" w:rsidR="00D86A49" w:rsidRPr="00C836E8" w:rsidRDefault="00D86A49" w:rsidP="00C836E8">
      <w:pPr>
        <w:pStyle w:val="NormalWeb"/>
        <w:ind w:left="540" w:hanging="540"/>
      </w:pPr>
      <w:r w:rsidRPr="00C836E8">
        <w:t xml:space="preserve">Kumar, S., &amp; Raman, A. (2023). Artificial intelligence in translation pedagogy: Enhancing learner motivation and structural alignment in EFL classrooms. </w:t>
      </w:r>
      <w:r w:rsidRPr="00C836E8">
        <w:rPr>
          <w:i/>
          <w:iCs/>
        </w:rPr>
        <w:t>Journal of Language and Linguistic Studies</w:t>
      </w:r>
      <w:r w:rsidRPr="00C836E8">
        <w:t xml:space="preserve">, </w:t>
      </w:r>
      <w:r w:rsidRPr="00C836E8">
        <w:rPr>
          <w:i/>
          <w:iCs/>
        </w:rPr>
        <w:t>19</w:t>
      </w:r>
      <w:r w:rsidRPr="00C836E8">
        <w:t>(2), 415–431.</w:t>
      </w:r>
    </w:p>
    <w:p w14:paraId="7495EA30" w14:textId="77777777" w:rsidR="00D86A49" w:rsidRPr="000A3AE2" w:rsidRDefault="00D86A49" w:rsidP="000A3AE2">
      <w:pPr>
        <w:pStyle w:val="NormalWeb"/>
        <w:ind w:left="540" w:hanging="540"/>
      </w:pPr>
      <w:r w:rsidRPr="000A3AE2">
        <w:t xml:space="preserve">Levy Yeyati, E. (2025). </w:t>
      </w:r>
      <w:r w:rsidRPr="000A3AE2">
        <w:rPr>
          <w:i/>
          <w:iCs/>
        </w:rPr>
        <w:t>Generative AI in Education: A Framework for Leveraging Digital Tools in Latin American Classrooms</w:t>
      </w:r>
      <w:r w:rsidRPr="000A3AE2">
        <w:t>. IDB Publications.</w:t>
      </w:r>
    </w:p>
    <w:p w14:paraId="3C5AC1CB" w14:textId="77777777" w:rsidR="00D86A49" w:rsidRPr="00C836E8" w:rsidRDefault="00D86A49" w:rsidP="00C836E8">
      <w:pPr>
        <w:pStyle w:val="NormalWeb"/>
        <w:ind w:left="540" w:hanging="540"/>
      </w:pPr>
      <w:r w:rsidRPr="00C836E8">
        <w:t xml:space="preserve">Li, L. (2022). </w:t>
      </w:r>
      <w:r w:rsidRPr="00C836E8">
        <w:rPr>
          <w:i/>
          <w:iCs/>
        </w:rPr>
        <w:t>Integrating technology in language teacher education: Theoretical frameworks and practical applications</w:t>
      </w:r>
      <w:r w:rsidRPr="00C836E8">
        <w:t xml:space="preserve">. Routledge. </w:t>
      </w:r>
      <w:hyperlink r:id="rId13" w:tgtFrame="_blank" w:history="1">
        <w:r w:rsidRPr="00C836E8">
          <w:rPr>
            <w:rStyle w:val="Hyperlink"/>
          </w:rPr>
          <w:t>https://doi.org/10.4324/9781003124376</w:t>
        </w:r>
      </w:hyperlink>
    </w:p>
    <w:p w14:paraId="00C962AA" w14:textId="77777777" w:rsidR="00D86A49" w:rsidRPr="000A3AE2" w:rsidRDefault="00D86A49" w:rsidP="000A3AE2">
      <w:pPr>
        <w:pStyle w:val="NormalWeb"/>
        <w:ind w:left="540" w:hanging="540"/>
      </w:pPr>
      <w:proofErr w:type="spellStart"/>
      <w:r w:rsidRPr="000A3AE2">
        <w:lastRenderedPageBreak/>
        <w:t>Mimoudi</w:t>
      </w:r>
      <w:proofErr w:type="spellEnd"/>
      <w:r w:rsidRPr="000A3AE2">
        <w:t xml:space="preserve">, A. (2025). 'AIA-PCEK': A new framework for teaching with AI. </w:t>
      </w:r>
      <w:r w:rsidRPr="000A3AE2">
        <w:rPr>
          <w:i/>
          <w:iCs/>
        </w:rPr>
        <w:t>Cogent Education</w:t>
      </w:r>
      <w:r w:rsidRPr="000A3AE2">
        <w:t xml:space="preserve">, </w:t>
      </w:r>
      <w:r w:rsidRPr="000A3AE2">
        <w:rPr>
          <w:i/>
          <w:iCs/>
        </w:rPr>
        <w:t>12</w:t>
      </w:r>
      <w:r w:rsidRPr="000A3AE2">
        <w:t xml:space="preserve">(1), Article 2563171. </w:t>
      </w:r>
      <w:hyperlink r:id="rId14" w:tgtFrame="_blank" w:history="1">
        <w:r w:rsidRPr="000A3AE2">
          <w:rPr>
            <w:rStyle w:val="Hyperlink"/>
            <w:color w:val="auto"/>
          </w:rPr>
          <w:t>https://doi.org/10.1080/2331186X.2025.2563171</w:t>
        </w:r>
      </w:hyperlink>
    </w:p>
    <w:p w14:paraId="0BEC1C8B" w14:textId="77777777" w:rsidR="00D86A49" w:rsidRPr="000A3AE2" w:rsidRDefault="00D86A49" w:rsidP="000A3AE2">
      <w:pPr>
        <w:pStyle w:val="NormalWeb"/>
        <w:ind w:left="540" w:hanging="540"/>
      </w:pPr>
      <w:r w:rsidRPr="000A3AE2">
        <w:t xml:space="preserve">Newmark, P. (1988). </w:t>
      </w:r>
      <w:r w:rsidRPr="000A3AE2">
        <w:rPr>
          <w:i/>
          <w:iCs/>
        </w:rPr>
        <w:t>A textbook of translation</w:t>
      </w:r>
      <w:r w:rsidRPr="000A3AE2">
        <w:t>. Prentice Hall.</w:t>
      </w:r>
    </w:p>
    <w:p w14:paraId="7C0FB431" w14:textId="77777777" w:rsidR="00D86A49" w:rsidRPr="000A3AE2" w:rsidRDefault="00D86A49" w:rsidP="000A3AE2">
      <w:pPr>
        <w:pStyle w:val="NormalWeb"/>
        <w:ind w:left="540" w:hanging="540"/>
      </w:pPr>
      <w:r w:rsidRPr="000A3AE2">
        <w:t xml:space="preserve">Paas, F., Renkl, A., &amp; </w:t>
      </w:r>
      <w:proofErr w:type="spellStart"/>
      <w:r w:rsidRPr="000A3AE2">
        <w:t>Sweller</w:t>
      </w:r>
      <w:proofErr w:type="spellEnd"/>
      <w:r w:rsidRPr="000A3AE2">
        <w:t xml:space="preserve">, J. (2003). Cognitive load theory and instructional design: Recent developments. </w:t>
      </w:r>
      <w:r w:rsidRPr="000A3AE2">
        <w:rPr>
          <w:i/>
          <w:iCs/>
        </w:rPr>
        <w:t>Educational Psychologist</w:t>
      </w:r>
      <w:r w:rsidRPr="000A3AE2">
        <w:t xml:space="preserve">, </w:t>
      </w:r>
      <w:r w:rsidRPr="000A3AE2">
        <w:rPr>
          <w:i/>
          <w:iCs/>
        </w:rPr>
        <w:t>38</w:t>
      </w:r>
      <w:r w:rsidRPr="000A3AE2">
        <w:t xml:space="preserve">(1), 1–4. </w:t>
      </w:r>
      <w:hyperlink r:id="rId15" w:tgtFrame="_blank" w:history="1">
        <w:r w:rsidRPr="000A3AE2">
          <w:rPr>
            <w:rStyle w:val="Hyperlink"/>
            <w:color w:val="auto"/>
          </w:rPr>
          <w:t>https://doi.org/10.1207/S15326985EP3801_1</w:t>
        </w:r>
      </w:hyperlink>
    </w:p>
    <w:p w14:paraId="0180C8BF" w14:textId="77777777" w:rsidR="00D86A49" w:rsidRPr="00493E97" w:rsidRDefault="00D86A49" w:rsidP="000A3AE2">
      <w:pPr>
        <w:pStyle w:val="NormalWeb"/>
        <w:ind w:left="540" w:hanging="540"/>
        <w:rPr>
          <w:lang w:val="nl-NL"/>
        </w:rPr>
      </w:pPr>
      <w:proofErr w:type="spellStart"/>
      <w:r w:rsidRPr="00D67A87">
        <w:t>Sweller</w:t>
      </w:r>
      <w:proofErr w:type="spellEnd"/>
      <w:r w:rsidRPr="00D67A87">
        <w:t xml:space="preserve">, J., Ayres, P., &amp; </w:t>
      </w:r>
      <w:proofErr w:type="spellStart"/>
      <w:r w:rsidRPr="00D67A87">
        <w:t>Kalyuga</w:t>
      </w:r>
      <w:proofErr w:type="spellEnd"/>
      <w:r w:rsidRPr="00D67A87">
        <w:t xml:space="preserve">, S. (2011). </w:t>
      </w:r>
      <w:r w:rsidRPr="000A3AE2">
        <w:rPr>
          <w:i/>
          <w:iCs/>
        </w:rPr>
        <w:t>Cognitive load theory</w:t>
      </w:r>
      <w:r w:rsidRPr="000A3AE2">
        <w:t xml:space="preserve">. </w:t>
      </w:r>
      <w:r w:rsidRPr="00493E97">
        <w:rPr>
          <w:lang w:val="nl-NL"/>
        </w:rPr>
        <w:t xml:space="preserve">Springer. </w:t>
      </w:r>
      <w:r>
        <w:fldChar w:fldCharType="begin"/>
      </w:r>
      <w:r w:rsidRPr="00D67A87">
        <w:rPr>
          <w:lang w:val="nl-NL"/>
        </w:rPr>
        <w:instrText>HYPERLINK "https://www.google.com/search?q=https%3A%2F%2Fdoi.org%2F10.1007%2F978-1-4419-8126-4" \t "_blank"</w:instrText>
      </w:r>
      <w:r>
        <w:fldChar w:fldCharType="separate"/>
      </w:r>
      <w:r w:rsidRPr="00493E97">
        <w:rPr>
          <w:rStyle w:val="Hyperlink"/>
          <w:color w:val="auto"/>
          <w:lang w:val="nl-NL"/>
        </w:rPr>
        <w:t>https://doi.org/10.1007/978-1-4419-8126-4</w:t>
      </w:r>
      <w:r>
        <w:fldChar w:fldCharType="end"/>
      </w:r>
    </w:p>
    <w:p w14:paraId="133917F2" w14:textId="77777777" w:rsidR="00D86A49" w:rsidRPr="000A3AE2" w:rsidRDefault="00D86A49" w:rsidP="000A3AE2">
      <w:pPr>
        <w:pStyle w:val="NormalWeb"/>
        <w:ind w:left="540" w:hanging="540"/>
      </w:pPr>
      <w:r w:rsidRPr="00D86A49">
        <w:rPr>
          <w:lang w:val="nl-NL"/>
        </w:rPr>
        <w:t xml:space="preserve">Sweller, J., van Merriënboer, J. J. G., &amp; Paas, F. (2019). </w:t>
      </w:r>
      <w:r w:rsidRPr="000A3AE2">
        <w:t xml:space="preserve">Cognitive architecture and instructional design: 20 years later. </w:t>
      </w:r>
      <w:r w:rsidRPr="000A3AE2">
        <w:rPr>
          <w:i/>
          <w:iCs/>
        </w:rPr>
        <w:t>Educational Psychology Review</w:t>
      </w:r>
      <w:r w:rsidRPr="000A3AE2">
        <w:t xml:space="preserve">, </w:t>
      </w:r>
      <w:r w:rsidRPr="000A3AE2">
        <w:rPr>
          <w:i/>
          <w:iCs/>
        </w:rPr>
        <w:t>31</w:t>
      </w:r>
      <w:r w:rsidRPr="000A3AE2">
        <w:t xml:space="preserve">(2), 261–292. </w:t>
      </w:r>
      <w:hyperlink r:id="rId16" w:tgtFrame="_blank" w:history="1">
        <w:r w:rsidRPr="000A3AE2">
          <w:rPr>
            <w:rStyle w:val="Hyperlink"/>
            <w:color w:val="auto"/>
          </w:rPr>
          <w:t>https://doi.org/10.1007/s10648-019-09465-5</w:t>
        </w:r>
      </w:hyperlink>
    </w:p>
    <w:p w14:paraId="10586773" w14:textId="215D8EF8" w:rsidR="00D86A49" w:rsidRPr="000A3AE2" w:rsidRDefault="00D86A49" w:rsidP="000A3AE2">
      <w:pPr>
        <w:pStyle w:val="NormalWeb"/>
        <w:ind w:left="540" w:hanging="540"/>
      </w:pPr>
      <w:r w:rsidRPr="000A3AE2">
        <w:t xml:space="preserve">Ursachi, T. M. (2025). Curriculum to Immersion: A Conceptual Framework of Artificial Intelligence-Assisted Scenario Generation in Extended Reality for Primary and Secondary Education. </w:t>
      </w:r>
      <w:r w:rsidRPr="000A3AE2">
        <w:rPr>
          <w:i/>
          <w:iCs/>
        </w:rPr>
        <w:t>Electronics</w:t>
      </w:r>
      <w:r w:rsidRPr="000A3AE2">
        <w:t xml:space="preserve">, </w:t>
      </w:r>
      <w:r w:rsidRPr="000A3AE2">
        <w:rPr>
          <w:i/>
          <w:iCs/>
        </w:rPr>
        <w:t>14</w:t>
      </w:r>
      <w:r w:rsidRPr="000A3AE2">
        <w:t xml:space="preserve">(24), Article 4955. </w:t>
      </w:r>
      <w:hyperlink r:id="rId17" w:history="1">
        <w:r w:rsidRPr="00AE4E08">
          <w:rPr>
            <w:rStyle w:val="Hyperlink"/>
          </w:rPr>
          <w:t>https://doi.org/10.3390/electronics14244955</w:t>
        </w:r>
      </w:hyperlink>
    </w:p>
    <w:p w14:paraId="2A8553A9" w14:textId="77777777" w:rsidR="00D86A49" w:rsidRPr="000A3AE2" w:rsidRDefault="00D86A49" w:rsidP="000A3AE2">
      <w:pPr>
        <w:pStyle w:val="NormalWeb"/>
        <w:ind w:left="540" w:hanging="540"/>
      </w:pPr>
      <w:r w:rsidRPr="000A3AE2">
        <w:t xml:space="preserve">Vygotsky, L. S. (1978). </w:t>
      </w:r>
      <w:r w:rsidRPr="000A3AE2">
        <w:rPr>
          <w:i/>
          <w:iCs/>
        </w:rPr>
        <w:t>Mind in society</w:t>
      </w:r>
      <w:r w:rsidRPr="000A3AE2">
        <w:t>. Harvard University Press.</w:t>
      </w:r>
    </w:p>
    <w:p w14:paraId="57E74CAA" w14:textId="77777777" w:rsidR="00D86A49" w:rsidRPr="000A3AE2" w:rsidRDefault="00D86A49" w:rsidP="000A3AE2">
      <w:pPr>
        <w:pStyle w:val="NormalWeb"/>
        <w:ind w:left="540" w:hanging="540"/>
      </w:pPr>
      <w:r w:rsidRPr="000A3AE2">
        <w:t xml:space="preserve">Wan, Y. (2025). Impact Pathways of AI-Supported Instruction on Learning Behaviors, Competence Development, and Academic Achievement in Engineering Education. </w:t>
      </w:r>
      <w:r w:rsidRPr="000A3AE2">
        <w:rPr>
          <w:i/>
          <w:iCs/>
        </w:rPr>
        <w:t>Sustainability</w:t>
      </w:r>
      <w:r w:rsidRPr="000A3AE2">
        <w:t xml:space="preserve">, </w:t>
      </w:r>
      <w:r w:rsidRPr="000A3AE2">
        <w:rPr>
          <w:i/>
          <w:iCs/>
        </w:rPr>
        <w:t>17</w:t>
      </w:r>
      <w:r w:rsidRPr="000A3AE2">
        <w:t xml:space="preserve">(17), Article 8059. </w:t>
      </w:r>
      <w:hyperlink r:id="rId18" w:tgtFrame="_blank" w:history="1">
        <w:r w:rsidRPr="000A3AE2">
          <w:rPr>
            <w:rStyle w:val="Hyperlink"/>
            <w:color w:val="auto"/>
          </w:rPr>
          <w:t>https://doi.org/10.3390/su17178059</w:t>
        </w:r>
      </w:hyperlink>
    </w:p>
    <w:p w14:paraId="5F750087" w14:textId="77777777" w:rsidR="00D86A49" w:rsidRDefault="00D86A49" w:rsidP="000A3AE2">
      <w:pPr>
        <w:pStyle w:val="NormalWeb"/>
        <w:ind w:left="540" w:hanging="540"/>
      </w:pPr>
      <w:r w:rsidRPr="000A3AE2">
        <w:t xml:space="preserve">Zhai, X. (2022). ChatGPT user experience: Implications for education. </w:t>
      </w:r>
      <w:r w:rsidRPr="000A3AE2">
        <w:rPr>
          <w:i/>
          <w:iCs/>
        </w:rPr>
        <w:t>Smart Learning Environments</w:t>
      </w:r>
      <w:r w:rsidRPr="000A3AE2">
        <w:t xml:space="preserve">, </w:t>
      </w:r>
      <w:r w:rsidRPr="000A3AE2">
        <w:rPr>
          <w:i/>
          <w:iCs/>
        </w:rPr>
        <w:t>9</w:t>
      </w:r>
      <w:r w:rsidRPr="000A3AE2">
        <w:t xml:space="preserve">(1), Article 34. </w:t>
      </w:r>
      <w:hyperlink r:id="rId19" w:tgtFrame="_blank" w:history="1">
        <w:r w:rsidRPr="000A3AE2">
          <w:rPr>
            <w:rStyle w:val="Hyperlink"/>
            <w:color w:val="auto"/>
          </w:rPr>
          <w:t>https://doi.org/10.1186/s40561-022-00213-3</w:t>
        </w:r>
      </w:hyperlink>
    </w:p>
    <w:p w14:paraId="06BA8A1B" w14:textId="77777777" w:rsidR="00C836E8" w:rsidRPr="000A3AE2" w:rsidRDefault="00C836E8" w:rsidP="000A3AE2">
      <w:pPr>
        <w:pStyle w:val="NormalWeb"/>
        <w:ind w:left="540" w:hanging="540"/>
      </w:pPr>
    </w:p>
    <w:p w14:paraId="10F74AB9" w14:textId="7F27A4E6" w:rsidR="00F21A53" w:rsidRDefault="00F21A53" w:rsidP="00F21A53">
      <w:pPr>
        <w:pStyle w:val="Abstract"/>
        <w:rPr>
          <w:rStyle w:val="Heading1Char"/>
          <w:rFonts w:ascii="Cambria" w:hAnsi="Cambria" w:cs="Courier New"/>
          <w:b/>
          <w:bCs/>
          <w:color w:val="202124"/>
          <w:sz w:val="18"/>
          <w:szCs w:val="18"/>
        </w:rPr>
      </w:pPr>
      <w:r>
        <w:rPr>
          <w:rStyle w:val="Heading1Char"/>
          <w:rFonts w:ascii="Cambria" w:hAnsi="Cambria" w:cs="Courier New"/>
          <w:b/>
          <w:bCs/>
          <w:color w:val="202124"/>
          <w:sz w:val="18"/>
          <w:szCs w:val="18"/>
        </w:rPr>
        <w:t>BIONOTE</w:t>
      </w:r>
    </w:p>
    <w:p w14:paraId="07DA9318" w14:textId="3812020F" w:rsidR="00F21A53" w:rsidRDefault="00F21A53" w:rsidP="00F21A53">
      <w:pPr>
        <w:pStyle w:val="Abstract"/>
        <w:rPr>
          <w:rStyle w:val="Heading1Char"/>
          <w:rFonts w:ascii="Cambria" w:hAnsi="Cambria" w:cs="Courier New"/>
          <w:b/>
          <w:bCs/>
          <w:color w:val="202124"/>
          <w:sz w:val="18"/>
          <w:szCs w:val="18"/>
          <w:u w:val="single"/>
        </w:rPr>
      </w:pPr>
      <w:r w:rsidRPr="00F21A53">
        <w:rPr>
          <w:rFonts w:ascii="Cambria" w:hAnsi="Cambria" w:cs="Courier New"/>
          <w:noProof/>
          <w:color w:val="202124"/>
          <w:szCs w:val="18"/>
        </w:rPr>
        <w:drawing>
          <wp:inline distT="0" distB="0" distL="0" distR="0" wp14:anchorId="6749BD28" wp14:editId="2010646D">
            <wp:extent cx="568994" cy="758659"/>
            <wp:effectExtent l="0" t="0" r="0" b="0"/>
            <wp:docPr id="748756171" name="Hình ảnh 2" descr="Ảnh có chứa trang phục, người, Mặt người, cà vạt&#10;&#10;Mô tả được tạo tự độ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8756171" name="Hình ảnh 2" descr="Ảnh có chứa trang phục, người, Mặt người, cà vạt&#10;&#10;Mô tả được tạo tự độ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583819" cy="778425"/>
                    </a:xfrm>
                    <a:prstGeom prst="rect">
                      <a:avLst/>
                    </a:prstGeom>
                  </pic:spPr>
                </pic:pic>
              </a:graphicData>
            </a:graphic>
          </wp:inline>
        </w:drawing>
      </w:r>
      <w:sdt>
        <w:sdtPr>
          <w:rPr>
            <w:rFonts w:ascii="Cambria" w:hAnsi="Cambria" w:cs="Courier New"/>
            <w:color w:val="202124"/>
            <w:sz w:val="18"/>
            <w:szCs w:val="18"/>
          </w:rPr>
          <w:alias w:val="Bản tóm tắt"/>
          <w:tag w:val=""/>
          <w:id w:val="95598692"/>
          <w:placeholder>
            <w:docPart w:val="365BBF39AA6E4C5EAE7A06BE6975169F"/>
          </w:placeholder>
          <w:dataBinding w:prefixMappings="xmlns:ns0='http://schemas.microsoft.com/office/2006/coverPageProps' " w:xpath="/ns0:CoverPageProperties[1]/ns0:Abstract[1]" w:storeItemID="{55AF091B-3C7A-41E3-B477-F2FDAA23CFDA}"/>
          <w:text/>
        </w:sdtPr>
        <w:sdtContent>
          <w:r w:rsidR="002A02AB" w:rsidRPr="002A02AB">
            <w:rPr>
              <w:rFonts w:ascii="Cambria" w:hAnsi="Cambria" w:cs="Courier New"/>
              <w:color w:val="202124"/>
              <w:sz w:val="18"/>
              <w:szCs w:val="18"/>
            </w:rPr>
            <w:t xml:space="preserve">Tiến </w:t>
          </w:r>
          <w:proofErr w:type="spellStart"/>
          <w:r w:rsidR="002A02AB" w:rsidRPr="002A02AB">
            <w:rPr>
              <w:rFonts w:ascii="Cambria" w:hAnsi="Cambria" w:cs="Courier New"/>
              <w:color w:val="202124"/>
              <w:sz w:val="18"/>
              <w:szCs w:val="18"/>
            </w:rPr>
            <w:t>sĩ</w:t>
          </w:r>
          <w:proofErr w:type="spellEnd"/>
          <w:r w:rsidR="002A02AB" w:rsidRPr="002A02AB">
            <w:rPr>
              <w:rFonts w:ascii="Cambria" w:hAnsi="Cambria" w:cs="Courier New"/>
              <w:color w:val="202124"/>
              <w:sz w:val="18"/>
              <w:szCs w:val="18"/>
            </w:rPr>
            <w:t xml:space="preserve"> Nguyễn Đức Châu </w:t>
          </w:r>
          <w:proofErr w:type="spellStart"/>
          <w:r w:rsidR="002A02AB" w:rsidRPr="002A02AB">
            <w:rPr>
              <w:rFonts w:ascii="Cambria" w:hAnsi="Cambria" w:cs="Courier New"/>
              <w:color w:val="202124"/>
              <w:sz w:val="18"/>
              <w:szCs w:val="18"/>
            </w:rPr>
            <w:t>là</w:t>
          </w:r>
          <w:proofErr w:type="spellEnd"/>
          <w:r w:rsidR="002A02AB" w:rsidRPr="002A02AB">
            <w:rPr>
              <w:rFonts w:ascii="Cambria" w:hAnsi="Cambria" w:cs="Courier New"/>
              <w:color w:val="202124"/>
              <w:sz w:val="18"/>
              <w:szCs w:val="18"/>
            </w:rPr>
            <w:t xml:space="preserve"> </w:t>
          </w:r>
          <w:proofErr w:type="spellStart"/>
          <w:r w:rsidR="002A02AB" w:rsidRPr="002A02AB">
            <w:rPr>
              <w:rFonts w:ascii="Cambria" w:hAnsi="Cambria" w:cs="Courier New"/>
              <w:color w:val="202124"/>
              <w:sz w:val="18"/>
              <w:szCs w:val="18"/>
            </w:rPr>
            <w:t>giảng</w:t>
          </w:r>
          <w:proofErr w:type="spellEnd"/>
          <w:r w:rsidR="002A02AB" w:rsidRPr="002A02AB">
            <w:rPr>
              <w:rFonts w:ascii="Cambria" w:hAnsi="Cambria" w:cs="Courier New"/>
              <w:color w:val="202124"/>
              <w:sz w:val="18"/>
              <w:szCs w:val="18"/>
            </w:rPr>
            <w:t xml:space="preserve"> </w:t>
          </w:r>
          <w:proofErr w:type="spellStart"/>
          <w:r w:rsidR="002A02AB" w:rsidRPr="002A02AB">
            <w:rPr>
              <w:rFonts w:ascii="Cambria" w:hAnsi="Cambria" w:cs="Courier New"/>
              <w:color w:val="202124"/>
              <w:sz w:val="18"/>
              <w:szCs w:val="18"/>
            </w:rPr>
            <w:t>viên</w:t>
          </w:r>
          <w:proofErr w:type="spellEnd"/>
          <w:r w:rsidR="002A02AB" w:rsidRPr="002A02AB">
            <w:rPr>
              <w:rFonts w:ascii="Cambria" w:hAnsi="Cambria" w:cs="Courier New"/>
              <w:color w:val="202124"/>
              <w:sz w:val="18"/>
              <w:szCs w:val="18"/>
            </w:rPr>
            <w:t xml:space="preserve"> </w:t>
          </w:r>
          <w:proofErr w:type="spellStart"/>
          <w:r w:rsidR="002A02AB" w:rsidRPr="002A02AB">
            <w:rPr>
              <w:rFonts w:ascii="Cambria" w:hAnsi="Cambria" w:cs="Courier New"/>
              <w:color w:val="202124"/>
              <w:sz w:val="18"/>
              <w:szCs w:val="18"/>
            </w:rPr>
            <w:t>tiếng</w:t>
          </w:r>
          <w:proofErr w:type="spellEnd"/>
          <w:r w:rsidR="002A02AB" w:rsidRPr="002A02AB">
            <w:rPr>
              <w:rFonts w:ascii="Cambria" w:hAnsi="Cambria" w:cs="Courier New"/>
              <w:color w:val="202124"/>
              <w:sz w:val="18"/>
              <w:szCs w:val="18"/>
            </w:rPr>
            <w:t xml:space="preserve"> Anh </w:t>
          </w:r>
          <w:proofErr w:type="spellStart"/>
          <w:r w:rsidR="002A02AB" w:rsidRPr="002A02AB">
            <w:rPr>
              <w:rFonts w:ascii="Cambria" w:hAnsi="Cambria" w:cs="Courier New"/>
              <w:color w:val="202124"/>
              <w:sz w:val="18"/>
              <w:szCs w:val="18"/>
            </w:rPr>
            <w:t>tại</w:t>
          </w:r>
          <w:proofErr w:type="spellEnd"/>
          <w:r w:rsidR="002A02AB" w:rsidRPr="002A02AB">
            <w:rPr>
              <w:rFonts w:ascii="Cambria" w:hAnsi="Cambria" w:cs="Courier New"/>
              <w:color w:val="202124"/>
              <w:sz w:val="18"/>
              <w:szCs w:val="18"/>
            </w:rPr>
            <w:t xml:space="preserve"> Khoa </w:t>
          </w:r>
          <w:proofErr w:type="spellStart"/>
          <w:r w:rsidR="002A02AB" w:rsidRPr="002A02AB">
            <w:rPr>
              <w:rFonts w:ascii="Cambria" w:hAnsi="Cambria" w:cs="Courier New"/>
              <w:color w:val="202124"/>
              <w:sz w:val="18"/>
              <w:szCs w:val="18"/>
            </w:rPr>
            <w:t>Ngoại</w:t>
          </w:r>
          <w:proofErr w:type="spellEnd"/>
          <w:r w:rsidR="002A02AB" w:rsidRPr="002A02AB">
            <w:rPr>
              <w:rFonts w:ascii="Cambria" w:hAnsi="Cambria" w:cs="Courier New"/>
              <w:color w:val="202124"/>
              <w:sz w:val="18"/>
              <w:szCs w:val="18"/>
            </w:rPr>
            <w:t xml:space="preserve"> </w:t>
          </w:r>
          <w:proofErr w:type="spellStart"/>
          <w:r w:rsidR="002A02AB" w:rsidRPr="002A02AB">
            <w:rPr>
              <w:rFonts w:ascii="Cambria" w:hAnsi="Cambria" w:cs="Courier New"/>
              <w:color w:val="202124"/>
              <w:sz w:val="18"/>
              <w:szCs w:val="18"/>
            </w:rPr>
            <w:t>ngữ</w:t>
          </w:r>
          <w:proofErr w:type="spellEnd"/>
          <w:r w:rsidR="002A02AB" w:rsidRPr="002A02AB">
            <w:rPr>
              <w:rFonts w:ascii="Cambria" w:hAnsi="Cambria" w:cs="Courier New"/>
              <w:color w:val="202124"/>
              <w:sz w:val="18"/>
              <w:szCs w:val="18"/>
            </w:rPr>
            <w:t xml:space="preserve">, HUFLIT. </w:t>
          </w:r>
          <w:proofErr w:type="spellStart"/>
          <w:r w:rsidR="002A02AB" w:rsidRPr="002A02AB">
            <w:rPr>
              <w:rFonts w:ascii="Cambria" w:hAnsi="Cambria" w:cs="Courier New"/>
              <w:color w:val="202124"/>
              <w:sz w:val="18"/>
              <w:szCs w:val="18"/>
            </w:rPr>
            <w:t>Ông</w:t>
          </w:r>
          <w:proofErr w:type="spellEnd"/>
          <w:r w:rsidR="002A02AB" w:rsidRPr="002A02AB">
            <w:rPr>
              <w:rFonts w:ascii="Cambria" w:hAnsi="Cambria" w:cs="Courier New"/>
              <w:color w:val="202124"/>
              <w:sz w:val="18"/>
              <w:szCs w:val="18"/>
            </w:rPr>
            <w:t xml:space="preserve"> </w:t>
          </w:r>
          <w:proofErr w:type="spellStart"/>
          <w:r w:rsidR="002A02AB" w:rsidRPr="002A02AB">
            <w:rPr>
              <w:rFonts w:ascii="Cambria" w:hAnsi="Cambria" w:cs="Courier New"/>
              <w:color w:val="202124"/>
              <w:sz w:val="18"/>
              <w:szCs w:val="18"/>
            </w:rPr>
            <w:t>từng</w:t>
          </w:r>
          <w:proofErr w:type="spellEnd"/>
          <w:r w:rsidR="002A02AB" w:rsidRPr="002A02AB">
            <w:rPr>
              <w:rFonts w:ascii="Cambria" w:hAnsi="Cambria" w:cs="Courier New"/>
              <w:color w:val="202124"/>
              <w:sz w:val="18"/>
              <w:szCs w:val="18"/>
            </w:rPr>
            <w:t xml:space="preserve"> </w:t>
          </w:r>
          <w:proofErr w:type="spellStart"/>
          <w:r w:rsidR="002A02AB" w:rsidRPr="002A02AB">
            <w:rPr>
              <w:rFonts w:ascii="Cambria" w:hAnsi="Cambria" w:cs="Courier New"/>
              <w:color w:val="202124"/>
              <w:sz w:val="18"/>
              <w:szCs w:val="18"/>
            </w:rPr>
            <w:t>giữ</w:t>
          </w:r>
          <w:proofErr w:type="spellEnd"/>
          <w:r w:rsidR="002A02AB" w:rsidRPr="002A02AB">
            <w:rPr>
              <w:rFonts w:ascii="Cambria" w:hAnsi="Cambria" w:cs="Courier New"/>
              <w:color w:val="202124"/>
              <w:sz w:val="18"/>
              <w:szCs w:val="18"/>
            </w:rPr>
            <w:t xml:space="preserve"> </w:t>
          </w:r>
          <w:proofErr w:type="spellStart"/>
          <w:r w:rsidR="002A02AB" w:rsidRPr="002A02AB">
            <w:rPr>
              <w:rFonts w:ascii="Cambria" w:hAnsi="Cambria" w:cs="Courier New"/>
              <w:color w:val="202124"/>
              <w:sz w:val="18"/>
              <w:szCs w:val="18"/>
            </w:rPr>
            <w:t>chức</w:t>
          </w:r>
          <w:proofErr w:type="spellEnd"/>
          <w:r w:rsidR="002A02AB" w:rsidRPr="002A02AB">
            <w:rPr>
              <w:rFonts w:ascii="Cambria" w:hAnsi="Cambria" w:cs="Courier New"/>
              <w:color w:val="202124"/>
              <w:sz w:val="18"/>
              <w:szCs w:val="18"/>
            </w:rPr>
            <w:t xml:space="preserve"> </w:t>
          </w:r>
          <w:proofErr w:type="spellStart"/>
          <w:r w:rsidR="002A02AB" w:rsidRPr="002A02AB">
            <w:rPr>
              <w:rFonts w:ascii="Cambria" w:hAnsi="Cambria" w:cs="Courier New"/>
              <w:color w:val="202124"/>
              <w:sz w:val="18"/>
              <w:szCs w:val="18"/>
            </w:rPr>
            <w:t>vụ</w:t>
          </w:r>
          <w:proofErr w:type="spellEnd"/>
          <w:r w:rsidR="002A02AB" w:rsidRPr="002A02AB">
            <w:rPr>
              <w:rFonts w:ascii="Cambria" w:hAnsi="Cambria" w:cs="Courier New"/>
              <w:color w:val="202124"/>
              <w:sz w:val="18"/>
              <w:szCs w:val="18"/>
            </w:rPr>
            <w:t xml:space="preserve"> </w:t>
          </w:r>
          <w:proofErr w:type="spellStart"/>
          <w:r w:rsidR="002A02AB" w:rsidRPr="002A02AB">
            <w:rPr>
              <w:rFonts w:ascii="Cambria" w:hAnsi="Cambria" w:cs="Courier New"/>
              <w:color w:val="202124"/>
              <w:sz w:val="18"/>
              <w:szCs w:val="18"/>
            </w:rPr>
            <w:t>Chủ</w:t>
          </w:r>
          <w:proofErr w:type="spellEnd"/>
          <w:r w:rsidR="002A02AB" w:rsidRPr="002A02AB">
            <w:rPr>
              <w:rFonts w:ascii="Cambria" w:hAnsi="Cambria" w:cs="Courier New"/>
              <w:color w:val="202124"/>
              <w:sz w:val="18"/>
              <w:szCs w:val="18"/>
            </w:rPr>
            <w:t xml:space="preserve"> </w:t>
          </w:r>
          <w:proofErr w:type="spellStart"/>
          <w:r w:rsidR="002A02AB" w:rsidRPr="002A02AB">
            <w:rPr>
              <w:rFonts w:ascii="Cambria" w:hAnsi="Cambria" w:cs="Courier New"/>
              <w:color w:val="202124"/>
              <w:sz w:val="18"/>
              <w:szCs w:val="18"/>
            </w:rPr>
            <w:t>tịch</w:t>
          </w:r>
          <w:proofErr w:type="spellEnd"/>
          <w:r w:rsidR="002A02AB" w:rsidRPr="002A02AB">
            <w:rPr>
              <w:rFonts w:ascii="Cambria" w:hAnsi="Cambria" w:cs="Courier New"/>
              <w:color w:val="202124"/>
              <w:sz w:val="18"/>
              <w:szCs w:val="18"/>
            </w:rPr>
            <w:t xml:space="preserve"> </w:t>
          </w:r>
          <w:proofErr w:type="spellStart"/>
          <w:r w:rsidR="002A02AB" w:rsidRPr="002A02AB">
            <w:rPr>
              <w:rFonts w:ascii="Cambria" w:hAnsi="Cambria" w:cs="Courier New"/>
              <w:color w:val="202124"/>
              <w:sz w:val="18"/>
              <w:szCs w:val="18"/>
            </w:rPr>
            <w:t>Hội</w:t>
          </w:r>
          <w:proofErr w:type="spellEnd"/>
          <w:r w:rsidR="002A02AB" w:rsidRPr="002A02AB">
            <w:rPr>
              <w:rFonts w:ascii="Cambria" w:hAnsi="Cambria" w:cs="Courier New"/>
              <w:color w:val="202124"/>
              <w:sz w:val="18"/>
              <w:szCs w:val="18"/>
            </w:rPr>
            <w:t xml:space="preserve"> </w:t>
          </w:r>
          <w:proofErr w:type="spellStart"/>
          <w:r w:rsidR="002A02AB" w:rsidRPr="002A02AB">
            <w:rPr>
              <w:rFonts w:ascii="Cambria" w:hAnsi="Cambria" w:cs="Courier New"/>
              <w:color w:val="202124"/>
              <w:sz w:val="18"/>
              <w:szCs w:val="18"/>
            </w:rPr>
            <w:t>đồng</w:t>
          </w:r>
          <w:proofErr w:type="spellEnd"/>
          <w:r w:rsidR="002A02AB" w:rsidRPr="002A02AB">
            <w:rPr>
              <w:rFonts w:ascii="Cambria" w:hAnsi="Cambria" w:cs="Courier New"/>
              <w:color w:val="202124"/>
              <w:sz w:val="18"/>
              <w:szCs w:val="18"/>
            </w:rPr>
            <w:t xml:space="preserve"> Khoa </w:t>
          </w:r>
          <w:proofErr w:type="spellStart"/>
          <w:r w:rsidR="002A02AB" w:rsidRPr="002A02AB">
            <w:rPr>
              <w:rFonts w:ascii="Cambria" w:hAnsi="Cambria" w:cs="Courier New"/>
              <w:color w:val="202124"/>
              <w:sz w:val="18"/>
              <w:szCs w:val="18"/>
            </w:rPr>
            <w:t>học</w:t>
          </w:r>
          <w:proofErr w:type="spellEnd"/>
          <w:r w:rsidR="002A02AB" w:rsidRPr="002A02AB">
            <w:rPr>
              <w:rFonts w:ascii="Cambria" w:hAnsi="Cambria" w:cs="Courier New"/>
              <w:color w:val="202124"/>
              <w:sz w:val="18"/>
              <w:szCs w:val="18"/>
            </w:rPr>
            <w:t xml:space="preserve"> Khoa </w:t>
          </w:r>
          <w:proofErr w:type="spellStart"/>
          <w:r w:rsidR="002A02AB" w:rsidRPr="002A02AB">
            <w:rPr>
              <w:rFonts w:ascii="Cambria" w:hAnsi="Cambria" w:cs="Courier New"/>
              <w:color w:val="202124"/>
              <w:sz w:val="18"/>
              <w:szCs w:val="18"/>
            </w:rPr>
            <w:t>Ngoại</w:t>
          </w:r>
          <w:proofErr w:type="spellEnd"/>
          <w:r w:rsidR="002A02AB" w:rsidRPr="002A02AB">
            <w:rPr>
              <w:rFonts w:ascii="Cambria" w:hAnsi="Cambria" w:cs="Courier New"/>
              <w:color w:val="202124"/>
              <w:sz w:val="18"/>
              <w:szCs w:val="18"/>
            </w:rPr>
            <w:t xml:space="preserve"> </w:t>
          </w:r>
          <w:proofErr w:type="spellStart"/>
          <w:r w:rsidR="002A02AB" w:rsidRPr="002A02AB">
            <w:rPr>
              <w:rFonts w:ascii="Cambria" w:hAnsi="Cambria" w:cs="Courier New"/>
              <w:color w:val="202124"/>
              <w:sz w:val="18"/>
              <w:szCs w:val="18"/>
            </w:rPr>
            <w:t>ngữ</w:t>
          </w:r>
          <w:proofErr w:type="spellEnd"/>
          <w:r w:rsidR="002A02AB" w:rsidRPr="002A02AB">
            <w:rPr>
              <w:rFonts w:ascii="Cambria" w:hAnsi="Cambria" w:cs="Courier New"/>
              <w:color w:val="202124"/>
              <w:sz w:val="18"/>
              <w:szCs w:val="18"/>
            </w:rPr>
            <w:t xml:space="preserve"> (HUFLIT) </w:t>
          </w:r>
          <w:proofErr w:type="spellStart"/>
          <w:r w:rsidR="002A02AB" w:rsidRPr="002A02AB">
            <w:rPr>
              <w:rFonts w:ascii="Cambria" w:hAnsi="Cambria" w:cs="Courier New"/>
              <w:color w:val="202124"/>
              <w:sz w:val="18"/>
              <w:szCs w:val="18"/>
            </w:rPr>
            <w:t>năm</w:t>
          </w:r>
          <w:proofErr w:type="spellEnd"/>
          <w:r w:rsidR="002A02AB" w:rsidRPr="002A02AB">
            <w:rPr>
              <w:rFonts w:ascii="Cambria" w:hAnsi="Cambria" w:cs="Courier New"/>
              <w:color w:val="202124"/>
              <w:sz w:val="18"/>
              <w:szCs w:val="18"/>
            </w:rPr>
            <w:t xml:space="preserve"> 2011-2021. </w:t>
          </w:r>
          <w:proofErr w:type="spellStart"/>
          <w:r w:rsidR="002A02AB" w:rsidRPr="002A02AB">
            <w:rPr>
              <w:rFonts w:ascii="Cambria" w:hAnsi="Cambria" w:cs="Courier New"/>
              <w:color w:val="202124"/>
              <w:sz w:val="18"/>
              <w:szCs w:val="18"/>
            </w:rPr>
            <w:t>Ông</w:t>
          </w:r>
          <w:proofErr w:type="spellEnd"/>
          <w:r w:rsidR="002A02AB" w:rsidRPr="002A02AB">
            <w:rPr>
              <w:rFonts w:ascii="Cambria" w:hAnsi="Cambria" w:cs="Courier New"/>
              <w:color w:val="202124"/>
              <w:sz w:val="18"/>
              <w:szCs w:val="18"/>
            </w:rPr>
            <w:t xml:space="preserve"> </w:t>
          </w:r>
          <w:proofErr w:type="spellStart"/>
          <w:r w:rsidR="002A02AB" w:rsidRPr="002A02AB">
            <w:rPr>
              <w:rFonts w:ascii="Cambria" w:hAnsi="Cambria" w:cs="Courier New"/>
              <w:color w:val="202124"/>
              <w:sz w:val="18"/>
              <w:szCs w:val="18"/>
            </w:rPr>
            <w:t>từng</w:t>
          </w:r>
          <w:proofErr w:type="spellEnd"/>
          <w:r w:rsidR="002A02AB" w:rsidRPr="002A02AB">
            <w:rPr>
              <w:rFonts w:ascii="Cambria" w:hAnsi="Cambria" w:cs="Courier New"/>
              <w:color w:val="202124"/>
              <w:sz w:val="18"/>
              <w:szCs w:val="18"/>
            </w:rPr>
            <w:t xml:space="preserve"> </w:t>
          </w:r>
          <w:proofErr w:type="spellStart"/>
          <w:r w:rsidR="002A02AB" w:rsidRPr="002A02AB">
            <w:rPr>
              <w:rFonts w:ascii="Cambria" w:hAnsi="Cambria" w:cs="Courier New"/>
              <w:color w:val="202124"/>
              <w:sz w:val="18"/>
              <w:szCs w:val="18"/>
            </w:rPr>
            <w:t>giữ</w:t>
          </w:r>
          <w:proofErr w:type="spellEnd"/>
          <w:r w:rsidR="002A02AB" w:rsidRPr="002A02AB">
            <w:rPr>
              <w:rFonts w:ascii="Cambria" w:hAnsi="Cambria" w:cs="Courier New"/>
              <w:color w:val="202124"/>
              <w:sz w:val="18"/>
              <w:szCs w:val="18"/>
            </w:rPr>
            <w:t xml:space="preserve"> </w:t>
          </w:r>
          <w:proofErr w:type="spellStart"/>
          <w:r w:rsidR="002A02AB" w:rsidRPr="002A02AB">
            <w:rPr>
              <w:rFonts w:ascii="Cambria" w:hAnsi="Cambria" w:cs="Courier New"/>
              <w:color w:val="202124"/>
              <w:sz w:val="18"/>
              <w:szCs w:val="18"/>
            </w:rPr>
            <w:t>chức</w:t>
          </w:r>
          <w:proofErr w:type="spellEnd"/>
          <w:r w:rsidR="002A02AB" w:rsidRPr="002A02AB">
            <w:rPr>
              <w:rFonts w:ascii="Cambria" w:hAnsi="Cambria" w:cs="Courier New"/>
              <w:color w:val="202124"/>
              <w:sz w:val="18"/>
              <w:szCs w:val="18"/>
            </w:rPr>
            <w:t xml:space="preserve"> </w:t>
          </w:r>
          <w:proofErr w:type="spellStart"/>
          <w:r w:rsidR="002A02AB" w:rsidRPr="002A02AB">
            <w:rPr>
              <w:rFonts w:ascii="Cambria" w:hAnsi="Cambria" w:cs="Courier New"/>
              <w:color w:val="202124"/>
              <w:sz w:val="18"/>
              <w:szCs w:val="18"/>
            </w:rPr>
            <w:t>Phó</w:t>
          </w:r>
          <w:proofErr w:type="spellEnd"/>
          <w:r w:rsidR="002A02AB" w:rsidRPr="002A02AB">
            <w:rPr>
              <w:rFonts w:ascii="Cambria" w:hAnsi="Cambria" w:cs="Courier New"/>
              <w:color w:val="202124"/>
              <w:sz w:val="18"/>
              <w:szCs w:val="18"/>
            </w:rPr>
            <w:t xml:space="preserve"> </w:t>
          </w:r>
          <w:proofErr w:type="spellStart"/>
          <w:r w:rsidR="002A02AB" w:rsidRPr="002A02AB">
            <w:rPr>
              <w:rFonts w:ascii="Cambria" w:hAnsi="Cambria" w:cs="Courier New"/>
              <w:color w:val="202124"/>
              <w:sz w:val="18"/>
              <w:szCs w:val="18"/>
            </w:rPr>
            <w:t>Trưởng</w:t>
          </w:r>
          <w:proofErr w:type="spellEnd"/>
          <w:r w:rsidR="002A02AB" w:rsidRPr="002A02AB">
            <w:rPr>
              <w:rFonts w:ascii="Cambria" w:hAnsi="Cambria" w:cs="Courier New"/>
              <w:color w:val="202124"/>
              <w:sz w:val="18"/>
              <w:szCs w:val="18"/>
            </w:rPr>
            <w:t xml:space="preserve"> </w:t>
          </w:r>
          <w:proofErr w:type="spellStart"/>
          <w:r w:rsidR="002A02AB" w:rsidRPr="002A02AB">
            <w:rPr>
              <w:rFonts w:ascii="Cambria" w:hAnsi="Cambria" w:cs="Courier New"/>
              <w:color w:val="202124"/>
              <w:sz w:val="18"/>
              <w:szCs w:val="18"/>
            </w:rPr>
            <w:t>Đề</w:t>
          </w:r>
          <w:proofErr w:type="spellEnd"/>
          <w:r w:rsidR="002A02AB" w:rsidRPr="002A02AB">
            <w:rPr>
              <w:rFonts w:ascii="Cambria" w:hAnsi="Cambria" w:cs="Courier New"/>
              <w:color w:val="202124"/>
              <w:sz w:val="18"/>
              <w:szCs w:val="18"/>
            </w:rPr>
            <w:t xml:space="preserve"> </w:t>
          </w:r>
          <w:proofErr w:type="spellStart"/>
          <w:r w:rsidR="002A02AB" w:rsidRPr="002A02AB">
            <w:rPr>
              <w:rFonts w:ascii="Cambria" w:hAnsi="Cambria" w:cs="Courier New"/>
              <w:color w:val="202124"/>
              <w:sz w:val="18"/>
              <w:szCs w:val="18"/>
            </w:rPr>
            <w:t>án</w:t>
          </w:r>
          <w:proofErr w:type="spellEnd"/>
          <w:r w:rsidR="002A02AB" w:rsidRPr="002A02AB">
            <w:rPr>
              <w:rFonts w:ascii="Cambria" w:hAnsi="Cambria" w:cs="Courier New"/>
              <w:color w:val="202124"/>
              <w:sz w:val="18"/>
              <w:szCs w:val="18"/>
            </w:rPr>
            <w:t xml:space="preserve"> Ngoại </w:t>
          </w:r>
          <w:proofErr w:type="spellStart"/>
          <w:r w:rsidR="002A02AB" w:rsidRPr="002A02AB">
            <w:rPr>
              <w:rFonts w:ascii="Cambria" w:hAnsi="Cambria" w:cs="Courier New"/>
              <w:color w:val="202124"/>
              <w:sz w:val="18"/>
              <w:szCs w:val="18"/>
            </w:rPr>
            <w:t>ngữ</w:t>
          </w:r>
          <w:proofErr w:type="spellEnd"/>
          <w:r w:rsidR="002A02AB" w:rsidRPr="002A02AB">
            <w:rPr>
              <w:rFonts w:ascii="Cambria" w:hAnsi="Cambria" w:cs="Courier New"/>
              <w:color w:val="202124"/>
              <w:sz w:val="18"/>
              <w:szCs w:val="18"/>
            </w:rPr>
            <w:t xml:space="preserve"> Quốc </w:t>
          </w:r>
          <w:proofErr w:type="spellStart"/>
          <w:r w:rsidR="002A02AB" w:rsidRPr="002A02AB">
            <w:rPr>
              <w:rFonts w:ascii="Cambria" w:hAnsi="Cambria" w:cs="Courier New"/>
              <w:color w:val="202124"/>
              <w:sz w:val="18"/>
              <w:szCs w:val="18"/>
            </w:rPr>
            <w:t>gia</w:t>
          </w:r>
          <w:proofErr w:type="spellEnd"/>
          <w:r w:rsidR="002A02AB" w:rsidRPr="002A02AB">
            <w:rPr>
              <w:rFonts w:ascii="Cambria" w:hAnsi="Cambria" w:cs="Courier New"/>
              <w:color w:val="202124"/>
              <w:sz w:val="18"/>
              <w:szCs w:val="18"/>
            </w:rPr>
            <w:t xml:space="preserve"> 2020 </w:t>
          </w:r>
          <w:proofErr w:type="spellStart"/>
          <w:r w:rsidR="002A02AB" w:rsidRPr="002A02AB">
            <w:rPr>
              <w:rFonts w:ascii="Cambria" w:hAnsi="Cambria" w:cs="Courier New"/>
              <w:color w:val="202124"/>
              <w:sz w:val="18"/>
              <w:szCs w:val="18"/>
            </w:rPr>
            <w:t>tại</w:t>
          </w:r>
          <w:proofErr w:type="spellEnd"/>
          <w:r w:rsidR="002A02AB" w:rsidRPr="002A02AB">
            <w:rPr>
              <w:rFonts w:ascii="Cambria" w:hAnsi="Cambria" w:cs="Courier New"/>
              <w:color w:val="202124"/>
              <w:sz w:val="18"/>
              <w:szCs w:val="18"/>
            </w:rPr>
            <w:t xml:space="preserve"> HUFLIT </w:t>
          </w:r>
          <w:proofErr w:type="spellStart"/>
          <w:r w:rsidR="002A02AB" w:rsidRPr="002A02AB">
            <w:rPr>
              <w:rFonts w:ascii="Cambria" w:hAnsi="Cambria" w:cs="Courier New"/>
              <w:color w:val="202124"/>
              <w:sz w:val="18"/>
              <w:szCs w:val="18"/>
            </w:rPr>
            <w:t>và</w:t>
          </w:r>
          <w:proofErr w:type="spellEnd"/>
          <w:r w:rsidR="002A02AB" w:rsidRPr="002A02AB">
            <w:rPr>
              <w:rFonts w:ascii="Cambria" w:hAnsi="Cambria" w:cs="Courier New"/>
              <w:color w:val="202124"/>
              <w:sz w:val="18"/>
              <w:szCs w:val="18"/>
            </w:rPr>
            <w:t xml:space="preserve"> </w:t>
          </w:r>
          <w:proofErr w:type="spellStart"/>
          <w:r w:rsidR="002A02AB" w:rsidRPr="002A02AB">
            <w:rPr>
              <w:rFonts w:ascii="Cambria" w:hAnsi="Cambria" w:cs="Courier New"/>
              <w:color w:val="202124"/>
              <w:sz w:val="18"/>
              <w:szCs w:val="18"/>
            </w:rPr>
            <w:t>là</w:t>
          </w:r>
          <w:proofErr w:type="spellEnd"/>
          <w:r w:rsidR="002A02AB" w:rsidRPr="002A02AB">
            <w:rPr>
              <w:rFonts w:ascii="Cambria" w:hAnsi="Cambria" w:cs="Courier New"/>
              <w:color w:val="202124"/>
              <w:sz w:val="18"/>
              <w:szCs w:val="18"/>
            </w:rPr>
            <w:t xml:space="preserve"> </w:t>
          </w:r>
          <w:proofErr w:type="spellStart"/>
          <w:r w:rsidR="002A02AB" w:rsidRPr="002A02AB">
            <w:rPr>
              <w:rFonts w:ascii="Cambria" w:hAnsi="Cambria" w:cs="Courier New"/>
              <w:color w:val="202124"/>
              <w:sz w:val="18"/>
              <w:szCs w:val="18"/>
            </w:rPr>
            <w:t>thành</w:t>
          </w:r>
          <w:proofErr w:type="spellEnd"/>
          <w:r w:rsidR="002A02AB" w:rsidRPr="002A02AB">
            <w:rPr>
              <w:rFonts w:ascii="Cambria" w:hAnsi="Cambria" w:cs="Courier New"/>
              <w:color w:val="202124"/>
              <w:sz w:val="18"/>
              <w:szCs w:val="18"/>
            </w:rPr>
            <w:t xml:space="preserve"> </w:t>
          </w:r>
          <w:proofErr w:type="spellStart"/>
          <w:r w:rsidR="002A02AB" w:rsidRPr="002A02AB">
            <w:rPr>
              <w:rFonts w:ascii="Cambria" w:hAnsi="Cambria" w:cs="Courier New"/>
              <w:color w:val="202124"/>
              <w:sz w:val="18"/>
              <w:szCs w:val="18"/>
            </w:rPr>
            <w:t>viên</w:t>
          </w:r>
          <w:proofErr w:type="spellEnd"/>
          <w:r w:rsidR="002A02AB" w:rsidRPr="002A02AB">
            <w:rPr>
              <w:rFonts w:ascii="Cambria" w:hAnsi="Cambria" w:cs="Courier New"/>
              <w:color w:val="202124"/>
              <w:sz w:val="18"/>
              <w:szCs w:val="18"/>
            </w:rPr>
            <w:t xml:space="preserve"> </w:t>
          </w:r>
          <w:proofErr w:type="spellStart"/>
          <w:r w:rsidR="002A02AB" w:rsidRPr="002A02AB">
            <w:rPr>
              <w:rFonts w:ascii="Cambria" w:hAnsi="Cambria" w:cs="Courier New"/>
              <w:color w:val="202124"/>
              <w:sz w:val="18"/>
              <w:szCs w:val="18"/>
            </w:rPr>
            <w:t>chính</w:t>
          </w:r>
          <w:proofErr w:type="spellEnd"/>
          <w:r w:rsidR="002A02AB" w:rsidRPr="002A02AB">
            <w:rPr>
              <w:rFonts w:ascii="Cambria" w:hAnsi="Cambria" w:cs="Courier New"/>
              <w:color w:val="202124"/>
              <w:sz w:val="18"/>
              <w:szCs w:val="18"/>
            </w:rPr>
            <w:t xml:space="preserve"> </w:t>
          </w:r>
          <w:proofErr w:type="spellStart"/>
          <w:r w:rsidR="002A02AB" w:rsidRPr="002A02AB">
            <w:rPr>
              <w:rFonts w:ascii="Cambria" w:hAnsi="Cambria" w:cs="Courier New"/>
              <w:color w:val="202124"/>
              <w:sz w:val="18"/>
              <w:szCs w:val="18"/>
            </w:rPr>
            <w:t>thức</w:t>
          </w:r>
          <w:proofErr w:type="spellEnd"/>
          <w:r w:rsidR="002A02AB" w:rsidRPr="002A02AB">
            <w:rPr>
              <w:rFonts w:ascii="Cambria" w:hAnsi="Cambria" w:cs="Courier New"/>
              <w:color w:val="202124"/>
              <w:sz w:val="18"/>
              <w:szCs w:val="18"/>
            </w:rPr>
            <w:t xml:space="preserve"> </w:t>
          </w:r>
          <w:proofErr w:type="spellStart"/>
          <w:r w:rsidR="002A02AB" w:rsidRPr="002A02AB">
            <w:rPr>
              <w:rFonts w:ascii="Cambria" w:hAnsi="Cambria" w:cs="Courier New"/>
              <w:color w:val="202124"/>
              <w:sz w:val="18"/>
              <w:szCs w:val="18"/>
            </w:rPr>
            <w:t>của</w:t>
          </w:r>
          <w:proofErr w:type="spellEnd"/>
          <w:r w:rsidR="002A02AB" w:rsidRPr="002A02AB">
            <w:rPr>
              <w:rFonts w:ascii="Cambria" w:hAnsi="Cambria" w:cs="Courier New"/>
              <w:color w:val="202124"/>
              <w:sz w:val="18"/>
              <w:szCs w:val="18"/>
            </w:rPr>
            <w:t xml:space="preserve"> </w:t>
          </w:r>
          <w:proofErr w:type="spellStart"/>
          <w:r w:rsidR="002A02AB" w:rsidRPr="002A02AB">
            <w:rPr>
              <w:rFonts w:ascii="Cambria" w:hAnsi="Cambria" w:cs="Courier New"/>
              <w:color w:val="202124"/>
              <w:sz w:val="18"/>
              <w:szCs w:val="18"/>
            </w:rPr>
            <w:t>Hội</w:t>
          </w:r>
          <w:proofErr w:type="spellEnd"/>
          <w:r w:rsidR="002A02AB" w:rsidRPr="002A02AB">
            <w:rPr>
              <w:rFonts w:ascii="Cambria" w:hAnsi="Cambria" w:cs="Courier New"/>
              <w:color w:val="202124"/>
              <w:sz w:val="18"/>
              <w:szCs w:val="18"/>
            </w:rPr>
            <w:t xml:space="preserve"> </w:t>
          </w:r>
          <w:proofErr w:type="spellStart"/>
          <w:r w:rsidR="002A02AB" w:rsidRPr="002A02AB">
            <w:rPr>
              <w:rFonts w:ascii="Cambria" w:hAnsi="Cambria" w:cs="Courier New"/>
              <w:color w:val="202124"/>
              <w:sz w:val="18"/>
              <w:szCs w:val="18"/>
            </w:rPr>
            <w:t>đồng</w:t>
          </w:r>
          <w:proofErr w:type="spellEnd"/>
          <w:r w:rsidR="002A02AB" w:rsidRPr="002A02AB">
            <w:rPr>
              <w:rFonts w:ascii="Cambria" w:hAnsi="Cambria" w:cs="Courier New"/>
              <w:color w:val="202124"/>
              <w:sz w:val="18"/>
              <w:szCs w:val="18"/>
            </w:rPr>
            <w:t xml:space="preserve"> Khoa </w:t>
          </w:r>
          <w:proofErr w:type="spellStart"/>
          <w:r w:rsidR="002A02AB" w:rsidRPr="002A02AB">
            <w:rPr>
              <w:rFonts w:ascii="Cambria" w:hAnsi="Cambria" w:cs="Courier New"/>
              <w:color w:val="202124"/>
              <w:sz w:val="18"/>
              <w:szCs w:val="18"/>
            </w:rPr>
            <w:t>học</w:t>
          </w:r>
          <w:proofErr w:type="spellEnd"/>
          <w:r w:rsidR="007163E4">
            <w:rPr>
              <w:rFonts w:ascii="Cambria" w:hAnsi="Cambria" w:cs="Courier New"/>
              <w:color w:val="202124"/>
              <w:sz w:val="18"/>
              <w:szCs w:val="18"/>
            </w:rPr>
            <w:t xml:space="preserve"> </w:t>
          </w:r>
          <w:proofErr w:type="spellStart"/>
          <w:r w:rsidR="007163E4">
            <w:rPr>
              <w:rFonts w:ascii="Cambria" w:hAnsi="Cambria" w:cs="Courier New"/>
              <w:color w:val="202124"/>
              <w:sz w:val="18"/>
              <w:szCs w:val="18"/>
            </w:rPr>
            <w:t>trường</w:t>
          </w:r>
          <w:proofErr w:type="spellEnd"/>
          <w:r w:rsidR="007163E4">
            <w:rPr>
              <w:rFonts w:ascii="Cambria" w:hAnsi="Cambria" w:cs="Courier New"/>
              <w:color w:val="202124"/>
              <w:sz w:val="18"/>
              <w:szCs w:val="18"/>
            </w:rPr>
            <w:t xml:space="preserve"> </w:t>
          </w:r>
          <w:proofErr w:type="spellStart"/>
          <w:r w:rsidR="007163E4">
            <w:rPr>
              <w:rFonts w:ascii="Cambria" w:hAnsi="Cambria" w:cs="Courier New"/>
              <w:color w:val="202124"/>
              <w:sz w:val="18"/>
              <w:szCs w:val="18"/>
            </w:rPr>
            <w:t>của</w:t>
          </w:r>
          <w:proofErr w:type="spellEnd"/>
          <w:r w:rsidR="002A02AB" w:rsidRPr="002A02AB">
            <w:rPr>
              <w:rFonts w:ascii="Cambria" w:hAnsi="Cambria" w:cs="Courier New"/>
              <w:color w:val="202124"/>
              <w:sz w:val="18"/>
              <w:szCs w:val="18"/>
            </w:rPr>
            <w:t xml:space="preserve"> HUFLIT (2006-2015). </w:t>
          </w:r>
          <w:proofErr w:type="spellStart"/>
          <w:r w:rsidR="002A02AB" w:rsidRPr="002A02AB">
            <w:rPr>
              <w:rFonts w:ascii="Cambria" w:hAnsi="Cambria" w:cs="Courier New"/>
              <w:color w:val="202124"/>
              <w:sz w:val="18"/>
              <w:szCs w:val="18"/>
            </w:rPr>
            <w:t>Hiện</w:t>
          </w:r>
          <w:proofErr w:type="spellEnd"/>
          <w:r w:rsidR="002A02AB" w:rsidRPr="002A02AB">
            <w:rPr>
              <w:rFonts w:ascii="Cambria" w:hAnsi="Cambria" w:cs="Courier New"/>
              <w:color w:val="202124"/>
              <w:sz w:val="18"/>
              <w:szCs w:val="18"/>
            </w:rPr>
            <w:t xml:space="preserve"> </w:t>
          </w:r>
          <w:proofErr w:type="spellStart"/>
          <w:r w:rsidR="002A02AB" w:rsidRPr="002A02AB">
            <w:rPr>
              <w:rFonts w:ascii="Cambria" w:hAnsi="Cambria" w:cs="Courier New"/>
              <w:color w:val="202124"/>
              <w:sz w:val="18"/>
              <w:szCs w:val="18"/>
            </w:rPr>
            <w:t>ông</w:t>
          </w:r>
          <w:proofErr w:type="spellEnd"/>
          <w:r w:rsidR="002A02AB" w:rsidRPr="002A02AB">
            <w:rPr>
              <w:rFonts w:ascii="Cambria" w:hAnsi="Cambria" w:cs="Courier New"/>
              <w:color w:val="202124"/>
              <w:sz w:val="18"/>
              <w:szCs w:val="18"/>
            </w:rPr>
            <w:t xml:space="preserve"> </w:t>
          </w:r>
          <w:proofErr w:type="spellStart"/>
          <w:r w:rsidR="002A02AB" w:rsidRPr="002A02AB">
            <w:rPr>
              <w:rFonts w:ascii="Cambria" w:hAnsi="Cambria" w:cs="Courier New"/>
              <w:color w:val="202124"/>
              <w:sz w:val="18"/>
              <w:szCs w:val="18"/>
            </w:rPr>
            <w:t>là</w:t>
          </w:r>
          <w:proofErr w:type="spellEnd"/>
          <w:r w:rsidR="002A02AB" w:rsidRPr="002A02AB">
            <w:rPr>
              <w:rFonts w:ascii="Cambria" w:hAnsi="Cambria" w:cs="Courier New"/>
              <w:color w:val="202124"/>
              <w:sz w:val="18"/>
              <w:szCs w:val="18"/>
            </w:rPr>
            <w:t xml:space="preserve"> </w:t>
          </w:r>
          <w:proofErr w:type="spellStart"/>
          <w:r w:rsidR="002A02AB" w:rsidRPr="002A02AB">
            <w:rPr>
              <w:rFonts w:ascii="Cambria" w:hAnsi="Cambria" w:cs="Courier New"/>
              <w:color w:val="202124"/>
              <w:sz w:val="18"/>
              <w:szCs w:val="18"/>
            </w:rPr>
            <w:t>Trưởng</w:t>
          </w:r>
          <w:proofErr w:type="spellEnd"/>
          <w:r w:rsidR="002A02AB" w:rsidRPr="002A02AB">
            <w:rPr>
              <w:rFonts w:ascii="Cambria" w:hAnsi="Cambria" w:cs="Courier New"/>
              <w:color w:val="202124"/>
              <w:sz w:val="18"/>
              <w:szCs w:val="18"/>
            </w:rPr>
            <w:t xml:space="preserve"> </w:t>
          </w:r>
          <w:proofErr w:type="spellStart"/>
          <w:r w:rsidR="002A02AB" w:rsidRPr="002A02AB">
            <w:rPr>
              <w:rFonts w:ascii="Cambria" w:hAnsi="Cambria" w:cs="Courier New"/>
              <w:color w:val="202124"/>
              <w:sz w:val="18"/>
              <w:szCs w:val="18"/>
            </w:rPr>
            <w:t>bộ</w:t>
          </w:r>
          <w:proofErr w:type="spellEnd"/>
          <w:r w:rsidR="002A02AB" w:rsidRPr="002A02AB">
            <w:rPr>
              <w:rFonts w:ascii="Cambria" w:hAnsi="Cambria" w:cs="Courier New"/>
              <w:color w:val="202124"/>
              <w:sz w:val="18"/>
              <w:szCs w:val="18"/>
            </w:rPr>
            <w:t xml:space="preserve"> </w:t>
          </w:r>
          <w:proofErr w:type="spellStart"/>
          <w:r w:rsidR="002A02AB" w:rsidRPr="002A02AB">
            <w:rPr>
              <w:rFonts w:ascii="Cambria" w:hAnsi="Cambria" w:cs="Courier New"/>
              <w:color w:val="202124"/>
              <w:sz w:val="18"/>
              <w:szCs w:val="18"/>
            </w:rPr>
            <w:t>môn</w:t>
          </w:r>
          <w:proofErr w:type="spellEnd"/>
          <w:r w:rsidR="002A02AB" w:rsidRPr="002A02AB">
            <w:rPr>
              <w:rFonts w:ascii="Cambria" w:hAnsi="Cambria" w:cs="Courier New"/>
              <w:color w:val="202124"/>
              <w:sz w:val="18"/>
              <w:szCs w:val="18"/>
            </w:rPr>
            <w:t xml:space="preserve"> </w:t>
          </w:r>
          <w:proofErr w:type="spellStart"/>
          <w:r w:rsidR="002A02AB" w:rsidRPr="002A02AB">
            <w:rPr>
              <w:rFonts w:ascii="Cambria" w:hAnsi="Cambria" w:cs="Courier New"/>
              <w:color w:val="202124"/>
              <w:sz w:val="18"/>
              <w:szCs w:val="18"/>
            </w:rPr>
            <w:t>Biên</w:t>
          </w:r>
          <w:proofErr w:type="spellEnd"/>
          <w:r w:rsidR="002A02AB" w:rsidRPr="002A02AB">
            <w:rPr>
              <w:rFonts w:ascii="Cambria" w:hAnsi="Cambria" w:cs="Courier New"/>
              <w:color w:val="202124"/>
              <w:sz w:val="18"/>
              <w:szCs w:val="18"/>
            </w:rPr>
            <w:t xml:space="preserve"> </w:t>
          </w:r>
          <w:proofErr w:type="spellStart"/>
          <w:r w:rsidR="002A02AB" w:rsidRPr="002A02AB">
            <w:rPr>
              <w:rFonts w:ascii="Cambria" w:hAnsi="Cambria" w:cs="Courier New"/>
              <w:color w:val="202124"/>
              <w:sz w:val="18"/>
              <w:szCs w:val="18"/>
            </w:rPr>
            <w:t>Phiên</w:t>
          </w:r>
          <w:proofErr w:type="spellEnd"/>
          <w:r w:rsidR="002A02AB" w:rsidRPr="002A02AB">
            <w:rPr>
              <w:rFonts w:ascii="Cambria" w:hAnsi="Cambria" w:cs="Courier New"/>
              <w:color w:val="202124"/>
              <w:sz w:val="18"/>
              <w:szCs w:val="18"/>
            </w:rPr>
            <w:t xml:space="preserve"> </w:t>
          </w:r>
          <w:proofErr w:type="spellStart"/>
          <w:r w:rsidR="002A02AB" w:rsidRPr="002A02AB">
            <w:rPr>
              <w:rFonts w:ascii="Cambria" w:hAnsi="Cambria" w:cs="Courier New"/>
              <w:color w:val="202124"/>
              <w:sz w:val="18"/>
              <w:szCs w:val="18"/>
            </w:rPr>
            <w:t>dịch</w:t>
          </w:r>
          <w:proofErr w:type="spellEnd"/>
          <w:r w:rsidR="002A02AB" w:rsidRPr="002A02AB">
            <w:rPr>
              <w:rFonts w:ascii="Cambria" w:hAnsi="Cambria" w:cs="Courier New"/>
              <w:color w:val="202124"/>
              <w:sz w:val="18"/>
              <w:szCs w:val="18"/>
            </w:rPr>
            <w:t>.</w:t>
          </w:r>
        </w:sdtContent>
      </w:sdt>
    </w:p>
    <w:p w14:paraId="66DDECC0" w14:textId="77777777" w:rsidR="000A3AE2" w:rsidRPr="00DF37F2" w:rsidRDefault="000A3AE2" w:rsidP="00E757C4">
      <w:pPr>
        <w:pStyle w:val="NormalWeb"/>
        <w:ind w:left="540" w:hanging="540"/>
      </w:pPr>
    </w:p>
    <w:sectPr w:rsidR="000A3AE2" w:rsidRPr="00DF37F2">
      <w:footnotePr>
        <w:numRestart w:val="eachSect"/>
      </w:footnotePr>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82F68F14"/>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 w15:restartNumberingAfterBreak="0">
    <w:nsid w:val="0000A991"/>
    <w:multiLevelType w:val="multilevel"/>
    <w:tmpl w:val="FFCE1970"/>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2" w15:restartNumberingAfterBreak="0">
    <w:nsid w:val="00A99411"/>
    <w:multiLevelType w:val="multilevel"/>
    <w:tmpl w:val="5880B7A2"/>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04A42870"/>
    <w:multiLevelType w:val="multilevel"/>
    <w:tmpl w:val="07CC8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78C2951"/>
    <w:multiLevelType w:val="multilevel"/>
    <w:tmpl w:val="7390C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020B6A"/>
    <w:multiLevelType w:val="multilevel"/>
    <w:tmpl w:val="15802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0B1135B"/>
    <w:multiLevelType w:val="multilevel"/>
    <w:tmpl w:val="9E769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2E75E8E"/>
    <w:multiLevelType w:val="multilevel"/>
    <w:tmpl w:val="8BDCF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9C66BEC"/>
    <w:multiLevelType w:val="multilevel"/>
    <w:tmpl w:val="2752D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5864F35"/>
    <w:multiLevelType w:val="multilevel"/>
    <w:tmpl w:val="DBF85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E720043"/>
    <w:multiLevelType w:val="multilevel"/>
    <w:tmpl w:val="6C987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2FF1AD3"/>
    <w:multiLevelType w:val="multilevel"/>
    <w:tmpl w:val="A732A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7A85F1B"/>
    <w:multiLevelType w:val="multilevel"/>
    <w:tmpl w:val="95541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BB97B20"/>
    <w:multiLevelType w:val="multilevel"/>
    <w:tmpl w:val="AFE09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D791C44"/>
    <w:multiLevelType w:val="multilevel"/>
    <w:tmpl w:val="3F6C8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06067B7"/>
    <w:multiLevelType w:val="multilevel"/>
    <w:tmpl w:val="34F63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602103A"/>
    <w:multiLevelType w:val="multilevel"/>
    <w:tmpl w:val="705E5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C01058D"/>
    <w:multiLevelType w:val="multilevel"/>
    <w:tmpl w:val="4CF0F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4306FF3"/>
    <w:multiLevelType w:val="multilevel"/>
    <w:tmpl w:val="3F10A4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650600F"/>
    <w:multiLevelType w:val="hybridMultilevel"/>
    <w:tmpl w:val="EB6886B8"/>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B642533"/>
    <w:multiLevelType w:val="multilevel"/>
    <w:tmpl w:val="B254C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D680969"/>
    <w:multiLevelType w:val="multilevel"/>
    <w:tmpl w:val="5238A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16715881">
    <w:abstractNumId w:val="0"/>
  </w:num>
  <w:num w:numId="2" w16cid:durableId="42850666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19235643">
    <w:abstractNumId w:val="1"/>
  </w:num>
  <w:num w:numId="4" w16cid:durableId="2934903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3249014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35676340">
    <w:abstractNumId w:val="9"/>
  </w:num>
  <w:num w:numId="7" w16cid:durableId="1547792549">
    <w:abstractNumId w:val="12"/>
  </w:num>
  <w:num w:numId="8" w16cid:durableId="161898400">
    <w:abstractNumId w:val="11"/>
  </w:num>
  <w:num w:numId="9" w16cid:durableId="688069073">
    <w:abstractNumId w:val="18"/>
  </w:num>
  <w:num w:numId="10" w16cid:durableId="1728257122">
    <w:abstractNumId w:val="21"/>
  </w:num>
  <w:num w:numId="11" w16cid:durableId="2108580531">
    <w:abstractNumId w:val="6"/>
  </w:num>
  <w:num w:numId="12" w16cid:durableId="1432508348">
    <w:abstractNumId w:val="14"/>
  </w:num>
  <w:num w:numId="13" w16cid:durableId="325936370">
    <w:abstractNumId w:val="19"/>
  </w:num>
  <w:num w:numId="14" w16cid:durableId="862210073">
    <w:abstractNumId w:val="15"/>
  </w:num>
  <w:num w:numId="15" w16cid:durableId="651443849">
    <w:abstractNumId w:val="20"/>
  </w:num>
  <w:num w:numId="16" w16cid:durableId="999623576">
    <w:abstractNumId w:val="13"/>
  </w:num>
  <w:num w:numId="17" w16cid:durableId="867911304">
    <w:abstractNumId w:val="4"/>
  </w:num>
  <w:num w:numId="18" w16cid:durableId="2070572673">
    <w:abstractNumId w:val="3"/>
  </w:num>
  <w:num w:numId="19" w16cid:durableId="1405882892">
    <w:abstractNumId w:val="5"/>
  </w:num>
  <w:num w:numId="20" w16cid:durableId="1359507029">
    <w:abstractNumId w:val="8"/>
  </w:num>
  <w:num w:numId="21" w16cid:durableId="63383689">
    <w:abstractNumId w:val="7"/>
  </w:num>
  <w:num w:numId="22" w16cid:durableId="1982886257">
    <w:abstractNumId w:val="17"/>
  </w:num>
  <w:num w:numId="23" w16cid:durableId="1028677688">
    <w:abstractNumId w:val="16"/>
  </w:num>
  <w:num w:numId="24" w16cid:durableId="142576294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numRestart w:val="eachSect"/>
  </w:footnotePr>
  <w:compat>
    <w:compatSetting w:name="compatibilityMode" w:uri="http://schemas.microsoft.com/office/word" w:val="12"/>
    <w:compatSetting w:name="useWord2013TrackBottomHyphenation" w:uri="http://schemas.microsoft.com/office/word" w:val="1"/>
  </w:compat>
  <w:rsids>
    <w:rsidRoot w:val="00E27AB7"/>
    <w:rsid w:val="00010080"/>
    <w:rsid w:val="00013192"/>
    <w:rsid w:val="00027FAE"/>
    <w:rsid w:val="00030539"/>
    <w:rsid w:val="000410FB"/>
    <w:rsid w:val="00056837"/>
    <w:rsid w:val="0006552F"/>
    <w:rsid w:val="00074C6F"/>
    <w:rsid w:val="000865D7"/>
    <w:rsid w:val="000A1F89"/>
    <w:rsid w:val="000A3AE2"/>
    <w:rsid w:val="000B7AE8"/>
    <w:rsid w:val="000C0D03"/>
    <w:rsid w:val="000C1254"/>
    <w:rsid w:val="000E25DD"/>
    <w:rsid w:val="00105435"/>
    <w:rsid w:val="001126DC"/>
    <w:rsid w:val="00116AF5"/>
    <w:rsid w:val="00142E0E"/>
    <w:rsid w:val="00166F19"/>
    <w:rsid w:val="001775FA"/>
    <w:rsid w:val="00190E52"/>
    <w:rsid w:val="001A1D16"/>
    <w:rsid w:val="001B345D"/>
    <w:rsid w:val="001C11BF"/>
    <w:rsid w:val="001C4585"/>
    <w:rsid w:val="001D5AA9"/>
    <w:rsid w:val="001E029D"/>
    <w:rsid w:val="001E1756"/>
    <w:rsid w:val="001F51E9"/>
    <w:rsid w:val="002032B5"/>
    <w:rsid w:val="00246A18"/>
    <w:rsid w:val="00286DB2"/>
    <w:rsid w:val="002A02AB"/>
    <w:rsid w:val="002A1491"/>
    <w:rsid w:val="002B2A8A"/>
    <w:rsid w:val="002B5C82"/>
    <w:rsid w:val="002D46DD"/>
    <w:rsid w:val="002D4D4D"/>
    <w:rsid w:val="00316513"/>
    <w:rsid w:val="00346DF3"/>
    <w:rsid w:val="00361B84"/>
    <w:rsid w:val="00362FF9"/>
    <w:rsid w:val="00377F16"/>
    <w:rsid w:val="003A5867"/>
    <w:rsid w:val="003B7000"/>
    <w:rsid w:val="003C2CC7"/>
    <w:rsid w:val="003C5F85"/>
    <w:rsid w:val="003E03FD"/>
    <w:rsid w:val="003E30FE"/>
    <w:rsid w:val="003E4E22"/>
    <w:rsid w:val="00416FFB"/>
    <w:rsid w:val="00425C1C"/>
    <w:rsid w:val="00426B01"/>
    <w:rsid w:val="00446935"/>
    <w:rsid w:val="0045467D"/>
    <w:rsid w:val="0045525D"/>
    <w:rsid w:val="00471007"/>
    <w:rsid w:val="00491373"/>
    <w:rsid w:val="00493E97"/>
    <w:rsid w:val="004967CE"/>
    <w:rsid w:val="004C1F49"/>
    <w:rsid w:val="004C690E"/>
    <w:rsid w:val="004D0A63"/>
    <w:rsid w:val="004D6A3F"/>
    <w:rsid w:val="004F2903"/>
    <w:rsid w:val="00502F4A"/>
    <w:rsid w:val="005151C0"/>
    <w:rsid w:val="00531EF0"/>
    <w:rsid w:val="005323F6"/>
    <w:rsid w:val="00537649"/>
    <w:rsid w:val="00537A2D"/>
    <w:rsid w:val="00545A1D"/>
    <w:rsid w:val="00554BB7"/>
    <w:rsid w:val="00570DCD"/>
    <w:rsid w:val="00573D98"/>
    <w:rsid w:val="005D2770"/>
    <w:rsid w:val="005F59A8"/>
    <w:rsid w:val="00611B1C"/>
    <w:rsid w:val="00621524"/>
    <w:rsid w:val="00622841"/>
    <w:rsid w:val="0064641C"/>
    <w:rsid w:val="00653D7C"/>
    <w:rsid w:val="00661643"/>
    <w:rsid w:val="00665296"/>
    <w:rsid w:val="0069513E"/>
    <w:rsid w:val="006B70FD"/>
    <w:rsid w:val="006C3C4E"/>
    <w:rsid w:val="006E7050"/>
    <w:rsid w:val="007103A1"/>
    <w:rsid w:val="0071211D"/>
    <w:rsid w:val="007163E4"/>
    <w:rsid w:val="00722C8A"/>
    <w:rsid w:val="00731BBF"/>
    <w:rsid w:val="00742ECA"/>
    <w:rsid w:val="00754E56"/>
    <w:rsid w:val="007574E8"/>
    <w:rsid w:val="00763254"/>
    <w:rsid w:val="00792458"/>
    <w:rsid w:val="00793C2A"/>
    <w:rsid w:val="007A4DEA"/>
    <w:rsid w:val="007C387F"/>
    <w:rsid w:val="007D1D5B"/>
    <w:rsid w:val="007F45D2"/>
    <w:rsid w:val="00800A48"/>
    <w:rsid w:val="00825AF2"/>
    <w:rsid w:val="008604EB"/>
    <w:rsid w:val="008869DB"/>
    <w:rsid w:val="008A0E25"/>
    <w:rsid w:val="008B00F5"/>
    <w:rsid w:val="008B0601"/>
    <w:rsid w:val="008B324E"/>
    <w:rsid w:val="008C24CF"/>
    <w:rsid w:val="008C4536"/>
    <w:rsid w:val="008D7248"/>
    <w:rsid w:val="008E1E1A"/>
    <w:rsid w:val="008F10C3"/>
    <w:rsid w:val="008F2647"/>
    <w:rsid w:val="00935FBE"/>
    <w:rsid w:val="009378B0"/>
    <w:rsid w:val="00937B43"/>
    <w:rsid w:val="0094304F"/>
    <w:rsid w:val="00945228"/>
    <w:rsid w:val="00951B48"/>
    <w:rsid w:val="009730B6"/>
    <w:rsid w:val="00976E8F"/>
    <w:rsid w:val="00987636"/>
    <w:rsid w:val="009A7C74"/>
    <w:rsid w:val="009C3948"/>
    <w:rsid w:val="009D5B45"/>
    <w:rsid w:val="00A24E98"/>
    <w:rsid w:val="00A300BE"/>
    <w:rsid w:val="00A57ABF"/>
    <w:rsid w:val="00A747DA"/>
    <w:rsid w:val="00AC620B"/>
    <w:rsid w:val="00AD1D7D"/>
    <w:rsid w:val="00AD523E"/>
    <w:rsid w:val="00AF4FAA"/>
    <w:rsid w:val="00B23A95"/>
    <w:rsid w:val="00B2441B"/>
    <w:rsid w:val="00B35102"/>
    <w:rsid w:val="00B71CFE"/>
    <w:rsid w:val="00B81637"/>
    <w:rsid w:val="00B83EF8"/>
    <w:rsid w:val="00B85525"/>
    <w:rsid w:val="00B876F0"/>
    <w:rsid w:val="00B90854"/>
    <w:rsid w:val="00B9466A"/>
    <w:rsid w:val="00B97B06"/>
    <w:rsid w:val="00BD45D6"/>
    <w:rsid w:val="00C03440"/>
    <w:rsid w:val="00C34A7C"/>
    <w:rsid w:val="00C45E9C"/>
    <w:rsid w:val="00C528A8"/>
    <w:rsid w:val="00C77D1B"/>
    <w:rsid w:val="00C836E8"/>
    <w:rsid w:val="00C85016"/>
    <w:rsid w:val="00CA4CF6"/>
    <w:rsid w:val="00CE513D"/>
    <w:rsid w:val="00D10C1C"/>
    <w:rsid w:val="00D20103"/>
    <w:rsid w:val="00D2618A"/>
    <w:rsid w:val="00D3230C"/>
    <w:rsid w:val="00D67A87"/>
    <w:rsid w:val="00D768C5"/>
    <w:rsid w:val="00D86A49"/>
    <w:rsid w:val="00D91E4F"/>
    <w:rsid w:val="00D95471"/>
    <w:rsid w:val="00DA780A"/>
    <w:rsid w:val="00DB0C61"/>
    <w:rsid w:val="00DD553A"/>
    <w:rsid w:val="00DE7719"/>
    <w:rsid w:val="00DF0131"/>
    <w:rsid w:val="00DF16D2"/>
    <w:rsid w:val="00DF37F2"/>
    <w:rsid w:val="00E26A82"/>
    <w:rsid w:val="00E27978"/>
    <w:rsid w:val="00E27AB7"/>
    <w:rsid w:val="00E4201D"/>
    <w:rsid w:val="00E47558"/>
    <w:rsid w:val="00E673D6"/>
    <w:rsid w:val="00E757C4"/>
    <w:rsid w:val="00E85E8F"/>
    <w:rsid w:val="00E900DB"/>
    <w:rsid w:val="00E979AE"/>
    <w:rsid w:val="00EA644A"/>
    <w:rsid w:val="00ED67A0"/>
    <w:rsid w:val="00EF63E6"/>
    <w:rsid w:val="00F104A3"/>
    <w:rsid w:val="00F131D0"/>
    <w:rsid w:val="00F1499F"/>
    <w:rsid w:val="00F2065E"/>
    <w:rsid w:val="00F21A53"/>
    <w:rsid w:val="00F228CD"/>
    <w:rsid w:val="00F61E1F"/>
    <w:rsid w:val="00F740C1"/>
    <w:rsid w:val="00F86F2E"/>
    <w:rsid w:val="00F939DB"/>
    <w:rsid w:val="00FB6A9D"/>
    <w:rsid w:val="00FC1478"/>
    <w:rsid w:val="00FC31C3"/>
    <w:rsid w:val="00FC44DE"/>
    <w:rsid w:val="00FE74CC"/>
    <w:rsid w:val="00FE7843"/>
    <w:rsid w:val="00FF3D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2DFD59"/>
  <w15:docId w15:val="{E8606EC6-C4EB-4278-A6E2-F0BFBED3F3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BodyText"/>
    <w:link w:val="Heading1Char"/>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BodyText"/>
    <w:link w:val="Heading2Char"/>
    <w:uiPriority w:val="9"/>
    <w:semiHidden/>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BodyText"/>
    <w:link w:val="Heading3Char"/>
    <w:uiPriority w:val="9"/>
    <w:semiHidden/>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BodyText"/>
    <w:link w:val="Heading4Char"/>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BodyText"/>
    <w:link w:val="Heading5Char"/>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BodyText"/>
    <w:link w:val="Heading6Char"/>
    <w:uiPriority w:val="9"/>
    <w:semiHidden/>
    <w:unhideWhenUsed/>
    <w:qFormat/>
    <w:rsid w:val="00A10F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BodyText"/>
    <w:link w:val="Heading7Char"/>
    <w:uiPriority w:val="9"/>
    <w:semiHidden/>
    <w:unhideWhenUsed/>
    <w:qFormat/>
    <w:rsid w:val="00A10F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BodyText"/>
    <w:link w:val="Heading8Char"/>
    <w:uiPriority w:val="9"/>
    <w:semiHidden/>
    <w:unhideWhenUsed/>
    <w:qFormat/>
    <w:rsid w:val="00A10F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BodyText"/>
    <w:link w:val="Heading9Char"/>
    <w:uiPriority w:val="9"/>
    <w:semiHidden/>
    <w:unhideWhenUsed/>
    <w:qFormat/>
    <w:rsid w:val="00A10F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link w:val="TitleChar"/>
    <w:uiPriority w:val="10"/>
    <w:qFormat/>
    <w:rsid w:val="00A10FD9"/>
    <w:pPr>
      <w:spacing w:after="80"/>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0FD9"/>
    <w:rPr>
      <w:rFonts w:asciiTheme="majorHAnsi" w:eastAsiaTheme="majorEastAsia" w:hAnsiTheme="majorHAnsi" w:cstheme="majorBidi"/>
      <w:spacing w:val="-10"/>
      <w:kern w:val="28"/>
      <w:sz w:val="56"/>
      <w:szCs w:val="56"/>
    </w:rPr>
  </w:style>
  <w:style w:type="paragraph" w:styleId="Subtitle">
    <w:name w:val="Subtitle"/>
    <w:basedOn w:val="Title"/>
    <w:next w:val="BodyText"/>
    <w:link w:val="SubtitleChar"/>
    <w:uiPriority w:val="11"/>
    <w:qFormat/>
    <w:rsid w:val="00A10FD9"/>
    <w:pPr>
      <w:numPr>
        <w:ilvl w:val="1"/>
      </w:numPr>
    </w:pPr>
    <w:rPr>
      <w:spacing w:val="15"/>
      <w:sz w:val="28"/>
      <w:szCs w:val="28"/>
    </w:rPr>
  </w:style>
  <w:style w:type="character" w:customStyle="1" w:styleId="SubtitleChar">
    <w:name w:val="Subtitle Char"/>
    <w:basedOn w:val="DefaultParagraphFont"/>
    <w:link w:val="Subtitle"/>
    <w:uiPriority w:val="11"/>
    <w:rsid w:val="00A10FD9"/>
    <w:rPr>
      <w:rFonts w:eastAsiaTheme="majorEastAsia" w:cstheme="majorBidi"/>
      <w:color w:val="595959" w:themeColor="text1" w:themeTint="A6"/>
      <w:spacing w:val="15"/>
      <w:sz w:val="28"/>
      <w:szCs w:val="28"/>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Title">
    <w:name w:val="Abstract Title"/>
    <w:basedOn w:val="Normal"/>
    <w:next w:val="Abstract"/>
    <w:qFormat/>
    <w:pPr>
      <w:keepNext/>
      <w:keepLines/>
      <w:spacing w:before="300" w:after="0"/>
      <w:jc w:val="center"/>
    </w:pPr>
    <w:rPr>
      <w:b/>
      <w:sz w:val="20"/>
      <w:szCs w:val="20"/>
    </w:rPr>
  </w:style>
  <w:style w:type="paragraph" w:customStyle="1" w:styleId="Abstract">
    <w:name w:val="Abstract"/>
    <w:basedOn w:val="Normal"/>
    <w:next w:val="BodyText"/>
    <w:qFormat/>
    <w:pPr>
      <w:keepNext/>
      <w:keepLines/>
      <w:spacing w:before="100" w:after="300"/>
    </w:pPr>
    <w:rPr>
      <w:sz w:val="20"/>
      <w:szCs w:val="20"/>
    </w:rPr>
  </w:style>
  <w:style w:type="paragraph" w:styleId="Bibliography">
    <w:name w:val="Bibliography"/>
    <w:basedOn w:val="Normal"/>
    <w:qFormat/>
  </w:style>
  <w:style w:type="character" w:customStyle="1" w:styleId="Heading1Char">
    <w:name w:val="Heading 1 Char"/>
    <w:basedOn w:val="DefaultParagraphFont"/>
    <w:link w:val="Heading1"/>
    <w:uiPriority w:val="1"/>
    <w:rsid w:val="00A10F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0F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0F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0F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0F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0F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0F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0F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0FD9"/>
    <w:rPr>
      <w:rFonts w:eastAsiaTheme="majorEastAsia" w:cstheme="majorBidi"/>
      <w:color w:val="272727" w:themeColor="text1" w:themeTint="D8"/>
    </w:rPr>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paragraph" w:customStyle="1" w:styleId="FootnoteBlockText">
    <w:name w:val="Footnote Block Text"/>
    <w:basedOn w:val="FootnoteText"/>
    <w:next w:val="FootnoteText"/>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rPr>
      <w:color w:val="156082" w:themeColor="accent1"/>
    </w:rPr>
  </w:style>
  <w:style w:type="paragraph" w:styleId="TOCHeading">
    <w:name w:val="TOC Heading"/>
    <w:basedOn w:val="Heading1"/>
    <w:next w:val="BodyText"/>
    <w:uiPriority w:val="39"/>
    <w:unhideWhenUsed/>
    <w:qFormat/>
    <w:pPr>
      <w:spacing w:before="240" w:line="259" w:lineRule="auto"/>
      <w:outlineLvl w:val="9"/>
    </w:p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character" w:styleId="Strong">
    <w:name w:val="Strong"/>
    <w:basedOn w:val="DefaultParagraphFont"/>
    <w:uiPriority w:val="22"/>
    <w:qFormat/>
    <w:rsid w:val="00010080"/>
    <w:rPr>
      <w:b/>
      <w:bCs/>
    </w:rPr>
  </w:style>
  <w:style w:type="paragraph" w:styleId="NormalWeb">
    <w:name w:val="Normal (Web)"/>
    <w:basedOn w:val="Normal"/>
    <w:uiPriority w:val="99"/>
    <w:unhideWhenUsed/>
    <w:rsid w:val="00010080"/>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010080"/>
    <w:rPr>
      <w:i/>
      <w:iCs/>
    </w:rPr>
  </w:style>
  <w:style w:type="paragraph" w:styleId="ListParagraph">
    <w:name w:val="List Paragraph"/>
    <w:basedOn w:val="Normal"/>
    <w:uiPriority w:val="34"/>
    <w:qFormat/>
    <w:rsid w:val="007D1D5B"/>
    <w:pPr>
      <w:spacing w:after="160" w:line="278" w:lineRule="auto"/>
      <w:ind w:left="720"/>
      <w:contextualSpacing/>
    </w:pPr>
    <w:rPr>
      <w:kern w:val="2"/>
    </w:rPr>
  </w:style>
  <w:style w:type="character" w:customStyle="1" w:styleId="BodyTextChar">
    <w:name w:val="Body Text Char"/>
    <w:basedOn w:val="DefaultParagraphFont"/>
    <w:link w:val="BodyText"/>
    <w:rsid w:val="00DF16D2"/>
  </w:style>
  <w:style w:type="character" w:styleId="UnresolvedMention">
    <w:name w:val="Unresolved Mention"/>
    <w:basedOn w:val="DefaultParagraphFont"/>
    <w:uiPriority w:val="99"/>
    <w:semiHidden/>
    <w:unhideWhenUsed/>
    <w:rsid w:val="00570DCD"/>
    <w:rPr>
      <w:color w:val="605E5C"/>
      <w:shd w:val="clear" w:color="auto" w:fill="E1DFDD"/>
    </w:rPr>
  </w:style>
  <w:style w:type="character" w:styleId="PlaceholderText">
    <w:name w:val="Placeholder Text"/>
    <w:basedOn w:val="DefaultParagraphFont"/>
    <w:uiPriority w:val="99"/>
    <w:rsid w:val="00F21A5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80/14703297.2023.2190148" TargetMode="External"/><Relationship Id="rId13" Type="http://schemas.openxmlformats.org/officeDocument/2006/relationships/hyperlink" Target="https://www.google.com/search?q=https://doi.org/10.4324/9781003124376" TargetMode="External"/><Relationship Id="rId18" Type="http://schemas.openxmlformats.org/officeDocument/2006/relationships/hyperlink" Target="https://www.google.com/search?q=https%3A%2F%2Fdoi.org%2F10.3390%2Fsu17178059"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image" Target="media/image2.png"/><Relationship Id="rId12" Type="http://schemas.openxmlformats.org/officeDocument/2006/relationships/hyperlink" Target="https://doi.org/10.1016/j.lindif.2023.102274" TargetMode="External"/><Relationship Id="rId17" Type="http://schemas.openxmlformats.org/officeDocument/2006/relationships/hyperlink" Target="https://doi.org/10.3390/electronics14244955" TargetMode="External"/><Relationship Id="rId2" Type="http://schemas.openxmlformats.org/officeDocument/2006/relationships/numbering" Target="numbering.xml"/><Relationship Id="rId16" Type="http://schemas.openxmlformats.org/officeDocument/2006/relationships/hyperlink" Target="https://www.google.com/search?q=https%3A%2F%2Fdoi.org%2F10.1007%2Fs10648-019-09465-5" TargetMode="External"/><Relationship Id="rId20" Type="http://schemas.openxmlformats.org/officeDocument/2006/relationships/image" Target="media/image3.jpeg"/><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doi.org/10.3389/feduc.2025.1596462" TargetMode="External"/><Relationship Id="rId5" Type="http://schemas.openxmlformats.org/officeDocument/2006/relationships/webSettings" Target="webSettings.xml"/><Relationship Id="rId15" Type="http://schemas.openxmlformats.org/officeDocument/2006/relationships/hyperlink" Target="https://doi.org/10.1207/S15326985EP3801_1" TargetMode="External"/><Relationship Id="rId23" Type="http://schemas.openxmlformats.org/officeDocument/2006/relationships/theme" Target="theme/theme1.xml"/><Relationship Id="rId10" Type="http://schemas.openxmlformats.org/officeDocument/2006/relationships/hyperlink" Target="https://www.google.com/search?q=https://doi.org/10.21832/ELLIS7634" TargetMode="External"/><Relationship Id="rId19" Type="http://schemas.openxmlformats.org/officeDocument/2006/relationships/hyperlink" Target="https://www.google.com/search?q=https%3A%2F%2Fdoi.org%2F10.1186%2Fs40561-022-00213-3" TargetMode="External"/><Relationship Id="rId4" Type="http://schemas.openxmlformats.org/officeDocument/2006/relationships/settings" Target="settings.xml"/><Relationship Id="rId9" Type="http://schemas.openxmlformats.org/officeDocument/2006/relationships/hyperlink" Target="https://doi.org/10.37497/rev.artif.intell.educ.v7ii.91" TargetMode="External"/><Relationship Id="rId14" Type="http://schemas.openxmlformats.org/officeDocument/2006/relationships/hyperlink" Target="https://doi.org/10.1080/2331186X.2025.2563171" TargetMode="Externa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65BBF39AA6E4C5EAE7A06BE6975169F"/>
        <w:category>
          <w:name w:val="General"/>
          <w:gallery w:val="placeholder"/>
        </w:category>
        <w:types>
          <w:type w:val="bbPlcHdr"/>
        </w:types>
        <w:behaviors>
          <w:behavior w:val="content"/>
        </w:behaviors>
        <w:guid w:val="{AD1EBC48-1C02-42AE-BA96-FDE678BFF54C}"/>
      </w:docPartPr>
      <w:docPartBody>
        <w:p w:rsidR="00985397" w:rsidRDefault="00ED4667" w:rsidP="00ED4667">
          <w:pPr>
            <w:pStyle w:val="365BBF39AA6E4C5EAE7A06BE6975169F"/>
          </w:pPr>
          <w:r w:rsidRPr="002E52FF">
            <w:rPr>
              <w:rStyle w:val="PlaceholderText"/>
            </w:rPr>
            <w:t>[Bản tóm tắt]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4667"/>
    <w:rsid w:val="00031357"/>
    <w:rsid w:val="001F51E9"/>
    <w:rsid w:val="002127FF"/>
    <w:rsid w:val="003A593C"/>
    <w:rsid w:val="00553E1A"/>
    <w:rsid w:val="00985397"/>
    <w:rsid w:val="00A747DA"/>
    <w:rsid w:val="00AD0C43"/>
    <w:rsid w:val="00B71CFE"/>
    <w:rsid w:val="00BE6B97"/>
    <w:rsid w:val="00D768C5"/>
    <w:rsid w:val="00E14015"/>
    <w:rsid w:val="00ED4667"/>
    <w:rsid w:val="00F228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D4667"/>
    <w:rPr>
      <w:color w:val="808080"/>
    </w:rPr>
  </w:style>
  <w:style w:type="paragraph" w:customStyle="1" w:styleId="365BBF39AA6E4C5EAE7A06BE6975169F">
    <w:name w:val="365BBF39AA6E4C5EAE7A06BE6975169F"/>
    <w:rsid w:val="00ED466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Tiến sĩ Nguyễn Đức Châu là giảng viên tiếng Anh tại Khoa Ngoại ngữ, HUFLIT. Ông từng giữ chức vụ Chủ tịch Hội đồng Khoa học Khoa Ngoại ngữ (HUFLIT) năm 2011-2021. Ông từng giữ chức Phó Trưởng Đề án Ngoại ngữ Quốc gia 2020 tại HUFLIT và là thành viên chính thức của Hội đồng Khoa học trường của HUFLIT (2006-2015). Hiện ông là Trưởng bộ môn Biên Phiên dịch.</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1009</TotalTime>
  <Pages>22</Pages>
  <Words>8115</Words>
  <Characters>46262</Characters>
  <Application>Microsoft Office Word</Application>
  <DocSecurity>0</DocSecurity>
  <Lines>385</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Nguyễn Đức Châu</cp:lastModifiedBy>
  <cp:revision>176</cp:revision>
  <dcterms:created xsi:type="dcterms:W3CDTF">2025-12-19T00:06:00Z</dcterms:created>
  <dcterms:modified xsi:type="dcterms:W3CDTF">2026-06-21T03:28:00Z</dcterms:modified>
</cp:coreProperties>
</file>