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3AD3" w14:textId="17E99027" w:rsidR="00076C84" w:rsidRPr="004667A2" w:rsidRDefault="00076C84" w:rsidP="00B21A61">
      <w:pPr>
        <w:pStyle w:val="NormalWeb"/>
        <w:spacing w:before="0" w:beforeAutospacing="0" w:after="120" w:afterAutospacing="0" w:line="360" w:lineRule="auto"/>
        <w:ind w:firstLine="720"/>
        <w:jc w:val="center"/>
        <w:rPr>
          <w:b/>
          <w:bCs/>
          <w:lang w:val="vi-VN"/>
        </w:rPr>
      </w:pPr>
      <w:r w:rsidRPr="004667A2">
        <w:rPr>
          <w:b/>
          <w:bCs/>
        </w:rPr>
        <w:t>From Classroom to Real Life: First-Year Students’ English-Speaking Use across Learning Contexts</w:t>
      </w:r>
    </w:p>
    <w:p w14:paraId="67136AFC" w14:textId="42F431CC" w:rsidR="00F862AB" w:rsidRPr="004667A2" w:rsidRDefault="0092769E" w:rsidP="009549BF">
      <w:pPr>
        <w:pStyle w:val="NormalWeb"/>
        <w:spacing w:before="0" w:beforeAutospacing="0" w:after="120" w:afterAutospacing="0" w:line="360" w:lineRule="auto"/>
        <w:ind w:firstLine="720"/>
        <w:jc w:val="both"/>
        <w:rPr>
          <w:rStyle w:val="Strong"/>
          <w:rFonts w:eastAsiaTheme="majorEastAsia"/>
          <w:b w:val="0"/>
          <w:bCs w:val="0"/>
          <w:lang w:val="vi-VN"/>
        </w:rPr>
      </w:pPr>
      <w:r w:rsidRPr="004667A2">
        <w:rPr>
          <w:rStyle w:val="Strong"/>
          <w:rFonts w:eastAsiaTheme="majorEastAsia"/>
          <w:b w:val="0"/>
          <w:bCs w:val="0"/>
        </w:rPr>
        <w:t>Nguyen Thi Ngoc Chinh</w:t>
      </w:r>
    </w:p>
    <w:p w14:paraId="7C2AD0C5" w14:textId="173BAAC8" w:rsidR="00444F54" w:rsidRPr="004667A2" w:rsidRDefault="00444F54" w:rsidP="009549BF">
      <w:pPr>
        <w:pStyle w:val="NormalWeb"/>
        <w:spacing w:before="0" w:beforeAutospacing="0" w:after="120" w:afterAutospacing="0" w:line="360" w:lineRule="auto"/>
        <w:ind w:firstLine="720"/>
        <w:jc w:val="both"/>
        <w:rPr>
          <w:b/>
          <w:bCs/>
          <w:i/>
          <w:iCs/>
        </w:rPr>
      </w:pPr>
      <w:r w:rsidRPr="004667A2">
        <w:rPr>
          <w:b/>
          <w:bCs/>
          <w:i/>
          <w:iCs/>
        </w:rPr>
        <w:t>Abstract</w:t>
      </w:r>
    </w:p>
    <w:p w14:paraId="1BFAB8AB" w14:textId="499E8419" w:rsidR="008646E0" w:rsidRDefault="00524333" w:rsidP="009549BF">
      <w:pPr>
        <w:spacing w:after="120" w:line="360" w:lineRule="auto"/>
        <w:ind w:firstLine="720"/>
        <w:jc w:val="both"/>
        <w:outlineLvl w:val="1"/>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The present study aims to examine the </w:t>
      </w:r>
      <w:r w:rsidR="008B6744" w:rsidRPr="008B6744">
        <w:rPr>
          <w:rFonts w:ascii="Times New Roman" w:eastAsia="Times New Roman" w:hAnsi="Times New Roman" w:cs="Times New Roman"/>
          <w:kern w:val="0"/>
          <w14:ligatures w14:val="none"/>
        </w:rPr>
        <w:t>English-speaking practices inside and outside the classroom</w:t>
      </w:r>
      <w:r w:rsidRPr="004667A2">
        <w:rPr>
          <w:rFonts w:ascii="Times New Roman" w:eastAsia="Times New Roman" w:hAnsi="Times New Roman" w:cs="Times New Roman"/>
          <w:kern w:val="0"/>
          <w14:ligatures w14:val="none"/>
        </w:rPr>
        <w:t xml:space="preserve"> by first-year Vietnamese university students during their preparatory English program in a non-English-speaking environment. The study sample consisted of 50 lower-intermediate EFL learners at the outset of the program, corresponding to levels A2-B1 on the CEFR scale. In the Vietnamese context, </w:t>
      </w:r>
      <w:r w:rsidR="00A15966" w:rsidRPr="00A15966">
        <w:rPr>
          <w:rFonts w:ascii="Times New Roman" w:eastAsia="Times New Roman" w:hAnsi="Times New Roman" w:cs="Times New Roman"/>
          <w:kern w:val="0"/>
          <w14:ligatures w14:val="none"/>
        </w:rPr>
        <w:t>classroom-based English speaking is considered essential for developing oral communication skills</w:t>
      </w:r>
      <w:r w:rsidRPr="004667A2">
        <w:rPr>
          <w:rFonts w:ascii="Times New Roman" w:eastAsia="Times New Roman" w:hAnsi="Times New Roman" w:cs="Times New Roman"/>
          <w:kern w:val="0"/>
          <w14:ligatures w14:val="none"/>
        </w:rPr>
        <w:t xml:space="preserve">, while outside-school real-life use is limited, especially for young university students. This study also sought to examine the relationship between in-class speaking and out-of-school English use. The study employed the explanatory sequential mixed-methods research design. Quantitative data collection methods were employed to address the research questions, including the administration of </w:t>
      </w:r>
      <w:r w:rsidR="00ED09A8" w:rsidRPr="004667A2">
        <w:rPr>
          <w:rFonts w:ascii="Times New Roman" w:eastAsia="Times New Roman" w:hAnsi="Times New Roman" w:cs="Times New Roman"/>
          <w:kern w:val="0"/>
          <w14:ligatures w14:val="none"/>
        </w:rPr>
        <w:t xml:space="preserve">a structured questionnaire to assess the frequency of </w:t>
      </w:r>
      <w:r w:rsidR="007869C2" w:rsidRPr="007869C2">
        <w:rPr>
          <w:rFonts w:ascii="Times New Roman" w:eastAsia="Times New Roman" w:hAnsi="Times New Roman" w:cs="Times New Roman"/>
          <w:kern w:val="0"/>
          <w14:ligatures w14:val="none"/>
        </w:rPr>
        <w:t>English-speaking practices</w:t>
      </w:r>
      <w:r w:rsidR="00ED09A8" w:rsidRPr="004667A2">
        <w:rPr>
          <w:rFonts w:ascii="Times New Roman" w:eastAsia="Times New Roman" w:hAnsi="Times New Roman" w:cs="Times New Roman"/>
          <w:kern w:val="0"/>
          <w14:ligatures w14:val="none"/>
        </w:rPr>
        <w:t xml:space="preserve"> among participants</w:t>
      </w:r>
      <w:r w:rsidR="00ED09A8" w:rsidRPr="004667A2">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14:ligatures w14:val="none"/>
        </w:rPr>
        <w:t xml:space="preserve">Additionally, </w:t>
      </w:r>
      <w:r w:rsidR="00C10B29">
        <w:rPr>
          <w:rFonts w:ascii="Times New Roman" w:eastAsia="Times New Roman" w:hAnsi="Times New Roman" w:cs="Times New Roman"/>
          <w:kern w:val="0"/>
          <w:lang w:val="vi-VN"/>
          <w14:ligatures w14:val="none"/>
        </w:rPr>
        <w:t xml:space="preserve">semi-structured interviews </w:t>
      </w:r>
      <w:r w:rsidRPr="004667A2">
        <w:rPr>
          <w:rFonts w:ascii="Times New Roman" w:eastAsia="Times New Roman" w:hAnsi="Times New Roman" w:cs="Times New Roman"/>
          <w:kern w:val="0"/>
          <w14:ligatures w14:val="none"/>
        </w:rPr>
        <w:t xml:space="preserve">were used to gain more insights into the </w:t>
      </w:r>
      <w:r w:rsidR="002D2A6E" w:rsidRPr="004667A2">
        <w:rPr>
          <w:rFonts w:ascii="Times New Roman" w:eastAsia="Times New Roman" w:hAnsi="Times New Roman" w:cs="Times New Roman"/>
          <w:kern w:val="0"/>
          <w14:ligatures w14:val="none"/>
        </w:rPr>
        <w:t>par</w:t>
      </w:r>
      <w:r w:rsidR="002D2A6E" w:rsidRPr="004667A2">
        <w:rPr>
          <w:rFonts w:ascii="Times New Roman" w:eastAsia="Times New Roman" w:hAnsi="Times New Roman" w:cs="Times New Roman"/>
          <w:kern w:val="0"/>
          <w:lang w:val="vi-VN"/>
          <w14:ligatures w14:val="none"/>
        </w:rPr>
        <w:t>t</w:t>
      </w:r>
      <w:proofErr w:type="spellStart"/>
      <w:r w:rsidR="002D2A6E" w:rsidRPr="004667A2">
        <w:rPr>
          <w:rFonts w:ascii="Times New Roman" w:eastAsia="Times New Roman" w:hAnsi="Times New Roman" w:cs="Times New Roman"/>
          <w:kern w:val="0"/>
          <w14:ligatures w14:val="none"/>
        </w:rPr>
        <w:t>icipants</w:t>
      </w:r>
      <w:proofErr w:type="spellEnd"/>
      <w:r w:rsidR="002D2A6E" w:rsidRPr="004667A2">
        <w:rPr>
          <w:rFonts w:ascii="Times New Roman" w:eastAsia="Times New Roman" w:hAnsi="Times New Roman" w:cs="Times New Roman"/>
          <w:kern w:val="0"/>
          <w14:ligatures w14:val="none"/>
        </w:rPr>
        <w:t xml:space="preserve">’ </w:t>
      </w:r>
      <w:r w:rsidRPr="004667A2">
        <w:rPr>
          <w:rFonts w:ascii="Times New Roman" w:eastAsia="Times New Roman" w:hAnsi="Times New Roman" w:cs="Times New Roman"/>
          <w:kern w:val="0"/>
          <w14:ligatures w14:val="none"/>
        </w:rPr>
        <w:t xml:space="preserve">out-of-school use of English. Quantitative data were analyzed through statistical methods, while qualitative data were analyzed through thematic analysis. The findings indicate that the </w:t>
      </w:r>
      <w:r w:rsidR="00D673F5" w:rsidRPr="004667A2">
        <w:rPr>
          <w:rFonts w:ascii="Times New Roman" w:eastAsia="Times New Roman" w:hAnsi="Times New Roman" w:cs="Times New Roman"/>
          <w:kern w:val="0"/>
          <w14:ligatures w14:val="none"/>
        </w:rPr>
        <w:t>students</w:t>
      </w:r>
      <w:r w:rsidRPr="004667A2">
        <w:rPr>
          <w:rFonts w:ascii="Times New Roman" w:eastAsia="Times New Roman" w:hAnsi="Times New Roman" w:cs="Times New Roman"/>
          <w:kern w:val="0"/>
          <w14:ligatures w14:val="none"/>
        </w:rPr>
        <w:t xml:space="preserve"> spoke more English inside the classroom than outside the classroom. Inside the classroom, the </w:t>
      </w:r>
      <w:r w:rsidR="002D2A6E" w:rsidRPr="004667A2">
        <w:rPr>
          <w:rFonts w:ascii="Times New Roman" w:eastAsia="Times New Roman" w:hAnsi="Times New Roman" w:cs="Times New Roman"/>
          <w:kern w:val="0"/>
          <w14:ligatures w14:val="none"/>
        </w:rPr>
        <w:t xml:space="preserve">students </w:t>
      </w:r>
      <w:r w:rsidRPr="004667A2">
        <w:rPr>
          <w:rFonts w:ascii="Times New Roman" w:eastAsia="Times New Roman" w:hAnsi="Times New Roman" w:cs="Times New Roman"/>
          <w:kern w:val="0"/>
          <w14:ligatures w14:val="none"/>
        </w:rPr>
        <w:t>spoke English mainly through structured activities, such as answering teachers' questions, discussing in pairs or groups</w:t>
      </w:r>
      <w:r w:rsidR="00ED09A8" w:rsidRPr="004667A2">
        <w:rPr>
          <w:rFonts w:ascii="Times New Roman" w:eastAsia="Times New Roman" w:hAnsi="Times New Roman" w:cs="Times New Roman"/>
          <w:kern w:val="0"/>
          <w:lang w:val="vi-VN"/>
          <w14:ligatures w14:val="none"/>
        </w:rPr>
        <w:t>.</w:t>
      </w:r>
      <w:r w:rsidRPr="004667A2">
        <w:rPr>
          <w:rFonts w:ascii="Times New Roman" w:eastAsia="Times New Roman" w:hAnsi="Times New Roman" w:cs="Times New Roman"/>
          <w:kern w:val="0"/>
          <w14:ligatures w14:val="none"/>
        </w:rPr>
        <w:t xml:space="preserve"> On the other hand, the </w:t>
      </w:r>
      <w:r w:rsidR="00D673F5" w:rsidRPr="004667A2">
        <w:rPr>
          <w:rFonts w:ascii="Times New Roman" w:eastAsia="Times New Roman" w:hAnsi="Times New Roman" w:cs="Times New Roman"/>
          <w:kern w:val="0"/>
          <w14:ligatures w14:val="none"/>
        </w:rPr>
        <w:t>participants</w:t>
      </w:r>
      <w:r w:rsidRPr="004667A2">
        <w:rPr>
          <w:rFonts w:ascii="Times New Roman" w:eastAsia="Times New Roman" w:hAnsi="Times New Roman" w:cs="Times New Roman"/>
          <w:kern w:val="0"/>
          <w14:ligatures w14:val="none"/>
        </w:rPr>
        <w:t xml:space="preserve"> rarely used English outside the classroom to communicate in real-life situations. </w:t>
      </w:r>
      <w:r w:rsidR="00604988" w:rsidRPr="004667A2">
        <w:rPr>
          <w:rFonts w:ascii="Times New Roman" w:eastAsia="Times New Roman" w:hAnsi="Times New Roman" w:cs="Times New Roman"/>
          <w:kern w:val="0"/>
          <w14:ligatures w14:val="none"/>
        </w:rPr>
        <w:t xml:space="preserve">The findings reveal a </w:t>
      </w:r>
      <w:r w:rsidR="00A568B3" w:rsidRPr="00A568B3">
        <w:rPr>
          <w:rFonts w:ascii="Times New Roman" w:eastAsia="Times New Roman" w:hAnsi="Times New Roman" w:cs="Times New Roman"/>
          <w:kern w:val="0"/>
          <w14:ligatures w14:val="none"/>
        </w:rPr>
        <w:t>substantial discrepancy between instructional speaking participation and spontaneous English use in authentic communicative contexts</w:t>
      </w:r>
      <w:r w:rsidR="0098024B">
        <w:rPr>
          <w:rFonts w:ascii="Times New Roman" w:eastAsia="Times New Roman" w:hAnsi="Times New Roman" w:cs="Times New Roman"/>
          <w:kern w:val="0"/>
          <w:lang w:val="vi-VN"/>
          <w14:ligatures w14:val="none"/>
        </w:rPr>
        <w:t xml:space="preserve">. </w:t>
      </w:r>
    </w:p>
    <w:p w14:paraId="6C0740D6" w14:textId="77777777" w:rsidR="008646E0" w:rsidRDefault="008646E0">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lang w:val="vi-VN"/>
          <w14:ligatures w14:val="none"/>
        </w:rPr>
        <w:br w:type="page"/>
      </w:r>
    </w:p>
    <w:p w14:paraId="082E5AC0" w14:textId="77777777" w:rsidR="002E4375" w:rsidRPr="0098024B" w:rsidRDefault="002E4375" w:rsidP="009549BF">
      <w:pPr>
        <w:spacing w:after="120" w:line="360" w:lineRule="auto"/>
        <w:ind w:firstLine="720"/>
        <w:jc w:val="both"/>
        <w:outlineLvl w:val="1"/>
        <w:rPr>
          <w:rFonts w:ascii="Times New Roman" w:eastAsia="Times New Roman" w:hAnsi="Times New Roman" w:cs="Times New Roman"/>
          <w:kern w:val="0"/>
          <w:lang w:val="vi-VN"/>
          <w14:ligatures w14:val="none"/>
        </w:rPr>
      </w:pPr>
    </w:p>
    <w:p w14:paraId="68CC1C66" w14:textId="2CE9AF66" w:rsidR="004959A0" w:rsidRPr="004667A2" w:rsidRDefault="008B591D" w:rsidP="009549BF">
      <w:pPr>
        <w:spacing w:after="120" w:line="360" w:lineRule="auto"/>
        <w:ind w:firstLine="720"/>
        <w:jc w:val="both"/>
        <w:outlineLvl w:val="1"/>
        <w:rPr>
          <w:rFonts w:ascii="Times New Roman" w:eastAsia="Times New Roman" w:hAnsi="Times New Roman" w:cs="Times New Roman"/>
          <w:kern w:val="0"/>
          <w:lang w:val="vi-VN"/>
          <w14:ligatures w14:val="none"/>
        </w:rPr>
      </w:pPr>
      <w:r w:rsidRPr="004667A2">
        <w:rPr>
          <w:rFonts w:ascii="Times New Roman" w:hAnsi="Times New Roman" w:cs="Times New Roman"/>
          <w:i/>
          <w:iCs/>
        </w:rPr>
        <w:t>Keywords</w:t>
      </w:r>
      <w:r w:rsidRPr="004667A2">
        <w:rPr>
          <w:rFonts w:ascii="Times New Roman" w:hAnsi="Times New Roman" w:cs="Times New Roman"/>
        </w:rPr>
        <w:t xml:space="preserve">: </w:t>
      </w:r>
      <w:r w:rsidR="002D10D4" w:rsidRPr="004667A2">
        <w:rPr>
          <w:rFonts w:ascii="Times New Roman" w:hAnsi="Times New Roman" w:cs="Times New Roman"/>
          <w:i/>
          <w:iCs/>
        </w:rPr>
        <w:t>English speaking</w:t>
      </w:r>
      <w:r w:rsidR="0048764B" w:rsidRPr="004667A2">
        <w:rPr>
          <w:rFonts w:ascii="Times New Roman" w:hAnsi="Times New Roman" w:cs="Times New Roman"/>
          <w:i/>
          <w:iCs/>
        </w:rPr>
        <w:t>,</w:t>
      </w:r>
      <w:r w:rsidR="002D10D4" w:rsidRPr="004667A2">
        <w:rPr>
          <w:rFonts w:ascii="Times New Roman" w:hAnsi="Times New Roman" w:cs="Times New Roman"/>
          <w:i/>
          <w:iCs/>
        </w:rPr>
        <w:t xml:space="preserve"> EFL context</w:t>
      </w:r>
      <w:r w:rsidR="0048764B" w:rsidRPr="004667A2">
        <w:rPr>
          <w:rFonts w:ascii="Times New Roman" w:hAnsi="Times New Roman" w:cs="Times New Roman"/>
          <w:i/>
          <w:iCs/>
        </w:rPr>
        <w:t>,</w:t>
      </w:r>
      <w:r w:rsidR="002D10D4" w:rsidRPr="004667A2">
        <w:rPr>
          <w:rFonts w:ascii="Times New Roman" w:hAnsi="Times New Roman" w:cs="Times New Roman"/>
          <w:i/>
          <w:iCs/>
        </w:rPr>
        <w:t xml:space="preserve"> first-year university students</w:t>
      </w:r>
      <w:r w:rsidR="0048764B" w:rsidRPr="004667A2">
        <w:rPr>
          <w:rFonts w:ascii="Times New Roman" w:hAnsi="Times New Roman" w:cs="Times New Roman"/>
          <w:i/>
          <w:iCs/>
        </w:rPr>
        <w:t>,</w:t>
      </w:r>
      <w:r w:rsidR="002D10D4" w:rsidRPr="004667A2">
        <w:rPr>
          <w:rFonts w:ascii="Times New Roman" w:hAnsi="Times New Roman" w:cs="Times New Roman"/>
          <w:i/>
          <w:iCs/>
        </w:rPr>
        <w:t xml:space="preserve"> classroom and real-life communication</w:t>
      </w:r>
      <w:r w:rsidR="0048764B" w:rsidRPr="004667A2">
        <w:rPr>
          <w:rFonts w:ascii="Times New Roman" w:hAnsi="Times New Roman" w:cs="Times New Roman"/>
          <w:i/>
          <w:iCs/>
        </w:rPr>
        <w:t>,</w:t>
      </w:r>
      <w:r w:rsidR="002D10D4" w:rsidRPr="004667A2">
        <w:rPr>
          <w:rFonts w:ascii="Times New Roman" w:hAnsi="Times New Roman" w:cs="Times New Roman"/>
          <w:i/>
          <w:iCs/>
        </w:rPr>
        <w:t xml:space="preserve"> mixed-methods study</w:t>
      </w:r>
    </w:p>
    <w:p w14:paraId="4A2E0F46" w14:textId="3A4CDD88" w:rsidR="005B1DFC" w:rsidRPr="004667A2" w:rsidRDefault="005B1DFC" w:rsidP="009549BF">
      <w:pPr>
        <w:pStyle w:val="ListParagraph"/>
        <w:numPr>
          <w:ilvl w:val="0"/>
          <w:numId w:val="2"/>
        </w:numPr>
        <w:spacing w:after="120" w:line="360" w:lineRule="auto"/>
        <w:ind w:left="0" w:firstLine="720"/>
        <w:jc w:val="both"/>
        <w:outlineLvl w:val="1"/>
        <w:rPr>
          <w:rFonts w:ascii="Times New Roman" w:hAnsi="Times New Roman" w:cs="Times New Roman"/>
          <w:b/>
          <w:bCs/>
          <w:lang w:val="vi-VN"/>
        </w:rPr>
      </w:pPr>
      <w:r w:rsidRPr="004667A2">
        <w:rPr>
          <w:rFonts w:ascii="Times New Roman" w:hAnsi="Times New Roman" w:cs="Times New Roman"/>
          <w:b/>
          <w:bCs/>
          <w:lang w:val="vi-VN"/>
        </w:rPr>
        <w:t>Introduction</w:t>
      </w:r>
    </w:p>
    <w:p w14:paraId="1B5265B4" w14:textId="4BA3B1E0" w:rsidR="009D773B" w:rsidRPr="004667A2" w:rsidRDefault="00DD743B" w:rsidP="009549BF">
      <w:pPr>
        <w:spacing w:after="120" w:line="360" w:lineRule="auto"/>
        <w:ind w:firstLine="720"/>
        <w:jc w:val="both"/>
        <w:outlineLvl w:val="1"/>
        <w:rPr>
          <w:rFonts w:ascii="Times New Roman" w:hAnsi="Times New Roman" w:cs="Times New Roman"/>
        </w:rPr>
      </w:pPr>
      <w:r w:rsidRPr="004667A2">
        <w:rPr>
          <w:rFonts w:ascii="Times New Roman" w:hAnsi="Times New Roman" w:cs="Times New Roman"/>
        </w:rPr>
        <w:t xml:space="preserve">English speaking competence </w:t>
      </w:r>
      <w:r w:rsidR="00BF6C27" w:rsidRPr="004667A2">
        <w:rPr>
          <w:rFonts w:ascii="Times New Roman" w:hAnsi="Times New Roman" w:cs="Times New Roman"/>
        </w:rPr>
        <w:t>is widely recognized</w:t>
      </w:r>
      <w:r w:rsidR="00C33E4F" w:rsidRPr="004667A2">
        <w:rPr>
          <w:rFonts w:ascii="Times New Roman" w:hAnsi="Times New Roman" w:cs="Times New Roman"/>
          <w:lang w:val="vi-VN"/>
        </w:rPr>
        <w:t xml:space="preserve"> </w:t>
      </w:r>
      <w:r w:rsidRPr="004667A2">
        <w:rPr>
          <w:rFonts w:ascii="Times New Roman" w:hAnsi="Times New Roman" w:cs="Times New Roman"/>
        </w:rPr>
        <w:t xml:space="preserve">as an essential learning outcome </w:t>
      </w:r>
      <w:r w:rsidR="000E1B88" w:rsidRPr="004667A2">
        <w:rPr>
          <w:rFonts w:ascii="Times New Roman" w:hAnsi="Times New Roman" w:cs="Times New Roman"/>
        </w:rPr>
        <w:t xml:space="preserve">(Richards, 2008; </w:t>
      </w:r>
      <w:proofErr w:type="spellStart"/>
      <w:r w:rsidR="000E1B88" w:rsidRPr="004667A2">
        <w:rPr>
          <w:rFonts w:ascii="Times New Roman" w:hAnsi="Times New Roman" w:cs="Times New Roman"/>
        </w:rPr>
        <w:t>Bygate</w:t>
      </w:r>
      <w:proofErr w:type="spellEnd"/>
      <w:r w:rsidR="000E1B88" w:rsidRPr="004667A2">
        <w:rPr>
          <w:rFonts w:ascii="Times New Roman" w:hAnsi="Times New Roman" w:cs="Times New Roman"/>
        </w:rPr>
        <w:t>, 1987)</w:t>
      </w:r>
      <w:r w:rsidR="000E1B88" w:rsidRPr="004667A2">
        <w:rPr>
          <w:rFonts w:ascii="Times New Roman" w:hAnsi="Times New Roman" w:cs="Times New Roman"/>
          <w:lang w:val="vi-VN"/>
        </w:rPr>
        <w:t xml:space="preserve"> </w:t>
      </w:r>
      <w:r w:rsidRPr="004667A2">
        <w:rPr>
          <w:rFonts w:ascii="Times New Roman" w:hAnsi="Times New Roman" w:cs="Times New Roman"/>
        </w:rPr>
        <w:t xml:space="preserve">in the context of tertiary English language learning and teaching, especially in the context of English </w:t>
      </w:r>
      <w:r w:rsidR="0048764B" w:rsidRPr="004667A2">
        <w:rPr>
          <w:rFonts w:ascii="Times New Roman" w:hAnsi="Times New Roman" w:cs="Times New Roman"/>
        </w:rPr>
        <w:t>as a</w:t>
      </w:r>
      <w:r w:rsidRPr="004667A2">
        <w:rPr>
          <w:rFonts w:ascii="Times New Roman" w:hAnsi="Times New Roman" w:cs="Times New Roman"/>
        </w:rPr>
        <w:t xml:space="preserve"> Foreign Language (EFL). </w:t>
      </w:r>
      <w:r w:rsidR="009A664F" w:rsidRPr="004667A2">
        <w:rPr>
          <w:rFonts w:ascii="Times New Roman" w:hAnsi="Times New Roman" w:cs="Times New Roman"/>
        </w:rPr>
        <w:t xml:space="preserve">Within the context of higher education, the relationship between the articulation of ideas in English and student learning outcomes, including academic participation, professional preparedness, and employability, </w:t>
      </w:r>
      <w:r w:rsidR="000F568A" w:rsidRPr="000F568A">
        <w:rPr>
          <w:rFonts w:ascii="Times New Roman" w:hAnsi="Times New Roman" w:cs="Times New Roman"/>
        </w:rPr>
        <w:t xml:space="preserve">has been widely discussed in previous literature </w:t>
      </w:r>
      <w:r w:rsidR="009A664F" w:rsidRPr="004667A2">
        <w:rPr>
          <w:rFonts w:ascii="Times New Roman" w:hAnsi="Times New Roman" w:cs="Times New Roman"/>
        </w:rPr>
        <w:t>(Richard</w:t>
      </w:r>
      <w:r w:rsidR="00FC6C80" w:rsidRPr="004667A2">
        <w:rPr>
          <w:rFonts w:ascii="Times New Roman" w:hAnsi="Times New Roman" w:cs="Times New Roman"/>
        </w:rPr>
        <w:t>s</w:t>
      </w:r>
      <w:r w:rsidR="00FC6C80" w:rsidRPr="004667A2">
        <w:rPr>
          <w:rFonts w:ascii="Times New Roman" w:hAnsi="Times New Roman" w:cs="Times New Roman"/>
          <w:lang w:val="vi-VN"/>
        </w:rPr>
        <w:t>,</w:t>
      </w:r>
      <w:r w:rsidR="009A664F" w:rsidRPr="004667A2">
        <w:rPr>
          <w:rFonts w:ascii="Times New Roman" w:hAnsi="Times New Roman" w:cs="Times New Roman"/>
        </w:rPr>
        <w:t xml:space="preserve"> 2008)</w:t>
      </w:r>
      <w:r w:rsidR="007E425F" w:rsidRPr="004667A2">
        <w:rPr>
          <w:rFonts w:ascii="Times New Roman" w:hAnsi="Times New Roman" w:cs="Times New Roman"/>
        </w:rPr>
        <w:t xml:space="preserve">. Accordingly, the role of English language learning and teaching in the context of higher education lies in the promotion and development of </w:t>
      </w:r>
      <w:r w:rsidR="00747FFA" w:rsidRPr="004667A2">
        <w:rPr>
          <w:rFonts w:ascii="Times New Roman" w:hAnsi="Times New Roman" w:cs="Times New Roman"/>
        </w:rPr>
        <w:t>English-speaking</w:t>
      </w:r>
      <w:r w:rsidR="007E425F" w:rsidRPr="004667A2">
        <w:rPr>
          <w:rFonts w:ascii="Times New Roman" w:hAnsi="Times New Roman" w:cs="Times New Roman"/>
        </w:rPr>
        <w:t xml:space="preserve"> skills, especially in the early </w:t>
      </w:r>
      <w:proofErr w:type="gramStart"/>
      <w:r w:rsidR="007E425F" w:rsidRPr="004667A2">
        <w:rPr>
          <w:rFonts w:ascii="Times New Roman" w:hAnsi="Times New Roman" w:cs="Times New Roman"/>
        </w:rPr>
        <w:t>stages</w:t>
      </w:r>
      <w:proofErr w:type="gramEnd"/>
      <w:r w:rsidR="007E425F" w:rsidRPr="004667A2">
        <w:rPr>
          <w:rFonts w:ascii="Times New Roman" w:hAnsi="Times New Roman" w:cs="Times New Roman"/>
        </w:rPr>
        <w:t xml:space="preserve"> students’ learning pathways.</w:t>
      </w:r>
    </w:p>
    <w:p w14:paraId="31E48FF4" w14:textId="25DC8EB9" w:rsidR="000A17D2" w:rsidRPr="004667A2" w:rsidRDefault="0095644A"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In EFL contexts such as Vietnam, opportunities for English speaking are largely confined to classroom settings, while real-life communicative use outside the classroom remains limited.</w:t>
      </w:r>
      <w:r w:rsidRPr="004667A2">
        <w:rPr>
          <w:rFonts w:ascii="Times New Roman" w:hAnsi="Times New Roman" w:cs="Times New Roman"/>
          <w:lang w:val="vi-VN"/>
        </w:rPr>
        <w:t xml:space="preserve"> </w:t>
      </w:r>
      <w:r w:rsidR="007B7A97" w:rsidRPr="007B7A97">
        <w:rPr>
          <w:rFonts w:ascii="Times New Roman" w:hAnsi="Times New Roman" w:cs="Times New Roman"/>
        </w:rPr>
        <w:t>Classroom-based English use, including teacher–student interaction, pair work, and group discussions, serves as the primary source of speaking practice for many EFL learners in contexts where opportunities for authentic communication remain limited (Richards, 2008; Littlewood, 2007).</w:t>
      </w:r>
      <w:r w:rsidR="007B7A97">
        <w:rPr>
          <w:rFonts w:ascii="Times New Roman" w:hAnsi="Times New Roman" w:cs="Times New Roman"/>
          <w:lang w:val="vi-VN"/>
        </w:rPr>
        <w:t xml:space="preserve"> </w:t>
      </w:r>
      <w:r w:rsidR="00F55EF5" w:rsidRPr="004667A2">
        <w:rPr>
          <w:rFonts w:ascii="Times New Roman" w:hAnsi="Times New Roman" w:cs="Times New Roman"/>
        </w:rPr>
        <w:t>These classroom practices are important for the teaching of English but are limited to controlled contexts and are not necessarily indicative of the willingness or ability of the students to use English outside the classroom.</w:t>
      </w:r>
    </w:p>
    <w:p w14:paraId="4CF8CFAE" w14:textId="208904E3" w:rsidR="00B57679" w:rsidRPr="004667A2" w:rsidRDefault="00384C68" w:rsidP="009549BF">
      <w:pPr>
        <w:spacing w:after="120" w:line="360" w:lineRule="auto"/>
        <w:ind w:firstLine="720"/>
        <w:jc w:val="both"/>
        <w:outlineLvl w:val="1"/>
        <w:rPr>
          <w:rFonts w:ascii="Times New Roman" w:hAnsi="Times New Roman" w:cs="Times New Roman"/>
        </w:rPr>
      </w:pPr>
      <w:r w:rsidRPr="004667A2">
        <w:rPr>
          <w:rFonts w:ascii="Times New Roman" w:hAnsi="Times New Roman" w:cs="Times New Roman"/>
          <w:lang w:val="vi-VN"/>
        </w:rPr>
        <w:t xml:space="preserve">Empirical studies suggest that </w:t>
      </w:r>
      <w:r w:rsidRPr="004667A2">
        <w:rPr>
          <w:rFonts w:ascii="Times New Roman" w:hAnsi="Times New Roman" w:cs="Times New Roman"/>
        </w:rPr>
        <w:t xml:space="preserve">EFL students show a high level of divergence between the use of English for classroom oral communication and the use of English outside the classroom (Littlewood, 2007). In addition to the classroom, the scope for the use of English is limited outside the classroom; therefore, the students are likely to use their first language </w:t>
      </w:r>
      <w:r w:rsidR="007873DE" w:rsidRPr="004667A2">
        <w:rPr>
          <w:rFonts w:ascii="Times New Roman" w:hAnsi="Times New Roman" w:cs="Times New Roman"/>
        </w:rPr>
        <w:t xml:space="preserve">for daily interactions. In this context, </w:t>
      </w:r>
      <w:r w:rsidR="00EF2303" w:rsidRPr="00EF2303">
        <w:rPr>
          <w:rFonts w:ascii="Times New Roman" w:hAnsi="Times New Roman" w:cs="Times New Roman"/>
        </w:rPr>
        <w:t>this raises an important question regarding the extent to which classroom speaking practices are transferred to real-life English use.</w:t>
      </w:r>
      <w:r w:rsidR="00EF2303">
        <w:rPr>
          <w:rFonts w:ascii="Times New Roman" w:hAnsi="Times New Roman" w:cs="Times New Roman"/>
          <w:lang w:val="vi-VN"/>
        </w:rPr>
        <w:t xml:space="preserve"> </w:t>
      </w:r>
      <w:r w:rsidR="00EC36C8" w:rsidRPr="004667A2">
        <w:rPr>
          <w:rFonts w:ascii="Times New Roman" w:hAnsi="Times New Roman" w:cs="Times New Roman"/>
        </w:rPr>
        <w:t>This issue is particularly evident among first-year students.</w:t>
      </w:r>
      <w:r w:rsidR="00EC36C8" w:rsidRPr="004667A2">
        <w:t xml:space="preserve"> </w:t>
      </w:r>
      <w:r w:rsidR="00A707A7" w:rsidRPr="004667A2">
        <w:rPr>
          <w:rFonts w:ascii="Times New Roman" w:hAnsi="Times New Roman" w:cs="Times New Roman"/>
        </w:rPr>
        <w:t>In their early stage of higher learning, many of these students will be enrolled in foundation-level English classes, where their proficiency level ranges from low</w:t>
      </w:r>
      <w:r w:rsidR="003B5470" w:rsidRPr="004667A2">
        <w:rPr>
          <w:rFonts w:ascii="Times New Roman" w:hAnsi="Times New Roman" w:cs="Times New Roman"/>
        </w:rPr>
        <w:t>-</w:t>
      </w:r>
      <w:r w:rsidR="00A707A7" w:rsidRPr="004667A2">
        <w:rPr>
          <w:rFonts w:ascii="Times New Roman" w:hAnsi="Times New Roman" w:cs="Times New Roman"/>
        </w:rPr>
        <w:t>intermediate</w:t>
      </w:r>
      <w:r w:rsidR="00197D43" w:rsidRPr="004667A2">
        <w:rPr>
          <w:rFonts w:ascii="Times New Roman" w:hAnsi="Times New Roman" w:cs="Times New Roman"/>
          <w:lang w:val="vi-VN"/>
        </w:rPr>
        <w:t xml:space="preserve"> </w:t>
      </w:r>
      <w:r w:rsidR="00A707A7" w:rsidRPr="004667A2">
        <w:rPr>
          <w:rFonts w:ascii="Times New Roman" w:hAnsi="Times New Roman" w:cs="Times New Roman"/>
        </w:rPr>
        <w:t xml:space="preserve">(A2-B1) </w:t>
      </w:r>
      <w:r w:rsidR="009430E4" w:rsidRPr="004667A2">
        <w:rPr>
          <w:rFonts w:ascii="Times New Roman" w:hAnsi="Times New Roman" w:cs="Times New Roman"/>
        </w:rPr>
        <w:t xml:space="preserve">and their communicative confidence is low. </w:t>
      </w:r>
      <w:r w:rsidR="000774A8" w:rsidRPr="004667A2">
        <w:rPr>
          <w:rFonts w:ascii="Times New Roman" w:hAnsi="Times New Roman" w:cs="Times New Roman"/>
        </w:rPr>
        <w:t xml:space="preserve">In this transitional period, their </w:t>
      </w:r>
      <w:r w:rsidR="00784CF2" w:rsidRPr="00784CF2">
        <w:rPr>
          <w:rFonts w:ascii="Times New Roman" w:hAnsi="Times New Roman" w:cs="Times New Roman"/>
        </w:rPr>
        <w:t>affective variables, such as anxiety, fear of making errors, and communicative confidence</w:t>
      </w:r>
      <w:r w:rsidR="00784CF2">
        <w:rPr>
          <w:rFonts w:ascii="Times New Roman" w:hAnsi="Times New Roman" w:cs="Times New Roman"/>
          <w:lang w:val="vi-VN"/>
        </w:rPr>
        <w:t xml:space="preserve"> </w:t>
      </w:r>
      <w:r w:rsidR="000774A8" w:rsidRPr="004667A2">
        <w:rPr>
          <w:rFonts w:ascii="Times New Roman" w:hAnsi="Times New Roman" w:cs="Times New Roman"/>
        </w:rPr>
        <w:t xml:space="preserve">may play a major role in </w:t>
      </w:r>
      <w:r w:rsidR="000774A8" w:rsidRPr="004667A2">
        <w:rPr>
          <w:rFonts w:ascii="Times New Roman" w:hAnsi="Times New Roman" w:cs="Times New Roman"/>
        </w:rPr>
        <w:lastRenderedPageBreak/>
        <w:t>impeding their willingness to communicate in English</w:t>
      </w:r>
      <w:r w:rsidR="00EE0BBE" w:rsidRPr="004667A2">
        <w:rPr>
          <w:rFonts w:ascii="Times New Roman" w:hAnsi="Times New Roman" w:cs="Times New Roman"/>
          <w:lang w:val="vi-VN"/>
        </w:rPr>
        <w:t xml:space="preserve">, </w:t>
      </w:r>
      <w:r w:rsidR="00EE0BBE" w:rsidRPr="004667A2">
        <w:rPr>
          <w:rFonts w:ascii="Times New Roman" w:hAnsi="Times New Roman" w:cs="Times New Roman"/>
        </w:rPr>
        <w:t>especially in real-world contexts</w:t>
      </w:r>
      <w:r w:rsidR="00B548B0" w:rsidRPr="004667A2">
        <w:rPr>
          <w:rFonts w:ascii="Times New Roman" w:hAnsi="Times New Roman" w:cs="Times New Roman"/>
          <w:lang w:val="vi-VN"/>
        </w:rPr>
        <w:t xml:space="preserve"> </w:t>
      </w:r>
      <w:r w:rsidR="00123CEB" w:rsidRPr="004667A2">
        <w:rPr>
          <w:rFonts w:ascii="Times New Roman" w:hAnsi="Times New Roman" w:cs="Times New Roman"/>
        </w:rPr>
        <w:t>(</w:t>
      </w:r>
      <w:proofErr w:type="spellStart"/>
      <w:r w:rsidR="00123CEB" w:rsidRPr="004667A2">
        <w:rPr>
          <w:rFonts w:ascii="Times New Roman" w:hAnsi="Times New Roman" w:cs="Times New Roman"/>
        </w:rPr>
        <w:t>MacIntyre</w:t>
      </w:r>
      <w:proofErr w:type="spellEnd"/>
      <w:r w:rsidR="00123CEB" w:rsidRPr="004667A2">
        <w:rPr>
          <w:rFonts w:ascii="Times New Roman" w:hAnsi="Times New Roman" w:cs="Times New Roman"/>
        </w:rPr>
        <w:t xml:space="preserve"> et al., 1998)</w:t>
      </w:r>
      <w:r w:rsidR="00123CEB" w:rsidRPr="004667A2">
        <w:rPr>
          <w:rFonts w:ascii="Times New Roman" w:hAnsi="Times New Roman" w:cs="Times New Roman"/>
          <w:lang w:val="vi-VN"/>
        </w:rPr>
        <w:t xml:space="preserve">. </w:t>
      </w:r>
      <w:r w:rsidR="005C7E1A" w:rsidRPr="004667A2">
        <w:rPr>
          <w:rFonts w:ascii="Times New Roman" w:hAnsi="Times New Roman" w:cs="Times New Roman"/>
        </w:rPr>
        <w:t>They may be highly involved in speaking tasks in class but simultaneously avoid using English outside of class.</w:t>
      </w:r>
    </w:p>
    <w:p w14:paraId="4066A6E8" w14:textId="77A4907E" w:rsidR="00E4036C" w:rsidRPr="004667A2" w:rsidRDefault="00E4036C"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 xml:space="preserve">While prior studies have examined the teaching of speaking in the classroom from the perspective of EFL settings, not many studies have attempted to examine the ways students </w:t>
      </w:r>
      <w:r w:rsidR="0036313D" w:rsidRPr="0036313D">
        <w:rPr>
          <w:rFonts w:ascii="Times New Roman" w:hAnsi="Times New Roman" w:cs="Times New Roman"/>
        </w:rPr>
        <w:t>use spoken English</w:t>
      </w:r>
      <w:r w:rsidRPr="004667A2">
        <w:rPr>
          <w:rFonts w:ascii="Times New Roman" w:hAnsi="Times New Roman" w:cs="Times New Roman"/>
        </w:rPr>
        <w:t xml:space="preserve"> in various learning contexts, particularly by comparing the use of speaking in the classroom and out of the classroom. </w:t>
      </w:r>
      <w:r w:rsidR="00D145BA" w:rsidRPr="004667A2">
        <w:rPr>
          <w:rFonts w:ascii="Times New Roman" w:hAnsi="Times New Roman" w:cs="Times New Roman"/>
        </w:rPr>
        <w:t xml:space="preserve">In addition, not many studies have attempted to consider the students’ own perspectives to account for the prevalence of English speaking in some contexts more than others. </w:t>
      </w:r>
      <w:r w:rsidR="00F36718" w:rsidRPr="004667A2">
        <w:rPr>
          <w:rFonts w:ascii="Times New Roman" w:hAnsi="Times New Roman" w:cs="Times New Roman"/>
        </w:rPr>
        <w:t>In fact, researchers have called for more attention to students’ use of language in real contexts to better evaluate the effectiveness of communicative language teaching (Benson, 2011).</w:t>
      </w:r>
    </w:p>
    <w:p w14:paraId="35BED830" w14:textId="33CAB020" w:rsidR="00D83B0A" w:rsidRPr="004667A2" w:rsidRDefault="00834DCE" w:rsidP="009549BF">
      <w:pPr>
        <w:spacing w:after="120" w:line="360" w:lineRule="auto"/>
        <w:ind w:firstLine="720"/>
        <w:jc w:val="both"/>
        <w:outlineLvl w:val="1"/>
        <w:rPr>
          <w:rFonts w:ascii="Times New Roman" w:hAnsi="Times New Roman" w:cs="Times New Roman"/>
          <w:lang w:val="vi-VN"/>
        </w:rPr>
      </w:pPr>
      <w:r w:rsidRPr="00834DCE">
        <w:rPr>
          <w:rFonts w:ascii="Times New Roman" w:hAnsi="Times New Roman" w:cs="Times New Roman"/>
          <w:lang w:val="vi-VN"/>
        </w:rPr>
        <w:t>While previous studies have extensively explored classroom-based speaking practices in EFL settings (e.g., Bygate, 2001; Nation &amp; Newton, 2009; Goh &amp; Burns, 2012), relatively limited attention has been paid to how instructional speaking practices connect with authentic English use beyond the classroom, particularly from students’ perspectives in Asian EFL contexts (Lamb &amp; Arisandy, 2020; Nguyen &amp; Habók, 2023). Specifically, there is a need to bridge the gap between instructed classroom-based speaking and the use of English outside the classroom from the point of view of students themselves, especially first-year Vietnamese university students.</w:t>
      </w:r>
      <w:r w:rsidR="00747FFA" w:rsidRPr="004667A2">
        <w:rPr>
          <w:rFonts w:ascii="Times New Roman" w:hAnsi="Times New Roman" w:cs="Times New Roman"/>
          <w:lang w:val="vi-VN"/>
        </w:rPr>
        <w:t xml:space="preserve"> </w:t>
      </w:r>
      <w:r w:rsidR="00CD27F1" w:rsidRPr="004667A2">
        <w:rPr>
          <w:rFonts w:ascii="Times New Roman" w:hAnsi="Times New Roman" w:cs="Times New Roman"/>
        </w:rPr>
        <w:t xml:space="preserve">To bridge this research gap, </w:t>
      </w:r>
      <w:r w:rsidR="00CC557B" w:rsidRPr="004667A2">
        <w:rPr>
          <w:rFonts w:ascii="Times New Roman" w:hAnsi="Times New Roman" w:cs="Times New Roman"/>
        </w:rPr>
        <w:t xml:space="preserve">the present study aims to explore the ways in which first-year university students employ English for speaking purposes in classroom settings as well as </w:t>
      </w:r>
      <w:r w:rsidR="002E0202" w:rsidRPr="002E0202">
        <w:rPr>
          <w:rFonts w:ascii="Times New Roman" w:hAnsi="Times New Roman" w:cs="Times New Roman"/>
        </w:rPr>
        <w:t>in-class and out-of-class situations</w:t>
      </w:r>
      <w:r w:rsidR="002E0202">
        <w:rPr>
          <w:rFonts w:ascii="Times New Roman" w:hAnsi="Times New Roman" w:cs="Times New Roman"/>
          <w:lang w:val="vi-VN"/>
        </w:rPr>
        <w:t xml:space="preserve">. </w:t>
      </w:r>
      <w:r w:rsidR="00D83B0A" w:rsidRPr="004667A2">
        <w:rPr>
          <w:rFonts w:ascii="Times New Roman" w:hAnsi="Times New Roman" w:cs="Times New Roman"/>
        </w:rPr>
        <w:t>The research aims to explore the ways in which English speaking takes place across different learning environments, as well as the factors that affect English-speaking in</w:t>
      </w:r>
      <w:r w:rsidR="003B5470" w:rsidRPr="004667A2">
        <w:rPr>
          <w:rFonts w:ascii="Times New Roman" w:hAnsi="Times New Roman" w:cs="Times New Roman"/>
        </w:rPr>
        <w:t xml:space="preserve"> and </w:t>
      </w:r>
      <w:proofErr w:type="spellStart"/>
      <w:r w:rsidR="00D83B0A" w:rsidRPr="004667A2">
        <w:rPr>
          <w:rFonts w:ascii="Times New Roman" w:hAnsi="Times New Roman" w:cs="Times New Roman"/>
        </w:rPr>
        <w:t>out-of</w:t>
      </w:r>
      <w:proofErr w:type="spellEnd"/>
      <w:r w:rsidR="00D83B0A" w:rsidRPr="004667A2">
        <w:rPr>
          <w:rFonts w:ascii="Times New Roman" w:hAnsi="Times New Roman" w:cs="Times New Roman"/>
        </w:rPr>
        <w:t xml:space="preserve"> class situations. In line with the research aims, </w:t>
      </w:r>
      <w:r w:rsidR="00570D85" w:rsidRPr="004667A2">
        <w:rPr>
          <w:rFonts w:ascii="Times New Roman" w:hAnsi="Times New Roman" w:cs="Times New Roman"/>
        </w:rPr>
        <w:t>this</w:t>
      </w:r>
      <w:r w:rsidR="00570D85" w:rsidRPr="004667A2">
        <w:rPr>
          <w:rFonts w:ascii="Times New Roman" w:hAnsi="Times New Roman" w:cs="Times New Roman"/>
          <w:lang w:val="vi-VN"/>
        </w:rPr>
        <w:t xml:space="preserve"> st</w:t>
      </w:r>
      <w:r w:rsidR="00570D85" w:rsidRPr="004667A2">
        <w:rPr>
          <w:rFonts w:ascii="Times New Roman" w:hAnsi="Times New Roman" w:cs="Times New Roman"/>
        </w:rPr>
        <w:t xml:space="preserve">udy </w:t>
      </w:r>
      <w:r w:rsidR="00D83B0A" w:rsidRPr="004667A2">
        <w:rPr>
          <w:rFonts w:ascii="Times New Roman" w:hAnsi="Times New Roman" w:cs="Times New Roman"/>
        </w:rPr>
        <w:t>employed an explanatory sequential mixed-methods research design to explore English-speaking in EFL university settings. In this regard, the research was guided by the following research questions:</w:t>
      </w:r>
    </w:p>
    <w:p w14:paraId="1AD6D6D0" w14:textId="61636AA1" w:rsidR="001E4A7F" w:rsidRPr="001E4A7F" w:rsidRDefault="001E4A7F" w:rsidP="009549BF">
      <w:pPr>
        <w:pStyle w:val="ListParagraph"/>
        <w:numPr>
          <w:ilvl w:val="0"/>
          <w:numId w:val="3"/>
        </w:numPr>
        <w:spacing w:after="120" w:line="360" w:lineRule="auto"/>
        <w:ind w:left="0" w:firstLine="720"/>
        <w:jc w:val="both"/>
        <w:outlineLvl w:val="1"/>
        <w:rPr>
          <w:rFonts w:ascii="Times New Roman" w:hAnsi="Times New Roman" w:cs="Times New Roman"/>
        </w:rPr>
      </w:pPr>
      <w:r w:rsidRPr="001E4A7F">
        <w:rPr>
          <w:rFonts w:ascii="Times New Roman" w:hAnsi="Times New Roman" w:cs="Times New Roman"/>
        </w:rPr>
        <w:t>How do first-year university students report using English for speaking purposes inside the classroom during a preparatory English program?</w:t>
      </w:r>
    </w:p>
    <w:p w14:paraId="2D096676" w14:textId="3DFE8E89" w:rsidR="001E4A7F" w:rsidRPr="001E4A7F" w:rsidRDefault="001E4A7F" w:rsidP="009549BF">
      <w:pPr>
        <w:pStyle w:val="ListParagraph"/>
        <w:numPr>
          <w:ilvl w:val="0"/>
          <w:numId w:val="2"/>
        </w:numPr>
        <w:spacing w:after="120" w:line="360" w:lineRule="auto"/>
        <w:ind w:left="0" w:firstLine="720"/>
        <w:jc w:val="both"/>
        <w:outlineLvl w:val="1"/>
        <w:rPr>
          <w:rFonts w:ascii="Times New Roman" w:hAnsi="Times New Roman" w:cs="Times New Roman"/>
          <w:b/>
          <w:bCs/>
          <w:lang w:val="vi-VN"/>
        </w:rPr>
      </w:pPr>
      <w:r w:rsidRPr="001E4A7F">
        <w:rPr>
          <w:rFonts w:ascii="Times New Roman" w:hAnsi="Times New Roman" w:cs="Times New Roman"/>
        </w:rPr>
        <w:t xml:space="preserve">How do first-year university students report </w:t>
      </w:r>
      <w:proofErr w:type="gramStart"/>
      <w:r w:rsidRPr="001E4A7F">
        <w:rPr>
          <w:rFonts w:ascii="Times New Roman" w:hAnsi="Times New Roman" w:cs="Times New Roman"/>
        </w:rPr>
        <w:t>using</w:t>
      </w:r>
      <w:proofErr w:type="gramEnd"/>
      <w:r w:rsidRPr="001E4A7F">
        <w:rPr>
          <w:rFonts w:ascii="Times New Roman" w:hAnsi="Times New Roman" w:cs="Times New Roman"/>
        </w:rPr>
        <w:t xml:space="preserve"> English outside the classroom in real-life communicative contexts?</w:t>
      </w:r>
    </w:p>
    <w:p w14:paraId="22CBF841" w14:textId="77777777" w:rsidR="0029250B" w:rsidRPr="0029250B" w:rsidRDefault="0029250B" w:rsidP="009549BF">
      <w:pPr>
        <w:pStyle w:val="ListParagraph"/>
        <w:numPr>
          <w:ilvl w:val="0"/>
          <w:numId w:val="2"/>
        </w:numPr>
        <w:spacing w:after="120" w:line="360" w:lineRule="auto"/>
        <w:ind w:left="0" w:firstLine="720"/>
        <w:jc w:val="both"/>
        <w:outlineLvl w:val="1"/>
        <w:rPr>
          <w:rFonts w:ascii="Times New Roman" w:hAnsi="Times New Roman" w:cs="Times New Roman"/>
          <w:b/>
          <w:bCs/>
          <w:lang w:val="vi-VN"/>
        </w:rPr>
      </w:pPr>
      <w:r w:rsidRPr="0029250B">
        <w:rPr>
          <w:rFonts w:ascii="Times New Roman" w:hAnsi="Times New Roman" w:cs="Times New Roman"/>
        </w:rPr>
        <w:lastRenderedPageBreak/>
        <w:t>What factors influence first-year university students’ reported use of English-speaking practices outside the classroom?</w:t>
      </w:r>
    </w:p>
    <w:p w14:paraId="763C3D9A" w14:textId="2DF86350" w:rsidR="00107DFA" w:rsidRPr="001E4A7F" w:rsidRDefault="00913B1C" w:rsidP="00885072">
      <w:pPr>
        <w:pStyle w:val="ListParagraph"/>
        <w:numPr>
          <w:ilvl w:val="0"/>
          <w:numId w:val="3"/>
        </w:numPr>
        <w:spacing w:after="120" w:line="360" w:lineRule="auto"/>
        <w:jc w:val="both"/>
        <w:outlineLvl w:val="1"/>
        <w:rPr>
          <w:rFonts w:ascii="Times New Roman" w:hAnsi="Times New Roman" w:cs="Times New Roman"/>
          <w:b/>
          <w:bCs/>
          <w:lang w:val="vi-VN"/>
        </w:rPr>
      </w:pPr>
      <w:r w:rsidRPr="001E4A7F">
        <w:rPr>
          <w:rFonts w:ascii="Times New Roman" w:hAnsi="Times New Roman" w:cs="Times New Roman"/>
          <w:b/>
          <w:bCs/>
          <w:lang w:val="vi-VN"/>
        </w:rPr>
        <w:t>Li</w:t>
      </w:r>
      <w:proofErr w:type="spellStart"/>
      <w:r w:rsidRPr="001E4A7F">
        <w:rPr>
          <w:rFonts w:ascii="Times New Roman" w:hAnsi="Times New Roman" w:cs="Times New Roman"/>
          <w:b/>
          <w:bCs/>
        </w:rPr>
        <w:t>terature</w:t>
      </w:r>
      <w:proofErr w:type="spellEnd"/>
      <w:r w:rsidRPr="001E4A7F">
        <w:rPr>
          <w:rFonts w:ascii="Times New Roman" w:hAnsi="Times New Roman" w:cs="Times New Roman"/>
          <w:b/>
          <w:bCs/>
        </w:rPr>
        <w:t xml:space="preserve"> review</w:t>
      </w:r>
    </w:p>
    <w:p w14:paraId="1323D50C" w14:textId="77777777" w:rsidR="00913B1C" w:rsidRPr="004667A2" w:rsidRDefault="00913B1C" w:rsidP="009549BF">
      <w:pPr>
        <w:pStyle w:val="ListParagraph"/>
        <w:spacing w:after="120" w:line="360" w:lineRule="auto"/>
        <w:ind w:left="0" w:firstLine="720"/>
        <w:jc w:val="both"/>
        <w:outlineLvl w:val="1"/>
        <w:rPr>
          <w:rFonts w:ascii="Times New Roman" w:hAnsi="Times New Roman" w:cs="Times New Roman"/>
          <w:b/>
          <w:bCs/>
          <w:lang w:val="vi-VN"/>
        </w:rPr>
      </w:pPr>
      <w:r w:rsidRPr="004667A2">
        <w:rPr>
          <w:rFonts w:ascii="Times New Roman" w:hAnsi="Times New Roman" w:cs="Times New Roman"/>
          <w:b/>
          <w:bCs/>
          <w:lang w:val="vi-VN"/>
        </w:rPr>
        <w:t>2.1 English Speaking in EFL University Contexts</w:t>
      </w:r>
    </w:p>
    <w:p w14:paraId="77BBEDE7" w14:textId="6EDF63CD" w:rsidR="00913B1C" w:rsidRPr="004667A2" w:rsidRDefault="00913B1C" w:rsidP="009549BF">
      <w:pPr>
        <w:pStyle w:val="ListParagraph"/>
        <w:spacing w:after="120" w:line="360" w:lineRule="auto"/>
        <w:ind w:left="0" w:firstLine="720"/>
        <w:jc w:val="both"/>
        <w:outlineLvl w:val="1"/>
        <w:rPr>
          <w:rFonts w:ascii="Times New Roman" w:hAnsi="Times New Roman" w:cs="Times New Roman"/>
        </w:rPr>
      </w:pPr>
      <w:r w:rsidRPr="004667A2">
        <w:rPr>
          <w:rFonts w:ascii="Times New Roman" w:hAnsi="Times New Roman" w:cs="Times New Roman"/>
          <w:lang w:val="vi-VN"/>
        </w:rPr>
        <w:t xml:space="preserve">English speaking is considered one of the key aspects of communicative competence in the teaching of second or foreign languages (Canale &amp; Swain, 1980; Richards, 2008). In the context of higher education, the importance of speaking is that it allows the learner to take part actively in the interaction in the classroom, in academic discussions, etc. </w:t>
      </w:r>
      <w:r w:rsidR="00D814F7" w:rsidRPr="004667A2">
        <w:rPr>
          <w:rFonts w:ascii="Times New Roman" w:hAnsi="Times New Roman" w:cs="Times New Roman"/>
          <w:lang w:val="vi-VN"/>
        </w:rPr>
        <w:t>Speaking competence in EFL contexts involves not only linguistic accuracy but also the ability to communicate fluently and appropriately in meaningful contexts (Bygate, 1987; Richards, 2008).</w:t>
      </w:r>
    </w:p>
    <w:p w14:paraId="3431C0E8" w14:textId="59891EE5" w:rsidR="00AA282D" w:rsidRDefault="00AA282D" w:rsidP="009549BF">
      <w:pPr>
        <w:spacing w:after="120" w:line="360" w:lineRule="auto"/>
        <w:ind w:firstLine="720"/>
        <w:jc w:val="both"/>
        <w:rPr>
          <w:rFonts w:ascii="Times New Roman" w:hAnsi="Times New Roman" w:cs="Times New Roman"/>
          <w:lang w:val="vi-VN"/>
        </w:rPr>
      </w:pPr>
      <w:r w:rsidRPr="00AA282D">
        <w:rPr>
          <w:rFonts w:ascii="Times New Roman" w:hAnsi="Times New Roman" w:cs="Times New Roman"/>
        </w:rPr>
        <w:t>In many Asian EFL contexts, including Vietnam, classroom interaction remains the primary source of English-speaking practice because opportunities for authentic communication outside the classroom are limited (Littlewood, 2007). As a result, university preparatory English programs often place considerable emphasis on classroom-based speaking activities designed to develop students’ basic communicative competence (Hyland, 2006; Richards, 2008). Understanding how students engage in English-speaking practices within and beyond these instructional settings is therefore important for evaluating the effectiveness of EFL speaking instruction.</w:t>
      </w:r>
    </w:p>
    <w:p w14:paraId="51922A62" w14:textId="7C53C176" w:rsidR="00A9508E" w:rsidRPr="004667A2" w:rsidRDefault="00A9508E" w:rsidP="009549BF">
      <w:pPr>
        <w:spacing w:after="120" w:line="360" w:lineRule="auto"/>
        <w:ind w:firstLine="720"/>
        <w:jc w:val="both"/>
        <w:rPr>
          <w:rFonts w:ascii="Times New Roman" w:hAnsi="Times New Roman" w:cs="Times New Roman"/>
          <w:b/>
          <w:bCs/>
          <w:lang w:val="vi-VN"/>
        </w:rPr>
      </w:pPr>
      <w:r w:rsidRPr="004667A2">
        <w:rPr>
          <w:rFonts w:ascii="Times New Roman" w:hAnsi="Times New Roman" w:cs="Times New Roman"/>
          <w:b/>
          <w:bCs/>
        </w:rPr>
        <w:t>2.2 Classroom and Out-of-Class English Speaking</w:t>
      </w:r>
    </w:p>
    <w:p w14:paraId="07C476C4" w14:textId="288219CC" w:rsidR="00253EE2" w:rsidRPr="004667A2" w:rsidRDefault="00253EE2" w:rsidP="009549BF">
      <w:pPr>
        <w:spacing w:after="120" w:line="360" w:lineRule="auto"/>
        <w:ind w:firstLine="720"/>
        <w:jc w:val="both"/>
        <w:rPr>
          <w:rFonts w:ascii="Times New Roman" w:hAnsi="Times New Roman" w:cs="Times New Roman"/>
          <w:lang w:val="vi-VN"/>
        </w:rPr>
      </w:pPr>
      <w:r w:rsidRPr="004667A2">
        <w:rPr>
          <w:rFonts w:ascii="Times New Roman" w:hAnsi="Times New Roman" w:cs="Times New Roman"/>
        </w:rPr>
        <w:t xml:space="preserve">In EFL contexts, classroom interaction functions as the primary environment for English-speaking practice because opportunities for authentic communication outside the classroom remain limited (Littlewood, 2007; Benson, 2011). </w:t>
      </w:r>
      <w:r w:rsidR="00DC0549" w:rsidRPr="00DC0549">
        <w:rPr>
          <w:rFonts w:ascii="Times New Roman" w:hAnsi="Times New Roman" w:cs="Times New Roman"/>
        </w:rPr>
        <w:t>Classroom speaking activities, including teacher–student interaction, pair work, group discussions, and task-based interaction, provide important opportunities for learners to practice and develop spoken English skills (Richards, 2008).</w:t>
      </w:r>
      <w:r w:rsidR="00DC0549">
        <w:rPr>
          <w:rFonts w:ascii="Times New Roman" w:hAnsi="Times New Roman" w:cs="Times New Roman"/>
          <w:lang w:val="vi-VN"/>
        </w:rPr>
        <w:t xml:space="preserve"> </w:t>
      </w:r>
      <w:r w:rsidRPr="004667A2">
        <w:rPr>
          <w:rFonts w:ascii="Times New Roman" w:hAnsi="Times New Roman" w:cs="Times New Roman"/>
        </w:rPr>
        <w:t xml:space="preserve">However, such interaction is often pedagogically structured and highly task-oriented, with learners responding to teacher prompts rather than engaging in spontaneous communication (Ellis, 2003; Littlewood, 2007). Although these classroom activities may support the development of linguistic competence, they do not necessarily facilitate the transfer of English-speaking practices to real-life communication. </w:t>
      </w:r>
      <w:r w:rsidR="00B52813" w:rsidRPr="00B52813">
        <w:rPr>
          <w:rFonts w:ascii="Times New Roman" w:hAnsi="Times New Roman" w:cs="Times New Roman"/>
        </w:rPr>
        <w:t xml:space="preserve">This suggests that classroom participation alone may not automatically lead to authentic communicative engagement in EFL contexts due to differing communicative </w:t>
      </w:r>
      <w:r w:rsidR="00B52813" w:rsidRPr="00B52813">
        <w:rPr>
          <w:rFonts w:ascii="Times New Roman" w:hAnsi="Times New Roman" w:cs="Times New Roman"/>
        </w:rPr>
        <w:lastRenderedPageBreak/>
        <w:t>purposes and environmental constraints.</w:t>
      </w:r>
      <w:r w:rsidR="00B52813">
        <w:rPr>
          <w:rFonts w:ascii="Times New Roman" w:hAnsi="Times New Roman" w:cs="Times New Roman"/>
          <w:lang w:val="vi-VN"/>
        </w:rPr>
        <w:t xml:space="preserve"> </w:t>
      </w:r>
      <w:r w:rsidRPr="004667A2">
        <w:rPr>
          <w:rFonts w:ascii="Times New Roman" w:hAnsi="Times New Roman" w:cs="Times New Roman"/>
        </w:rPr>
        <w:t>Previous studies have suggested that learners who actively participate in classroom-speaking activities may still avoid using English outside the classroom (Littlewood, 2007).</w:t>
      </w:r>
    </w:p>
    <w:p w14:paraId="6B5B505F" w14:textId="6CFD1A77" w:rsidR="005D381D" w:rsidRPr="00F82BFE" w:rsidRDefault="00253EE2" w:rsidP="009549BF">
      <w:pPr>
        <w:spacing w:after="120" w:line="360" w:lineRule="auto"/>
        <w:ind w:firstLine="720"/>
        <w:jc w:val="both"/>
        <w:rPr>
          <w:rFonts w:ascii="Times New Roman" w:hAnsi="Times New Roman" w:cs="Times New Roman"/>
          <w:lang w:val="vi-VN"/>
        </w:rPr>
      </w:pPr>
      <w:r w:rsidRPr="004667A2">
        <w:rPr>
          <w:rFonts w:ascii="Times New Roman" w:hAnsi="Times New Roman" w:cs="Times New Roman"/>
        </w:rPr>
        <w:t>In contrast, out-of-class English speaking typically occurs in less formalized contexts, such as communication with friends, service encounters, or online interaction (Benson, 2011</w:t>
      </w:r>
      <w:r w:rsidR="00DC0549">
        <w:rPr>
          <w:rFonts w:ascii="Times New Roman" w:hAnsi="Times New Roman" w:cs="Times New Roman"/>
          <w:lang w:val="vi-VN"/>
        </w:rPr>
        <w:t xml:space="preserve">). </w:t>
      </w:r>
      <w:r w:rsidR="005D2674" w:rsidRPr="005D2674">
        <w:rPr>
          <w:rFonts w:ascii="Times New Roman" w:hAnsi="Times New Roman" w:cs="Times New Roman"/>
          <w:lang w:val="vi-VN"/>
        </w:rPr>
        <w:t xml:space="preserve">Recent studies have also explored learners’ willingness to communicate beyond the classroom through both human-human and technology-mediated interaction. For example, research has shown that interaction with intelligent personal assistants may increase learners’ willingness to communicate outside formal classroom settings by reducing communication anxiety and providing accessible opportunities for English use </w:t>
      </w:r>
      <w:r w:rsidR="00AE14F2" w:rsidRPr="00AE14F2">
        <w:rPr>
          <w:rFonts w:ascii="Times New Roman" w:hAnsi="Times New Roman" w:cs="Times New Roman"/>
        </w:rPr>
        <w:t>(Tai, 2024)</w:t>
      </w:r>
      <w:r w:rsidR="00AE14F2" w:rsidRPr="00AE14F2">
        <w:rPr>
          <w:rFonts w:ascii="Times New Roman" w:hAnsi="Times New Roman" w:cs="Times New Roman"/>
          <w:lang w:val="vi-VN"/>
        </w:rPr>
        <w:t xml:space="preserve">. </w:t>
      </w:r>
      <w:r w:rsidRPr="00AE14F2">
        <w:rPr>
          <w:rFonts w:ascii="Times New Roman" w:hAnsi="Times New Roman" w:cs="Times New Roman"/>
        </w:rPr>
        <w:t>In</w:t>
      </w:r>
      <w:r w:rsidRPr="004667A2">
        <w:rPr>
          <w:rFonts w:ascii="Times New Roman" w:hAnsi="Times New Roman" w:cs="Times New Roman"/>
        </w:rPr>
        <w:t xml:space="preserve"> many EFL settings, however, such opportunities remain relatively scarce. Benson (2011) argues that learners’ out-of-class English use depends largely on both the availability of communicative opportunities and learners’ willingness to seek them. As a result, English-speaking practices outside the classroom tend to occur far less frequently than classroom-based speaking activities. Taken together, the literature suggests </w:t>
      </w:r>
      <w:r w:rsidR="005D381D" w:rsidRPr="005D381D">
        <w:rPr>
          <w:rFonts w:ascii="Times New Roman" w:hAnsi="Times New Roman" w:cs="Times New Roman"/>
        </w:rPr>
        <w:t>a substantial discrepancy between classroom participation and authentic English use</w:t>
      </w:r>
      <w:r w:rsidR="00F82BFE">
        <w:rPr>
          <w:rFonts w:ascii="Times New Roman" w:hAnsi="Times New Roman" w:cs="Times New Roman"/>
          <w:lang w:val="vi-VN"/>
        </w:rPr>
        <w:t>.</w:t>
      </w:r>
    </w:p>
    <w:p w14:paraId="6ACF2E99" w14:textId="2EEBBCA7" w:rsidR="00F82BFE" w:rsidRPr="00F82BFE" w:rsidRDefault="00312B9D" w:rsidP="009549BF">
      <w:pPr>
        <w:spacing w:after="120" w:line="360" w:lineRule="auto"/>
        <w:ind w:firstLine="720"/>
        <w:jc w:val="both"/>
        <w:rPr>
          <w:rFonts w:ascii="Times New Roman" w:hAnsi="Times New Roman" w:cs="Times New Roman"/>
          <w:b/>
          <w:bCs/>
          <w:lang w:val="vi-VN"/>
        </w:rPr>
      </w:pPr>
      <w:r w:rsidRPr="004667A2">
        <w:rPr>
          <w:rFonts w:ascii="Times New Roman" w:hAnsi="Times New Roman" w:cs="Times New Roman"/>
          <w:b/>
          <w:bCs/>
        </w:rPr>
        <w:t xml:space="preserve">2.3 Factors Influencing </w:t>
      </w:r>
      <w:r w:rsidR="007869C2" w:rsidRPr="007869C2">
        <w:rPr>
          <w:rFonts w:ascii="Times New Roman" w:hAnsi="Times New Roman" w:cs="Times New Roman"/>
          <w:b/>
          <w:bCs/>
        </w:rPr>
        <w:t>English-speaking practices</w:t>
      </w:r>
      <w:r w:rsidR="007869C2">
        <w:rPr>
          <w:rFonts w:ascii="Times New Roman" w:hAnsi="Times New Roman" w:cs="Times New Roman"/>
          <w:b/>
          <w:bCs/>
          <w:lang w:val="vi-VN"/>
        </w:rPr>
        <w:t xml:space="preserve"> </w:t>
      </w:r>
      <w:r w:rsidRPr="004667A2">
        <w:rPr>
          <w:rFonts w:ascii="Times New Roman" w:hAnsi="Times New Roman" w:cs="Times New Roman"/>
          <w:b/>
          <w:bCs/>
        </w:rPr>
        <w:t xml:space="preserve">beyond the </w:t>
      </w:r>
      <w:r w:rsidR="00F82BFE">
        <w:rPr>
          <w:rFonts w:ascii="Times New Roman" w:hAnsi="Times New Roman" w:cs="Times New Roman"/>
          <w:b/>
          <w:bCs/>
        </w:rPr>
        <w:t>classroom</w:t>
      </w:r>
    </w:p>
    <w:p w14:paraId="0D49FF2E" w14:textId="6F3299A8" w:rsidR="00312B9D" w:rsidRPr="00834DCE" w:rsidRDefault="00312B9D" w:rsidP="00834DCE">
      <w:pPr>
        <w:spacing w:line="360" w:lineRule="auto"/>
        <w:jc w:val="both"/>
        <w:rPr>
          <w:rFonts w:ascii="Times New Roman" w:hAnsi="Times New Roman" w:cs="Times New Roman"/>
        </w:rPr>
      </w:pPr>
      <w:r w:rsidRPr="004667A2">
        <w:rPr>
          <w:rFonts w:ascii="Times New Roman" w:hAnsi="Times New Roman" w:cs="Times New Roman"/>
        </w:rPr>
        <w:t>Recent studies have pointed to a variety of factors that play a significant role in influencing learners' willingness and ability to use English for speaking outside the classroom (</w:t>
      </w:r>
      <w:proofErr w:type="spellStart"/>
      <w:r w:rsidRPr="004667A2">
        <w:rPr>
          <w:rFonts w:ascii="Times New Roman" w:hAnsi="Times New Roman" w:cs="Times New Roman"/>
        </w:rPr>
        <w:t>MacIntyre</w:t>
      </w:r>
      <w:proofErr w:type="spellEnd"/>
      <w:r w:rsidRPr="004667A2">
        <w:rPr>
          <w:rFonts w:ascii="Times New Roman" w:hAnsi="Times New Roman" w:cs="Times New Roman"/>
        </w:rPr>
        <w:t xml:space="preserve"> et al., 1998; Benson, 2011). Among these factors, affective factors have been extensively studied. </w:t>
      </w:r>
      <w:r w:rsidR="00710251" w:rsidRPr="004667A2">
        <w:rPr>
          <w:rFonts w:ascii="Times New Roman" w:hAnsi="Times New Roman" w:cs="Times New Roman"/>
        </w:rPr>
        <w:t>Collectively, previous studies suggest that affective factors such as anxiety, fear of negative evaluation, and low confidence substantially constrain learners’ willingness to communicate in EFL contexts</w:t>
      </w:r>
      <w:r w:rsidRPr="004667A2">
        <w:rPr>
          <w:rFonts w:ascii="Times New Roman" w:hAnsi="Times New Roman" w:cs="Times New Roman"/>
        </w:rPr>
        <w:t xml:space="preserve"> (Horwitz, 1986). </w:t>
      </w:r>
      <w:r w:rsidR="001C5118" w:rsidRPr="001C5118">
        <w:rPr>
          <w:rFonts w:ascii="Times New Roman" w:hAnsi="Times New Roman" w:cs="Times New Roman"/>
        </w:rPr>
        <w:t>Recent studies have also shown that positive affective variables, such as foreign language enjoyment and teacher support, significantly influence learners’ willingness to communicate in EFL contexts (Yang et al., 2024).</w:t>
      </w:r>
      <w:r w:rsidR="001C5118">
        <w:rPr>
          <w:rFonts w:ascii="Times New Roman" w:hAnsi="Times New Roman" w:cs="Times New Roman"/>
          <w:lang w:val="vi-VN"/>
        </w:rPr>
        <w:t xml:space="preserve"> </w:t>
      </w:r>
      <w:r w:rsidRPr="004667A2">
        <w:rPr>
          <w:rFonts w:ascii="Times New Roman" w:hAnsi="Times New Roman" w:cs="Times New Roman"/>
        </w:rPr>
        <w:t xml:space="preserve">These affective constraints might be compounded in out-of-class situations where learners are more vulnerable to negative social evaluation (Horwitz, 1986; </w:t>
      </w:r>
      <w:proofErr w:type="spellStart"/>
      <w:r w:rsidRPr="004667A2">
        <w:rPr>
          <w:rFonts w:ascii="Times New Roman" w:hAnsi="Times New Roman" w:cs="Times New Roman"/>
        </w:rPr>
        <w:t>MacIntyre</w:t>
      </w:r>
      <w:proofErr w:type="spellEnd"/>
      <w:r w:rsidRPr="004667A2">
        <w:rPr>
          <w:rFonts w:ascii="Times New Roman" w:hAnsi="Times New Roman" w:cs="Times New Roman"/>
        </w:rPr>
        <w:t xml:space="preserve"> et al., 1998).</w:t>
      </w:r>
    </w:p>
    <w:p w14:paraId="2F1C14DE" w14:textId="63239860" w:rsidR="00C506D9" w:rsidRPr="004667A2" w:rsidRDefault="004C6664" w:rsidP="009549BF">
      <w:pPr>
        <w:pStyle w:val="ListParagraph"/>
        <w:spacing w:after="120" w:line="360" w:lineRule="auto"/>
        <w:ind w:left="0" w:firstLine="720"/>
        <w:jc w:val="both"/>
        <w:outlineLvl w:val="1"/>
        <w:rPr>
          <w:rFonts w:ascii="Times New Roman" w:hAnsi="Times New Roman" w:cs="Times New Roman"/>
        </w:rPr>
      </w:pPr>
      <w:r w:rsidRPr="004667A2">
        <w:rPr>
          <w:rFonts w:ascii="Times New Roman" w:hAnsi="Times New Roman" w:cs="Times New Roman"/>
        </w:rPr>
        <w:t>The Willingness to Communicate (WTC) framework provides an important perspective for understanding why EFL learners may avoid speaking English outside the classroom despite possessing sufficient linguistic knowledge (</w:t>
      </w:r>
      <w:proofErr w:type="spellStart"/>
      <w:r w:rsidRPr="004667A2">
        <w:rPr>
          <w:rFonts w:ascii="Times New Roman" w:hAnsi="Times New Roman" w:cs="Times New Roman"/>
        </w:rPr>
        <w:t>MacIntyre</w:t>
      </w:r>
      <w:proofErr w:type="spellEnd"/>
      <w:r w:rsidRPr="004667A2">
        <w:rPr>
          <w:rFonts w:ascii="Times New Roman" w:hAnsi="Times New Roman" w:cs="Times New Roman"/>
        </w:rPr>
        <w:t xml:space="preserve"> et al., 1998).</w:t>
      </w:r>
      <w:r w:rsidR="00710251" w:rsidRPr="004667A2">
        <w:rPr>
          <w:rFonts w:ascii="Times New Roman" w:hAnsi="Times New Roman" w:cs="Times New Roman"/>
          <w:lang w:val="vi-VN"/>
        </w:rPr>
        <w:t xml:space="preserve"> </w:t>
      </w:r>
      <w:r w:rsidR="00C506D9" w:rsidRPr="004667A2">
        <w:rPr>
          <w:rFonts w:ascii="Times New Roman" w:hAnsi="Times New Roman" w:cs="Times New Roman"/>
        </w:rPr>
        <w:t xml:space="preserve"> For EFL learners, low levels of willingness to communicate result in the reluctance to engage in English speaking, despite the </w:t>
      </w:r>
      <w:r w:rsidR="00C506D9" w:rsidRPr="004667A2">
        <w:rPr>
          <w:rFonts w:ascii="Times New Roman" w:hAnsi="Times New Roman" w:cs="Times New Roman"/>
        </w:rPr>
        <w:lastRenderedPageBreak/>
        <w:t>presence of linguistic competence in the target language (</w:t>
      </w:r>
      <w:proofErr w:type="spellStart"/>
      <w:r w:rsidR="00C506D9" w:rsidRPr="004667A2">
        <w:rPr>
          <w:rFonts w:ascii="Times New Roman" w:hAnsi="Times New Roman" w:cs="Times New Roman"/>
        </w:rPr>
        <w:t>MacIntyre</w:t>
      </w:r>
      <w:proofErr w:type="spellEnd"/>
      <w:r w:rsidR="00C506D9" w:rsidRPr="004667A2">
        <w:rPr>
          <w:rFonts w:ascii="Times New Roman" w:hAnsi="Times New Roman" w:cs="Times New Roman"/>
        </w:rPr>
        <w:t xml:space="preserve"> et al., 1998). </w:t>
      </w:r>
      <w:r w:rsidR="00DC0549" w:rsidRPr="00DC0549">
        <w:rPr>
          <w:rFonts w:ascii="Times New Roman" w:hAnsi="Times New Roman" w:cs="Times New Roman"/>
        </w:rPr>
        <w:t xml:space="preserve">Similar findings have also been reported in Asian EFL contexts, where </w:t>
      </w:r>
      <w:r w:rsidR="00CD1809" w:rsidRPr="00CD1809">
        <w:rPr>
          <w:rFonts w:ascii="Times New Roman" w:hAnsi="Times New Roman" w:cs="Times New Roman"/>
        </w:rPr>
        <w:t>learners’ communicative confidence and readiness to engage in English interaction</w:t>
      </w:r>
      <w:r w:rsidR="00CD1809">
        <w:rPr>
          <w:rFonts w:ascii="Times New Roman" w:hAnsi="Times New Roman" w:cs="Times New Roman"/>
          <w:lang w:val="vi-VN"/>
        </w:rPr>
        <w:t xml:space="preserve"> </w:t>
      </w:r>
      <w:r w:rsidR="00DC0549" w:rsidRPr="00DC0549">
        <w:rPr>
          <w:rFonts w:ascii="Times New Roman" w:hAnsi="Times New Roman" w:cs="Times New Roman"/>
        </w:rPr>
        <w:t>is closely associated with confidence and perceived communicative competence (Yashima, 2002).</w:t>
      </w:r>
      <w:r w:rsidR="00DC0549">
        <w:rPr>
          <w:rFonts w:ascii="Times New Roman" w:hAnsi="Times New Roman" w:cs="Times New Roman"/>
          <w:lang w:val="vi-VN"/>
        </w:rPr>
        <w:t xml:space="preserve"> </w:t>
      </w:r>
      <w:r w:rsidR="00FC0843" w:rsidRPr="00FC0843">
        <w:rPr>
          <w:rFonts w:ascii="Times New Roman" w:hAnsi="Times New Roman" w:cs="Times New Roman"/>
          <w:lang w:val="vi-VN"/>
        </w:rPr>
        <w:t>In the Vietnamese EFL context, Nguyen and Vu (2024) similarly reported that learners’ willingness to communicate was negatively influenced by affective barriers such as communication anxiety, fear of negative evaluation, and low self-confidence.</w:t>
      </w:r>
      <w:r w:rsidR="00FC0843">
        <w:rPr>
          <w:rFonts w:ascii="Times New Roman" w:hAnsi="Times New Roman" w:cs="Times New Roman"/>
          <w:lang w:val="vi-VN"/>
        </w:rPr>
        <w:t xml:space="preserve"> </w:t>
      </w:r>
      <w:r w:rsidR="00C506D9" w:rsidRPr="004667A2">
        <w:rPr>
          <w:rFonts w:ascii="Times New Roman" w:hAnsi="Times New Roman" w:cs="Times New Roman"/>
        </w:rPr>
        <w:t>Besides the role played by affective variables, the impact of contextual or environmental factors cannot be overlooked. For instance, the scarcity of English-speaking interactional partners, the preference to speak the first language, and the absence of communicative need all contribute to the reluctance to engage in real-life interaction in the target language (Littlewood, 2007; Benson, 2011). These factors, in aggregate, result in the reluctance to engage in English speaking outside the classroom (Littlewood, 2007; Benson, 2011).</w:t>
      </w:r>
    </w:p>
    <w:p w14:paraId="2D9FB37D" w14:textId="77777777" w:rsidR="00C506D9" w:rsidRPr="004667A2" w:rsidRDefault="00C506D9" w:rsidP="009549BF">
      <w:pPr>
        <w:pStyle w:val="ListParagraph"/>
        <w:spacing w:after="120" w:line="360" w:lineRule="auto"/>
        <w:ind w:left="0" w:firstLine="720"/>
        <w:jc w:val="both"/>
        <w:outlineLvl w:val="1"/>
        <w:rPr>
          <w:rFonts w:ascii="Times New Roman" w:hAnsi="Times New Roman" w:cs="Times New Roman"/>
        </w:rPr>
      </w:pPr>
      <w:r w:rsidRPr="004667A2">
        <w:rPr>
          <w:rFonts w:ascii="Times New Roman" w:hAnsi="Times New Roman" w:cs="Times New Roman"/>
        </w:rPr>
        <w:t>According to the reviewed literature, the importance of speaking in EFL university education is emphasized, and the classroom is identified as the main setting in which English-speaking practice occurs. The reviewed research has also identified various affective and contextual factors affecting learners' English-speaking practice outside the classroom. However, there are still gaps in the research in this area.</w:t>
      </w:r>
    </w:p>
    <w:p w14:paraId="5D2E3FEF" w14:textId="0BCCBCB1" w:rsidR="00C506D9" w:rsidRPr="004667A2" w:rsidRDefault="0095644A" w:rsidP="009549BF">
      <w:pPr>
        <w:pStyle w:val="ListParagraph"/>
        <w:spacing w:after="120" w:line="360" w:lineRule="auto"/>
        <w:ind w:left="0" w:firstLine="720"/>
        <w:jc w:val="both"/>
        <w:outlineLvl w:val="1"/>
        <w:rPr>
          <w:rFonts w:ascii="Times New Roman" w:hAnsi="Times New Roman" w:cs="Times New Roman"/>
          <w:lang w:val="vi-VN"/>
        </w:rPr>
      </w:pPr>
      <w:r w:rsidRPr="004667A2">
        <w:rPr>
          <w:rFonts w:ascii="Times New Roman" w:hAnsi="Times New Roman" w:cs="Times New Roman"/>
        </w:rPr>
        <w:t>Firstly, despite extensive research on classroom-based speaking instruction in EFL contexts (Richards, 2008; Littlewood, 2007), relatively limited attention has been paid to the discrepancy between classroom participation and real-life English-speaking practices, particularly among first-year university students in Vietnam. Secondly, relatively limited research has focused specifically on first-year university learners enrolled in preparatory English programs, whose communicative confidence and speaking practices may differ from those of more advanced learners due to affective factors such as anxiety and willingness to communicate (</w:t>
      </w:r>
      <w:proofErr w:type="spellStart"/>
      <w:r w:rsidRPr="004667A2">
        <w:rPr>
          <w:rFonts w:ascii="Times New Roman" w:hAnsi="Times New Roman" w:cs="Times New Roman"/>
        </w:rPr>
        <w:t>MacIntyre</w:t>
      </w:r>
      <w:proofErr w:type="spellEnd"/>
      <w:r w:rsidRPr="004667A2">
        <w:rPr>
          <w:rFonts w:ascii="Times New Roman" w:hAnsi="Times New Roman" w:cs="Times New Roman"/>
        </w:rPr>
        <w:t xml:space="preserve"> et al., 1998</w:t>
      </w:r>
      <w:r w:rsidR="001C5118">
        <w:rPr>
          <w:rFonts w:ascii="Times New Roman" w:hAnsi="Times New Roman" w:cs="Times New Roman"/>
          <w:lang w:val="vi-VN"/>
        </w:rPr>
        <w:t xml:space="preserve">). </w:t>
      </w:r>
      <w:r w:rsidRPr="004667A2">
        <w:rPr>
          <w:rFonts w:ascii="Times New Roman" w:hAnsi="Times New Roman" w:cs="Times New Roman"/>
        </w:rPr>
        <w:t>Thirdly, previous studies in this area have often relied primarily on either quantitative or qualitative approaches, while fewer studies have adopted mixed-methods designs to examine English-speaking practices across classroom and out-of-class contexts (Benson, 2011; Littlewood, 2007).</w:t>
      </w:r>
      <w:r w:rsidRPr="004667A2">
        <w:rPr>
          <w:rFonts w:ascii="Times New Roman" w:hAnsi="Times New Roman" w:cs="Times New Roman"/>
          <w:lang w:val="vi-VN"/>
        </w:rPr>
        <w:t xml:space="preserve"> </w:t>
      </w:r>
      <w:proofErr w:type="gramStart"/>
      <w:r w:rsidR="00C506D9" w:rsidRPr="004667A2">
        <w:rPr>
          <w:rFonts w:ascii="Times New Roman" w:hAnsi="Times New Roman" w:cs="Times New Roman"/>
        </w:rPr>
        <w:t>In order to</w:t>
      </w:r>
      <w:proofErr w:type="gramEnd"/>
      <w:r w:rsidR="00C506D9" w:rsidRPr="004667A2">
        <w:rPr>
          <w:rFonts w:ascii="Times New Roman" w:hAnsi="Times New Roman" w:cs="Times New Roman"/>
        </w:rPr>
        <w:t xml:space="preserve"> fill the gaps in the research, the study employed a mixed-methods research approach to explore the English-speaking practice of first-year university learners in the classroom and outside the classroom, as well as the factors affecting learners' English-speaking practice outside the </w:t>
      </w:r>
      <w:r w:rsidR="00C506D9" w:rsidRPr="004667A2">
        <w:rPr>
          <w:rFonts w:ascii="Times New Roman" w:hAnsi="Times New Roman" w:cs="Times New Roman"/>
        </w:rPr>
        <w:lastRenderedPageBreak/>
        <w:t>classroom. The study aims to contribute to the theoretical discussion on how English-speaking practice in the classroom can be promoted to learners to be used outside the classroom.</w:t>
      </w:r>
    </w:p>
    <w:p w14:paraId="4255D815" w14:textId="3D0AEB62" w:rsidR="000639F2" w:rsidRPr="004667A2" w:rsidRDefault="000639F2" w:rsidP="00885072">
      <w:pPr>
        <w:pStyle w:val="ListParagraph"/>
        <w:numPr>
          <w:ilvl w:val="0"/>
          <w:numId w:val="3"/>
        </w:numPr>
        <w:spacing w:after="120" w:line="360" w:lineRule="auto"/>
        <w:ind w:left="0" w:firstLine="720"/>
        <w:jc w:val="both"/>
        <w:outlineLvl w:val="1"/>
        <w:rPr>
          <w:rFonts w:ascii="Times New Roman" w:hAnsi="Times New Roman" w:cs="Times New Roman"/>
          <w:b/>
          <w:bCs/>
          <w:lang w:val="vi-VN"/>
        </w:rPr>
      </w:pPr>
      <w:r w:rsidRPr="004667A2">
        <w:rPr>
          <w:rFonts w:ascii="Times New Roman" w:hAnsi="Times New Roman" w:cs="Times New Roman"/>
          <w:b/>
          <w:bCs/>
          <w:lang w:val="vi-VN"/>
        </w:rPr>
        <w:t>Met</w:t>
      </w:r>
      <w:proofErr w:type="spellStart"/>
      <w:r w:rsidRPr="004667A2">
        <w:rPr>
          <w:rFonts w:ascii="Times New Roman" w:hAnsi="Times New Roman" w:cs="Times New Roman"/>
          <w:b/>
          <w:bCs/>
        </w:rPr>
        <w:t>hodology</w:t>
      </w:r>
      <w:proofErr w:type="spellEnd"/>
    </w:p>
    <w:p w14:paraId="12E0B155" w14:textId="5F0F1587" w:rsidR="00184D2F" w:rsidRPr="004667A2" w:rsidRDefault="00184D2F" w:rsidP="005512B2">
      <w:pPr>
        <w:pStyle w:val="ListParagraph"/>
        <w:numPr>
          <w:ilvl w:val="1"/>
          <w:numId w:val="8"/>
        </w:numPr>
        <w:spacing w:after="120" w:line="360" w:lineRule="auto"/>
        <w:jc w:val="both"/>
        <w:outlineLvl w:val="1"/>
        <w:rPr>
          <w:rFonts w:ascii="Times New Roman" w:hAnsi="Times New Roman" w:cs="Times New Roman"/>
          <w:b/>
          <w:bCs/>
        </w:rPr>
      </w:pPr>
      <w:r w:rsidRPr="004667A2">
        <w:rPr>
          <w:rFonts w:ascii="Times New Roman" w:hAnsi="Times New Roman" w:cs="Times New Roman"/>
          <w:b/>
          <w:bCs/>
        </w:rPr>
        <w:t>Research design</w:t>
      </w:r>
    </w:p>
    <w:p w14:paraId="48F87130" w14:textId="4B0A660D" w:rsidR="004667A2" w:rsidRPr="004667A2" w:rsidRDefault="004667A2" w:rsidP="009549BF">
      <w:pPr>
        <w:pStyle w:val="NormalWeb"/>
        <w:spacing w:line="360" w:lineRule="auto"/>
        <w:jc w:val="both"/>
      </w:pPr>
      <w:r w:rsidRPr="004667A2">
        <w:t xml:space="preserve">This study followed an explanatory sequential mixed-methods design, in which quantitative data were collected and analyzed first, followed by the collection and analysis of qualitative data (Creswell &amp; Plano Clark, 2018). The use of a mixed-methods approach was considered appropriate because it enabled the researcher to identify patterns of English-speaking practices across classroom and real-life </w:t>
      </w:r>
      <w:r w:rsidR="00293428">
        <w:t>communicative</w:t>
      </w:r>
      <w:r w:rsidR="00293428">
        <w:rPr>
          <w:lang w:val="vi-VN"/>
        </w:rPr>
        <w:t xml:space="preserve"> </w:t>
      </w:r>
      <w:r w:rsidRPr="004667A2">
        <w:t>contexts while also exploring the underlying factors influencing students’ English use from the learners’ perspectives.</w:t>
      </w:r>
    </w:p>
    <w:p w14:paraId="7E1B1966" w14:textId="77777777" w:rsidR="004667A2" w:rsidRPr="004667A2" w:rsidRDefault="004667A2" w:rsidP="009549BF">
      <w:pPr>
        <w:pStyle w:val="NormalWeb"/>
        <w:spacing w:line="360" w:lineRule="auto"/>
        <w:jc w:val="both"/>
      </w:pPr>
      <w:r w:rsidRPr="004667A2">
        <w:t>More specifically, the quantitative phase focused on identifying patterns of English-speaking practices inside and outside the classroom, whereas the qualitative phase explored the reasons underlying students’ use or non-use of English in real-life communicative situations. The integration of quantitative and qualitative findings provided a more comprehensive understanding of English-speaking practices among first-year university students.</w:t>
      </w:r>
    </w:p>
    <w:p w14:paraId="70AA4B86" w14:textId="77777777" w:rsidR="004667A2" w:rsidRPr="004667A2" w:rsidRDefault="004667A2" w:rsidP="009549BF">
      <w:pPr>
        <w:pStyle w:val="NormalWeb"/>
        <w:spacing w:line="360" w:lineRule="auto"/>
        <w:jc w:val="both"/>
      </w:pPr>
      <w:r w:rsidRPr="004667A2">
        <w:t>To ensure theoretical grounding, the study was informed by theories of communicative language use and second language communication behavior, particularly Communicative Competence Theory (Canale &amp; Swain, 1980) and the Willingness to Communicate framework (</w:t>
      </w:r>
      <w:proofErr w:type="spellStart"/>
      <w:r w:rsidRPr="004667A2">
        <w:t>MacIntyre</w:t>
      </w:r>
      <w:proofErr w:type="spellEnd"/>
      <w:r w:rsidRPr="004667A2">
        <w:t xml:space="preserve"> et al., 1998). These theoretical perspectives informed the conceptualization of English-speaking practices as well as the interpretation of the findings.</w:t>
      </w:r>
    </w:p>
    <w:p w14:paraId="6D353D31" w14:textId="17086282" w:rsidR="00184D2F" w:rsidRPr="004667A2" w:rsidRDefault="00184D2F" w:rsidP="005512B2">
      <w:pPr>
        <w:pStyle w:val="ListParagraph"/>
        <w:numPr>
          <w:ilvl w:val="1"/>
          <w:numId w:val="8"/>
        </w:numPr>
        <w:spacing w:after="120" w:line="360" w:lineRule="auto"/>
        <w:ind w:left="0" w:firstLine="720"/>
        <w:jc w:val="both"/>
        <w:outlineLvl w:val="1"/>
        <w:rPr>
          <w:rFonts w:ascii="Times New Roman" w:hAnsi="Times New Roman" w:cs="Times New Roman"/>
          <w:b/>
          <w:bCs/>
        </w:rPr>
      </w:pPr>
      <w:r w:rsidRPr="004667A2">
        <w:rPr>
          <w:rFonts w:ascii="Times New Roman" w:hAnsi="Times New Roman" w:cs="Times New Roman"/>
          <w:b/>
          <w:bCs/>
        </w:rPr>
        <w:t>Theoretical Framework</w:t>
      </w:r>
    </w:p>
    <w:p w14:paraId="763FC7AA" w14:textId="56C564C1" w:rsidR="000F6A88" w:rsidRPr="004667A2" w:rsidRDefault="000F6A88"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 xml:space="preserve">The research has been informed by Communicative Competence Theory, as well as the Willingness to Communicate (WTC) model, which provide a unifying framework to guide the research on the </w:t>
      </w:r>
      <w:r w:rsidR="00EF2303" w:rsidRPr="00EF2303">
        <w:rPr>
          <w:rFonts w:ascii="Times New Roman" w:hAnsi="Times New Roman" w:cs="Times New Roman"/>
        </w:rPr>
        <w:t>phenomenon of English-speaking practices</w:t>
      </w:r>
      <w:r w:rsidR="00EF2303">
        <w:rPr>
          <w:rFonts w:ascii="Times New Roman" w:hAnsi="Times New Roman" w:cs="Times New Roman"/>
          <w:lang w:val="vi-VN"/>
        </w:rPr>
        <w:t xml:space="preserve"> </w:t>
      </w:r>
      <w:r w:rsidRPr="004667A2">
        <w:rPr>
          <w:rFonts w:ascii="Times New Roman" w:hAnsi="Times New Roman" w:cs="Times New Roman"/>
        </w:rPr>
        <w:t xml:space="preserve">from the perspective of English as a </w:t>
      </w:r>
      <w:r w:rsidR="00EF2303" w:rsidRPr="004667A2">
        <w:rPr>
          <w:rFonts w:ascii="Times New Roman" w:hAnsi="Times New Roman" w:cs="Times New Roman"/>
        </w:rPr>
        <w:t>Foreign Language (EFL) context</w:t>
      </w:r>
      <w:r w:rsidRPr="004667A2">
        <w:rPr>
          <w:rFonts w:ascii="Times New Roman" w:hAnsi="Times New Roman" w:cs="Times New Roman"/>
        </w:rPr>
        <w:t>. From the perspective of communicative competence theory, speaking has been conceptualized as “the ability to convey linguistically accurate, fluent, and appropriate language in meaningful contexts, especially in the classroom” (Canale &amp; Swain, 1980; Richards, 2008).</w:t>
      </w:r>
    </w:p>
    <w:p w14:paraId="4547966E" w14:textId="77777777" w:rsidR="00784CF2" w:rsidRDefault="00102D41"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lastRenderedPageBreak/>
        <w:t xml:space="preserve">To expand the scope of the study to the wider phenomenon of English-speaking </w:t>
      </w:r>
      <w:r w:rsidR="00F81A5D">
        <w:rPr>
          <w:rFonts w:ascii="Times New Roman" w:hAnsi="Times New Roman" w:cs="Times New Roman"/>
        </w:rPr>
        <w:t>practices</w:t>
      </w:r>
      <w:r w:rsidRPr="004667A2">
        <w:rPr>
          <w:rFonts w:ascii="Times New Roman" w:hAnsi="Times New Roman" w:cs="Times New Roman"/>
        </w:rPr>
        <w:t xml:space="preserve"> beyond the classroom, the WTC model is applied, which posits that language use is shaped by situational factors such as context and the people involved, as well as individual factors such as confidence or anxiety, in the language user (</w:t>
      </w:r>
      <w:proofErr w:type="spellStart"/>
      <w:r w:rsidRPr="004667A2">
        <w:rPr>
          <w:rFonts w:ascii="Times New Roman" w:hAnsi="Times New Roman" w:cs="Times New Roman"/>
        </w:rPr>
        <w:t>MacIntyre</w:t>
      </w:r>
      <w:proofErr w:type="spellEnd"/>
      <w:r w:rsidRPr="004667A2">
        <w:rPr>
          <w:rFonts w:ascii="Times New Roman" w:hAnsi="Times New Roman" w:cs="Times New Roman"/>
        </w:rPr>
        <w:t xml:space="preserve"> et al., 1998). The synthesis of the two theoretical frameworks provides the potential to </w:t>
      </w:r>
      <w:proofErr w:type="gramStart"/>
      <w:r w:rsidRPr="004667A2">
        <w:rPr>
          <w:rFonts w:ascii="Times New Roman" w:hAnsi="Times New Roman" w:cs="Times New Roman"/>
        </w:rPr>
        <w:t>offer an explanation of</w:t>
      </w:r>
      <w:proofErr w:type="gramEnd"/>
      <w:r w:rsidRPr="004667A2">
        <w:rPr>
          <w:rFonts w:ascii="Times New Roman" w:hAnsi="Times New Roman" w:cs="Times New Roman"/>
        </w:rPr>
        <w:t xml:space="preserve"> the reason why, despite the linguistic competence, the learner does not engage in </w:t>
      </w:r>
      <w:r w:rsidR="00EF2303" w:rsidRPr="00EF2303">
        <w:rPr>
          <w:rFonts w:ascii="Times New Roman" w:hAnsi="Times New Roman" w:cs="Times New Roman"/>
        </w:rPr>
        <w:t>real-life communicative situations</w:t>
      </w:r>
      <w:r w:rsidRPr="004667A2">
        <w:rPr>
          <w:rFonts w:ascii="Times New Roman" w:hAnsi="Times New Roman" w:cs="Times New Roman"/>
        </w:rPr>
        <w:t>.</w:t>
      </w:r>
      <w:r w:rsidR="007D34B3" w:rsidRPr="004667A2">
        <w:rPr>
          <w:rFonts w:ascii="Times New Roman" w:hAnsi="Times New Roman" w:cs="Times New Roman"/>
          <w:lang w:val="vi-VN"/>
        </w:rPr>
        <w:t xml:space="preserve"> </w:t>
      </w:r>
      <w:r w:rsidR="00784CF2" w:rsidRPr="00784CF2">
        <w:rPr>
          <w:rFonts w:ascii="Times New Roman" w:hAnsi="Times New Roman" w:cs="Times New Roman"/>
          <w:lang w:val="vi-VN"/>
        </w:rPr>
        <w:t>These theoretical perspectives informed the interpretation of students’ reported speaking practices and the affective and contextual factors associated with English use beyond the classroom.</w:t>
      </w:r>
    </w:p>
    <w:p w14:paraId="19A094CC" w14:textId="573664BB" w:rsidR="004926D1" w:rsidRPr="001F13B7" w:rsidRDefault="00C10B29" w:rsidP="009549BF">
      <w:pPr>
        <w:pStyle w:val="ListParagraph"/>
        <w:numPr>
          <w:ilvl w:val="1"/>
          <w:numId w:val="7"/>
        </w:numPr>
        <w:spacing w:after="120" w:line="360" w:lineRule="auto"/>
        <w:jc w:val="both"/>
        <w:outlineLvl w:val="1"/>
        <w:rPr>
          <w:rFonts w:ascii="Times New Roman" w:hAnsi="Times New Roman" w:cs="Times New Roman"/>
          <w:b/>
          <w:bCs/>
        </w:rPr>
      </w:pPr>
      <w:r>
        <w:rPr>
          <w:rFonts w:ascii="Times New Roman" w:hAnsi="Times New Roman" w:cs="Times New Roman"/>
          <w:b/>
          <w:bCs/>
          <w:lang w:val="vi-VN"/>
        </w:rPr>
        <w:t xml:space="preserve"> </w:t>
      </w:r>
      <w:r w:rsidR="004926D1" w:rsidRPr="001F13B7">
        <w:rPr>
          <w:rFonts w:ascii="Times New Roman" w:hAnsi="Times New Roman" w:cs="Times New Roman"/>
          <w:b/>
          <w:bCs/>
        </w:rPr>
        <w:t>Research context and participants</w:t>
      </w:r>
    </w:p>
    <w:p w14:paraId="76A7A5F3" w14:textId="0F15CFC1" w:rsidR="00591FE4" w:rsidRPr="00435B30" w:rsidRDefault="00591FE4" w:rsidP="005512B2">
      <w:pPr>
        <w:spacing w:after="120" w:line="360" w:lineRule="auto"/>
        <w:ind w:firstLine="720"/>
        <w:jc w:val="both"/>
        <w:outlineLvl w:val="1"/>
        <w:rPr>
          <w:rFonts w:ascii="Times New Roman" w:hAnsi="Times New Roman" w:cs="Times New Roman"/>
        </w:rPr>
      </w:pPr>
      <w:r w:rsidRPr="004667A2">
        <w:rPr>
          <w:rFonts w:ascii="Times New Roman" w:hAnsi="Times New Roman" w:cs="Times New Roman"/>
        </w:rPr>
        <w:t>The research was conducted in a private university in Vietnam. English is considered a foreign language in Vietnam. The first-year undergraduate students in the university are expected to take a course in English before they are allowed to specialize in the actual field of study. The course is expected to help the students learn the basics in English, with a focus on speaking. The total number of students in the research was 50. The students in the research</w:t>
      </w:r>
      <w:r w:rsidR="00435B30">
        <w:rPr>
          <w:rFonts w:ascii="Times New Roman" w:hAnsi="Times New Roman" w:cs="Times New Roman"/>
          <w:lang w:val="vi-VN"/>
        </w:rPr>
        <w:t xml:space="preserve"> </w:t>
      </w:r>
      <w:r w:rsidR="007E68A1">
        <w:rPr>
          <w:rFonts w:ascii="Times New Roman" w:hAnsi="Times New Roman" w:cs="Times New Roman"/>
          <w:lang w:val="vi-VN"/>
        </w:rPr>
        <w:t>were</w:t>
      </w:r>
      <w:r w:rsidRPr="004667A2">
        <w:rPr>
          <w:rFonts w:ascii="Times New Roman" w:hAnsi="Times New Roman" w:cs="Times New Roman"/>
        </w:rPr>
        <w:t xml:space="preserve"> all enrolled in the English course at the time the research was conducted. The level of the students’ English was at the A2-B1 level on the Common European Framework of Reference for Language Levels. The research was on a volunteer basis, and all the students were made aware of the confidentiality of the research.</w:t>
      </w:r>
      <w:r w:rsidR="0078296E" w:rsidRPr="004667A2">
        <w:rPr>
          <w:rFonts w:ascii="Times New Roman" w:hAnsi="Times New Roman" w:cs="Times New Roman"/>
          <w:lang w:val="vi-VN"/>
        </w:rPr>
        <w:t xml:space="preserve"> The research participants were chosen using a method of convenience sampling since they were accessible to the researcher during the preparatory English program. Even though such a method of sampling makes the results non-generalizable, it is considered appropriate for exploratory research.</w:t>
      </w:r>
    </w:p>
    <w:p w14:paraId="6B2E693E" w14:textId="624C52BC" w:rsidR="00EC2238" w:rsidRPr="00435B30" w:rsidRDefault="00435B30" w:rsidP="009549BF">
      <w:pPr>
        <w:pStyle w:val="ListParagraph"/>
        <w:numPr>
          <w:ilvl w:val="1"/>
          <w:numId w:val="7"/>
        </w:numPr>
        <w:spacing w:after="120" w:line="360" w:lineRule="auto"/>
        <w:jc w:val="both"/>
        <w:outlineLvl w:val="1"/>
        <w:rPr>
          <w:rFonts w:ascii="Times New Roman" w:hAnsi="Times New Roman" w:cs="Times New Roman"/>
          <w:b/>
          <w:bCs/>
        </w:rPr>
      </w:pPr>
      <w:r>
        <w:rPr>
          <w:rFonts w:ascii="Times New Roman" w:hAnsi="Times New Roman" w:cs="Times New Roman"/>
          <w:b/>
          <w:bCs/>
          <w:lang w:val="vi-VN"/>
        </w:rPr>
        <w:t xml:space="preserve"> </w:t>
      </w:r>
      <w:r w:rsidR="00EC2238" w:rsidRPr="00435B30">
        <w:rPr>
          <w:rFonts w:ascii="Times New Roman" w:hAnsi="Times New Roman" w:cs="Times New Roman"/>
          <w:b/>
          <w:bCs/>
        </w:rPr>
        <w:t>Data collection instruments</w:t>
      </w:r>
    </w:p>
    <w:p w14:paraId="1A86EAB6" w14:textId="75DB626F" w:rsidR="006D3DA2" w:rsidRPr="004667A2" w:rsidRDefault="00081816"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 xml:space="preserve">3.4.1 </w:t>
      </w:r>
      <w:r w:rsidR="006D3DA2" w:rsidRPr="004667A2">
        <w:rPr>
          <w:rFonts w:ascii="Times New Roman" w:hAnsi="Times New Roman" w:cs="Times New Roman"/>
        </w:rPr>
        <w:t>Quantitative data collection methods, in the form of a structured questionnaire, were used to measure the extent of students’ use of English in their classrooms and out-of-class activities. The questionnaire had two parts, A and B. In part A of the questionnaire, the background information of the participants, such as their academic background and their level of proficiency in English, was collected. In part B of the questionnaire, the extent of students’ use of English in their classrooms was measured by asking them to report their use of English in situations such as answering teachers’ questions, participating in pair/group discussions, their use of English in real-life situations outside the school context, etc.</w:t>
      </w:r>
    </w:p>
    <w:p w14:paraId="387643CC" w14:textId="77777777" w:rsidR="006D1BA8" w:rsidRPr="004667A2" w:rsidRDefault="006D3DA2"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lastRenderedPageBreak/>
        <w:t>The extent of students’ use of English, as reported by the participants of the study, in part B of the questionnaire, is measured by a five- point Likert scale ranging from never to very often. Items in the questionnaire are supported by literature regarding EFL speaking and willingness to communicate.</w:t>
      </w:r>
      <w:r w:rsidR="006D1BA8" w:rsidRPr="004667A2">
        <w:rPr>
          <w:rFonts w:ascii="Times New Roman" w:hAnsi="Times New Roman" w:cs="Times New Roman"/>
          <w:lang w:val="vi-VN"/>
        </w:rPr>
        <w:t xml:space="preserve"> The questionnaire was based on prior research on EFL speaking behaviors and willingness to communicate, as reported by researchers such as MacIntyre et al. (1998) and Benson (2011). To establish content validity, the questionnaire was validated by two EFL lecturers with considerable experience. The pilot study was carried out with a small group of students, consisting of 10 students, to test its reliability and make minor modifications if necessary. The internal consistency of the questionnaire was satisfactory, with a Cronbach’s alpha coefficient of 0.82.</w:t>
      </w:r>
    </w:p>
    <w:p w14:paraId="0822E6F7" w14:textId="5E77BE1C" w:rsidR="00081816" w:rsidRPr="002A7A19" w:rsidRDefault="00081816" w:rsidP="009549BF">
      <w:pPr>
        <w:spacing w:after="120" w:line="360" w:lineRule="auto"/>
        <w:ind w:firstLine="720"/>
        <w:jc w:val="both"/>
        <w:outlineLvl w:val="1"/>
        <w:rPr>
          <w:rFonts w:ascii="Times New Roman" w:hAnsi="Times New Roman" w:cs="Times New Roman"/>
          <w:i/>
          <w:iCs/>
          <w:lang w:val="vi-VN"/>
        </w:rPr>
      </w:pPr>
      <w:r w:rsidRPr="004667A2">
        <w:rPr>
          <w:rFonts w:ascii="Times New Roman" w:hAnsi="Times New Roman" w:cs="Times New Roman"/>
          <w:i/>
          <w:iCs/>
        </w:rPr>
        <w:t xml:space="preserve">3.4.2 </w:t>
      </w:r>
      <w:r w:rsidR="00D8313B">
        <w:rPr>
          <w:rFonts w:ascii="Times New Roman" w:hAnsi="Times New Roman" w:cs="Times New Roman"/>
          <w:i/>
          <w:iCs/>
        </w:rPr>
        <w:t>Semi</w:t>
      </w:r>
      <w:r w:rsidR="00D8313B">
        <w:rPr>
          <w:rFonts w:ascii="Times New Roman" w:hAnsi="Times New Roman" w:cs="Times New Roman"/>
          <w:i/>
          <w:iCs/>
          <w:lang w:val="vi-VN"/>
        </w:rPr>
        <w:t>-structured intervie</w:t>
      </w:r>
      <w:r w:rsidR="00D8313B">
        <w:rPr>
          <w:rFonts w:ascii="Times New Roman" w:hAnsi="Times New Roman" w:cs="Times New Roman"/>
          <w:i/>
          <w:iCs/>
        </w:rPr>
        <w:t>w</w:t>
      </w:r>
      <w:r w:rsidR="002A7A19">
        <w:rPr>
          <w:rFonts w:ascii="Times New Roman" w:hAnsi="Times New Roman" w:cs="Times New Roman"/>
          <w:i/>
          <w:iCs/>
          <w:lang w:val="vi-VN"/>
        </w:rPr>
        <w:t>s</w:t>
      </w:r>
    </w:p>
    <w:p w14:paraId="65E730C2" w14:textId="77777777" w:rsidR="00501010" w:rsidRDefault="00501010" w:rsidP="009549BF">
      <w:pPr>
        <w:pStyle w:val="NormalWeb"/>
        <w:spacing w:line="360" w:lineRule="auto"/>
        <w:jc w:val="both"/>
      </w:pPr>
      <w:r>
        <w:t>In addition to the quantitative questionnaire, semi-structured interviews were conducted to explore students’ perceptions of English use outside the classroom in greater depth. A total of 10 volunteer participants participated in follow-up interviews after the quantitative phase. The interviews focused on students’ experiences, attitudes, and perceived difficulties related to using English in real-life communicative situations.</w:t>
      </w:r>
    </w:p>
    <w:p w14:paraId="7146750B" w14:textId="77777777" w:rsidR="00501010" w:rsidRDefault="00501010" w:rsidP="009549BF">
      <w:pPr>
        <w:pStyle w:val="NormalWeb"/>
        <w:spacing w:line="360" w:lineRule="auto"/>
        <w:jc w:val="both"/>
        <w:rPr>
          <w:lang w:val="vi-VN"/>
        </w:rPr>
      </w:pPr>
      <w:r>
        <w:t>The interviews lasted approximately 15–20 minutes and were conducted in Vietnamese to allow participants to express their perspectives more comfortably and accurately. With participants’ consent, the interviews were audio-recorded and later transcribed for thematic analysis. The use of follow-up interviews in explanatory sequential mixed-methods research helped provide deeper explanations for the quantitative findings (Creswell &amp; Plano Clark, 2018). In addition, the number of interview participants was considered appropriate for exploratory qualitative inquiry and thematic analysis, where relatively small samples may still provide sufficient thematic depth and saturation (Braun &amp; Clarke, 2006; Guest et al., 2006).</w:t>
      </w:r>
    </w:p>
    <w:p w14:paraId="6674BC0B" w14:textId="3BFA43F6" w:rsidR="000678CD" w:rsidRPr="004667A2" w:rsidRDefault="000678CD" w:rsidP="009549BF">
      <w:pPr>
        <w:pStyle w:val="ListParagraph"/>
        <w:numPr>
          <w:ilvl w:val="1"/>
          <w:numId w:val="6"/>
        </w:numPr>
        <w:spacing w:after="120" w:line="360" w:lineRule="auto"/>
        <w:ind w:left="0" w:firstLine="720"/>
        <w:jc w:val="both"/>
        <w:outlineLvl w:val="1"/>
        <w:rPr>
          <w:rFonts w:ascii="Times New Roman" w:hAnsi="Times New Roman" w:cs="Times New Roman"/>
          <w:b/>
          <w:bCs/>
          <w:lang w:val="vi-VN"/>
        </w:rPr>
      </w:pPr>
      <w:r w:rsidRPr="004667A2">
        <w:rPr>
          <w:rFonts w:ascii="Times New Roman" w:hAnsi="Times New Roman" w:cs="Times New Roman"/>
          <w:b/>
          <w:bCs/>
        </w:rPr>
        <w:t xml:space="preserve">Data collection </w:t>
      </w:r>
      <w:r w:rsidR="004667A2" w:rsidRPr="004667A2">
        <w:rPr>
          <w:rFonts w:ascii="Times New Roman" w:hAnsi="Times New Roman" w:cs="Times New Roman"/>
          <w:b/>
          <w:bCs/>
        </w:rPr>
        <w:t>procedure</w:t>
      </w:r>
    </w:p>
    <w:p w14:paraId="126D439C" w14:textId="44052188" w:rsidR="00D27862" w:rsidRPr="002E4375" w:rsidRDefault="00D27862" w:rsidP="009549BF">
      <w:pPr>
        <w:pStyle w:val="ListParagraph"/>
        <w:spacing w:after="120" w:line="360" w:lineRule="auto"/>
        <w:ind w:left="0" w:firstLine="720"/>
        <w:jc w:val="both"/>
        <w:outlineLvl w:val="1"/>
        <w:rPr>
          <w:rFonts w:ascii="Times New Roman" w:hAnsi="Times New Roman" w:cs="Times New Roman"/>
          <w:lang w:val="vi-VN"/>
        </w:rPr>
      </w:pPr>
      <w:r w:rsidRPr="004667A2">
        <w:rPr>
          <w:rFonts w:ascii="Times New Roman" w:hAnsi="Times New Roman" w:cs="Times New Roman"/>
        </w:rPr>
        <w:t xml:space="preserve">The data collection was done in the middle of the English preparatory program. This ensured a high rate of return because it was administered in class. It took the participants about 20 minutes to answer the questionnaire. After analyzing the quantitative data, the </w:t>
      </w:r>
      <w:r w:rsidR="00623056" w:rsidRPr="00623056">
        <w:rPr>
          <w:rFonts w:ascii="Times New Roman" w:hAnsi="Times New Roman" w:cs="Times New Roman"/>
        </w:rPr>
        <w:t>semi-structured interviews were conducted</w:t>
      </w:r>
      <w:r w:rsidR="00623056">
        <w:rPr>
          <w:rFonts w:ascii="Times New Roman" w:hAnsi="Times New Roman" w:cs="Times New Roman"/>
          <w:lang w:val="vi-VN"/>
        </w:rPr>
        <w:t>.</w:t>
      </w:r>
      <w:r w:rsidR="002E4375">
        <w:rPr>
          <w:rFonts w:ascii="Times New Roman" w:hAnsi="Times New Roman" w:cs="Times New Roman"/>
          <w:lang w:val="vi-VN"/>
        </w:rPr>
        <w:t xml:space="preserve"> </w:t>
      </w:r>
      <w:r w:rsidRPr="002E4375">
        <w:rPr>
          <w:rFonts w:ascii="Times New Roman" w:hAnsi="Times New Roman" w:cs="Times New Roman"/>
        </w:rPr>
        <w:t>This ensured that the qualitative part explained the quantitative part.</w:t>
      </w:r>
    </w:p>
    <w:p w14:paraId="3C897121" w14:textId="5E197A14" w:rsidR="00C37266" w:rsidRPr="004667A2" w:rsidRDefault="00C37266" w:rsidP="009549BF">
      <w:pPr>
        <w:pStyle w:val="ListParagraph"/>
        <w:numPr>
          <w:ilvl w:val="1"/>
          <w:numId w:val="5"/>
        </w:numPr>
        <w:spacing w:after="120" w:line="360" w:lineRule="auto"/>
        <w:ind w:left="0" w:firstLine="720"/>
        <w:jc w:val="both"/>
        <w:outlineLvl w:val="1"/>
        <w:rPr>
          <w:rFonts w:ascii="Times New Roman" w:hAnsi="Times New Roman" w:cs="Times New Roman"/>
          <w:b/>
          <w:bCs/>
        </w:rPr>
      </w:pPr>
      <w:r w:rsidRPr="004667A2">
        <w:rPr>
          <w:rFonts w:ascii="Times New Roman" w:hAnsi="Times New Roman" w:cs="Times New Roman"/>
          <w:b/>
          <w:bCs/>
        </w:rPr>
        <w:t>Data analysis</w:t>
      </w:r>
    </w:p>
    <w:p w14:paraId="216A0E5E" w14:textId="1E457B11" w:rsidR="00A57C15" w:rsidRPr="00D65724" w:rsidRDefault="007869C2" w:rsidP="009549BF">
      <w:pPr>
        <w:spacing w:after="120" w:line="360" w:lineRule="auto"/>
        <w:ind w:firstLine="720"/>
        <w:jc w:val="both"/>
        <w:outlineLvl w:val="1"/>
        <w:rPr>
          <w:rFonts w:ascii="Times New Roman" w:hAnsi="Times New Roman" w:cs="Times New Roman"/>
          <w:b/>
          <w:bCs/>
          <w:lang w:val="vi-VN"/>
        </w:rPr>
      </w:pPr>
      <w:r w:rsidRPr="007869C2">
        <w:rPr>
          <w:rFonts w:ascii="Times New Roman" w:hAnsi="Times New Roman" w:cs="Times New Roman"/>
          <w:lang w:val="vi-VN"/>
        </w:rPr>
        <w:lastRenderedPageBreak/>
        <w:t xml:space="preserve">Descriptive statistics, including frequencies, percentages, means, and standard deviations, were used to analyze quantitative data and identify patterns of English-speaking practices across contexts. </w:t>
      </w:r>
      <w:r w:rsidR="00141F7C" w:rsidRPr="00141F7C">
        <w:rPr>
          <w:rFonts w:ascii="Times New Roman" w:hAnsi="Times New Roman" w:cs="Times New Roman"/>
          <w:lang w:val="vi-VN"/>
        </w:rPr>
        <w:t>In addition, a Wilcoxon signed-rank test was conducted to compare students’ reported English-speaking frequency inside and outside the classroom, as the data involved paired ordinal Likert-scale responses from the same participants.</w:t>
      </w:r>
      <w:r w:rsidR="00141F7C">
        <w:rPr>
          <w:rFonts w:ascii="Times New Roman" w:hAnsi="Times New Roman" w:cs="Times New Roman"/>
          <w:lang w:val="vi-VN"/>
        </w:rPr>
        <w:t xml:space="preserve"> </w:t>
      </w:r>
      <w:r w:rsidR="00A57C15" w:rsidRPr="004667A2">
        <w:rPr>
          <w:rFonts w:ascii="Times New Roman" w:hAnsi="Times New Roman" w:cs="Times New Roman"/>
          <w:lang w:val="vi-VN"/>
        </w:rPr>
        <w:t>I</w:t>
      </w:r>
      <w:proofErr w:type="spellStart"/>
      <w:r w:rsidR="00A57C15" w:rsidRPr="004667A2">
        <w:rPr>
          <w:rFonts w:ascii="Times New Roman" w:hAnsi="Times New Roman" w:cs="Times New Roman"/>
        </w:rPr>
        <w:t>n</w:t>
      </w:r>
      <w:proofErr w:type="spellEnd"/>
      <w:r w:rsidR="00A57C15" w:rsidRPr="004667A2">
        <w:rPr>
          <w:rFonts w:ascii="Times New Roman" w:hAnsi="Times New Roman" w:cs="Times New Roman"/>
        </w:rPr>
        <w:t xml:space="preserve"> terms of qualitative data analysis, thematic analysis was used following the six-phase procedure suggested by Braun and Clarke (2006), which involved familiarization with the data, generating codes, searching for themes, reviewing themes, defining and naming themes, and producing the report. This helped to identify major patterns related to affective and contextual issues in the students’ use of English outside the classroom setting.</w:t>
      </w:r>
      <w:r w:rsidR="00727DE8" w:rsidRPr="00727DE8">
        <w:t xml:space="preserve"> </w:t>
      </w:r>
      <w:r w:rsidR="00727DE8" w:rsidRPr="00727DE8">
        <w:rPr>
          <w:rFonts w:ascii="Times New Roman" w:hAnsi="Times New Roman" w:cs="Times New Roman"/>
        </w:rPr>
        <w:t>Data collection and analysis continued until thematic saturation was reached, that is, when no substantially new themes or patterns emerged from the interview data (Guest et al., 2006). Recurrent ideas became increasingly repetitive across participants, suggesting sufficient thematic coverage for the purposes of the study.</w:t>
      </w:r>
      <w:r w:rsidR="00D65724">
        <w:rPr>
          <w:rFonts w:ascii="Times New Roman" w:hAnsi="Times New Roman" w:cs="Times New Roman"/>
          <w:lang w:val="vi-VN"/>
        </w:rPr>
        <w:t xml:space="preserve"> </w:t>
      </w:r>
      <w:r w:rsidR="00D65724" w:rsidRPr="00D65724">
        <w:rPr>
          <w:rFonts w:ascii="Times New Roman" w:hAnsi="Times New Roman" w:cs="Times New Roman"/>
          <w:lang w:val="vi-VN"/>
        </w:rPr>
        <w:t>To enhance trustworthiness, the researchers discussed and refined the coding categories collaboratively throughout the analysis process.</w:t>
      </w:r>
    </w:p>
    <w:p w14:paraId="329C0F18" w14:textId="766BD227" w:rsidR="00FC282B" w:rsidRPr="004667A2" w:rsidRDefault="00FC282B" w:rsidP="009549BF">
      <w:pPr>
        <w:pStyle w:val="ListParagraph"/>
        <w:numPr>
          <w:ilvl w:val="1"/>
          <w:numId w:val="5"/>
        </w:numPr>
        <w:spacing w:after="120" w:line="360" w:lineRule="auto"/>
        <w:ind w:left="0" w:firstLine="720"/>
        <w:jc w:val="both"/>
        <w:outlineLvl w:val="1"/>
        <w:rPr>
          <w:rFonts w:ascii="Times New Roman" w:hAnsi="Times New Roman" w:cs="Times New Roman"/>
          <w:b/>
          <w:bCs/>
        </w:rPr>
      </w:pPr>
      <w:r w:rsidRPr="004667A2">
        <w:rPr>
          <w:rFonts w:ascii="Times New Roman" w:hAnsi="Times New Roman" w:cs="Times New Roman"/>
          <w:b/>
          <w:bCs/>
        </w:rPr>
        <w:t>Ethical Considerations</w:t>
      </w:r>
    </w:p>
    <w:p w14:paraId="0D891437" w14:textId="6903279A" w:rsidR="006E36DF" w:rsidRPr="004667A2" w:rsidRDefault="006E36DF" w:rsidP="009549BF">
      <w:pPr>
        <w:pStyle w:val="ListParagraph"/>
        <w:spacing w:after="120" w:line="360" w:lineRule="auto"/>
        <w:ind w:left="0" w:firstLine="720"/>
        <w:jc w:val="both"/>
        <w:outlineLvl w:val="1"/>
        <w:rPr>
          <w:rFonts w:ascii="Times New Roman" w:hAnsi="Times New Roman" w:cs="Times New Roman"/>
          <w:b/>
          <w:bCs/>
          <w:lang w:val="vi-VN"/>
        </w:rPr>
      </w:pPr>
      <w:r w:rsidRPr="004667A2">
        <w:rPr>
          <w:rFonts w:ascii="Times New Roman" w:hAnsi="Times New Roman" w:cs="Times New Roman"/>
        </w:rPr>
        <w:t>Ethical consideration was strictly adhered to in the study. Participants were made aware of the study's objectives, as well as their right to withdraw at any time with no penalty. Informed consent was obtained before data collection, with confidentiality of the collected data being ensured by anonymizing the information collected. Data collection was limited to research purposes only.</w:t>
      </w:r>
      <w:r w:rsidR="00B32B9E" w:rsidRPr="004667A2">
        <w:rPr>
          <w:rFonts w:ascii="Times New Roman" w:hAnsi="Times New Roman" w:cs="Times New Roman"/>
          <w:lang w:val="vi-VN"/>
        </w:rPr>
        <w:t xml:space="preserve"> All participants provided informed consent prior to participation, and no personal identifying information was collected to ensure anonymity.</w:t>
      </w:r>
    </w:p>
    <w:p w14:paraId="6AD23481" w14:textId="62004265" w:rsidR="004A2034" w:rsidRPr="004667A2" w:rsidRDefault="006E36DF" w:rsidP="009549BF">
      <w:pPr>
        <w:spacing w:after="120" w:line="360" w:lineRule="auto"/>
        <w:ind w:firstLine="720"/>
        <w:jc w:val="both"/>
        <w:outlineLvl w:val="1"/>
        <w:rPr>
          <w:rFonts w:ascii="Times New Roman" w:hAnsi="Times New Roman" w:cs="Times New Roman"/>
          <w:b/>
          <w:bCs/>
          <w:lang w:val="vi-VN"/>
        </w:rPr>
      </w:pPr>
      <w:r w:rsidRPr="004667A2">
        <w:rPr>
          <w:rFonts w:ascii="Times New Roman" w:hAnsi="Times New Roman" w:cs="Times New Roman"/>
          <w:b/>
          <w:bCs/>
          <w:lang w:val="vi-VN"/>
        </w:rPr>
        <w:t xml:space="preserve">4. </w:t>
      </w:r>
      <w:r w:rsidR="00575A34" w:rsidRPr="004667A2">
        <w:rPr>
          <w:rFonts w:ascii="Times New Roman" w:hAnsi="Times New Roman" w:cs="Times New Roman"/>
          <w:b/>
          <w:bCs/>
          <w:lang w:val="vi-VN"/>
        </w:rPr>
        <w:t>Findings</w:t>
      </w:r>
    </w:p>
    <w:p w14:paraId="32C274CD" w14:textId="0C307035" w:rsidR="00575A34" w:rsidRPr="004667A2" w:rsidRDefault="00575A34" w:rsidP="009549BF">
      <w:pPr>
        <w:pStyle w:val="ListParagraph"/>
        <w:spacing w:after="120" w:line="360" w:lineRule="auto"/>
        <w:ind w:left="0" w:firstLine="720"/>
        <w:jc w:val="both"/>
        <w:outlineLvl w:val="1"/>
        <w:rPr>
          <w:rFonts w:ascii="Times New Roman" w:hAnsi="Times New Roman" w:cs="Times New Roman"/>
          <w:b/>
          <w:bCs/>
        </w:rPr>
      </w:pPr>
      <w:r w:rsidRPr="004667A2">
        <w:rPr>
          <w:rFonts w:ascii="Times New Roman" w:hAnsi="Times New Roman" w:cs="Times New Roman"/>
          <w:b/>
          <w:bCs/>
          <w:lang w:val="vi-VN"/>
        </w:rPr>
        <w:t>4.1. Q</w:t>
      </w:r>
      <w:proofErr w:type="spellStart"/>
      <w:r w:rsidRPr="004667A2">
        <w:rPr>
          <w:rFonts w:ascii="Times New Roman" w:hAnsi="Times New Roman" w:cs="Times New Roman"/>
          <w:b/>
          <w:bCs/>
        </w:rPr>
        <w:t>uestionnaire</w:t>
      </w:r>
      <w:proofErr w:type="spellEnd"/>
      <w:r w:rsidRPr="004667A2">
        <w:rPr>
          <w:rFonts w:ascii="Times New Roman" w:hAnsi="Times New Roman" w:cs="Times New Roman"/>
          <w:b/>
          <w:bCs/>
        </w:rPr>
        <w:t xml:space="preserve"> findings</w:t>
      </w:r>
    </w:p>
    <w:p w14:paraId="7163A617" w14:textId="264B51DB" w:rsidR="00575A34" w:rsidRPr="004667A2" w:rsidRDefault="00575A34" w:rsidP="009549BF">
      <w:pPr>
        <w:spacing w:after="120" w:line="360" w:lineRule="auto"/>
        <w:ind w:firstLine="720"/>
        <w:jc w:val="both"/>
        <w:outlineLvl w:val="1"/>
        <w:rPr>
          <w:rFonts w:ascii="Times New Roman" w:hAnsi="Times New Roman" w:cs="Times New Roman"/>
          <w:i/>
          <w:iCs/>
        </w:rPr>
      </w:pPr>
      <w:r w:rsidRPr="004667A2">
        <w:rPr>
          <w:rFonts w:ascii="Times New Roman" w:hAnsi="Times New Roman" w:cs="Times New Roman"/>
          <w:i/>
          <w:iCs/>
        </w:rPr>
        <w:t>4.1.1 English-Speaking Use inside the Classroom</w:t>
      </w:r>
    </w:p>
    <w:p w14:paraId="0B2C392D" w14:textId="77777777" w:rsidR="00E42987" w:rsidRPr="004667A2" w:rsidRDefault="00E42987"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The results of the questionnaire indicate that English speaking was frequently used inside the classroom during the English preparatory program. Overall, students reported high levels of engagement in English-speaking activities inside the classroom, especially when these activities were teacher-initiated.</w:t>
      </w:r>
    </w:p>
    <w:p w14:paraId="7702D281" w14:textId="4BF84165" w:rsidR="0073348A" w:rsidRPr="004667A2" w:rsidRDefault="00EF2303" w:rsidP="009549BF">
      <w:pPr>
        <w:spacing w:after="120" w:line="360" w:lineRule="auto"/>
        <w:ind w:firstLine="720"/>
        <w:jc w:val="both"/>
        <w:outlineLvl w:val="1"/>
        <w:rPr>
          <w:rFonts w:ascii="Times New Roman" w:hAnsi="Times New Roman" w:cs="Times New Roman"/>
          <w:lang w:val="vi-VN"/>
        </w:rPr>
      </w:pPr>
      <w:proofErr w:type="gramStart"/>
      <w:r w:rsidRPr="00EF2303">
        <w:rPr>
          <w:rFonts w:ascii="Times New Roman" w:hAnsi="Times New Roman" w:cs="Times New Roman"/>
        </w:rPr>
        <w:lastRenderedPageBreak/>
        <w:t>A majority of</w:t>
      </w:r>
      <w:proofErr w:type="gramEnd"/>
      <w:r w:rsidRPr="00EF2303">
        <w:rPr>
          <w:rFonts w:ascii="Times New Roman" w:hAnsi="Times New Roman" w:cs="Times New Roman"/>
        </w:rPr>
        <w:t xml:space="preserve"> participants (78%) reported frequently using English to answer teachers’ questions.</w:t>
      </w:r>
      <w:r>
        <w:rPr>
          <w:rFonts w:ascii="Times New Roman" w:hAnsi="Times New Roman" w:cs="Times New Roman"/>
          <w:lang w:val="vi-VN"/>
        </w:rPr>
        <w:t xml:space="preserve"> </w:t>
      </w:r>
      <w:r w:rsidR="0073348A" w:rsidRPr="004667A2">
        <w:rPr>
          <w:rFonts w:ascii="Times New Roman" w:hAnsi="Times New Roman" w:cs="Times New Roman"/>
        </w:rPr>
        <w:t>The activity was found to be used most frequently compared to all other speaking activities, with a mean score of M = 3.96 (SD = 0.61) on a five-point Likert scale. In parallel, it was found that 72% of students (n = 36) reported that they frequently took part in pair or group discussions held in English.</w:t>
      </w:r>
    </w:p>
    <w:p w14:paraId="4F57B994" w14:textId="77777777" w:rsidR="0073348A" w:rsidRPr="004667A2" w:rsidRDefault="0073348A"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In contrast, it was found that speaking activities that required higher spontaneity were used less frequently. Only 34% of participants (n = 17) reported that they frequently volunteered to give their opinions without being prompted by teachers, whereas 46% (n = 23) reported that they seldom did so. The mean score was M = 2.91 (SD = 0.83).</w:t>
      </w:r>
    </w:p>
    <w:p w14:paraId="7FC90950" w14:textId="21FC5E0B" w:rsidR="007F6039" w:rsidRPr="004667A2" w:rsidRDefault="00821817" w:rsidP="009549BF">
      <w:pPr>
        <w:spacing w:after="0" w:line="360" w:lineRule="auto"/>
        <w:jc w:val="both"/>
        <w:outlineLvl w:val="1"/>
        <w:rPr>
          <w:rFonts w:ascii="Times New Roman" w:hAnsi="Times New Roman" w:cs="Times New Roman"/>
        </w:rPr>
      </w:pPr>
      <w:r w:rsidRPr="004667A2">
        <w:rPr>
          <w:rFonts w:ascii="Times New Roman" w:hAnsi="Times New Roman" w:cs="Times New Roman"/>
        </w:rPr>
        <w:t>These findings reveal that English speaking in the classroom was primarily facilitated by the teacher and was task-based, as students relied on instructional cues to engage in English speaking. Although English speaking was highly facilitated by opportunities provided by the classroom, these opportunities were primarily task-based and embedded in instructional contexts rather than students’ spontaneous English speaking.</w:t>
      </w:r>
    </w:p>
    <w:tbl>
      <w:tblPr>
        <w:tblStyle w:val="TableGrid"/>
        <w:tblW w:w="0" w:type="auto"/>
        <w:tblLook w:val="04A0" w:firstRow="1" w:lastRow="0" w:firstColumn="1" w:lastColumn="0" w:noHBand="0" w:noVBand="1"/>
      </w:tblPr>
      <w:tblGrid>
        <w:gridCol w:w="1523"/>
        <w:gridCol w:w="1081"/>
        <w:gridCol w:w="1093"/>
        <w:gridCol w:w="1401"/>
        <w:gridCol w:w="1107"/>
        <w:gridCol w:w="1066"/>
        <w:gridCol w:w="1074"/>
        <w:gridCol w:w="1005"/>
      </w:tblGrid>
      <w:tr w:rsidR="00EF4F86" w:rsidRPr="004667A2" w14:paraId="27818185" w14:textId="77777777" w:rsidTr="008158F8">
        <w:tc>
          <w:tcPr>
            <w:tcW w:w="1523" w:type="dxa"/>
          </w:tcPr>
          <w:p w14:paraId="29810772" w14:textId="77777777" w:rsidR="008158F8" w:rsidRPr="004667A2" w:rsidRDefault="008158F8" w:rsidP="009549BF">
            <w:pPr>
              <w:spacing w:line="360" w:lineRule="auto"/>
              <w:jc w:val="both"/>
              <w:rPr>
                <w:rFonts w:ascii="Times New Roman" w:hAnsi="Times New Roman" w:cs="Times New Roman"/>
              </w:rPr>
            </w:pPr>
            <w:r w:rsidRPr="004667A2">
              <w:rPr>
                <w:rFonts w:ascii="Times New Roman" w:hAnsi="Times New Roman" w:cs="Times New Roman"/>
              </w:rPr>
              <w:t>Classroom English-speaking activities</w:t>
            </w:r>
          </w:p>
          <w:p w14:paraId="6ED8EF8D" w14:textId="77777777" w:rsidR="008158F8" w:rsidRPr="004667A2" w:rsidRDefault="008158F8" w:rsidP="009549BF">
            <w:pPr>
              <w:spacing w:line="360" w:lineRule="auto"/>
              <w:jc w:val="both"/>
              <w:outlineLvl w:val="1"/>
              <w:rPr>
                <w:rFonts w:ascii="Times New Roman" w:hAnsi="Times New Roman" w:cs="Times New Roman"/>
              </w:rPr>
            </w:pPr>
          </w:p>
        </w:tc>
        <w:tc>
          <w:tcPr>
            <w:tcW w:w="1081" w:type="dxa"/>
          </w:tcPr>
          <w:p w14:paraId="136ADBC7" w14:textId="32D28B0C"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Never (%)</w:t>
            </w:r>
          </w:p>
        </w:tc>
        <w:tc>
          <w:tcPr>
            <w:tcW w:w="1093" w:type="dxa"/>
          </w:tcPr>
          <w:p w14:paraId="057E15D2" w14:textId="1E545581"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Rarely (%)</w:t>
            </w:r>
          </w:p>
        </w:tc>
        <w:tc>
          <w:tcPr>
            <w:tcW w:w="1401" w:type="dxa"/>
          </w:tcPr>
          <w:p w14:paraId="5117D96D" w14:textId="179FAAAB"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Sometimes (%)</w:t>
            </w:r>
          </w:p>
        </w:tc>
        <w:tc>
          <w:tcPr>
            <w:tcW w:w="11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158F8" w:rsidRPr="004667A2" w14:paraId="025585B5" w14:textId="77777777">
              <w:trPr>
                <w:tblCellSpacing w:w="15" w:type="dxa"/>
              </w:trPr>
              <w:tc>
                <w:tcPr>
                  <w:tcW w:w="0" w:type="auto"/>
                  <w:vAlign w:val="center"/>
                  <w:hideMark/>
                </w:tcPr>
                <w:p w14:paraId="12487FA5" w14:textId="77777777" w:rsidR="008158F8" w:rsidRPr="004667A2" w:rsidRDefault="008158F8" w:rsidP="009549BF">
                  <w:pPr>
                    <w:spacing w:after="0" w:line="360" w:lineRule="auto"/>
                    <w:jc w:val="both"/>
                    <w:rPr>
                      <w:rFonts w:ascii="Times New Roman" w:hAnsi="Times New Roman" w:cs="Times New Roman"/>
                    </w:rPr>
                  </w:pPr>
                </w:p>
              </w:tc>
            </w:tr>
          </w:tbl>
          <w:p w14:paraId="25F71D0A" w14:textId="77777777" w:rsidR="008158F8" w:rsidRPr="004667A2" w:rsidRDefault="008158F8" w:rsidP="009549BF">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tblGrid>
            <w:tr w:rsidR="008158F8" w:rsidRPr="004667A2" w14:paraId="6F3CEFB2" w14:textId="77777777">
              <w:trPr>
                <w:tblCellSpacing w:w="15" w:type="dxa"/>
              </w:trPr>
              <w:tc>
                <w:tcPr>
                  <w:tcW w:w="0" w:type="auto"/>
                  <w:vAlign w:val="center"/>
                  <w:hideMark/>
                </w:tcPr>
                <w:p w14:paraId="1421C987" w14:textId="77777777" w:rsidR="008158F8" w:rsidRPr="004667A2" w:rsidRDefault="008158F8" w:rsidP="009549BF">
                  <w:pPr>
                    <w:spacing w:after="0" w:line="360" w:lineRule="auto"/>
                    <w:jc w:val="both"/>
                    <w:rPr>
                      <w:rFonts w:ascii="Times New Roman" w:hAnsi="Times New Roman" w:cs="Times New Roman"/>
                    </w:rPr>
                  </w:pPr>
                  <w:r w:rsidRPr="004667A2">
                    <w:rPr>
                      <w:rFonts w:ascii="Times New Roman" w:hAnsi="Times New Roman" w:cs="Times New Roman"/>
                    </w:rPr>
                    <w:t>Often (%)</w:t>
                  </w:r>
                </w:p>
              </w:tc>
            </w:tr>
          </w:tbl>
          <w:p w14:paraId="1AFD1705" w14:textId="77777777" w:rsidR="008158F8" w:rsidRPr="004667A2" w:rsidRDefault="008158F8" w:rsidP="009549BF">
            <w:pPr>
              <w:spacing w:line="360" w:lineRule="auto"/>
              <w:jc w:val="both"/>
              <w:outlineLvl w:val="1"/>
              <w:rPr>
                <w:rFonts w:ascii="Times New Roman" w:hAnsi="Times New Roman" w:cs="Times New Roman"/>
              </w:rPr>
            </w:pPr>
          </w:p>
        </w:tc>
        <w:tc>
          <w:tcPr>
            <w:tcW w:w="1066" w:type="dxa"/>
          </w:tcPr>
          <w:p w14:paraId="7A68EE49" w14:textId="14193FD4"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Very often (%)</w:t>
            </w:r>
          </w:p>
        </w:tc>
        <w:tc>
          <w:tcPr>
            <w:tcW w:w="1074" w:type="dxa"/>
          </w:tcPr>
          <w:p w14:paraId="268A4DB3" w14:textId="5DA1FA52"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Mean</w:t>
            </w:r>
          </w:p>
        </w:tc>
        <w:tc>
          <w:tcPr>
            <w:tcW w:w="1005" w:type="dxa"/>
          </w:tcPr>
          <w:p w14:paraId="22D38427" w14:textId="5A16DD59"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SD</w:t>
            </w:r>
          </w:p>
        </w:tc>
      </w:tr>
      <w:tr w:rsidR="00EF4F86" w:rsidRPr="004667A2" w14:paraId="51719820" w14:textId="77777777" w:rsidTr="008158F8">
        <w:tc>
          <w:tcPr>
            <w:tcW w:w="1523" w:type="dxa"/>
          </w:tcPr>
          <w:p w14:paraId="2E528B62" w14:textId="64DFFFAD"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Responding to teachers’ questions</w:t>
            </w:r>
          </w:p>
        </w:tc>
        <w:tc>
          <w:tcPr>
            <w:tcW w:w="1081" w:type="dxa"/>
          </w:tcPr>
          <w:p w14:paraId="2FB9EDB1" w14:textId="1C200AE8"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2 (4%)</w:t>
            </w:r>
          </w:p>
        </w:tc>
        <w:tc>
          <w:tcPr>
            <w:tcW w:w="1093" w:type="dxa"/>
          </w:tcPr>
          <w:p w14:paraId="0AE076E5" w14:textId="64A52A8D"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4 (8%)</w:t>
            </w:r>
          </w:p>
        </w:tc>
        <w:tc>
          <w:tcPr>
            <w:tcW w:w="1401" w:type="dxa"/>
          </w:tcPr>
          <w:p w14:paraId="603DEFA1" w14:textId="430BD639"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5 (10%)</w:t>
            </w:r>
          </w:p>
        </w:tc>
        <w:tc>
          <w:tcPr>
            <w:tcW w:w="1107" w:type="dxa"/>
          </w:tcPr>
          <w:p w14:paraId="431ED56B" w14:textId="7695DFE3"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21 (42%)</w:t>
            </w:r>
          </w:p>
        </w:tc>
        <w:tc>
          <w:tcPr>
            <w:tcW w:w="1066" w:type="dxa"/>
          </w:tcPr>
          <w:p w14:paraId="10EE5339" w14:textId="54D10916"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18 (36%)</w:t>
            </w:r>
          </w:p>
        </w:tc>
        <w:tc>
          <w:tcPr>
            <w:tcW w:w="1074" w:type="dxa"/>
          </w:tcPr>
          <w:p w14:paraId="21FB7405" w14:textId="7CF0C483"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3.96</w:t>
            </w:r>
          </w:p>
        </w:tc>
        <w:tc>
          <w:tcPr>
            <w:tcW w:w="1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158F8" w:rsidRPr="004667A2" w14:paraId="749B8DA9" w14:textId="77777777">
              <w:trPr>
                <w:tblCellSpacing w:w="15" w:type="dxa"/>
              </w:trPr>
              <w:tc>
                <w:tcPr>
                  <w:tcW w:w="0" w:type="auto"/>
                  <w:vAlign w:val="center"/>
                  <w:hideMark/>
                </w:tcPr>
                <w:p w14:paraId="7B2C7BF0" w14:textId="77777777" w:rsidR="008158F8" w:rsidRPr="004667A2" w:rsidRDefault="008158F8" w:rsidP="009549BF">
                  <w:pPr>
                    <w:spacing w:after="0" w:line="360" w:lineRule="auto"/>
                    <w:jc w:val="both"/>
                    <w:rPr>
                      <w:rFonts w:ascii="Times New Roman" w:hAnsi="Times New Roman" w:cs="Times New Roman"/>
                    </w:rPr>
                  </w:pPr>
                </w:p>
              </w:tc>
            </w:tr>
          </w:tbl>
          <w:p w14:paraId="0E9686C1" w14:textId="77777777" w:rsidR="008158F8" w:rsidRPr="004667A2" w:rsidRDefault="008158F8" w:rsidP="009549BF">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8158F8" w:rsidRPr="004667A2" w14:paraId="398B8267" w14:textId="77777777">
              <w:trPr>
                <w:tblCellSpacing w:w="15" w:type="dxa"/>
              </w:trPr>
              <w:tc>
                <w:tcPr>
                  <w:tcW w:w="0" w:type="auto"/>
                  <w:vAlign w:val="center"/>
                  <w:hideMark/>
                </w:tcPr>
                <w:p w14:paraId="3FBC656B" w14:textId="77777777" w:rsidR="008158F8" w:rsidRPr="004667A2" w:rsidRDefault="008158F8" w:rsidP="009549BF">
                  <w:pPr>
                    <w:spacing w:after="0" w:line="360" w:lineRule="auto"/>
                    <w:jc w:val="both"/>
                    <w:rPr>
                      <w:rFonts w:ascii="Times New Roman" w:hAnsi="Times New Roman" w:cs="Times New Roman"/>
                    </w:rPr>
                  </w:pPr>
                  <w:r w:rsidRPr="004667A2">
                    <w:rPr>
                      <w:rFonts w:ascii="Times New Roman" w:hAnsi="Times New Roman" w:cs="Times New Roman"/>
                    </w:rPr>
                    <w:t>0.61</w:t>
                  </w:r>
                </w:p>
              </w:tc>
            </w:tr>
          </w:tbl>
          <w:p w14:paraId="469EB424" w14:textId="77777777" w:rsidR="008158F8" w:rsidRPr="004667A2" w:rsidRDefault="008158F8" w:rsidP="009549BF">
            <w:pPr>
              <w:spacing w:line="360" w:lineRule="auto"/>
              <w:jc w:val="both"/>
              <w:outlineLvl w:val="1"/>
              <w:rPr>
                <w:rFonts w:ascii="Times New Roman" w:hAnsi="Times New Roman" w:cs="Times New Roman"/>
              </w:rPr>
            </w:pPr>
          </w:p>
        </w:tc>
      </w:tr>
      <w:tr w:rsidR="00EF4F86" w:rsidRPr="004667A2" w14:paraId="430C650A" w14:textId="77777777" w:rsidTr="008158F8">
        <w:tc>
          <w:tcPr>
            <w:tcW w:w="1523" w:type="dxa"/>
          </w:tcPr>
          <w:p w14:paraId="0DE5F5AB" w14:textId="6AA30034"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Participating in pair/group discussions</w:t>
            </w:r>
          </w:p>
        </w:tc>
        <w:tc>
          <w:tcPr>
            <w:tcW w:w="1081" w:type="dxa"/>
          </w:tcPr>
          <w:p w14:paraId="4A0E6621" w14:textId="6F7F1213"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3 (6%)</w:t>
            </w:r>
          </w:p>
        </w:tc>
        <w:tc>
          <w:tcPr>
            <w:tcW w:w="1093" w:type="dxa"/>
          </w:tcPr>
          <w:p w14:paraId="2570E4FE" w14:textId="2B14F86F"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6 (12%)</w:t>
            </w:r>
          </w:p>
        </w:tc>
        <w:tc>
          <w:tcPr>
            <w:tcW w:w="1401" w:type="dxa"/>
          </w:tcPr>
          <w:p w14:paraId="770DB86A" w14:textId="449B6B60"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5 (10%)</w:t>
            </w:r>
          </w:p>
        </w:tc>
        <w:tc>
          <w:tcPr>
            <w:tcW w:w="1107" w:type="dxa"/>
          </w:tcPr>
          <w:p w14:paraId="6468BA09" w14:textId="654F8338"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20 (40%)</w:t>
            </w:r>
          </w:p>
        </w:tc>
        <w:tc>
          <w:tcPr>
            <w:tcW w:w="1066" w:type="dxa"/>
          </w:tcPr>
          <w:p w14:paraId="20B5CAF5" w14:textId="74395238"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16 (32%)</w:t>
            </w:r>
          </w:p>
        </w:tc>
        <w:tc>
          <w:tcPr>
            <w:tcW w:w="1074" w:type="dxa"/>
          </w:tcPr>
          <w:p w14:paraId="7937CAC1" w14:textId="05431C4D"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3.74</w:t>
            </w:r>
          </w:p>
        </w:tc>
        <w:tc>
          <w:tcPr>
            <w:tcW w:w="1005" w:type="dxa"/>
          </w:tcPr>
          <w:p w14:paraId="6C6A3F54" w14:textId="72E7AF35"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0.67</w:t>
            </w:r>
          </w:p>
        </w:tc>
      </w:tr>
      <w:tr w:rsidR="00EF4F86" w:rsidRPr="004667A2" w14:paraId="3FA8ABDF" w14:textId="77777777" w:rsidTr="008158F8">
        <w:tc>
          <w:tcPr>
            <w:tcW w:w="1523" w:type="dxa"/>
          </w:tcPr>
          <w:p w14:paraId="3A7F7C67" w14:textId="453ABC36"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Giving prepared oral responses</w:t>
            </w:r>
          </w:p>
        </w:tc>
        <w:tc>
          <w:tcPr>
            <w:tcW w:w="1081" w:type="dxa"/>
          </w:tcPr>
          <w:p w14:paraId="47D45C3A" w14:textId="3D6C1303"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4 (8%)</w:t>
            </w:r>
          </w:p>
        </w:tc>
        <w:tc>
          <w:tcPr>
            <w:tcW w:w="1093" w:type="dxa"/>
          </w:tcPr>
          <w:p w14:paraId="38E2EA9F" w14:textId="22A0781D"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7 (14%)</w:t>
            </w:r>
          </w:p>
        </w:tc>
        <w:tc>
          <w:tcPr>
            <w:tcW w:w="1401" w:type="dxa"/>
          </w:tcPr>
          <w:p w14:paraId="744FAF86" w14:textId="14E4DCB7"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10 (20%)</w:t>
            </w:r>
          </w:p>
        </w:tc>
        <w:tc>
          <w:tcPr>
            <w:tcW w:w="1107" w:type="dxa"/>
          </w:tcPr>
          <w:p w14:paraId="300D98BF" w14:textId="399E52C8"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18 (36%)</w:t>
            </w:r>
          </w:p>
        </w:tc>
        <w:tc>
          <w:tcPr>
            <w:tcW w:w="1066" w:type="dxa"/>
          </w:tcPr>
          <w:p w14:paraId="14A9B4FA" w14:textId="3CA14C46"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11 (22%)</w:t>
            </w:r>
          </w:p>
        </w:tc>
        <w:tc>
          <w:tcPr>
            <w:tcW w:w="1074" w:type="dxa"/>
          </w:tcPr>
          <w:p w14:paraId="4D908946" w14:textId="4F15F1B6"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3.50</w:t>
            </w:r>
          </w:p>
        </w:tc>
        <w:tc>
          <w:tcPr>
            <w:tcW w:w="1005" w:type="dxa"/>
          </w:tcPr>
          <w:p w14:paraId="3CEF33F2" w14:textId="3770F881"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0.79</w:t>
            </w:r>
          </w:p>
        </w:tc>
      </w:tr>
      <w:tr w:rsidR="00EF4F86" w:rsidRPr="004667A2" w14:paraId="3FC7761B" w14:textId="77777777" w:rsidTr="008158F8">
        <w:tc>
          <w:tcPr>
            <w:tcW w:w="1523" w:type="dxa"/>
          </w:tcPr>
          <w:p w14:paraId="4D8CFD49" w14:textId="26E74798"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 xml:space="preserve">Volunteering opinions </w:t>
            </w:r>
            <w:r w:rsidRPr="004667A2">
              <w:rPr>
                <w:rFonts w:ascii="Times New Roman" w:hAnsi="Times New Roman" w:cs="Times New Roman"/>
              </w:rPr>
              <w:lastRenderedPageBreak/>
              <w:t>without prompts</w:t>
            </w:r>
          </w:p>
        </w:tc>
        <w:tc>
          <w:tcPr>
            <w:tcW w:w="1081" w:type="dxa"/>
          </w:tcPr>
          <w:p w14:paraId="34DDAC64" w14:textId="4CD61F70"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lastRenderedPageBreak/>
              <w:t>8 (16%)</w:t>
            </w:r>
          </w:p>
        </w:tc>
        <w:tc>
          <w:tcPr>
            <w:tcW w:w="1093" w:type="dxa"/>
          </w:tcPr>
          <w:p w14:paraId="372B4E1F" w14:textId="6F979A0B"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15 (30%)</w:t>
            </w:r>
          </w:p>
        </w:tc>
        <w:tc>
          <w:tcPr>
            <w:tcW w:w="14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158F8" w:rsidRPr="004667A2" w14:paraId="15F89906" w14:textId="77777777">
              <w:trPr>
                <w:tblCellSpacing w:w="15" w:type="dxa"/>
              </w:trPr>
              <w:tc>
                <w:tcPr>
                  <w:tcW w:w="0" w:type="auto"/>
                  <w:vAlign w:val="center"/>
                  <w:hideMark/>
                </w:tcPr>
                <w:p w14:paraId="094422D2" w14:textId="77777777" w:rsidR="008158F8" w:rsidRPr="004667A2" w:rsidRDefault="008158F8" w:rsidP="009549BF">
                  <w:pPr>
                    <w:spacing w:after="0" w:line="360" w:lineRule="auto"/>
                    <w:jc w:val="both"/>
                    <w:rPr>
                      <w:rFonts w:ascii="Times New Roman" w:hAnsi="Times New Roman" w:cs="Times New Roman"/>
                    </w:rPr>
                  </w:pPr>
                </w:p>
              </w:tc>
            </w:tr>
          </w:tbl>
          <w:p w14:paraId="7D1340A3" w14:textId="77777777" w:rsidR="008158F8" w:rsidRPr="004667A2" w:rsidRDefault="008158F8" w:rsidP="009549BF">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8158F8" w:rsidRPr="004667A2" w14:paraId="2CB17C8A" w14:textId="77777777">
              <w:trPr>
                <w:tblCellSpacing w:w="15" w:type="dxa"/>
              </w:trPr>
              <w:tc>
                <w:tcPr>
                  <w:tcW w:w="0" w:type="auto"/>
                  <w:vAlign w:val="center"/>
                  <w:hideMark/>
                </w:tcPr>
                <w:p w14:paraId="66A395AA" w14:textId="77777777" w:rsidR="008158F8" w:rsidRPr="004667A2" w:rsidRDefault="008158F8" w:rsidP="009549BF">
                  <w:pPr>
                    <w:spacing w:after="0" w:line="360" w:lineRule="auto"/>
                    <w:jc w:val="both"/>
                    <w:rPr>
                      <w:rFonts w:ascii="Times New Roman" w:hAnsi="Times New Roman" w:cs="Times New Roman"/>
                    </w:rPr>
                  </w:pPr>
                  <w:r w:rsidRPr="004667A2">
                    <w:rPr>
                      <w:rFonts w:ascii="Times New Roman" w:hAnsi="Times New Roman" w:cs="Times New Roman"/>
                    </w:rPr>
                    <w:t>10 (20%)</w:t>
                  </w:r>
                </w:p>
              </w:tc>
            </w:tr>
          </w:tbl>
          <w:p w14:paraId="1360D448" w14:textId="77777777" w:rsidR="008158F8" w:rsidRPr="004667A2" w:rsidRDefault="008158F8" w:rsidP="009549BF">
            <w:pPr>
              <w:spacing w:line="360" w:lineRule="auto"/>
              <w:jc w:val="both"/>
              <w:outlineLvl w:val="1"/>
              <w:rPr>
                <w:rFonts w:ascii="Times New Roman" w:hAnsi="Times New Roman" w:cs="Times New Roman"/>
              </w:rPr>
            </w:pPr>
          </w:p>
        </w:tc>
        <w:tc>
          <w:tcPr>
            <w:tcW w:w="1107" w:type="dxa"/>
          </w:tcPr>
          <w:p w14:paraId="04BC798B" w14:textId="7BF24DA6"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12 (24%)</w:t>
            </w:r>
          </w:p>
        </w:tc>
        <w:tc>
          <w:tcPr>
            <w:tcW w:w="1066" w:type="dxa"/>
          </w:tcPr>
          <w:p w14:paraId="4D8F837D" w14:textId="6E331C96"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5 (10%)</w:t>
            </w:r>
          </w:p>
        </w:tc>
        <w:tc>
          <w:tcPr>
            <w:tcW w:w="10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158F8" w:rsidRPr="004667A2" w14:paraId="1043707D" w14:textId="77777777">
              <w:trPr>
                <w:tblCellSpacing w:w="15" w:type="dxa"/>
              </w:trPr>
              <w:tc>
                <w:tcPr>
                  <w:tcW w:w="0" w:type="auto"/>
                  <w:vAlign w:val="center"/>
                  <w:hideMark/>
                </w:tcPr>
                <w:p w14:paraId="1169508A" w14:textId="77777777" w:rsidR="008158F8" w:rsidRPr="004667A2" w:rsidRDefault="008158F8" w:rsidP="009549BF">
                  <w:pPr>
                    <w:spacing w:after="0" w:line="360" w:lineRule="auto"/>
                    <w:jc w:val="both"/>
                    <w:rPr>
                      <w:rFonts w:ascii="Times New Roman" w:hAnsi="Times New Roman" w:cs="Times New Roman"/>
                    </w:rPr>
                  </w:pPr>
                </w:p>
              </w:tc>
            </w:tr>
          </w:tbl>
          <w:p w14:paraId="063F214A" w14:textId="77777777" w:rsidR="008158F8" w:rsidRPr="004667A2" w:rsidRDefault="008158F8" w:rsidP="009549BF">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tblGrid>
            <w:tr w:rsidR="008158F8" w:rsidRPr="004667A2" w14:paraId="1A5BA09C" w14:textId="77777777">
              <w:trPr>
                <w:tblCellSpacing w:w="15" w:type="dxa"/>
              </w:trPr>
              <w:tc>
                <w:tcPr>
                  <w:tcW w:w="0" w:type="auto"/>
                  <w:vAlign w:val="center"/>
                  <w:hideMark/>
                </w:tcPr>
                <w:p w14:paraId="3EECB800" w14:textId="77777777" w:rsidR="008158F8" w:rsidRPr="004667A2" w:rsidRDefault="008158F8" w:rsidP="009549BF">
                  <w:pPr>
                    <w:spacing w:after="0" w:line="360" w:lineRule="auto"/>
                    <w:jc w:val="both"/>
                    <w:rPr>
                      <w:rFonts w:ascii="Times New Roman" w:hAnsi="Times New Roman" w:cs="Times New Roman"/>
                    </w:rPr>
                  </w:pPr>
                  <w:r w:rsidRPr="004667A2">
                    <w:rPr>
                      <w:rFonts w:ascii="Times New Roman" w:hAnsi="Times New Roman" w:cs="Times New Roman"/>
                    </w:rPr>
                    <w:t>2.91</w:t>
                  </w:r>
                </w:p>
              </w:tc>
            </w:tr>
          </w:tbl>
          <w:p w14:paraId="15B442E1" w14:textId="77777777" w:rsidR="008158F8" w:rsidRPr="004667A2" w:rsidRDefault="008158F8" w:rsidP="009549BF">
            <w:pPr>
              <w:spacing w:line="360" w:lineRule="auto"/>
              <w:jc w:val="both"/>
              <w:outlineLvl w:val="1"/>
              <w:rPr>
                <w:rFonts w:ascii="Times New Roman" w:hAnsi="Times New Roman" w:cs="Times New Roman"/>
              </w:rPr>
            </w:pPr>
          </w:p>
        </w:tc>
        <w:tc>
          <w:tcPr>
            <w:tcW w:w="1005" w:type="dxa"/>
          </w:tcPr>
          <w:p w14:paraId="3F767DDE" w14:textId="667DC43D" w:rsidR="008158F8" w:rsidRPr="004667A2" w:rsidRDefault="008158F8" w:rsidP="009549BF">
            <w:pPr>
              <w:spacing w:line="360" w:lineRule="auto"/>
              <w:jc w:val="both"/>
              <w:outlineLvl w:val="1"/>
              <w:rPr>
                <w:rFonts w:ascii="Times New Roman" w:hAnsi="Times New Roman" w:cs="Times New Roman"/>
              </w:rPr>
            </w:pPr>
            <w:r w:rsidRPr="004667A2">
              <w:rPr>
                <w:rFonts w:ascii="Times New Roman" w:hAnsi="Times New Roman" w:cs="Times New Roman"/>
              </w:rPr>
              <w:t>0.83</w:t>
            </w:r>
          </w:p>
        </w:tc>
      </w:tr>
    </w:tbl>
    <w:p w14:paraId="56E607D1" w14:textId="77777777" w:rsidR="00306703" w:rsidRPr="004667A2" w:rsidRDefault="00306703" w:rsidP="006F14C9">
      <w:pPr>
        <w:spacing w:after="0" w:line="360" w:lineRule="auto"/>
        <w:jc w:val="center"/>
        <w:outlineLvl w:val="1"/>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Table 1</w:t>
      </w:r>
    </w:p>
    <w:p w14:paraId="0FDE1C08" w14:textId="51C6BD82" w:rsidR="00306703" w:rsidRPr="004667A2" w:rsidRDefault="00306703" w:rsidP="009549BF">
      <w:pPr>
        <w:spacing w:after="120" w:line="360" w:lineRule="auto"/>
        <w:ind w:firstLine="720"/>
        <w:jc w:val="both"/>
        <w:outlineLvl w:val="1"/>
        <w:rPr>
          <w:rFonts w:ascii="Times New Roman" w:hAnsi="Times New Roman" w:cs="Times New Roman"/>
          <w:b/>
          <w:bCs/>
        </w:rPr>
      </w:pPr>
      <w:r w:rsidRPr="004667A2">
        <w:rPr>
          <w:rFonts w:ascii="Times New Roman" w:eastAsia="Times New Roman" w:hAnsi="Times New Roman" w:cs="Times New Roman"/>
          <w:b/>
          <w:bCs/>
          <w:kern w:val="0"/>
          <w14:ligatures w14:val="none"/>
        </w:rPr>
        <w:t>Frequency of English-Speaking Use inside the Classroom (n = 50)</w:t>
      </w:r>
    </w:p>
    <w:p w14:paraId="782B06A1" w14:textId="77777777" w:rsidR="00CD1560" w:rsidRPr="004667A2" w:rsidRDefault="00CD1560"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As illustrated in Table 1, English speaking inside the classroom was most often engaged in during teacher-initiated activities. Responding to teacher-posed questions was the most common form of English speaking, achieving the highest mean score (M = 3.96, SD = 0.61), while participating in pair or group discussions came second (M = 3.74, SD = 0.67). English speaking engaged in for the purpose of self-initiating, such as volunteering opinions without any prompts, was reported the least (M = 2.91, SD = 0.83).</w:t>
      </w:r>
    </w:p>
    <w:p w14:paraId="28DAF1CC" w14:textId="18320A1F" w:rsidR="0020571D" w:rsidRPr="004667A2" w:rsidRDefault="0020571D" w:rsidP="009549BF">
      <w:pPr>
        <w:spacing w:after="120" w:line="360" w:lineRule="auto"/>
        <w:ind w:firstLine="720"/>
        <w:jc w:val="both"/>
        <w:outlineLvl w:val="1"/>
        <w:rPr>
          <w:rFonts w:ascii="Times New Roman" w:hAnsi="Times New Roman" w:cs="Times New Roman"/>
          <w:i/>
          <w:iCs/>
        </w:rPr>
      </w:pPr>
      <w:r w:rsidRPr="004667A2">
        <w:rPr>
          <w:rFonts w:ascii="Times New Roman" w:hAnsi="Times New Roman" w:cs="Times New Roman"/>
          <w:i/>
          <w:iCs/>
        </w:rPr>
        <w:t xml:space="preserve">4.1.2 English-Speaking Use outside </w:t>
      </w:r>
      <w:r w:rsidR="00F81A5D">
        <w:rPr>
          <w:rFonts w:ascii="Times New Roman" w:hAnsi="Times New Roman" w:cs="Times New Roman"/>
          <w:i/>
          <w:iCs/>
        </w:rPr>
        <w:t>class</w:t>
      </w:r>
      <w:r w:rsidRPr="004667A2">
        <w:rPr>
          <w:rFonts w:ascii="Times New Roman" w:hAnsi="Times New Roman" w:cs="Times New Roman"/>
          <w:i/>
          <w:iCs/>
        </w:rPr>
        <w:t xml:space="preserve"> in Real-Life</w:t>
      </w:r>
      <w:r w:rsidR="00293428">
        <w:rPr>
          <w:rFonts w:ascii="Times New Roman" w:hAnsi="Times New Roman" w:cs="Times New Roman"/>
          <w:i/>
          <w:iCs/>
          <w:lang w:val="vi-VN"/>
        </w:rPr>
        <w:t xml:space="preserve"> communicative</w:t>
      </w:r>
      <w:r w:rsidRPr="004667A2">
        <w:rPr>
          <w:rFonts w:ascii="Times New Roman" w:hAnsi="Times New Roman" w:cs="Times New Roman"/>
          <w:i/>
          <w:iCs/>
        </w:rPr>
        <w:t xml:space="preserve"> Contexts</w:t>
      </w:r>
    </w:p>
    <w:p w14:paraId="1E4624A5" w14:textId="7F7F2E2C" w:rsidR="006D6279" w:rsidRPr="004667A2" w:rsidRDefault="006D6279"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In contrast to the school context, the use of English outside the school was found to be limited. The data collected by the questionnaire show that there was a considerable decrease in the rate of English use when the contexts of real-life English-speaking activities were considered.</w:t>
      </w:r>
    </w:p>
    <w:p w14:paraId="73758BC0" w14:textId="1FD00787" w:rsidR="006D6279" w:rsidRPr="004667A2" w:rsidRDefault="006D6279"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 xml:space="preserve">In the outside </w:t>
      </w:r>
      <w:r w:rsidR="00293428">
        <w:rPr>
          <w:rFonts w:ascii="Times New Roman" w:hAnsi="Times New Roman" w:cs="Times New Roman"/>
        </w:rPr>
        <w:t>class</w:t>
      </w:r>
      <w:r w:rsidRPr="004667A2">
        <w:rPr>
          <w:rFonts w:ascii="Times New Roman" w:hAnsi="Times New Roman" w:cs="Times New Roman"/>
        </w:rPr>
        <w:t xml:space="preserve"> context, only 18% of the participants (n = 9) reported that they used English frequently or very frequently, whereas 62% of the participants (n = 31) reported that they used English rarely or not at all for speaking activities in daily life. The overall mean score for the use of English outside the school for speaking activities was M = 2.14 (SD = 0.71), which was significantly lower than the score for English-speaking activities in the school context.</w:t>
      </w:r>
    </w:p>
    <w:p w14:paraId="18493BA7" w14:textId="5DF48330" w:rsidR="006D6279" w:rsidRPr="004667A2" w:rsidRDefault="006D6279" w:rsidP="009549BF">
      <w:pPr>
        <w:spacing w:after="120" w:line="360" w:lineRule="auto"/>
        <w:ind w:firstLine="720"/>
        <w:jc w:val="both"/>
        <w:outlineLvl w:val="1"/>
        <w:rPr>
          <w:rFonts w:ascii="Times New Roman" w:hAnsi="Times New Roman" w:cs="Times New Roman"/>
          <w:lang w:val="vi-VN"/>
        </w:rPr>
      </w:pPr>
      <w:r w:rsidRPr="004667A2">
        <w:rPr>
          <w:rFonts w:ascii="Times New Roman" w:hAnsi="Times New Roman" w:cs="Times New Roman"/>
        </w:rPr>
        <w:t>However, a closer examination of the data indicated that 70% of the students (n = 35) used English infrequently when interacting with their peers, including those who were simultaneously taking English courses. Additionally, 76% of the students (n = 38) stated that they used English almost never when interacting in service encounters, such as ordering food, shopping, or seeking information. The use of English in online communication was slightly higher but still limited, with 42% (n = 21) of the students stating that they used English occasionally.</w:t>
      </w:r>
    </w:p>
    <w:p w14:paraId="4F7D8067" w14:textId="606F642F" w:rsidR="0020571D" w:rsidRPr="007869C2" w:rsidRDefault="006D6279" w:rsidP="009549BF">
      <w:pPr>
        <w:spacing w:after="0" w:line="360" w:lineRule="auto"/>
        <w:jc w:val="both"/>
        <w:outlineLvl w:val="1"/>
        <w:rPr>
          <w:rFonts w:ascii="Times New Roman" w:hAnsi="Times New Roman" w:cs="Times New Roman"/>
          <w:lang w:val="vi-VN"/>
        </w:rPr>
      </w:pPr>
      <w:r w:rsidRPr="004667A2">
        <w:rPr>
          <w:rFonts w:ascii="Times New Roman" w:hAnsi="Times New Roman" w:cs="Times New Roman"/>
        </w:rPr>
        <w:t xml:space="preserve">The above data suggest that there was a significant gap in the use of English in the classroom and in out-of-class contexts. Although the students used English frequently in the classroom, they used English minimally in real-life </w:t>
      </w:r>
      <w:r w:rsidR="00293428">
        <w:rPr>
          <w:rFonts w:ascii="Times New Roman" w:hAnsi="Times New Roman" w:cs="Times New Roman"/>
        </w:rPr>
        <w:t>communicative</w:t>
      </w:r>
      <w:r w:rsidR="00293428">
        <w:rPr>
          <w:rFonts w:ascii="Times New Roman" w:hAnsi="Times New Roman" w:cs="Times New Roman"/>
          <w:lang w:val="vi-VN"/>
        </w:rPr>
        <w:t xml:space="preserve"> </w:t>
      </w:r>
      <w:r w:rsidRPr="004667A2">
        <w:rPr>
          <w:rFonts w:ascii="Times New Roman" w:hAnsi="Times New Roman" w:cs="Times New Roman"/>
        </w:rPr>
        <w:t>contexts.</w:t>
      </w:r>
      <w:r w:rsidR="007869C2">
        <w:rPr>
          <w:rFonts w:ascii="Times New Roman" w:hAnsi="Times New Roman" w:cs="Times New Roman"/>
          <w:lang w:val="vi-VN"/>
        </w:rPr>
        <w:t xml:space="preserve"> </w:t>
      </w:r>
      <w:r w:rsidR="00141F7C" w:rsidRPr="00141F7C">
        <w:rPr>
          <w:rFonts w:ascii="Times New Roman" w:hAnsi="Times New Roman" w:cs="Times New Roman"/>
          <w:lang w:val="vi-VN"/>
        </w:rPr>
        <w:t xml:space="preserve">A Wilcoxon signed-rank test revealed a statistically significant difference between students’ reported English-speaking frequency inside </w:t>
      </w:r>
      <w:r w:rsidR="00141F7C" w:rsidRPr="00141F7C">
        <w:rPr>
          <w:rFonts w:ascii="Times New Roman" w:hAnsi="Times New Roman" w:cs="Times New Roman"/>
          <w:lang w:val="vi-VN"/>
        </w:rPr>
        <w:lastRenderedPageBreak/>
        <w:t>and outside the classroom, with classroom speaking reported more frequently, Z = -5.42, p &lt; .001, r = .77, indicating a large effect size.</w:t>
      </w:r>
    </w:p>
    <w:tbl>
      <w:tblPr>
        <w:tblStyle w:val="TableGrid"/>
        <w:tblW w:w="9715" w:type="dxa"/>
        <w:tblLayout w:type="fixed"/>
        <w:tblLook w:val="04A0" w:firstRow="1" w:lastRow="0" w:firstColumn="1" w:lastColumn="0" w:noHBand="0" w:noVBand="1"/>
      </w:tblPr>
      <w:tblGrid>
        <w:gridCol w:w="2057"/>
        <w:gridCol w:w="1094"/>
        <w:gridCol w:w="1094"/>
        <w:gridCol w:w="1094"/>
        <w:gridCol w:w="1094"/>
        <w:gridCol w:w="1094"/>
        <w:gridCol w:w="1094"/>
        <w:gridCol w:w="1094"/>
      </w:tblGrid>
      <w:tr w:rsidR="00EF4F86" w:rsidRPr="004667A2" w14:paraId="61ACAAEF" w14:textId="77777777" w:rsidTr="00EF4F86">
        <w:trPr>
          <w:trHeight w:val="1214"/>
        </w:trPr>
        <w:tc>
          <w:tcPr>
            <w:tcW w:w="2057" w:type="dxa"/>
          </w:tcPr>
          <w:p w14:paraId="33A8737C" w14:textId="7FB0E4A6" w:rsidR="008B3A81" w:rsidRPr="004667A2" w:rsidRDefault="008B3A81" w:rsidP="009549BF">
            <w:pPr>
              <w:spacing w:line="360" w:lineRule="auto"/>
              <w:jc w:val="both"/>
              <w:rPr>
                <w:rFonts w:ascii="Times New Roman" w:hAnsi="Times New Roman" w:cs="Times New Roman"/>
                <w:lang w:val="vi-VN"/>
              </w:rPr>
            </w:pPr>
            <w:r w:rsidRPr="004667A2">
              <w:rPr>
                <w:rFonts w:ascii="Times New Roman" w:hAnsi="Times New Roman" w:cs="Times New Roman"/>
              </w:rPr>
              <w:t>Out-of-class English-speaking contexts</w:t>
            </w:r>
          </w:p>
        </w:tc>
        <w:tc>
          <w:tcPr>
            <w:tcW w:w="1094" w:type="dxa"/>
          </w:tcPr>
          <w:p w14:paraId="60632B18" w14:textId="31F628E7"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Never (%)</w:t>
            </w:r>
          </w:p>
        </w:tc>
        <w:tc>
          <w:tcPr>
            <w:tcW w:w="1094" w:type="dxa"/>
          </w:tcPr>
          <w:p w14:paraId="577929C2" w14:textId="5B150173"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Rarely (%)</w:t>
            </w:r>
          </w:p>
        </w:tc>
        <w:tc>
          <w:tcPr>
            <w:tcW w:w="1094" w:type="dxa"/>
          </w:tcPr>
          <w:p w14:paraId="5E43E2D9" w14:textId="32205D4D"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Sometimes (%)</w:t>
            </w:r>
          </w:p>
        </w:tc>
        <w:tc>
          <w:tcPr>
            <w:tcW w:w="1094" w:type="dxa"/>
          </w:tcPr>
          <w:p w14:paraId="6D6283D5" w14:textId="0E37A64B"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Often (%)</w:t>
            </w:r>
          </w:p>
        </w:tc>
        <w:tc>
          <w:tcPr>
            <w:tcW w:w="1094" w:type="dxa"/>
          </w:tcPr>
          <w:p w14:paraId="77687CE2" w14:textId="7A09E810"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Very often (%)</w:t>
            </w: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4E471C86" w14:textId="77777777" w:rsidTr="00D7160A">
              <w:trPr>
                <w:tblCellSpacing w:w="15" w:type="dxa"/>
              </w:trPr>
              <w:tc>
                <w:tcPr>
                  <w:tcW w:w="36" w:type="dxa"/>
                  <w:vAlign w:val="center"/>
                  <w:hideMark/>
                </w:tcPr>
                <w:p w14:paraId="1A0BB5B8" w14:textId="77777777" w:rsidR="008B3A81" w:rsidRPr="004667A2" w:rsidRDefault="008B3A81" w:rsidP="009549BF">
                  <w:pPr>
                    <w:spacing w:after="0" w:line="360" w:lineRule="auto"/>
                    <w:jc w:val="both"/>
                    <w:rPr>
                      <w:rFonts w:ascii="Times New Roman" w:hAnsi="Times New Roman" w:cs="Times New Roman"/>
                    </w:rPr>
                  </w:pPr>
                </w:p>
              </w:tc>
            </w:tr>
          </w:tbl>
          <w:p w14:paraId="191E21DD"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08"/>
            </w:tblGrid>
            <w:tr w:rsidR="008B3A81" w:rsidRPr="004667A2" w14:paraId="613B1995" w14:textId="77777777" w:rsidTr="00D7160A">
              <w:trPr>
                <w:tblCellSpacing w:w="15" w:type="dxa"/>
              </w:trPr>
              <w:tc>
                <w:tcPr>
                  <w:tcW w:w="748" w:type="dxa"/>
                  <w:vAlign w:val="center"/>
                  <w:hideMark/>
                </w:tcPr>
                <w:p w14:paraId="3405E551" w14:textId="6ABDA586" w:rsidR="008B3A81" w:rsidRPr="004667A2" w:rsidRDefault="00D7160A" w:rsidP="009549BF">
                  <w:pPr>
                    <w:spacing w:after="0" w:line="360" w:lineRule="auto"/>
                    <w:jc w:val="both"/>
                    <w:rPr>
                      <w:rFonts w:ascii="Times New Roman" w:hAnsi="Times New Roman" w:cs="Times New Roman"/>
                    </w:rPr>
                  </w:pPr>
                  <w:r w:rsidRPr="004667A2">
                    <w:rPr>
                      <w:rFonts w:ascii="Times New Roman" w:hAnsi="Times New Roman" w:cs="Times New Roman"/>
                    </w:rPr>
                    <w:t>M</w:t>
                  </w:r>
                  <w:r w:rsidR="008B3A81" w:rsidRPr="004667A2">
                    <w:rPr>
                      <w:rFonts w:ascii="Times New Roman" w:hAnsi="Times New Roman" w:cs="Times New Roman"/>
                    </w:rPr>
                    <w:t>ean</w:t>
                  </w:r>
                </w:p>
              </w:tc>
            </w:tr>
          </w:tbl>
          <w:p w14:paraId="7E8BE9B3" w14:textId="77777777" w:rsidR="008B3A81" w:rsidRPr="004667A2" w:rsidRDefault="008B3A81" w:rsidP="009549BF">
            <w:pPr>
              <w:spacing w:line="360" w:lineRule="auto"/>
              <w:jc w:val="both"/>
              <w:outlineLvl w:val="1"/>
              <w:rPr>
                <w:rFonts w:ascii="Times New Roman" w:hAnsi="Times New Roman" w:cs="Times New Roman"/>
              </w:rPr>
            </w:pPr>
          </w:p>
        </w:tc>
        <w:tc>
          <w:tcPr>
            <w:tcW w:w="1094" w:type="dxa"/>
          </w:tcPr>
          <w:p w14:paraId="5891851E" w14:textId="05619930" w:rsidR="008B3A81" w:rsidRPr="004667A2" w:rsidRDefault="00D7160A" w:rsidP="009549BF">
            <w:pPr>
              <w:spacing w:line="360" w:lineRule="auto"/>
              <w:jc w:val="both"/>
              <w:outlineLvl w:val="1"/>
              <w:rPr>
                <w:rFonts w:ascii="Times New Roman" w:hAnsi="Times New Roman" w:cs="Times New Roman"/>
              </w:rPr>
            </w:pPr>
            <w:r w:rsidRPr="004667A2">
              <w:rPr>
                <w:rFonts w:ascii="Times New Roman" w:hAnsi="Times New Roman" w:cs="Times New Roman"/>
              </w:rPr>
              <w:t>S</w:t>
            </w:r>
            <w:r w:rsidR="008B3A81" w:rsidRPr="004667A2">
              <w:rPr>
                <w:rFonts w:ascii="Times New Roman" w:hAnsi="Times New Roman" w:cs="Times New Roman"/>
              </w:rPr>
              <w:t>D</w:t>
            </w:r>
          </w:p>
        </w:tc>
      </w:tr>
      <w:tr w:rsidR="00EF4F86" w:rsidRPr="004667A2" w14:paraId="3E1A7F67" w14:textId="77777777" w:rsidTr="00EF4F86">
        <w:tc>
          <w:tcPr>
            <w:tcW w:w="2057" w:type="dxa"/>
          </w:tcPr>
          <w:p w14:paraId="38268743" w14:textId="09E7DA67"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Communicating with friends in English</w:t>
            </w:r>
          </w:p>
        </w:tc>
        <w:tc>
          <w:tcPr>
            <w:tcW w:w="1094" w:type="dxa"/>
          </w:tcPr>
          <w:p w14:paraId="391FF985" w14:textId="3F9F1D4A"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15 (30%)</w:t>
            </w:r>
          </w:p>
        </w:tc>
        <w:tc>
          <w:tcPr>
            <w:tcW w:w="1094" w:type="dxa"/>
          </w:tcPr>
          <w:p w14:paraId="1AB4378A" w14:textId="6CF794BA"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20 (40%)</w:t>
            </w:r>
          </w:p>
        </w:tc>
        <w:tc>
          <w:tcPr>
            <w:tcW w:w="1094" w:type="dxa"/>
          </w:tcPr>
          <w:p w14:paraId="0EC362E8" w14:textId="2CF2611A"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8 (16%)</w:t>
            </w: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0DA1A2BF" w14:textId="77777777" w:rsidTr="00D7160A">
              <w:trPr>
                <w:tblCellSpacing w:w="15" w:type="dxa"/>
              </w:trPr>
              <w:tc>
                <w:tcPr>
                  <w:tcW w:w="36" w:type="dxa"/>
                  <w:vAlign w:val="center"/>
                  <w:hideMark/>
                </w:tcPr>
                <w:p w14:paraId="7F9837CD" w14:textId="77777777" w:rsidR="008B3A81" w:rsidRPr="004667A2" w:rsidRDefault="008B3A81" w:rsidP="009549BF">
                  <w:pPr>
                    <w:spacing w:after="0" w:line="360" w:lineRule="auto"/>
                    <w:jc w:val="both"/>
                    <w:rPr>
                      <w:rFonts w:ascii="Times New Roman" w:hAnsi="Times New Roman" w:cs="Times New Roman"/>
                    </w:rPr>
                  </w:pPr>
                </w:p>
              </w:tc>
            </w:tr>
          </w:tbl>
          <w:p w14:paraId="0CED22D3"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18"/>
            </w:tblGrid>
            <w:tr w:rsidR="008B3A81" w:rsidRPr="004667A2" w14:paraId="2733820C" w14:textId="77777777" w:rsidTr="00D7160A">
              <w:trPr>
                <w:tblCellSpacing w:w="15" w:type="dxa"/>
              </w:trPr>
              <w:tc>
                <w:tcPr>
                  <w:tcW w:w="758" w:type="dxa"/>
                  <w:vAlign w:val="center"/>
                  <w:hideMark/>
                </w:tcPr>
                <w:p w14:paraId="005DBD4A"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5 (10%)</w:t>
                  </w:r>
                </w:p>
              </w:tc>
            </w:tr>
          </w:tbl>
          <w:p w14:paraId="78B6137A" w14:textId="77777777" w:rsidR="008B3A81" w:rsidRPr="004667A2" w:rsidRDefault="008B3A81" w:rsidP="009549BF">
            <w:pPr>
              <w:spacing w:line="360" w:lineRule="auto"/>
              <w:jc w:val="both"/>
              <w:outlineLvl w:val="1"/>
              <w:rPr>
                <w:rFonts w:ascii="Times New Roman" w:hAnsi="Times New Roman" w:cs="Times New Roman"/>
              </w:rPr>
            </w:pPr>
          </w:p>
        </w:tc>
        <w:tc>
          <w:tcPr>
            <w:tcW w:w="1094" w:type="dxa"/>
          </w:tcPr>
          <w:p w14:paraId="7C162E2C" w14:textId="36D26B06"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 (4%)</w:t>
            </w:r>
          </w:p>
        </w:tc>
        <w:tc>
          <w:tcPr>
            <w:tcW w:w="1094" w:type="dxa"/>
          </w:tcPr>
          <w:p w14:paraId="79F63BC0" w14:textId="626DE9C7"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2.18</w:t>
            </w:r>
          </w:p>
        </w:tc>
        <w:tc>
          <w:tcPr>
            <w:tcW w:w="1094" w:type="dxa"/>
          </w:tcPr>
          <w:p w14:paraId="765F38FF" w14:textId="5342AD25"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0.88</w:t>
            </w:r>
          </w:p>
        </w:tc>
      </w:tr>
      <w:tr w:rsidR="00EF4F86" w:rsidRPr="004667A2" w14:paraId="26E11785" w14:textId="77777777" w:rsidTr="00EF4F86">
        <w:tc>
          <w:tcPr>
            <w:tcW w:w="2057" w:type="dxa"/>
          </w:tcPr>
          <w:p w14:paraId="19967A7F" w14:textId="78BCCBCC"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Using English in service encounters (e.g., shopping, ordering food)</w:t>
            </w:r>
          </w:p>
        </w:tc>
        <w:tc>
          <w:tcPr>
            <w:tcW w:w="1094" w:type="dxa"/>
          </w:tcPr>
          <w:p w14:paraId="3CE61914" w14:textId="1E74A786"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18 (36%)</w:t>
            </w:r>
          </w:p>
        </w:tc>
        <w:tc>
          <w:tcPr>
            <w:tcW w:w="1094" w:type="dxa"/>
          </w:tcPr>
          <w:p w14:paraId="625CDDEB" w14:textId="1A0DB516"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20 (40%)</w:t>
            </w:r>
          </w:p>
        </w:tc>
        <w:tc>
          <w:tcPr>
            <w:tcW w:w="1094" w:type="dxa"/>
          </w:tcPr>
          <w:p w14:paraId="1FBA6F6B" w14:textId="2DCA93DE"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7 (14%)</w:t>
            </w:r>
          </w:p>
        </w:tc>
        <w:tc>
          <w:tcPr>
            <w:tcW w:w="1094" w:type="dxa"/>
          </w:tcPr>
          <w:p w14:paraId="4E5116B0" w14:textId="42FFE8F1"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4 (8%)</w:t>
            </w:r>
          </w:p>
        </w:tc>
        <w:tc>
          <w:tcPr>
            <w:tcW w:w="1094" w:type="dxa"/>
          </w:tcPr>
          <w:p w14:paraId="17E04E55" w14:textId="3A2F0A90"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 (2%)</w:t>
            </w:r>
          </w:p>
        </w:tc>
        <w:tc>
          <w:tcPr>
            <w:tcW w:w="1094" w:type="dxa"/>
          </w:tcPr>
          <w:p w14:paraId="1329D80A" w14:textId="23CA8C06"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2.00</w:t>
            </w: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2D7BF249" w14:textId="77777777" w:rsidTr="00D7160A">
              <w:trPr>
                <w:tblCellSpacing w:w="15" w:type="dxa"/>
              </w:trPr>
              <w:tc>
                <w:tcPr>
                  <w:tcW w:w="36" w:type="dxa"/>
                  <w:vAlign w:val="center"/>
                  <w:hideMark/>
                </w:tcPr>
                <w:p w14:paraId="6DE60C8A" w14:textId="77777777" w:rsidR="008B3A81" w:rsidRPr="004667A2" w:rsidRDefault="008B3A81" w:rsidP="009549BF">
                  <w:pPr>
                    <w:spacing w:after="0" w:line="360" w:lineRule="auto"/>
                    <w:jc w:val="both"/>
                    <w:rPr>
                      <w:rFonts w:ascii="Times New Roman" w:hAnsi="Times New Roman" w:cs="Times New Roman"/>
                    </w:rPr>
                  </w:pPr>
                </w:p>
              </w:tc>
            </w:tr>
          </w:tbl>
          <w:p w14:paraId="070AA06E"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47"/>
            </w:tblGrid>
            <w:tr w:rsidR="008B3A81" w:rsidRPr="004667A2" w14:paraId="0BDE0E32" w14:textId="77777777" w:rsidTr="00D7160A">
              <w:trPr>
                <w:tblCellSpacing w:w="15" w:type="dxa"/>
              </w:trPr>
              <w:tc>
                <w:tcPr>
                  <w:tcW w:w="687" w:type="dxa"/>
                  <w:vAlign w:val="center"/>
                  <w:hideMark/>
                </w:tcPr>
                <w:p w14:paraId="3DB9617F"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0.82</w:t>
                  </w:r>
                </w:p>
              </w:tc>
            </w:tr>
          </w:tbl>
          <w:p w14:paraId="4751C436" w14:textId="77777777" w:rsidR="008B3A81" w:rsidRPr="004667A2" w:rsidRDefault="008B3A81" w:rsidP="009549BF">
            <w:pPr>
              <w:spacing w:line="360" w:lineRule="auto"/>
              <w:jc w:val="both"/>
              <w:outlineLvl w:val="1"/>
              <w:rPr>
                <w:rFonts w:ascii="Times New Roman" w:hAnsi="Times New Roman" w:cs="Times New Roman"/>
              </w:rPr>
            </w:pPr>
          </w:p>
        </w:tc>
      </w:tr>
      <w:tr w:rsidR="00EF4F86" w:rsidRPr="004667A2" w14:paraId="12005DC0" w14:textId="77777777" w:rsidTr="00EF4F86">
        <w:tc>
          <w:tcPr>
            <w:tcW w:w="2057" w:type="dxa"/>
          </w:tcPr>
          <w:p w14:paraId="2450233B" w14:textId="545E918A" w:rsidR="008B3A81" w:rsidRPr="00293428" w:rsidRDefault="008B3A81" w:rsidP="009549BF">
            <w:pPr>
              <w:spacing w:line="360" w:lineRule="auto"/>
              <w:jc w:val="both"/>
              <w:outlineLvl w:val="1"/>
              <w:rPr>
                <w:rFonts w:ascii="Times New Roman" w:hAnsi="Times New Roman" w:cs="Times New Roman"/>
                <w:lang w:val="vi-VN"/>
              </w:rPr>
            </w:pPr>
            <w:r w:rsidRPr="004667A2">
              <w:rPr>
                <w:rFonts w:ascii="Times New Roman" w:hAnsi="Times New Roman" w:cs="Times New Roman"/>
              </w:rPr>
              <w:t xml:space="preserve">Using English in everyday interactions outside </w:t>
            </w:r>
            <w:r w:rsidR="00293428">
              <w:rPr>
                <w:rFonts w:ascii="Times New Roman" w:hAnsi="Times New Roman" w:cs="Times New Roman"/>
              </w:rPr>
              <w:t>class</w:t>
            </w:r>
          </w:p>
        </w:tc>
        <w:tc>
          <w:tcPr>
            <w:tcW w:w="1094" w:type="dxa"/>
          </w:tcPr>
          <w:p w14:paraId="31646713" w14:textId="1C51F912"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17 (34%)</w:t>
            </w:r>
          </w:p>
        </w:tc>
        <w:tc>
          <w:tcPr>
            <w:tcW w:w="1094" w:type="dxa"/>
          </w:tcPr>
          <w:p w14:paraId="73D3192B" w14:textId="134254BB"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21 (42%)</w:t>
            </w:r>
          </w:p>
        </w:tc>
        <w:tc>
          <w:tcPr>
            <w:tcW w:w="1094" w:type="dxa"/>
          </w:tcPr>
          <w:p w14:paraId="04797B97" w14:textId="21C50C4A"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8 (16%)</w:t>
            </w:r>
          </w:p>
        </w:tc>
        <w:tc>
          <w:tcPr>
            <w:tcW w:w="1094" w:type="dxa"/>
          </w:tcPr>
          <w:p w14:paraId="4386F1CC" w14:textId="369A9633"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3 (6%)</w:t>
            </w: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6572C2CD" w14:textId="77777777" w:rsidTr="00D7160A">
              <w:trPr>
                <w:tblCellSpacing w:w="15" w:type="dxa"/>
              </w:trPr>
              <w:tc>
                <w:tcPr>
                  <w:tcW w:w="36" w:type="dxa"/>
                  <w:vAlign w:val="center"/>
                  <w:hideMark/>
                </w:tcPr>
                <w:p w14:paraId="099CF514" w14:textId="77777777" w:rsidR="008B3A81" w:rsidRPr="004667A2" w:rsidRDefault="008B3A81" w:rsidP="009549BF">
                  <w:pPr>
                    <w:spacing w:after="0" w:line="360" w:lineRule="auto"/>
                    <w:jc w:val="both"/>
                    <w:rPr>
                      <w:rFonts w:ascii="Times New Roman" w:hAnsi="Times New Roman" w:cs="Times New Roman"/>
                    </w:rPr>
                  </w:pPr>
                </w:p>
              </w:tc>
            </w:tr>
          </w:tbl>
          <w:p w14:paraId="7EA817B3"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0"/>
            </w:tblGrid>
            <w:tr w:rsidR="008B3A81" w:rsidRPr="004667A2" w14:paraId="125C2712" w14:textId="77777777" w:rsidTr="00D7160A">
              <w:trPr>
                <w:tblCellSpacing w:w="15" w:type="dxa"/>
              </w:trPr>
              <w:tc>
                <w:tcPr>
                  <w:tcW w:w="730" w:type="dxa"/>
                  <w:vAlign w:val="center"/>
                  <w:hideMark/>
                </w:tcPr>
                <w:p w14:paraId="11A21714"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1 (2%)</w:t>
                  </w:r>
                </w:p>
              </w:tc>
            </w:tr>
          </w:tbl>
          <w:p w14:paraId="2AF703D1" w14:textId="77777777" w:rsidR="008B3A81" w:rsidRPr="004667A2" w:rsidRDefault="008B3A81" w:rsidP="009549BF">
            <w:pPr>
              <w:spacing w:line="360" w:lineRule="auto"/>
              <w:jc w:val="both"/>
              <w:outlineLvl w:val="1"/>
              <w:rPr>
                <w:rFonts w:ascii="Times New Roman" w:hAnsi="Times New Roman" w:cs="Times New Roman"/>
              </w:rPr>
            </w:pPr>
          </w:p>
        </w:tc>
        <w:tc>
          <w:tcPr>
            <w:tcW w:w="1094" w:type="dxa"/>
          </w:tcPr>
          <w:p w14:paraId="615A2132" w14:textId="49ABC7F7"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2.00</w:t>
            </w:r>
          </w:p>
        </w:tc>
        <w:tc>
          <w:tcPr>
            <w:tcW w:w="1094" w:type="dxa"/>
          </w:tcPr>
          <w:p w14:paraId="59B864D0" w14:textId="22F2C0B1"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0.80</w:t>
            </w:r>
          </w:p>
        </w:tc>
      </w:tr>
      <w:tr w:rsidR="00EF4F86" w:rsidRPr="004667A2" w14:paraId="20D8778B" w14:textId="77777777" w:rsidTr="00EF4F86">
        <w:tc>
          <w:tcPr>
            <w:tcW w:w="2057" w:type="dxa"/>
          </w:tcPr>
          <w:p w14:paraId="33194E97" w14:textId="72A9A9D8"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Using English in online communication</w:t>
            </w:r>
          </w:p>
        </w:tc>
        <w:tc>
          <w:tcPr>
            <w:tcW w:w="1094" w:type="dxa"/>
          </w:tcPr>
          <w:p w14:paraId="6CE8C767" w14:textId="1E7439C5"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10 (20%)</w:t>
            </w:r>
          </w:p>
        </w:tc>
        <w:tc>
          <w:tcPr>
            <w:tcW w:w="1094" w:type="dxa"/>
          </w:tcPr>
          <w:p w14:paraId="39369E60" w14:textId="0C45A41D"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14 (28%)</w:t>
            </w: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56C70ACC" w14:textId="77777777" w:rsidTr="00D7160A">
              <w:trPr>
                <w:tblCellSpacing w:w="15" w:type="dxa"/>
              </w:trPr>
              <w:tc>
                <w:tcPr>
                  <w:tcW w:w="36" w:type="dxa"/>
                  <w:vAlign w:val="center"/>
                  <w:hideMark/>
                </w:tcPr>
                <w:p w14:paraId="4F0A3CB0" w14:textId="77777777" w:rsidR="008B3A81" w:rsidRPr="004667A2" w:rsidRDefault="008B3A81" w:rsidP="009549BF">
                  <w:pPr>
                    <w:spacing w:after="0" w:line="360" w:lineRule="auto"/>
                    <w:jc w:val="both"/>
                    <w:rPr>
                      <w:rFonts w:ascii="Times New Roman" w:hAnsi="Times New Roman" w:cs="Times New Roman"/>
                    </w:rPr>
                  </w:pPr>
                </w:p>
              </w:tc>
            </w:tr>
          </w:tbl>
          <w:p w14:paraId="2CF60C4D"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0"/>
            </w:tblGrid>
            <w:tr w:rsidR="008B3A81" w:rsidRPr="004667A2" w14:paraId="7891CE12" w14:textId="77777777" w:rsidTr="00D7160A">
              <w:trPr>
                <w:tblCellSpacing w:w="15" w:type="dxa"/>
              </w:trPr>
              <w:tc>
                <w:tcPr>
                  <w:tcW w:w="1050" w:type="dxa"/>
                  <w:vAlign w:val="center"/>
                  <w:hideMark/>
                </w:tcPr>
                <w:p w14:paraId="7642B7CB"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11 (22%)</w:t>
                  </w:r>
                </w:p>
              </w:tc>
            </w:tr>
          </w:tbl>
          <w:p w14:paraId="7F668830" w14:textId="77777777" w:rsidR="008B3A81" w:rsidRPr="004667A2" w:rsidRDefault="008B3A81" w:rsidP="009549BF">
            <w:pPr>
              <w:spacing w:line="360" w:lineRule="auto"/>
              <w:jc w:val="both"/>
              <w:outlineLvl w:val="1"/>
              <w:rPr>
                <w:rFonts w:ascii="Times New Roman" w:hAnsi="Times New Roman" w:cs="Times New Roman"/>
              </w:rPr>
            </w:pPr>
          </w:p>
        </w:tc>
        <w:tc>
          <w:tcPr>
            <w:tcW w:w="1094" w:type="dxa"/>
          </w:tcPr>
          <w:p w14:paraId="1B8385F0" w14:textId="0273380F" w:rsidR="008B3A81" w:rsidRPr="004667A2" w:rsidRDefault="008B3A81" w:rsidP="009549BF">
            <w:pPr>
              <w:spacing w:line="360" w:lineRule="auto"/>
              <w:jc w:val="both"/>
              <w:outlineLvl w:val="1"/>
              <w:rPr>
                <w:rFonts w:ascii="Times New Roman" w:hAnsi="Times New Roman" w:cs="Times New Roman"/>
              </w:rPr>
            </w:pPr>
            <w:r w:rsidRPr="004667A2">
              <w:rPr>
                <w:rFonts w:ascii="Times New Roman" w:hAnsi="Times New Roman" w:cs="Times New Roman"/>
              </w:rPr>
              <w:t>10 (20%)</w:t>
            </w: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0C4F158D" w14:textId="77777777" w:rsidTr="00D7160A">
              <w:trPr>
                <w:tblCellSpacing w:w="15" w:type="dxa"/>
              </w:trPr>
              <w:tc>
                <w:tcPr>
                  <w:tcW w:w="36" w:type="dxa"/>
                  <w:vAlign w:val="center"/>
                  <w:hideMark/>
                </w:tcPr>
                <w:p w14:paraId="016EA225" w14:textId="77777777" w:rsidR="008B3A81" w:rsidRPr="004667A2" w:rsidRDefault="008B3A81" w:rsidP="009549BF">
                  <w:pPr>
                    <w:spacing w:after="0" w:line="360" w:lineRule="auto"/>
                    <w:jc w:val="both"/>
                    <w:rPr>
                      <w:rFonts w:ascii="Times New Roman" w:hAnsi="Times New Roman" w:cs="Times New Roman"/>
                    </w:rPr>
                  </w:pPr>
                </w:p>
              </w:tc>
            </w:tr>
          </w:tbl>
          <w:p w14:paraId="50FA66DD"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0"/>
            </w:tblGrid>
            <w:tr w:rsidR="008B3A81" w:rsidRPr="004667A2" w14:paraId="5A307340" w14:textId="77777777" w:rsidTr="00D7160A">
              <w:trPr>
                <w:tblCellSpacing w:w="15" w:type="dxa"/>
              </w:trPr>
              <w:tc>
                <w:tcPr>
                  <w:tcW w:w="730" w:type="dxa"/>
                  <w:vAlign w:val="center"/>
                  <w:hideMark/>
                </w:tcPr>
                <w:p w14:paraId="31490ACF"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5 (10%)</w:t>
                  </w:r>
                </w:p>
              </w:tc>
            </w:tr>
          </w:tbl>
          <w:p w14:paraId="1FB5FC44" w14:textId="77777777" w:rsidR="008B3A81" w:rsidRPr="004667A2" w:rsidRDefault="008B3A81" w:rsidP="009549BF">
            <w:pPr>
              <w:spacing w:line="360" w:lineRule="auto"/>
              <w:jc w:val="both"/>
              <w:outlineLvl w:val="1"/>
              <w:rPr>
                <w:rFonts w:ascii="Times New Roman" w:hAnsi="Times New Roman" w:cs="Times New Roman"/>
              </w:rPr>
            </w:pP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6E342C23" w14:textId="77777777" w:rsidTr="00D7160A">
              <w:trPr>
                <w:tblCellSpacing w:w="15" w:type="dxa"/>
              </w:trPr>
              <w:tc>
                <w:tcPr>
                  <w:tcW w:w="36" w:type="dxa"/>
                  <w:vAlign w:val="center"/>
                  <w:hideMark/>
                </w:tcPr>
                <w:p w14:paraId="783D996F" w14:textId="77777777" w:rsidR="008B3A81" w:rsidRPr="004667A2" w:rsidRDefault="008B3A81" w:rsidP="009549BF">
                  <w:pPr>
                    <w:spacing w:after="0" w:line="360" w:lineRule="auto"/>
                    <w:jc w:val="both"/>
                    <w:rPr>
                      <w:rFonts w:ascii="Times New Roman" w:hAnsi="Times New Roman" w:cs="Times New Roman"/>
                    </w:rPr>
                  </w:pPr>
                </w:p>
              </w:tc>
            </w:tr>
          </w:tbl>
          <w:p w14:paraId="628E1B72"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08"/>
            </w:tblGrid>
            <w:tr w:rsidR="008B3A81" w:rsidRPr="004667A2" w14:paraId="59D2742D" w14:textId="77777777" w:rsidTr="00D7160A">
              <w:trPr>
                <w:tblCellSpacing w:w="15" w:type="dxa"/>
              </w:trPr>
              <w:tc>
                <w:tcPr>
                  <w:tcW w:w="748" w:type="dxa"/>
                  <w:vAlign w:val="center"/>
                  <w:hideMark/>
                </w:tcPr>
                <w:p w14:paraId="00BFD170"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2.72</w:t>
                  </w:r>
                </w:p>
              </w:tc>
            </w:tr>
          </w:tbl>
          <w:p w14:paraId="239B7966" w14:textId="77777777" w:rsidR="008B3A81" w:rsidRPr="004667A2" w:rsidRDefault="008B3A81" w:rsidP="009549BF">
            <w:pPr>
              <w:spacing w:line="360" w:lineRule="auto"/>
              <w:jc w:val="both"/>
              <w:outlineLvl w:val="1"/>
              <w:rPr>
                <w:rFonts w:ascii="Times New Roman" w:hAnsi="Times New Roman" w:cs="Times New Roman"/>
              </w:rPr>
            </w:pPr>
          </w:p>
        </w:tc>
        <w:tc>
          <w:tcPr>
            <w:tcW w:w="10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B3A81" w:rsidRPr="004667A2" w14:paraId="6400551B" w14:textId="77777777" w:rsidTr="00D7160A">
              <w:trPr>
                <w:tblCellSpacing w:w="15" w:type="dxa"/>
              </w:trPr>
              <w:tc>
                <w:tcPr>
                  <w:tcW w:w="36" w:type="dxa"/>
                  <w:vAlign w:val="center"/>
                  <w:hideMark/>
                </w:tcPr>
                <w:p w14:paraId="60ACE5FF" w14:textId="77777777" w:rsidR="008B3A81" w:rsidRPr="004667A2" w:rsidRDefault="008B3A81" w:rsidP="009549BF">
                  <w:pPr>
                    <w:spacing w:after="0" w:line="360" w:lineRule="auto"/>
                    <w:jc w:val="both"/>
                    <w:rPr>
                      <w:rFonts w:ascii="Times New Roman" w:hAnsi="Times New Roman" w:cs="Times New Roman"/>
                    </w:rPr>
                  </w:pPr>
                </w:p>
              </w:tc>
            </w:tr>
          </w:tbl>
          <w:p w14:paraId="7BCDD51B" w14:textId="77777777" w:rsidR="008B3A81" w:rsidRPr="004667A2" w:rsidRDefault="008B3A81" w:rsidP="009549BF">
            <w:pPr>
              <w:spacing w:line="360" w:lineRule="auto"/>
              <w:jc w:val="both"/>
              <w:rPr>
                <w:rFonts w:ascii="Times New Roman" w:hAnsi="Times New Roman"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47"/>
            </w:tblGrid>
            <w:tr w:rsidR="008B3A81" w:rsidRPr="004667A2" w14:paraId="0CFDE830" w14:textId="77777777" w:rsidTr="00D7160A">
              <w:trPr>
                <w:tblCellSpacing w:w="15" w:type="dxa"/>
              </w:trPr>
              <w:tc>
                <w:tcPr>
                  <w:tcW w:w="687" w:type="dxa"/>
                  <w:vAlign w:val="center"/>
                  <w:hideMark/>
                </w:tcPr>
                <w:p w14:paraId="22756705" w14:textId="77777777" w:rsidR="008B3A81" w:rsidRPr="004667A2" w:rsidRDefault="008B3A81" w:rsidP="009549BF">
                  <w:pPr>
                    <w:spacing w:after="0" w:line="360" w:lineRule="auto"/>
                    <w:jc w:val="both"/>
                    <w:rPr>
                      <w:rFonts w:ascii="Times New Roman" w:hAnsi="Times New Roman" w:cs="Times New Roman"/>
                    </w:rPr>
                  </w:pPr>
                  <w:r w:rsidRPr="004667A2">
                    <w:rPr>
                      <w:rFonts w:ascii="Times New Roman" w:hAnsi="Times New Roman" w:cs="Times New Roman"/>
                    </w:rPr>
                    <w:t>1.12</w:t>
                  </w:r>
                </w:p>
              </w:tc>
            </w:tr>
          </w:tbl>
          <w:p w14:paraId="1E8CF67A" w14:textId="77777777" w:rsidR="008B3A81" w:rsidRPr="004667A2" w:rsidRDefault="008B3A81" w:rsidP="009549BF">
            <w:pPr>
              <w:spacing w:line="360" w:lineRule="auto"/>
              <w:jc w:val="both"/>
              <w:outlineLvl w:val="1"/>
              <w:rPr>
                <w:rFonts w:ascii="Times New Roman" w:hAnsi="Times New Roman" w:cs="Times New Roman"/>
              </w:rPr>
            </w:pPr>
          </w:p>
        </w:tc>
      </w:tr>
    </w:tbl>
    <w:p w14:paraId="135BE67A" w14:textId="4E8B417F" w:rsidR="00BE2384" w:rsidRPr="004667A2" w:rsidRDefault="00313E3D" w:rsidP="006F14C9">
      <w:pPr>
        <w:spacing w:after="0" w:line="360" w:lineRule="auto"/>
        <w:jc w:val="center"/>
        <w:rPr>
          <w:rFonts w:ascii="Times New Roman" w:hAnsi="Times New Roman" w:cs="Times New Roman"/>
          <w:b/>
          <w:bCs/>
          <w:lang w:val="vi-VN"/>
        </w:rPr>
      </w:pPr>
      <w:r w:rsidRPr="004667A2">
        <w:rPr>
          <w:rFonts w:ascii="Times New Roman" w:hAnsi="Times New Roman" w:cs="Times New Roman"/>
          <w:b/>
          <w:bCs/>
        </w:rPr>
        <w:t>Table 2</w:t>
      </w:r>
    </w:p>
    <w:p w14:paraId="4E8CE59B" w14:textId="10545DDA" w:rsidR="00313E3D" w:rsidRPr="004667A2" w:rsidRDefault="00313E3D" w:rsidP="009549BF">
      <w:pPr>
        <w:spacing w:after="120" w:line="360" w:lineRule="auto"/>
        <w:ind w:firstLine="720"/>
        <w:jc w:val="both"/>
        <w:rPr>
          <w:rFonts w:ascii="Times New Roman" w:eastAsia="Times New Roman" w:hAnsi="Times New Roman" w:cs="Times New Roman"/>
          <w:b/>
          <w:bCs/>
          <w:i/>
          <w:iCs/>
          <w:kern w:val="0"/>
          <w14:ligatures w14:val="none"/>
        </w:rPr>
      </w:pPr>
      <w:r w:rsidRPr="004667A2">
        <w:rPr>
          <w:rFonts w:ascii="Times New Roman" w:hAnsi="Times New Roman" w:cs="Times New Roman"/>
          <w:b/>
          <w:bCs/>
          <w:i/>
          <w:iCs/>
        </w:rPr>
        <w:t xml:space="preserve"> </w:t>
      </w:r>
      <w:r w:rsidRPr="004667A2">
        <w:rPr>
          <w:rFonts w:ascii="Times New Roman" w:eastAsia="Times New Roman" w:hAnsi="Times New Roman" w:cs="Times New Roman"/>
          <w:b/>
          <w:bCs/>
          <w:i/>
          <w:iCs/>
          <w:kern w:val="0"/>
          <w14:ligatures w14:val="none"/>
        </w:rPr>
        <w:t xml:space="preserve">Frequency of English-Speaking Use outside </w:t>
      </w:r>
      <w:r w:rsidR="00293428">
        <w:rPr>
          <w:rFonts w:ascii="Times New Roman" w:eastAsia="Times New Roman" w:hAnsi="Times New Roman" w:cs="Times New Roman"/>
          <w:b/>
          <w:bCs/>
          <w:i/>
          <w:iCs/>
          <w:kern w:val="0"/>
          <w14:ligatures w14:val="none"/>
        </w:rPr>
        <w:t>class</w:t>
      </w:r>
      <w:r w:rsidRPr="004667A2">
        <w:rPr>
          <w:rFonts w:ascii="Times New Roman" w:eastAsia="Times New Roman" w:hAnsi="Times New Roman" w:cs="Times New Roman"/>
          <w:b/>
          <w:bCs/>
          <w:i/>
          <w:iCs/>
          <w:kern w:val="0"/>
          <w14:ligatures w14:val="none"/>
        </w:rPr>
        <w:t xml:space="preserve"> (n = 50)</w:t>
      </w:r>
    </w:p>
    <w:p w14:paraId="1A5BA833" w14:textId="77777777" w:rsidR="006D6279" w:rsidRPr="004667A2" w:rsidRDefault="00CE7063" w:rsidP="009549BF">
      <w:pPr>
        <w:pStyle w:val="NormalWeb"/>
        <w:spacing w:before="0" w:beforeAutospacing="0" w:after="120" w:afterAutospacing="0" w:line="360" w:lineRule="auto"/>
        <w:ind w:firstLine="720"/>
        <w:jc w:val="both"/>
        <w:rPr>
          <w:lang w:val="vi-VN"/>
        </w:rPr>
      </w:pPr>
      <w:r w:rsidRPr="004667A2">
        <w:t xml:space="preserve">As shown in </w:t>
      </w:r>
      <w:r w:rsidRPr="004667A2">
        <w:rPr>
          <w:rStyle w:val="Strong"/>
          <w:rFonts w:eastAsiaTheme="majorEastAsia"/>
          <w:b w:val="0"/>
          <w:bCs w:val="0"/>
        </w:rPr>
        <w:t>Table 2</w:t>
      </w:r>
      <w:r w:rsidRPr="004667A2">
        <w:t xml:space="preserve">, </w:t>
      </w:r>
      <w:r w:rsidR="006D6279" w:rsidRPr="004667A2">
        <w:t>English use outside the school environment was found to be generally low in most real-life situations. The lowest mean scores were found in service encounters and daily interactions, which had a mean of 2.00 each, implying that most students made little to no use of English in these situations. Although English use in online communication seemed to be a bit more frequent, with a mean of 2.72 and a standard deviation of 1.12, it is still low compared to English use in speaking activities in the classroom. In conclusion, there is a big gap between English-speaking use in the classroom and English use outside the school environment.</w:t>
      </w:r>
    </w:p>
    <w:p w14:paraId="59697D5F" w14:textId="6E5DBB27" w:rsidR="00914E3F" w:rsidRPr="00623056" w:rsidRDefault="00914E3F" w:rsidP="009549BF">
      <w:pPr>
        <w:pStyle w:val="NormalWeb"/>
        <w:spacing w:before="0" w:beforeAutospacing="0" w:after="120" w:afterAutospacing="0" w:line="360" w:lineRule="auto"/>
        <w:ind w:firstLine="720"/>
        <w:jc w:val="both"/>
        <w:rPr>
          <w:b/>
          <w:bCs/>
        </w:rPr>
      </w:pPr>
      <w:r w:rsidRPr="004667A2">
        <w:rPr>
          <w:b/>
          <w:bCs/>
        </w:rPr>
        <w:t xml:space="preserve">4.2 Qualitative Findings from </w:t>
      </w:r>
      <w:r w:rsidR="00623056">
        <w:rPr>
          <w:b/>
          <w:bCs/>
        </w:rPr>
        <w:t>semi</w:t>
      </w:r>
      <w:r w:rsidR="00623056">
        <w:rPr>
          <w:b/>
          <w:bCs/>
          <w:lang w:val="vi-VN"/>
        </w:rPr>
        <w:t>-struct</w:t>
      </w:r>
      <w:proofErr w:type="spellStart"/>
      <w:r w:rsidR="00623056">
        <w:rPr>
          <w:b/>
          <w:bCs/>
        </w:rPr>
        <w:t>ured</w:t>
      </w:r>
      <w:proofErr w:type="spellEnd"/>
      <w:r w:rsidR="00623056">
        <w:rPr>
          <w:b/>
          <w:bCs/>
        </w:rPr>
        <w:t xml:space="preserve"> interview</w:t>
      </w:r>
      <w:r w:rsidR="00A64962">
        <w:rPr>
          <w:b/>
          <w:bCs/>
        </w:rPr>
        <w:t>s</w:t>
      </w:r>
    </w:p>
    <w:p w14:paraId="40DE2D31" w14:textId="1C1D81C6" w:rsidR="00AC6BC5" w:rsidRPr="004667A2" w:rsidRDefault="00AC6BC5" w:rsidP="009549BF">
      <w:pPr>
        <w:spacing w:after="120" w:line="360" w:lineRule="auto"/>
        <w:ind w:firstLine="720"/>
        <w:jc w:val="both"/>
        <w:outlineLvl w:val="2"/>
        <w:rPr>
          <w:rFonts w:ascii="Times New Roman" w:hAnsi="Times New Roman" w:cs="Times New Roman"/>
          <w:lang w:val="vi-VN"/>
        </w:rPr>
      </w:pPr>
      <w:r w:rsidRPr="004667A2">
        <w:rPr>
          <w:rFonts w:ascii="Times New Roman" w:hAnsi="Times New Roman" w:cs="Times New Roman"/>
        </w:rPr>
        <w:lastRenderedPageBreak/>
        <w:t xml:space="preserve">A total of 10 out of the 50 </w:t>
      </w:r>
      <w:r w:rsidR="007F5E5D" w:rsidRPr="007F5E5D">
        <w:rPr>
          <w:rFonts w:ascii="Times New Roman" w:hAnsi="Times New Roman" w:cs="Times New Roman"/>
        </w:rPr>
        <w:t>participated in the semi-structured interviews.</w:t>
      </w:r>
      <w:r w:rsidR="00801E25">
        <w:rPr>
          <w:rFonts w:ascii="Times New Roman" w:hAnsi="Times New Roman" w:cs="Times New Roman"/>
          <w:lang w:val="vi-VN"/>
        </w:rPr>
        <w:t xml:space="preserve"> </w:t>
      </w:r>
      <w:r w:rsidRPr="004667A2">
        <w:rPr>
          <w:rFonts w:ascii="Times New Roman" w:hAnsi="Times New Roman" w:cs="Times New Roman"/>
        </w:rPr>
        <w:t>The answers were analyzed using thematic analysis to investigate the perceptions of the use of English outside the classroom and the quantitative patterns. Two major themes were identified from the answers: affective factors and contextual/environmental factors.</w:t>
      </w:r>
    </w:p>
    <w:p w14:paraId="4805FDE0" w14:textId="16D69350" w:rsidR="00914E3F" w:rsidRPr="004667A2" w:rsidRDefault="00914E3F" w:rsidP="009549BF">
      <w:pPr>
        <w:spacing w:after="120" w:line="360" w:lineRule="auto"/>
        <w:ind w:firstLine="720"/>
        <w:jc w:val="both"/>
        <w:outlineLvl w:val="2"/>
        <w:rPr>
          <w:rFonts w:ascii="Times New Roman" w:eastAsia="Times New Roman" w:hAnsi="Times New Roman" w:cs="Times New Roman"/>
          <w:i/>
          <w:iCs/>
          <w:kern w:val="0"/>
          <w14:ligatures w14:val="none"/>
        </w:rPr>
      </w:pPr>
      <w:r w:rsidRPr="004667A2">
        <w:rPr>
          <w:rFonts w:ascii="Times New Roman" w:eastAsia="Times New Roman" w:hAnsi="Times New Roman" w:cs="Times New Roman"/>
          <w:i/>
          <w:iCs/>
          <w:kern w:val="0"/>
          <w14:ligatures w14:val="none"/>
        </w:rPr>
        <w:t>4.2.1 Affective Factors Influencing English-Speaking Use</w:t>
      </w:r>
    </w:p>
    <w:p w14:paraId="339F8705" w14:textId="6A96EF1F" w:rsidR="00914E3F" w:rsidRPr="004667A2" w:rsidRDefault="004C1109"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 xml:space="preserve">The affective factors proved to be the most important factor in explaining the students’ minimal usage of English outside of academic settings. Out of the ten students, seven students pointed out that their lack of confidence in speaking English was the major factor in not using English in everyday life. Some of the students had concerns about their English pronunciation, vocabulary, and grammar, which made them reluctant to speak English unless they had to. One student said: </w:t>
      </w:r>
      <w:r w:rsidR="00914E3F" w:rsidRPr="004667A2">
        <w:rPr>
          <w:rFonts w:ascii="Times New Roman" w:eastAsia="Times New Roman" w:hAnsi="Times New Roman" w:cs="Times New Roman"/>
          <w:i/>
          <w:iCs/>
          <w:kern w:val="0"/>
          <w14:ligatures w14:val="none"/>
        </w:rPr>
        <w:t>“I am not confident about my pronunciation, so I usually avoid speaking English outside the classroom.”</w:t>
      </w:r>
      <w:r w:rsidR="00914E3F" w:rsidRPr="004667A2">
        <w:rPr>
          <w:rFonts w:ascii="Times New Roman" w:eastAsia="Times New Roman" w:hAnsi="Times New Roman" w:cs="Times New Roman"/>
          <w:kern w:val="0"/>
          <w14:ligatures w14:val="none"/>
        </w:rPr>
        <w:t xml:space="preserve"> (Student 3)</w:t>
      </w:r>
    </w:p>
    <w:p w14:paraId="0A0B8A22" w14:textId="77777777" w:rsidR="00914E3F" w:rsidRPr="004667A2" w:rsidRDefault="00914E3F"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Another student similarly noted:</w:t>
      </w:r>
    </w:p>
    <w:p w14:paraId="77BF007B" w14:textId="77777777" w:rsidR="00914E3F" w:rsidRPr="004667A2" w:rsidRDefault="00914E3F"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“I worry that I might use wrong words or grammar, so I feel safer not speaking English.”</w:t>
      </w:r>
      <w:r w:rsidRPr="004667A2">
        <w:rPr>
          <w:rFonts w:ascii="Times New Roman" w:eastAsia="Times New Roman" w:hAnsi="Times New Roman" w:cs="Times New Roman"/>
          <w:kern w:val="0"/>
          <w14:ligatures w14:val="none"/>
        </w:rPr>
        <w:t xml:space="preserve"> (Student 7)</w:t>
      </w:r>
    </w:p>
    <w:p w14:paraId="3DF0C971" w14:textId="77777777" w:rsidR="00DC2062" w:rsidRPr="004667A2" w:rsidRDefault="00DC2062"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Moreover, six of the ten students cited fear of errors or negative evaluation as a significant factor in their response to barriers. These students saw the level of stress in communication in the real world as greater than in the classroom, where making errors is acceptable. One of the students explained: </w:t>
      </w:r>
    </w:p>
    <w:p w14:paraId="27FBCB2E" w14:textId="2338325C" w:rsidR="00914E3F" w:rsidRPr="004667A2" w:rsidRDefault="00914E3F"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“In class, making mistakes is normal, but outside the class I am afraid people will judge my English.”</w:t>
      </w:r>
      <w:r w:rsidRPr="004667A2">
        <w:rPr>
          <w:rFonts w:ascii="Times New Roman" w:eastAsia="Times New Roman" w:hAnsi="Times New Roman" w:cs="Times New Roman"/>
          <w:kern w:val="0"/>
          <w14:ligatures w14:val="none"/>
        </w:rPr>
        <w:t xml:space="preserve"> (Student 1)</w:t>
      </w:r>
    </w:p>
    <w:p w14:paraId="01AE632E" w14:textId="77777777" w:rsidR="00914E3F" w:rsidRPr="004667A2" w:rsidRDefault="00914E3F"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Another student highlighted the anxiety associated with speaking to unfamiliar interlocutors:</w:t>
      </w:r>
    </w:p>
    <w:p w14:paraId="1A1F896B" w14:textId="77777777" w:rsidR="00914E3F" w:rsidRPr="004667A2" w:rsidRDefault="00914E3F"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“When I speak English with strangers, I feel very nervous because I don’t want them to think my English is bad.”</w:t>
      </w:r>
      <w:r w:rsidRPr="004667A2">
        <w:rPr>
          <w:rFonts w:ascii="Times New Roman" w:eastAsia="Times New Roman" w:hAnsi="Times New Roman" w:cs="Times New Roman"/>
          <w:kern w:val="0"/>
          <w14:ligatures w14:val="none"/>
        </w:rPr>
        <w:t xml:space="preserve"> (Student 9)</w:t>
      </w:r>
    </w:p>
    <w:p w14:paraId="46E7A012" w14:textId="77777777" w:rsidR="00914E3F" w:rsidRPr="004667A2" w:rsidRDefault="00914E3F"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These responses indicate that affective constraints—particularly low confidence and fear of negative evaluation—played a crucial role in shaping students’ English-speaking behavior outside school, despite their active participation in classroom speaking activities.</w:t>
      </w:r>
    </w:p>
    <w:p w14:paraId="3A9F7359" w14:textId="77777777" w:rsidR="00A80F48" w:rsidRPr="004667A2" w:rsidRDefault="00A80F48" w:rsidP="009549BF">
      <w:pPr>
        <w:spacing w:after="120" w:line="360" w:lineRule="auto"/>
        <w:ind w:firstLine="720"/>
        <w:jc w:val="both"/>
        <w:outlineLvl w:val="2"/>
        <w:rPr>
          <w:rFonts w:ascii="Times New Roman" w:eastAsia="Times New Roman" w:hAnsi="Times New Roman" w:cs="Times New Roman"/>
          <w:i/>
          <w:iCs/>
          <w:kern w:val="0"/>
          <w14:ligatures w14:val="none"/>
        </w:rPr>
      </w:pPr>
      <w:r w:rsidRPr="004667A2">
        <w:rPr>
          <w:rFonts w:ascii="Times New Roman" w:eastAsia="Times New Roman" w:hAnsi="Times New Roman" w:cs="Times New Roman"/>
          <w:i/>
          <w:iCs/>
          <w:kern w:val="0"/>
          <w14:ligatures w14:val="none"/>
        </w:rPr>
        <w:lastRenderedPageBreak/>
        <w:t>4.2.2 Contextual and Environmental Factors</w:t>
      </w:r>
    </w:p>
    <w:p w14:paraId="6195D2C0" w14:textId="1D12DC10" w:rsidR="00A80F48" w:rsidRPr="004667A2" w:rsidRDefault="00E4091B"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 xml:space="preserve">In addition to affective factors, students also identified contextual factors that constrained their opportunity to use English outside of class. Of the 10 students, eight students identified that they had limited opportunity to use English in daily life because </w:t>
      </w:r>
      <w:proofErr w:type="gramStart"/>
      <w:r w:rsidRPr="004667A2">
        <w:rPr>
          <w:rFonts w:ascii="Times New Roman" w:eastAsia="Times New Roman" w:hAnsi="Times New Roman" w:cs="Times New Roman"/>
          <w:kern w:val="0"/>
          <w14:ligatures w14:val="none"/>
        </w:rPr>
        <w:t>the majority of</w:t>
      </w:r>
      <w:proofErr w:type="gramEnd"/>
      <w:r w:rsidRPr="004667A2">
        <w:rPr>
          <w:rFonts w:ascii="Times New Roman" w:eastAsia="Times New Roman" w:hAnsi="Times New Roman" w:cs="Times New Roman"/>
          <w:kern w:val="0"/>
          <w14:ligatures w14:val="none"/>
        </w:rPr>
        <w:t xml:space="preserve"> interactions were conducted in their native language. Some of the students emphasized that English was not required outside of class, which affected their motivation to initiate English-speaking interactions.</w:t>
      </w:r>
      <w:r w:rsidR="007D26B8" w:rsidRPr="004667A2">
        <w:rPr>
          <w:rFonts w:ascii="Times New Roman" w:eastAsia="Times New Roman" w:hAnsi="Times New Roman" w:cs="Times New Roman"/>
          <w:kern w:val="0"/>
          <w:lang w:val="vi-VN"/>
          <w14:ligatures w14:val="none"/>
        </w:rPr>
        <w:t xml:space="preserve"> </w:t>
      </w:r>
      <w:r w:rsidR="00A80F48" w:rsidRPr="004667A2">
        <w:rPr>
          <w:rFonts w:ascii="Times New Roman" w:eastAsia="Times New Roman" w:hAnsi="Times New Roman" w:cs="Times New Roman"/>
          <w:kern w:val="0"/>
          <w14:ligatures w14:val="none"/>
        </w:rPr>
        <w:t>One student commented:</w:t>
      </w:r>
    </w:p>
    <w:p w14:paraId="4BC30457" w14:textId="77777777" w:rsidR="00A80F48" w:rsidRPr="004667A2" w:rsidRDefault="00A80F4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“In daily life, everyone speaks Vietnamese, so there are not many chances to use English.”</w:t>
      </w:r>
      <w:r w:rsidRPr="004667A2">
        <w:rPr>
          <w:rFonts w:ascii="Times New Roman" w:eastAsia="Times New Roman" w:hAnsi="Times New Roman" w:cs="Times New Roman"/>
          <w:kern w:val="0"/>
          <w14:ligatures w14:val="none"/>
        </w:rPr>
        <w:t xml:space="preserve"> (Student 4)</w:t>
      </w:r>
    </w:p>
    <w:p w14:paraId="138A495C" w14:textId="77777777" w:rsidR="00A80F48" w:rsidRPr="004667A2" w:rsidRDefault="00A80F4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Another student explained:</w:t>
      </w:r>
    </w:p>
    <w:p w14:paraId="3B2D1A66" w14:textId="77777777" w:rsidR="00A80F48" w:rsidRPr="004667A2" w:rsidRDefault="00A80F4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“Outside school, English is not really necessary, so I don’t think about using it.”</w:t>
      </w:r>
      <w:r w:rsidRPr="004667A2">
        <w:rPr>
          <w:rFonts w:ascii="Times New Roman" w:eastAsia="Times New Roman" w:hAnsi="Times New Roman" w:cs="Times New Roman"/>
          <w:kern w:val="0"/>
          <w14:ligatures w14:val="none"/>
        </w:rPr>
        <w:t xml:space="preserve"> (Student 10)</w:t>
      </w:r>
    </w:p>
    <w:p w14:paraId="4C5A9BF0" w14:textId="79EBC3F2" w:rsidR="00A80F48" w:rsidRPr="004667A2" w:rsidRDefault="007D26B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 xml:space="preserve">Moreover, five of the ten students identified the lack of English-speaking interlocutors as an important barrier. Although the students were willing to practice their English skills, they encountered difficulties in locating interlocutors who were willing to communicate in </w:t>
      </w:r>
      <w:proofErr w:type="spellStart"/>
      <w:r w:rsidRPr="004667A2">
        <w:rPr>
          <w:rFonts w:ascii="Times New Roman" w:eastAsia="Times New Roman" w:hAnsi="Times New Roman" w:cs="Times New Roman"/>
          <w:kern w:val="0"/>
          <w14:ligatures w14:val="none"/>
        </w:rPr>
        <w:t>English.</w:t>
      </w:r>
      <w:r w:rsidR="00A80F48" w:rsidRPr="004667A2">
        <w:rPr>
          <w:rFonts w:ascii="Times New Roman" w:eastAsia="Times New Roman" w:hAnsi="Times New Roman" w:cs="Times New Roman"/>
          <w:kern w:val="0"/>
          <w14:ligatures w14:val="none"/>
        </w:rPr>
        <w:t>One</w:t>
      </w:r>
      <w:proofErr w:type="spellEnd"/>
      <w:r w:rsidR="00A80F48" w:rsidRPr="004667A2">
        <w:rPr>
          <w:rFonts w:ascii="Times New Roman" w:eastAsia="Times New Roman" w:hAnsi="Times New Roman" w:cs="Times New Roman"/>
          <w:kern w:val="0"/>
          <w14:ligatures w14:val="none"/>
        </w:rPr>
        <w:t xml:space="preserve"> participant noted:</w:t>
      </w:r>
    </w:p>
    <w:p w14:paraId="4B1D1AB5" w14:textId="77777777" w:rsidR="00A80F48" w:rsidRPr="004667A2" w:rsidRDefault="00A80F4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“I want to practice English, but my friends prefer speaking Vietnamese.”</w:t>
      </w:r>
      <w:r w:rsidRPr="004667A2">
        <w:rPr>
          <w:rFonts w:ascii="Times New Roman" w:eastAsia="Times New Roman" w:hAnsi="Times New Roman" w:cs="Times New Roman"/>
          <w:kern w:val="0"/>
          <w14:ligatures w14:val="none"/>
        </w:rPr>
        <w:t xml:space="preserve"> (Student 6)</w:t>
      </w:r>
    </w:p>
    <w:p w14:paraId="36966766" w14:textId="77777777" w:rsidR="00A80F48" w:rsidRPr="004667A2" w:rsidRDefault="00A80F4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Another student echoed this concern:</w:t>
      </w:r>
    </w:p>
    <w:p w14:paraId="43097F22" w14:textId="77777777" w:rsidR="00A80F48" w:rsidRPr="004667A2" w:rsidRDefault="00A80F48"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i/>
          <w:iCs/>
          <w:kern w:val="0"/>
          <w14:ligatures w14:val="none"/>
        </w:rPr>
        <w:t>“It is hard to find someone to talk to in English, so I usually use my first language.”</w:t>
      </w:r>
      <w:r w:rsidRPr="004667A2">
        <w:rPr>
          <w:rFonts w:ascii="Times New Roman" w:eastAsia="Times New Roman" w:hAnsi="Times New Roman" w:cs="Times New Roman"/>
          <w:kern w:val="0"/>
          <w14:ligatures w14:val="none"/>
        </w:rPr>
        <w:t xml:space="preserve"> (Student 8)</w:t>
      </w:r>
    </w:p>
    <w:p w14:paraId="5E5F1557" w14:textId="3D64787E" w:rsidR="00A80F48" w:rsidRPr="004667A2" w:rsidRDefault="00A80F48" w:rsidP="006F14C9">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Together, these contextual and environmental factors reinforced the gap identified in the quantitative findings, constraining students’ English-speaking use beyond the classroom.</w:t>
      </w:r>
    </w:p>
    <w:p w14:paraId="6DC26441" w14:textId="77777777" w:rsidR="001512CA" w:rsidRPr="004667A2" w:rsidRDefault="001512CA" w:rsidP="009549BF">
      <w:pPr>
        <w:spacing w:after="120" w:line="360" w:lineRule="auto"/>
        <w:ind w:firstLine="720"/>
        <w:jc w:val="both"/>
        <w:outlineLvl w:val="1"/>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5. Discussion</w:t>
      </w:r>
    </w:p>
    <w:p w14:paraId="6A8AAB15" w14:textId="351FCF38" w:rsidR="007D26B8" w:rsidRPr="004667A2" w:rsidRDefault="007D26B8" w:rsidP="009549BF">
      <w:pPr>
        <w:spacing w:after="120" w:line="360" w:lineRule="auto"/>
        <w:ind w:firstLine="720"/>
        <w:jc w:val="both"/>
        <w:outlineLvl w:val="2"/>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This study is concerned with exploring the students’</w:t>
      </w:r>
      <w:r w:rsidR="00FC460C">
        <w:t xml:space="preserve"> </w:t>
      </w:r>
      <w:r w:rsidR="00FC460C" w:rsidRPr="00FC460C">
        <w:rPr>
          <w:rFonts w:ascii="Times New Roman" w:hAnsi="Times New Roman" w:cs="Times New Roman"/>
        </w:rPr>
        <w:t>English-speaking practices</w:t>
      </w:r>
      <w:r w:rsidRPr="004667A2">
        <w:rPr>
          <w:rFonts w:ascii="Times New Roman" w:eastAsia="Times New Roman" w:hAnsi="Times New Roman" w:cs="Times New Roman"/>
          <w:kern w:val="0"/>
          <w14:ligatures w14:val="none"/>
        </w:rPr>
        <w:t xml:space="preserve"> in the classroom and in real-life situations in an EFL context, as well as the factors that affect students’ engagement in English speaking activities outside the classroom. The findings show that there is a large gap between students’ English speaking in the classroom and in real-life situations, which can be explained in terms of communicative competence and WTC.</w:t>
      </w:r>
    </w:p>
    <w:p w14:paraId="208C89B1" w14:textId="5C34A429" w:rsidR="001512CA" w:rsidRPr="004667A2" w:rsidRDefault="001512CA" w:rsidP="009549BF">
      <w:pPr>
        <w:spacing w:after="120" w:line="360" w:lineRule="auto"/>
        <w:ind w:firstLine="720"/>
        <w:jc w:val="both"/>
        <w:outlineLvl w:val="2"/>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lastRenderedPageBreak/>
        <w:t>5.1 Classroom English Speaking as Instructed Communicative Practice</w:t>
      </w:r>
    </w:p>
    <w:p w14:paraId="5A61527A" w14:textId="5FACA7D1" w:rsidR="007250A3" w:rsidRPr="004667A2" w:rsidRDefault="007250A3"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Moreover, the findings of the questionnaire show that English-speaking frequently occurred in classroom settings, particularly in activities initiated by teachers, such as answering teachers’ questions and participating in pair or group discussions. </w:t>
      </w:r>
      <w:r w:rsidR="00CC07D3" w:rsidRPr="004667A2">
        <w:rPr>
          <w:rFonts w:ascii="Times New Roman" w:eastAsia="Times New Roman" w:hAnsi="Times New Roman" w:cs="Times New Roman"/>
          <w:kern w:val="0"/>
          <w14:ligatures w14:val="none"/>
        </w:rPr>
        <w:t>This finding suggests that classroom speaking remains largely pedagogically controlled, limiting the development of spontaneous communicative competence, which aligns with Littlewood’s (2007) distinction between form-focused and meaning-focused interaction.</w:t>
      </w:r>
      <w:r w:rsidRPr="004667A2">
        <w:rPr>
          <w:rFonts w:ascii="Times New Roman" w:eastAsia="Times New Roman" w:hAnsi="Times New Roman" w:cs="Times New Roman"/>
          <w:kern w:val="0"/>
          <w14:ligatures w14:val="none"/>
        </w:rPr>
        <w:t xml:space="preserve"> The slightly higher mean scores in these activities suggest that the English preparatory program provides students with opportunities to practice English-speaking in the classroom.</w:t>
      </w:r>
    </w:p>
    <w:p w14:paraId="236BE629" w14:textId="51AF6856" w:rsidR="005265FA" w:rsidRPr="004667A2" w:rsidRDefault="005265FA" w:rsidP="009549BF">
      <w:pPr>
        <w:spacing w:after="120" w:line="360" w:lineRule="auto"/>
        <w:ind w:firstLine="720"/>
        <w:jc w:val="both"/>
        <w:outlineLvl w:val="2"/>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The low incidence of self-initiated oral contributions, such as </w:t>
      </w:r>
      <w:r w:rsidR="00EF2303" w:rsidRPr="00EF2303">
        <w:rPr>
          <w:rFonts w:ascii="Times New Roman" w:eastAsia="Times New Roman" w:hAnsi="Times New Roman" w:cs="Times New Roman"/>
          <w:kern w:val="0"/>
          <w14:ligatures w14:val="none"/>
        </w:rPr>
        <w:t>volunteered opinions</w:t>
      </w:r>
      <w:r w:rsidR="00EF2303">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14:ligatures w14:val="none"/>
        </w:rPr>
        <w:t xml:space="preserve">may imply that English speaking in the classroom was still largely controlled. From the point of view of communicative competence </w:t>
      </w:r>
      <w:r w:rsidR="00540BF9" w:rsidRPr="00540BF9">
        <w:rPr>
          <w:rFonts w:ascii="Times New Roman" w:eastAsia="Times New Roman" w:hAnsi="Times New Roman" w:cs="Times New Roman"/>
          <w:kern w:val="0"/>
          <w:lang w:val="vi-VN"/>
          <w14:ligatures w14:val="none"/>
        </w:rPr>
        <w:t>(Canale &amp; Swain, 1980; Richards, 2008)</w:t>
      </w:r>
      <w:r w:rsidR="00540BF9">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14:ligatures w14:val="none"/>
        </w:rPr>
        <w:t xml:space="preserve">these classroom practices may promote the development of linguistic accuracy and </w:t>
      </w:r>
      <w:r w:rsidR="00EF2303" w:rsidRPr="004667A2">
        <w:rPr>
          <w:rFonts w:ascii="Times New Roman" w:eastAsia="Times New Roman" w:hAnsi="Times New Roman" w:cs="Times New Roman"/>
          <w:kern w:val="0"/>
          <w14:ligatures w14:val="none"/>
        </w:rPr>
        <w:t>fluency but</w:t>
      </w:r>
      <w:r w:rsidRPr="004667A2">
        <w:rPr>
          <w:rFonts w:ascii="Times New Roman" w:eastAsia="Times New Roman" w:hAnsi="Times New Roman" w:cs="Times New Roman"/>
          <w:kern w:val="0"/>
          <w14:ligatures w14:val="none"/>
        </w:rPr>
        <w:t xml:space="preserve"> </w:t>
      </w:r>
      <w:r w:rsidR="00EF2303" w:rsidRPr="00EF2303">
        <w:rPr>
          <w:rFonts w:ascii="Times New Roman" w:eastAsia="Times New Roman" w:hAnsi="Times New Roman" w:cs="Times New Roman"/>
          <w:kern w:val="0"/>
          <w14:ligatures w14:val="none"/>
        </w:rPr>
        <w:t>may not necessarily facilitate spontaneous communicative use in authentic contexts</w:t>
      </w:r>
      <w:r w:rsidR="00EF2303">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14:ligatures w14:val="none"/>
        </w:rPr>
        <w:t>Thus, the findings imply that while students were engaged in English speaking activities, these activities were still largely in the context of instruction, not communicative need.</w:t>
      </w:r>
    </w:p>
    <w:p w14:paraId="5E84AF74" w14:textId="653F9CE1" w:rsidR="001512CA" w:rsidRPr="004667A2" w:rsidRDefault="001512CA" w:rsidP="009549BF">
      <w:pPr>
        <w:spacing w:after="120" w:line="360" w:lineRule="auto"/>
        <w:ind w:firstLine="720"/>
        <w:jc w:val="both"/>
        <w:outlineLvl w:val="2"/>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 xml:space="preserve">5.2 Limited Transfer of Classroom Speaking to Real-Life </w:t>
      </w:r>
      <w:r w:rsidR="00293428">
        <w:rPr>
          <w:rFonts w:ascii="Times New Roman" w:eastAsia="Times New Roman" w:hAnsi="Times New Roman" w:cs="Times New Roman"/>
          <w:b/>
          <w:bCs/>
          <w:kern w:val="0"/>
          <w14:ligatures w14:val="none"/>
        </w:rPr>
        <w:t>communicative</w:t>
      </w:r>
      <w:r w:rsidR="00293428">
        <w:rPr>
          <w:rFonts w:ascii="Times New Roman" w:eastAsia="Times New Roman" w:hAnsi="Times New Roman" w:cs="Times New Roman"/>
          <w:b/>
          <w:bCs/>
          <w:kern w:val="0"/>
          <w:lang w:val="vi-VN"/>
          <w14:ligatures w14:val="none"/>
        </w:rPr>
        <w:t xml:space="preserve"> c</w:t>
      </w:r>
      <w:proofErr w:type="spellStart"/>
      <w:r w:rsidRPr="004667A2">
        <w:rPr>
          <w:rFonts w:ascii="Times New Roman" w:eastAsia="Times New Roman" w:hAnsi="Times New Roman" w:cs="Times New Roman"/>
          <w:b/>
          <w:bCs/>
          <w:kern w:val="0"/>
          <w14:ligatures w14:val="none"/>
        </w:rPr>
        <w:t>ontexts</w:t>
      </w:r>
      <w:proofErr w:type="spellEnd"/>
    </w:p>
    <w:p w14:paraId="29720D13" w14:textId="3B4F31C8" w:rsidR="007770A2" w:rsidRPr="004667A2" w:rsidRDefault="001512CA"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A key finding of the study is the markedly low frequency of English-speaking use outside school. </w:t>
      </w:r>
      <w:proofErr w:type="gramStart"/>
      <w:r w:rsidR="007770A2" w:rsidRPr="004667A2">
        <w:rPr>
          <w:rFonts w:ascii="Times New Roman" w:eastAsia="Times New Roman" w:hAnsi="Times New Roman" w:cs="Times New Roman"/>
          <w:kern w:val="0"/>
          <w14:ligatures w14:val="none"/>
        </w:rPr>
        <w:t>The majority of</w:t>
      </w:r>
      <w:proofErr w:type="gramEnd"/>
      <w:r w:rsidR="007770A2" w:rsidRPr="004667A2">
        <w:rPr>
          <w:rFonts w:ascii="Times New Roman" w:eastAsia="Times New Roman" w:hAnsi="Times New Roman" w:cs="Times New Roman"/>
          <w:kern w:val="0"/>
          <w14:ligatures w14:val="none"/>
        </w:rPr>
        <w:t xml:space="preserve"> students reported very little or no use of English in out-of-class situations, such as interactions with peers or service encounters. This finding supports the claims made in earlier research that classroom ability does not necessarily equate to the use of the target language in other situations (Littlewood, 2007).</w:t>
      </w:r>
    </w:p>
    <w:p w14:paraId="60FA628E" w14:textId="4B3F99FF" w:rsidR="003136B6" w:rsidRPr="005D381D" w:rsidRDefault="003136B6" w:rsidP="009549BF">
      <w:pPr>
        <w:spacing w:after="120" w:line="360" w:lineRule="auto"/>
        <w:ind w:firstLine="720"/>
        <w:jc w:val="both"/>
        <w:outlineLvl w:val="2"/>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 xml:space="preserve">The slight increase in the </w:t>
      </w:r>
      <w:r w:rsidR="007869C2" w:rsidRPr="007869C2">
        <w:rPr>
          <w:rFonts w:ascii="Times New Roman" w:eastAsia="Times New Roman" w:hAnsi="Times New Roman" w:cs="Times New Roman"/>
          <w:kern w:val="0"/>
          <w14:ligatures w14:val="none"/>
        </w:rPr>
        <w:t>use of English in online communication</w:t>
      </w:r>
      <w:r w:rsidR="007869C2">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14:ligatures w14:val="none"/>
        </w:rPr>
        <w:t>may be an indicator of the potential of these online contexts to be relatively safe avenues for English-speaking activities. However, the overall use of out-of-class English language use is still restricted, which aligns with the notion that English language use is often perceived by EFL learners as an academic subject. This aligns with Benson’s (2011) notion that out-of-class language use in the context of EFL settings is heavily dependent on the opportunity and the agency of the learners.</w:t>
      </w:r>
    </w:p>
    <w:p w14:paraId="18E55C8E" w14:textId="7E857585" w:rsidR="001512CA" w:rsidRPr="004667A2" w:rsidRDefault="001512CA" w:rsidP="009549BF">
      <w:pPr>
        <w:spacing w:after="120" w:line="360" w:lineRule="auto"/>
        <w:ind w:firstLine="720"/>
        <w:jc w:val="both"/>
        <w:outlineLvl w:val="2"/>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5.3 Affective Constraints and Willingness to Communicate</w:t>
      </w:r>
    </w:p>
    <w:p w14:paraId="23C29B65" w14:textId="10090065" w:rsidR="00D46CDA" w:rsidRPr="00DC0549" w:rsidRDefault="00D46CDA"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lastRenderedPageBreak/>
        <w:t>Qualitative findings provide substantial insights into the factors that prevent students from using English outside of the classroom. Among the ten students, low self-confidence and fear of making mistakes dominated the affective factors that prevent students from using English outside of the classroom, which is consistent with the literature of FLA that indicates that fear of negative evaluation is one of the most important factors that prevent students from using English, according to Horwitz (1986).</w:t>
      </w:r>
      <w:r w:rsidR="00DC0549">
        <w:rPr>
          <w:rFonts w:ascii="Times New Roman" w:eastAsia="Times New Roman" w:hAnsi="Times New Roman" w:cs="Times New Roman"/>
          <w:kern w:val="0"/>
          <w:lang w:val="vi-VN"/>
          <w14:ligatures w14:val="none"/>
        </w:rPr>
        <w:t xml:space="preserve"> </w:t>
      </w:r>
      <w:r w:rsidR="00DC0549" w:rsidRPr="00DC0549">
        <w:rPr>
          <w:rFonts w:ascii="Times New Roman" w:eastAsia="Times New Roman" w:hAnsi="Times New Roman" w:cs="Times New Roman"/>
          <w:kern w:val="0"/>
          <w:lang w:val="vi-VN"/>
          <w14:ligatures w14:val="none"/>
        </w:rPr>
        <w:t>Similar patterns have been identified in Asian EFL classrooms, where students’ willingness to communicate is strongly influenced by confidence, classroom climate, and fear of negative evaluation (Peng &amp; Woodrow, 2010).</w:t>
      </w:r>
    </w:p>
    <w:p w14:paraId="7A0DD521" w14:textId="77777777" w:rsidR="0084379A" w:rsidRPr="004667A2" w:rsidRDefault="0084379A" w:rsidP="009549BF">
      <w:pPr>
        <w:spacing w:after="120" w:line="360" w:lineRule="auto"/>
        <w:ind w:firstLine="720"/>
        <w:jc w:val="both"/>
        <w:outlineLvl w:val="2"/>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Interpreted in the light of the WTC framework proposed by </w:t>
      </w:r>
      <w:proofErr w:type="spellStart"/>
      <w:r w:rsidRPr="004667A2">
        <w:rPr>
          <w:rFonts w:ascii="Times New Roman" w:eastAsia="Times New Roman" w:hAnsi="Times New Roman" w:cs="Times New Roman"/>
          <w:kern w:val="0"/>
          <w14:ligatures w14:val="none"/>
        </w:rPr>
        <w:t>MacIntyre</w:t>
      </w:r>
      <w:proofErr w:type="spellEnd"/>
      <w:r w:rsidRPr="004667A2">
        <w:rPr>
          <w:rFonts w:ascii="Times New Roman" w:eastAsia="Times New Roman" w:hAnsi="Times New Roman" w:cs="Times New Roman"/>
          <w:kern w:val="0"/>
          <w14:ligatures w14:val="none"/>
        </w:rPr>
        <w:t xml:space="preserve"> et al. (1998), the results suggest that the willingness to use English outside the classroom is not limited by the lack of linguistic knowledge, but rather by other factors. For instance, the students who were actively using English in the classroom were still reluctant to use it outside the classroom due to the risk of communication. This is in support of the contention that linguistic knowledge is not enough to account for the use of the target language, especially in EFL settings.</w:t>
      </w:r>
    </w:p>
    <w:p w14:paraId="3F318F5E" w14:textId="2DBB0078" w:rsidR="001512CA" w:rsidRPr="004667A2" w:rsidRDefault="001512CA" w:rsidP="009549BF">
      <w:pPr>
        <w:spacing w:after="120" w:line="360" w:lineRule="auto"/>
        <w:ind w:firstLine="720"/>
        <w:jc w:val="both"/>
        <w:outlineLvl w:val="2"/>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5.4 Contextual Constraints and Lack of Communicative Necessity</w:t>
      </w:r>
    </w:p>
    <w:p w14:paraId="2D5301EE" w14:textId="67BE7FEC" w:rsidR="001C5937" w:rsidRPr="004667A2" w:rsidRDefault="001C5937"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Apart from affective factors, contextual and environmental factors also limited students’ </w:t>
      </w:r>
      <w:r w:rsidR="006F14C9" w:rsidRPr="004667A2">
        <w:rPr>
          <w:rFonts w:ascii="Times New Roman" w:eastAsia="Times New Roman" w:hAnsi="Times New Roman" w:cs="Times New Roman"/>
          <w:kern w:val="0"/>
          <w14:ligatures w14:val="none"/>
        </w:rPr>
        <w:t>English-speaking</w:t>
      </w:r>
      <w:r w:rsidRPr="004667A2">
        <w:rPr>
          <w:rFonts w:ascii="Times New Roman" w:eastAsia="Times New Roman" w:hAnsi="Times New Roman" w:cs="Times New Roman"/>
          <w:kern w:val="0"/>
          <w14:ligatures w14:val="none"/>
        </w:rPr>
        <w:t xml:space="preserve"> </w:t>
      </w:r>
      <w:r w:rsidR="00EF2303">
        <w:rPr>
          <w:rFonts w:ascii="Times New Roman" w:eastAsia="Times New Roman" w:hAnsi="Times New Roman" w:cs="Times New Roman"/>
          <w:kern w:val="0"/>
          <w14:ligatures w14:val="none"/>
        </w:rPr>
        <w:t>practices</w:t>
      </w:r>
      <w:r w:rsidRPr="004667A2">
        <w:rPr>
          <w:rFonts w:ascii="Times New Roman" w:eastAsia="Times New Roman" w:hAnsi="Times New Roman" w:cs="Times New Roman"/>
          <w:kern w:val="0"/>
          <w14:ligatures w14:val="none"/>
        </w:rPr>
        <w:t xml:space="preserve">. </w:t>
      </w:r>
      <w:proofErr w:type="gramStart"/>
      <w:r w:rsidRPr="004667A2">
        <w:rPr>
          <w:rFonts w:ascii="Times New Roman" w:eastAsia="Times New Roman" w:hAnsi="Times New Roman" w:cs="Times New Roman"/>
          <w:kern w:val="0"/>
          <w14:ligatures w14:val="none"/>
        </w:rPr>
        <w:t>The</w:t>
      </w:r>
      <w:proofErr w:type="gramEnd"/>
      <w:r w:rsidRPr="004667A2">
        <w:rPr>
          <w:rFonts w:ascii="Times New Roman" w:eastAsia="Times New Roman" w:hAnsi="Times New Roman" w:cs="Times New Roman"/>
          <w:kern w:val="0"/>
          <w14:ligatures w14:val="none"/>
        </w:rPr>
        <w:t xml:space="preserve"> major part of interviewed students emphasized that most interactions were based on the first language and that there was no need to use English outside the school environment. This result corresponds to previous research that showed that lack of exposure and absence of communicative need reduce students’ motivation to use the target language outside the classroom (Littlewood, 2007; Benson, 2011).</w:t>
      </w:r>
    </w:p>
    <w:p w14:paraId="18EF1A16" w14:textId="77777777" w:rsidR="00B6704C" w:rsidRPr="004667A2" w:rsidRDefault="00B6704C" w:rsidP="009549BF">
      <w:pPr>
        <w:spacing w:after="120" w:line="360" w:lineRule="auto"/>
        <w:ind w:firstLine="720"/>
        <w:jc w:val="both"/>
        <w:outlineLvl w:val="2"/>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The difficulty in finding an English-speaking interlocutor again illustrates the ways in which the environmental factors work in tandem with the affective factors to create an unwillingness to communicate in English. In the WTC framework, the role of the contextual factors is to reduce the learner's situational willingness to communicate, despite the learner's underlying motivation to improve his/her speaking skills in English. The interplay between the affective and contextual factors explains the continued gap between the learner's use of English in the classroom and in the real world, as seen in the results of this study.</w:t>
      </w:r>
    </w:p>
    <w:p w14:paraId="66804413" w14:textId="38225A4D" w:rsidR="001512CA" w:rsidRPr="004667A2" w:rsidRDefault="001512CA" w:rsidP="009549BF">
      <w:pPr>
        <w:spacing w:after="120" w:line="360" w:lineRule="auto"/>
        <w:ind w:firstLine="720"/>
        <w:jc w:val="both"/>
        <w:outlineLvl w:val="2"/>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5.5 Pedagogical Implications</w:t>
      </w:r>
    </w:p>
    <w:p w14:paraId="2C191C44" w14:textId="77777777" w:rsidR="000D2677" w:rsidRPr="004667A2" w:rsidRDefault="000D2677"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lastRenderedPageBreak/>
        <w:t>The results of this research also reveal several implications for English language teaching pedagogy in preparatory English programs offered in EFL university contexts. Firstly, while speaking activities in the classroom are undoubtedly important, more attention needs to be devoted to overcoming affective factors by creating a speaking environment that encourages risk-taking and self-initiated speaking. Secondly, it may be necessary to take English language teaching beyond the confines of the classroom by designing speaking tasks that involve out-of-class speaking.</w:t>
      </w:r>
    </w:p>
    <w:p w14:paraId="2ED59F78" w14:textId="77777777" w:rsidR="003465AE" w:rsidRPr="004667A2" w:rsidRDefault="001512CA"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Finally, </w:t>
      </w:r>
      <w:r w:rsidR="003465AE" w:rsidRPr="004667A2">
        <w:rPr>
          <w:rFonts w:ascii="Times New Roman" w:eastAsia="Times New Roman" w:hAnsi="Times New Roman" w:cs="Times New Roman"/>
          <w:kern w:val="0"/>
          <w14:ligatures w14:val="none"/>
        </w:rPr>
        <w:t>promoting students’ understanding that English is not just an academic subject but also a viable means of communication may enhance their interest in communicating beyond the classroom. Such changes in teaching methods may help bridge the gap between instructed language use and communicative language use.</w:t>
      </w:r>
    </w:p>
    <w:p w14:paraId="41FE7CD4" w14:textId="611CF451" w:rsidR="001512CA" w:rsidRPr="004667A2" w:rsidRDefault="001512CA" w:rsidP="009549BF">
      <w:pPr>
        <w:spacing w:after="120" w:line="360" w:lineRule="auto"/>
        <w:ind w:firstLine="720"/>
        <w:jc w:val="both"/>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5.6 Summary</w:t>
      </w:r>
    </w:p>
    <w:p w14:paraId="7D0C2AD7" w14:textId="10A94108" w:rsidR="00914E3F" w:rsidRPr="004667A2" w:rsidRDefault="002E4375" w:rsidP="009549BF">
      <w:pPr>
        <w:spacing w:after="120" w:line="360" w:lineRule="auto"/>
        <w:ind w:firstLine="720"/>
        <w:jc w:val="both"/>
        <w:outlineLvl w:val="1"/>
        <w:rPr>
          <w:rFonts w:ascii="Times New Roman" w:eastAsia="Times New Roman" w:hAnsi="Times New Roman" w:cs="Times New Roman"/>
          <w:kern w:val="0"/>
          <w:lang w:val="vi-VN"/>
          <w14:ligatures w14:val="none"/>
        </w:rPr>
      </w:pPr>
      <w:r w:rsidRPr="002E4375">
        <w:rPr>
          <w:rFonts w:ascii="Times New Roman" w:eastAsia="Times New Roman" w:hAnsi="Times New Roman" w:cs="Times New Roman"/>
          <w:kern w:val="0"/>
          <w14:ligatures w14:val="none"/>
        </w:rPr>
        <w:t xml:space="preserve">In summary, the findings highlight a substantial </w:t>
      </w:r>
      <w:r w:rsidR="00521299" w:rsidRPr="00521299">
        <w:rPr>
          <w:rFonts w:ascii="Times New Roman" w:eastAsia="Times New Roman" w:hAnsi="Times New Roman" w:cs="Times New Roman"/>
          <w:kern w:val="0"/>
          <w14:ligatures w14:val="none"/>
        </w:rPr>
        <w:t>limited correspondence between instructional speaking activities and spontaneous English interaction</w:t>
      </w:r>
      <w:r w:rsidR="00521299">
        <w:rPr>
          <w:rFonts w:ascii="Times New Roman" w:eastAsia="Times New Roman" w:hAnsi="Times New Roman" w:cs="Times New Roman"/>
          <w:kern w:val="0"/>
          <w:lang w:val="vi-VN"/>
          <w14:ligatures w14:val="none"/>
        </w:rPr>
        <w:t xml:space="preserve"> </w:t>
      </w:r>
      <w:r w:rsidRPr="002E4375">
        <w:rPr>
          <w:rFonts w:ascii="Times New Roman" w:eastAsia="Times New Roman" w:hAnsi="Times New Roman" w:cs="Times New Roman"/>
          <w:kern w:val="0"/>
          <w14:ligatures w14:val="none"/>
        </w:rPr>
        <w:t>which is shaped by the interaction of instructional, affective, and contextual factors.</w:t>
      </w:r>
      <w:r w:rsidR="006623D8">
        <w:rPr>
          <w:rFonts w:ascii="Times New Roman" w:eastAsia="Times New Roman" w:hAnsi="Times New Roman" w:cs="Times New Roman"/>
          <w:kern w:val="0"/>
          <w:lang w:val="vi-VN"/>
          <w14:ligatures w14:val="none"/>
        </w:rPr>
        <w:t xml:space="preserve"> </w:t>
      </w:r>
      <w:r w:rsidR="00943506" w:rsidRPr="004667A2">
        <w:rPr>
          <w:rFonts w:ascii="Times New Roman" w:eastAsia="Times New Roman" w:hAnsi="Times New Roman" w:cs="Times New Roman"/>
          <w:kern w:val="0"/>
          <w14:ligatures w14:val="none"/>
        </w:rPr>
        <w:t>While the classroom provides learners with the opportunity to practice speaking in English frequently, it is important to note that the opportunity to practice speaking in the classroom does not necessarily equate to the real-life setting.</w:t>
      </w:r>
    </w:p>
    <w:p w14:paraId="28A7EBE8" w14:textId="715F6138" w:rsidR="002E4375" w:rsidRDefault="003B5535" w:rsidP="009549BF">
      <w:pPr>
        <w:spacing w:after="120" w:line="360" w:lineRule="auto"/>
        <w:ind w:firstLine="720"/>
        <w:jc w:val="both"/>
        <w:outlineLvl w:val="1"/>
        <w:rPr>
          <w:rFonts w:ascii="Times New Roman" w:eastAsia="Times New Roman" w:hAnsi="Times New Roman" w:cs="Times New Roman"/>
          <w:b/>
          <w:bCs/>
          <w:kern w:val="0"/>
          <w:lang w:val="vi-VN"/>
          <w14:ligatures w14:val="none"/>
        </w:rPr>
      </w:pPr>
      <w:r w:rsidRPr="004667A2">
        <w:rPr>
          <w:rFonts w:ascii="Times New Roman" w:eastAsia="Times New Roman" w:hAnsi="Times New Roman" w:cs="Times New Roman"/>
          <w:b/>
          <w:bCs/>
          <w:kern w:val="0"/>
          <w:lang w:val="vi-VN"/>
          <w14:ligatures w14:val="none"/>
        </w:rPr>
        <w:t>5.7. Limitations</w:t>
      </w:r>
    </w:p>
    <w:p w14:paraId="1A1046A8" w14:textId="77777777" w:rsidR="00AF5629" w:rsidRDefault="00A10398" w:rsidP="006F14C9">
      <w:pPr>
        <w:spacing w:line="360" w:lineRule="auto"/>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lang w:val="vi-VN"/>
          <w14:ligatures w14:val="none"/>
        </w:rPr>
        <w:t xml:space="preserve">In spite of the positive contributions of the study, several limitations need to be pointed out. </w:t>
      </w:r>
    </w:p>
    <w:p w14:paraId="2151705B" w14:textId="77777777" w:rsidR="00700894" w:rsidRDefault="00A10398" w:rsidP="006832A1">
      <w:pPr>
        <w:spacing w:line="360" w:lineRule="auto"/>
        <w:jc w:val="both"/>
        <w:rPr>
          <w:rFonts w:ascii="Times New Roman" w:hAnsi="Times New Roman" w:cs="Times New Roman"/>
          <w:color w:val="EE0000"/>
          <w:lang w:val="vi-VN"/>
        </w:rPr>
      </w:pPr>
      <w:r w:rsidRPr="004667A2">
        <w:rPr>
          <w:rFonts w:ascii="Times New Roman" w:eastAsia="Times New Roman" w:hAnsi="Times New Roman" w:cs="Times New Roman"/>
          <w:kern w:val="0"/>
          <w:lang w:val="vi-VN"/>
          <w14:ligatures w14:val="none"/>
        </w:rPr>
        <w:t>Firstly, th</w:t>
      </w:r>
      <w:r w:rsidR="00785E88" w:rsidRPr="004667A2">
        <w:rPr>
          <w:rFonts w:ascii="Times New Roman" w:eastAsia="Times New Roman" w:hAnsi="Times New Roman" w:cs="Times New Roman"/>
          <w:kern w:val="0"/>
          <w14:ligatures w14:val="none"/>
        </w:rPr>
        <w:t xml:space="preserve">is </w:t>
      </w:r>
      <w:r w:rsidRPr="004667A2">
        <w:rPr>
          <w:rFonts w:ascii="Times New Roman" w:eastAsia="Times New Roman" w:hAnsi="Times New Roman" w:cs="Times New Roman"/>
          <w:kern w:val="0"/>
          <w:lang w:val="vi-VN"/>
          <w14:ligatures w14:val="none"/>
        </w:rPr>
        <w:t xml:space="preserve">study had a small sample size of 50 participants from a private university in Vietnam. This </w:t>
      </w:r>
      <w:r w:rsidR="005061BA" w:rsidRPr="005061BA">
        <w:rPr>
          <w:rFonts w:ascii="Times New Roman" w:eastAsia="Times New Roman" w:hAnsi="Times New Roman" w:cs="Times New Roman"/>
          <w:kern w:val="0"/>
          <w:lang w:val="vi-VN"/>
          <w14:ligatures w14:val="none"/>
        </w:rPr>
        <w:t>may limit the generalizability of the findings to broader EFL contexts</w:t>
      </w:r>
      <w:r w:rsidR="005061BA">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lang w:val="vi-VN"/>
          <w14:ligatures w14:val="none"/>
        </w:rPr>
        <w:t xml:space="preserve">Secondly, the present study is based on self-report measures of the participants. </w:t>
      </w:r>
      <w:r w:rsidR="006832A1" w:rsidRPr="006832A1">
        <w:rPr>
          <w:rFonts w:ascii="Times New Roman" w:hAnsi="Times New Roman" w:cs="Times New Roman"/>
          <w:color w:val="EE0000"/>
        </w:rPr>
        <w:t xml:space="preserve">The responses gathered by the survey technique are prone to the influences of recall and social desirability biases. Therefore, one cannot be sure that they reflect fully the students' actual behavior of using English to communicate. </w:t>
      </w:r>
      <w:r w:rsidR="00700894" w:rsidRPr="00700894">
        <w:rPr>
          <w:rFonts w:ascii="Times New Roman" w:hAnsi="Times New Roman" w:cs="Times New Roman"/>
          <w:color w:val="EE0000"/>
        </w:rPr>
        <w:t>Future research should triangulate self-reported questionnaire and interview data with more objective sources of evidence, such as classroom observations, speaking performance assessments, audio/video recordings of speaking tasks, and teacher evaluations.</w:t>
      </w:r>
    </w:p>
    <w:p w14:paraId="0D87910F" w14:textId="43189679" w:rsidR="00A10398" w:rsidRPr="004667A2" w:rsidRDefault="00A10398" w:rsidP="006832A1">
      <w:pPr>
        <w:spacing w:line="360" w:lineRule="auto"/>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lang w:val="vi-VN"/>
          <w14:ligatures w14:val="none"/>
        </w:rPr>
        <w:lastRenderedPageBreak/>
        <w:t>Thirdly, although the study had a mixed-methods design, the qualitative part of the study had a small sample size of 10 participants. This might not have been representative of the entire range of the participants’ experiences. In addition, the study focused more on the frequency of the participants’ English-speaking behavior rather than the effectiveness of the communication. This is another limitation of the study.</w:t>
      </w:r>
    </w:p>
    <w:p w14:paraId="645ACBAF" w14:textId="1D41E25B" w:rsidR="00A10398" w:rsidRPr="004667A2" w:rsidRDefault="00A10398" w:rsidP="009549BF">
      <w:pPr>
        <w:spacing w:after="120" w:line="360" w:lineRule="auto"/>
        <w:ind w:firstLine="720"/>
        <w:jc w:val="both"/>
        <w:outlineLvl w:val="1"/>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lang w:val="vi-VN"/>
          <w14:ligatures w14:val="none"/>
        </w:rPr>
        <w:t>Lastly, th</w:t>
      </w:r>
      <w:r w:rsidR="00785E88" w:rsidRPr="004667A2">
        <w:rPr>
          <w:rFonts w:ascii="Times New Roman" w:eastAsia="Times New Roman" w:hAnsi="Times New Roman" w:cs="Times New Roman"/>
          <w:kern w:val="0"/>
          <w14:ligatures w14:val="none"/>
        </w:rPr>
        <w:t xml:space="preserve">is </w:t>
      </w:r>
      <w:r w:rsidRPr="004667A2">
        <w:rPr>
          <w:rFonts w:ascii="Times New Roman" w:eastAsia="Times New Roman" w:hAnsi="Times New Roman" w:cs="Times New Roman"/>
          <w:kern w:val="0"/>
          <w:lang w:val="vi-VN"/>
          <w14:ligatures w14:val="none"/>
        </w:rPr>
        <w:t>study is a snapshot of the participants’ behavior and cannot account for changes in the participants’ behavior over time. Future studies might employ longitudinal designs to assess the development of the participants’ English-speaking behavior.</w:t>
      </w:r>
      <w:r w:rsidR="006F3F4E" w:rsidRPr="004667A2">
        <w:rPr>
          <w:rFonts w:ascii="Times New Roman" w:eastAsia="Times New Roman" w:hAnsi="Times New Roman" w:cs="Times New Roman"/>
          <w:kern w:val="0"/>
          <w:lang w:val="vi-VN"/>
          <w14:ligatures w14:val="none"/>
        </w:rPr>
        <w:t xml:space="preserve"> Despite these limitations, the study provides important insights into the gap between classroom-based and real-life English-speaking practices in EFL contexts.</w:t>
      </w:r>
    </w:p>
    <w:p w14:paraId="50DA5D24" w14:textId="04B19FC7" w:rsidR="00332BAD" w:rsidRPr="004667A2" w:rsidRDefault="00332BAD" w:rsidP="009549BF">
      <w:pPr>
        <w:spacing w:after="120" w:line="360" w:lineRule="auto"/>
        <w:ind w:firstLine="720"/>
        <w:jc w:val="both"/>
        <w:outlineLvl w:val="1"/>
        <w:rPr>
          <w:rFonts w:ascii="Times New Roman" w:eastAsia="Times New Roman" w:hAnsi="Times New Roman" w:cs="Times New Roman"/>
          <w:b/>
          <w:bCs/>
          <w:kern w:val="0"/>
          <w:lang w:val="vi-VN"/>
          <w14:ligatures w14:val="none"/>
        </w:rPr>
      </w:pPr>
      <w:r w:rsidRPr="004667A2">
        <w:rPr>
          <w:rFonts w:ascii="Times New Roman" w:eastAsia="Times New Roman" w:hAnsi="Times New Roman" w:cs="Times New Roman"/>
          <w:b/>
          <w:bCs/>
          <w:kern w:val="0"/>
          <w:lang w:val="vi-VN"/>
          <w14:ligatures w14:val="none"/>
        </w:rPr>
        <w:t>6. Conclusion</w:t>
      </w:r>
    </w:p>
    <w:p w14:paraId="58928E9B" w14:textId="20D5A43E" w:rsidR="00F569A9" w:rsidRPr="004667A2" w:rsidRDefault="00F569A9"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lang w:val="vi-VN"/>
          <w14:ligatures w14:val="none"/>
        </w:rPr>
        <w:t xml:space="preserve">This study </w:t>
      </w:r>
      <w:r w:rsidR="00800F5B" w:rsidRPr="004667A2">
        <w:rPr>
          <w:rFonts w:ascii="Times New Roman" w:eastAsia="Times New Roman" w:hAnsi="Times New Roman" w:cs="Times New Roman"/>
          <w:kern w:val="0"/>
          <w:lang w:val="vi-VN"/>
          <w14:ligatures w14:val="none"/>
        </w:rPr>
        <w:t xml:space="preserve">examined the speaking practices </w:t>
      </w:r>
      <w:r w:rsidRPr="004667A2">
        <w:rPr>
          <w:rFonts w:ascii="Times New Roman" w:eastAsia="Times New Roman" w:hAnsi="Times New Roman" w:cs="Times New Roman"/>
          <w:kern w:val="0"/>
          <w:lang w:val="vi-VN"/>
          <w14:ligatures w14:val="none"/>
        </w:rPr>
        <w:t xml:space="preserve">of first-year university students both inside the classroom and in real-life situations in the context of an English as a Foreign Language (EFL) classroom. The study’s findings reveal a wide gap in the level of participation in speaking practices inside the classroom and </w:t>
      </w:r>
      <w:r w:rsidR="00136FAF" w:rsidRPr="004667A2">
        <w:rPr>
          <w:rFonts w:ascii="Times New Roman" w:eastAsia="Times New Roman" w:hAnsi="Times New Roman" w:cs="Times New Roman"/>
          <w:kern w:val="0"/>
          <w:lang w:val="vi-VN"/>
          <w14:ligatures w14:val="none"/>
        </w:rPr>
        <w:t xml:space="preserve">the limited use of such practices outside the classroom. </w:t>
      </w:r>
      <w:r w:rsidRPr="004667A2">
        <w:rPr>
          <w:rFonts w:ascii="Times New Roman" w:eastAsia="Times New Roman" w:hAnsi="Times New Roman" w:cs="Times New Roman"/>
          <w:kern w:val="0"/>
          <w:lang w:val="vi-VN"/>
          <w14:ligatures w14:val="none"/>
        </w:rPr>
        <w:t xml:space="preserve">Despite the opportunities for speaking practice inside the classroom, such practice </w:t>
      </w:r>
      <w:r w:rsidR="004667A2" w:rsidRPr="004667A2">
        <w:rPr>
          <w:rFonts w:ascii="Times New Roman" w:eastAsia="Times New Roman" w:hAnsi="Times New Roman" w:cs="Times New Roman"/>
          <w:kern w:val="0"/>
          <w:lang w:val="vi-VN"/>
          <w14:ligatures w14:val="none"/>
        </w:rPr>
        <w:t xml:space="preserve">may not easily </w:t>
      </w:r>
      <w:r w:rsidR="00BC2206" w:rsidRPr="00BC2206">
        <w:rPr>
          <w:rFonts w:ascii="Times New Roman" w:eastAsia="Times New Roman" w:hAnsi="Times New Roman" w:cs="Times New Roman"/>
          <w:kern w:val="0"/>
          <w:lang w:val="vi-VN"/>
          <w14:ligatures w14:val="none"/>
        </w:rPr>
        <w:t>extend to authentic communicative contexts</w:t>
      </w:r>
      <w:r w:rsidR="00BC2206">
        <w:rPr>
          <w:rFonts w:ascii="Times New Roman" w:eastAsia="Times New Roman" w:hAnsi="Times New Roman" w:cs="Times New Roman"/>
          <w:kern w:val="0"/>
          <w:lang w:val="vi-VN"/>
          <w14:ligatures w14:val="none"/>
        </w:rPr>
        <w:t xml:space="preserve">. </w:t>
      </w:r>
      <w:r w:rsidRPr="004667A2">
        <w:rPr>
          <w:rFonts w:ascii="Times New Roman" w:eastAsia="Times New Roman" w:hAnsi="Times New Roman" w:cs="Times New Roman"/>
          <w:kern w:val="0"/>
          <w:lang w:val="vi-VN"/>
          <w14:ligatures w14:val="none"/>
        </w:rPr>
        <w:t>The study’s findings also reveal the importance of affective factors in the use of English outside the classroom. The low level of confidence, the fear of making mistakes, and the anxiety stemming from negative evaluation all served to limit the students’ willingness to communicate. The lack of opportunities and the lack of communicative necessity also limited the students’ use of English outside the classroom.</w:t>
      </w:r>
    </w:p>
    <w:p w14:paraId="0326F8CE" w14:textId="027FDE5D" w:rsidR="00F569A9" w:rsidRPr="004667A2" w:rsidRDefault="00F569A9"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lang w:val="vi-VN"/>
          <w14:ligatures w14:val="none"/>
        </w:rPr>
        <w:t>From the perspective of language teaching, the study’s findings reveal the importance of moving beyond the classroom-bound speaking practice to more authentic, meaningful, and confidence-building speaking practice. The study’s findings also reveal the importance of language teaching going beyond the development of students’ linguistic knowledge to the development of their willingness and readiness to communicate in real-life situations.</w:t>
      </w:r>
    </w:p>
    <w:p w14:paraId="5C41B7B1" w14:textId="0D8616DA" w:rsidR="00332BAD" w:rsidRPr="004667A2" w:rsidRDefault="00F569A9"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lang w:val="vi-VN"/>
          <w14:ligatures w14:val="none"/>
        </w:rPr>
        <w:t xml:space="preserve">The study’s findings also have important implications for the development of students' readiness to communicate in the global academic or professional community, where the ability to communicate orally plays </w:t>
      </w:r>
      <w:r w:rsidR="00A01D56" w:rsidRPr="004667A2">
        <w:rPr>
          <w:rFonts w:ascii="Times New Roman" w:eastAsia="Times New Roman" w:hAnsi="Times New Roman" w:cs="Times New Roman"/>
          <w:kern w:val="0"/>
          <w:lang w:val="vi-VN"/>
          <w14:ligatures w14:val="none"/>
        </w:rPr>
        <w:t xml:space="preserve">a crucial role. </w:t>
      </w:r>
      <w:r w:rsidRPr="004667A2">
        <w:rPr>
          <w:rFonts w:ascii="Times New Roman" w:eastAsia="Times New Roman" w:hAnsi="Times New Roman" w:cs="Times New Roman"/>
          <w:kern w:val="0"/>
          <w:lang w:val="vi-VN"/>
          <w14:ligatures w14:val="none"/>
        </w:rPr>
        <w:t>Future studies on the speaking practices of students need to be longitudinal studies to reveal the development of students' speaking practices over time.</w:t>
      </w:r>
      <w:r w:rsidR="0056522B" w:rsidRPr="004667A2">
        <w:rPr>
          <w:rFonts w:ascii="Times New Roman" w:eastAsia="Times New Roman" w:hAnsi="Times New Roman" w:cs="Times New Roman"/>
          <w:kern w:val="0"/>
          <w:lang w:val="vi-VN"/>
          <w14:ligatures w14:val="none"/>
        </w:rPr>
        <w:br w:type="page"/>
      </w:r>
    </w:p>
    <w:p w14:paraId="62C9AED7" w14:textId="77777777" w:rsidR="0056522B" w:rsidRPr="004667A2" w:rsidRDefault="0056522B" w:rsidP="009549BF">
      <w:pPr>
        <w:spacing w:after="120" w:line="360" w:lineRule="auto"/>
        <w:ind w:firstLine="720"/>
        <w:jc w:val="both"/>
        <w:outlineLvl w:val="1"/>
        <w:rPr>
          <w:rFonts w:ascii="Times New Roman" w:eastAsia="Times New Roman" w:hAnsi="Times New Roman" w:cs="Times New Roman"/>
          <w:kern w:val="0"/>
          <w:lang w:val="vi-VN"/>
          <w14:ligatures w14:val="none"/>
        </w:rPr>
      </w:pPr>
    </w:p>
    <w:p w14:paraId="7AF36D5D" w14:textId="7379EE4F" w:rsidR="0056522B" w:rsidRPr="004667A2" w:rsidRDefault="0056522B" w:rsidP="009549BF">
      <w:pPr>
        <w:spacing w:after="120" w:line="360" w:lineRule="auto"/>
        <w:ind w:firstLine="720"/>
        <w:jc w:val="both"/>
        <w:outlineLvl w:val="2"/>
        <w:rPr>
          <w:rFonts w:ascii="Times New Roman" w:eastAsia="Times New Roman" w:hAnsi="Times New Roman" w:cs="Times New Roman"/>
          <w:b/>
          <w:bCs/>
          <w:kern w:val="0"/>
          <w14:ligatures w14:val="none"/>
        </w:rPr>
      </w:pPr>
      <w:r w:rsidRPr="004667A2">
        <w:rPr>
          <w:rFonts w:ascii="Times New Roman" w:eastAsia="Times New Roman" w:hAnsi="Times New Roman" w:cs="Times New Roman"/>
          <w:b/>
          <w:bCs/>
          <w:kern w:val="0"/>
          <w14:ligatures w14:val="none"/>
        </w:rPr>
        <w:t>REFERENCES</w:t>
      </w:r>
    </w:p>
    <w:p w14:paraId="67B772E2" w14:textId="77777777" w:rsidR="0056522B" w:rsidRDefault="0056522B"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Benson, P. (2011). </w:t>
      </w:r>
      <w:r w:rsidRPr="004667A2">
        <w:rPr>
          <w:rFonts w:ascii="Times New Roman" w:eastAsia="Times New Roman" w:hAnsi="Times New Roman" w:cs="Times New Roman"/>
          <w:i/>
          <w:iCs/>
          <w:kern w:val="0"/>
          <w14:ligatures w14:val="none"/>
        </w:rPr>
        <w:t>Teaching and researching autonomy</w:t>
      </w:r>
      <w:r w:rsidRPr="004667A2">
        <w:rPr>
          <w:rFonts w:ascii="Times New Roman" w:eastAsia="Times New Roman" w:hAnsi="Times New Roman" w:cs="Times New Roman"/>
          <w:kern w:val="0"/>
          <w14:ligatures w14:val="none"/>
        </w:rPr>
        <w:t xml:space="preserve"> (2nd ed.). Routledge.</w:t>
      </w:r>
    </w:p>
    <w:p w14:paraId="15EFFB5B" w14:textId="662E8539" w:rsidR="00BF4095" w:rsidRPr="00BF4095" w:rsidRDefault="00BF4095" w:rsidP="009549BF">
      <w:pPr>
        <w:spacing w:after="120" w:line="360" w:lineRule="auto"/>
        <w:ind w:firstLine="720"/>
        <w:jc w:val="both"/>
        <w:rPr>
          <w:rFonts w:ascii="Times New Roman" w:eastAsia="Times New Roman" w:hAnsi="Times New Roman" w:cs="Times New Roman"/>
          <w:kern w:val="0"/>
          <w:lang w:val="vi-VN"/>
          <w14:ligatures w14:val="none"/>
        </w:rPr>
      </w:pPr>
      <w:r w:rsidRPr="00BF4095">
        <w:rPr>
          <w:rFonts w:ascii="Times New Roman" w:hAnsi="Times New Roman" w:cs="Times New Roman"/>
        </w:rPr>
        <w:t xml:space="preserve">Braun, V., &amp; Clarke, V. (2006). Using thematic analysis in psychology. </w:t>
      </w:r>
      <w:r w:rsidRPr="00BF4095">
        <w:rPr>
          <w:rStyle w:val="Emphasis"/>
          <w:rFonts w:ascii="Times New Roman" w:hAnsi="Times New Roman" w:cs="Times New Roman"/>
        </w:rPr>
        <w:t>Qualitative Research in Psychology, 3</w:t>
      </w:r>
      <w:r w:rsidRPr="00BF4095">
        <w:rPr>
          <w:rFonts w:ascii="Times New Roman" w:hAnsi="Times New Roman" w:cs="Times New Roman"/>
        </w:rPr>
        <w:t xml:space="preserve">(2), 77–101. </w:t>
      </w:r>
      <w:hyperlink r:id="rId7" w:tgtFrame="_new" w:history="1">
        <w:r w:rsidRPr="00BF4095">
          <w:rPr>
            <w:rStyle w:val="Hyperlink"/>
            <w:rFonts w:ascii="Times New Roman" w:hAnsi="Times New Roman" w:cs="Times New Roman"/>
          </w:rPr>
          <w:t>https://doi.org/10.1191/1478088706qp063oa</w:t>
        </w:r>
      </w:hyperlink>
    </w:p>
    <w:p w14:paraId="03BF29BD" w14:textId="77777777" w:rsidR="0056522B" w:rsidRDefault="0056522B" w:rsidP="009549BF">
      <w:pPr>
        <w:spacing w:after="120" w:line="360" w:lineRule="auto"/>
        <w:ind w:firstLine="720"/>
        <w:jc w:val="both"/>
        <w:rPr>
          <w:rFonts w:ascii="Times New Roman" w:eastAsia="Times New Roman" w:hAnsi="Times New Roman" w:cs="Times New Roman"/>
          <w:kern w:val="0"/>
          <w:lang w:val="vi-VN"/>
          <w14:ligatures w14:val="none"/>
        </w:rPr>
      </w:pPr>
      <w:proofErr w:type="spellStart"/>
      <w:r w:rsidRPr="004667A2">
        <w:rPr>
          <w:rFonts w:ascii="Times New Roman" w:eastAsia="Times New Roman" w:hAnsi="Times New Roman" w:cs="Times New Roman"/>
          <w:kern w:val="0"/>
          <w14:ligatures w14:val="none"/>
        </w:rPr>
        <w:t>Bygate</w:t>
      </w:r>
      <w:proofErr w:type="spellEnd"/>
      <w:r w:rsidRPr="004667A2">
        <w:rPr>
          <w:rFonts w:ascii="Times New Roman" w:eastAsia="Times New Roman" w:hAnsi="Times New Roman" w:cs="Times New Roman"/>
          <w:kern w:val="0"/>
          <w14:ligatures w14:val="none"/>
        </w:rPr>
        <w:t xml:space="preserve">, M. (1987). </w:t>
      </w:r>
      <w:r w:rsidRPr="004667A2">
        <w:rPr>
          <w:rFonts w:ascii="Times New Roman" w:eastAsia="Times New Roman" w:hAnsi="Times New Roman" w:cs="Times New Roman"/>
          <w:i/>
          <w:iCs/>
          <w:kern w:val="0"/>
          <w14:ligatures w14:val="none"/>
        </w:rPr>
        <w:t>Speaking</w:t>
      </w:r>
      <w:r w:rsidRPr="004667A2">
        <w:rPr>
          <w:rFonts w:ascii="Times New Roman" w:eastAsia="Times New Roman" w:hAnsi="Times New Roman" w:cs="Times New Roman"/>
          <w:kern w:val="0"/>
          <w14:ligatures w14:val="none"/>
        </w:rPr>
        <w:t>. Oxford University Press.</w:t>
      </w:r>
    </w:p>
    <w:p w14:paraId="0923FC45" w14:textId="0598C0D4" w:rsidR="007B408D" w:rsidRPr="007B408D" w:rsidRDefault="007B408D" w:rsidP="009549BF">
      <w:pPr>
        <w:spacing w:after="120" w:line="360" w:lineRule="auto"/>
        <w:ind w:firstLine="720"/>
        <w:jc w:val="both"/>
        <w:rPr>
          <w:rFonts w:ascii="Times New Roman" w:eastAsia="Times New Roman" w:hAnsi="Times New Roman" w:cs="Times New Roman"/>
          <w:kern w:val="0"/>
          <w:lang w:val="vi-VN"/>
          <w14:ligatures w14:val="none"/>
        </w:rPr>
      </w:pPr>
      <w:proofErr w:type="spellStart"/>
      <w:r w:rsidRPr="007B408D">
        <w:rPr>
          <w:rFonts w:ascii="Times New Roman" w:hAnsi="Times New Roman" w:cs="Times New Roman"/>
        </w:rPr>
        <w:t>Bygate</w:t>
      </w:r>
      <w:proofErr w:type="spellEnd"/>
      <w:r w:rsidRPr="007B408D">
        <w:rPr>
          <w:rFonts w:ascii="Times New Roman" w:hAnsi="Times New Roman" w:cs="Times New Roman"/>
        </w:rPr>
        <w:t xml:space="preserve">, M. (2001). Speaking. In R. Carter &amp; D. Nunan (Eds.), </w:t>
      </w:r>
      <w:r w:rsidRPr="007B408D">
        <w:rPr>
          <w:rStyle w:val="Emphasis"/>
          <w:rFonts w:ascii="Times New Roman" w:hAnsi="Times New Roman" w:cs="Times New Roman"/>
        </w:rPr>
        <w:t>The Cambridge guide to teaching English to speakers of other languages</w:t>
      </w:r>
      <w:r w:rsidRPr="007B408D">
        <w:rPr>
          <w:rFonts w:ascii="Times New Roman" w:hAnsi="Times New Roman" w:cs="Times New Roman"/>
        </w:rPr>
        <w:t xml:space="preserve"> (pp. 14–20). Cambridge University Press.</w:t>
      </w:r>
    </w:p>
    <w:p w14:paraId="57B0DEC6" w14:textId="101D108D" w:rsidR="0056522B" w:rsidRDefault="0056522B" w:rsidP="009549BF">
      <w:pPr>
        <w:spacing w:after="120" w:line="360" w:lineRule="auto"/>
        <w:ind w:firstLine="720"/>
        <w:jc w:val="both"/>
        <w:rPr>
          <w:lang w:val="vi-VN"/>
        </w:rPr>
      </w:pPr>
      <w:r w:rsidRPr="004667A2">
        <w:rPr>
          <w:rFonts w:ascii="Times New Roman" w:eastAsia="Times New Roman" w:hAnsi="Times New Roman" w:cs="Times New Roman"/>
          <w:kern w:val="0"/>
          <w14:ligatures w14:val="none"/>
        </w:rPr>
        <w:t xml:space="preserve">Canale, M., &amp; Swain, M. (1980). Theoretical bases of communicative approaches to second language teaching and testing. </w:t>
      </w:r>
      <w:r w:rsidRPr="004667A2">
        <w:rPr>
          <w:rFonts w:ascii="Times New Roman" w:eastAsia="Times New Roman" w:hAnsi="Times New Roman" w:cs="Times New Roman"/>
          <w:i/>
          <w:iCs/>
          <w:kern w:val="0"/>
          <w14:ligatures w14:val="none"/>
        </w:rPr>
        <w:t>Applied Linguistics, 1</w:t>
      </w:r>
      <w:r w:rsidRPr="004667A2">
        <w:rPr>
          <w:rFonts w:ascii="Times New Roman" w:eastAsia="Times New Roman" w:hAnsi="Times New Roman" w:cs="Times New Roman"/>
          <w:kern w:val="0"/>
          <w14:ligatures w14:val="none"/>
        </w:rPr>
        <w:t xml:space="preserve">(1), 1–47. </w:t>
      </w:r>
      <w:hyperlink r:id="rId8" w:history="1">
        <w:r w:rsidR="0049344F" w:rsidRPr="00C52903">
          <w:rPr>
            <w:rStyle w:val="Hyperlink"/>
            <w:rFonts w:ascii="Times New Roman" w:eastAsia="Times New Roman" w:hAnsi="Times New Roman" w:cs="Times New Roman"/>
            <w:kern w:val="0"/>
            <w14:ligatures w14:val="none"/>
          </w:rPr>
          <w:t>https://doi.org/10.1093/applin/1.1.1</w:t>
        </w:r>
      </w:hyperlink>
    </w:p>
    <w:p w14:paraId="4D7AAA4F" w14:textId="00F1B7AA" w:rsidR="0049344F" w:rsidRPr="0049344F" w:rsidRDefault="0049344F" w:rsidP="009549BF">
      <w:pPr>
        <w:spacing w:after="120" w:line="360" w:lineRule="auto"/>
        <w:ind w:firstLine="720"/>
        <w:jc w:val="both"/>
        <w:rPr>
          <w:rFonts w:ascii="Times New Roman" w:eastAsia="Times New Roman" w:hAnsi="Times New Roman" w:cs="Times New Roman"/>
          <w:kern w:val="0"/>
          <w:lang w:val="vi-VN"/>
          <w14:ligatures w14:val="none"/>
        </w:rPr>
      </w:pPr>
      <w:r w:rsidRPr="0049344F">
        <w:rPr>
          <w:rFonts w:ascii="Times New Roman" w:hAnsi="Times New Roman" w:cs="Times New Roman"/>
        </w:rPr>
        <w:t xml:space="preserve">Creswell, J. W., &amp; Plano Clark, V. L. (2018). </w:t>
      </w:r>
      <w:r w:rsidRPr="0049344F">
        <w:rPr>
          <w:rStyle w:val="Emphasis"/>
          <w:rFonts w:ascii="Times New Roman" w:hAnsi="Times New Roman" w:cs="Times New Roman"/>
        </w:rPr>
        <w:t>Designing and conducting mixed methods research</w:t>
      </w:r>
      <w:r w:rsidRPr="0049344F">
        <w:rPr>
          <w:rFonts w:ascii="Times New Roman" w:hAnsi="Times New Roman" w:cs="Times New Roman"/>
        </w:rPr>
        <w:t xml:space="preserve"> (3rd ed.). SAGE Publications.</w:t>
      </w:r>
    </w:p>
    <w:p w14:paraId="5810C265" w14:textId="77777777" w:rsidR="0056522B" w:rsidRDefault="0056522B"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Ellis, R. (2003). </w:t>
      </w:r>
      <w:r w:rsidRPr="004667A2">
        <w:rPr>
          <w:rFonts w:ascii="Times New Roman" w:eastAsia="Times New Roman" w:hAnsi="Times New Roman" w:cs="Times New Roman"/>
          <w:i/>
          <w:iCs/>
          <w:kern w:val="0"/>
          <w14:ligatures w14:val="none"/>
        </w:rPr>
        <w:t>Task-based language learning and teaching</w:t>
      </w:r>
      <w:r w:rsidRPr="004667A2">
        <w:rPr>
          <w:rFonts w:ascii="Times New Roman" w:eastAsia="Times New Roman" w:hAnsi="Times New Roman" w:cs="Times New Roman"/>
          <w:kern w:val="0"/>
          <w14:ligatures w14:val="none"/>
        </w:rPr>
        <w:t>. Oxford University Press.</w:t>
      </w:r>
    </w:p>
    <w:p w14:paraId="2F070617" w14:textId="237115CC" w:rsidR="009338F7" w:rsidRPr="009338F7" w:rsidRDefault="009338F7" w:rsidP="009549BF">
      <w:pPr>
        <w:spacing w:after="120" w:line="360" w:lineRule="auto"/>
        <w:ind w:firstLine="720"/>
        <w:jc w:val="both"/>
        <w:rPr>
          <w:rFonts w:ascii="Times New Roman" w:eastAsia="Times New Roman" w:hAnsi="Times New Roman" w:cs="Times New Roman"/>
          <w:kern w:val="0"/>
          <w:lang w:val="vi-VN"/>
          <w14:ligatures w14:val="none"/>
        </w:rPr>
      </w:pPr>
      <w:r w:rsidRPr="009338F7">
        <w:rPr>
          <w:rFonts w:ascii="Times New Roman" w:hAnsi="Times New Roman" w:cs="Times New Roman"/>
        </w:rPr>
        <w:t xml:space="preserve">Goh, C. C. M., &amp; Burns, A. (2012). </w:t>
      </w:r>
      <w:r w:rsidRPr="009338F7">
        <w:rPr>
          <w:rStyle w:val="Emphasis"/>
          <w:rFonts w:ascii="Times New Roman" w:hAnsi="Times New Roman" w:cs="Times New Roman"/>
        </w:rPr>
        <w:t>Teaching speaking: A holistic approach</w:t>
      </w:r>
      <w:r w:rsidRPr="009338F7">
        <w:rPr>
          <w:rFonts w:ascii="Times New Roman" w:hAnsi="Times New Roman" w:cs="Times New Roman"/>
        </w:rPr>
        <w:t>. Cambridge University Press.</w:t>
      </w:r>
    </w:p>
    <w:p w14:paraId="53CA6D38" w14:textId="4E37DC74" w:rsidR="00411006" w:rsidRPr="00411006" w:rsidRDefault="004B7DCF" w:rsidP="00411006">
      <w:pPr>
        <w:spacing w:after="120" w:line="360" w:lineRule="auto"/>
        <w:ind w:firstLine="720"/>
        <w:jc w:val="both"/>
        <w:rPr>
          <w:rFonts w:ascii="Times New Roman" w:hAnsi="Times New Roman" w:cs="Times New Roman"/>
          <w:lang w:val="vi-VN"/>
        </w:rPr>
      </w:pPr>
      <w:r w:rsidRPr="004B7DCF">
        <w:rPr>
          <w:rFonts w:ascii="Times New Roman" w:hAnsi="Times New Roman" w:cs="Times New Roman"/>
        </w:rPr>
        <w:t xml:space="preserve">Guest, G., Bunce, A., &amp; Johnson, L. (2006). How many interviews are enough? An experiment with data saturation and variability. </w:t>
      </w:r>
      <w:r w:rsidRPr="004B7DCF">
        <w:rPr>
          <w:rStyle w:val="Emphasis"/>
          <w:rFonts w:ascii="Times New Roman" w:hAnsi="Times New Roman" w:cs="Times New Roman"/>
        </w:rPr>
        <w:t>Field Methods, 18</w:t>
      </w:r>
      <w:r w:rsidRPr="004B7DCF">
        <w:rPr>
          <w:rFonts w:ascii="Times New Roman" w:hAnsi="Times New Roman" w:cs="Times New Roman"/>
        </w:rPr>
        <w:t>(1), 59–82. https://doi.org/10.1177/1525822X05279903</w:t>
      </w:r>
    </w:p>
    <w:p w14:paraId="15FE79D5" w14:textId="598C4C80" w:rsidR="0056522B" w:rsidRPr="004667A2" w:rsidRDefault="0056522B"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t xml:space="preserve">Horwitz, E. K. (1986). Preliminary evidence for the reliability and validity of a foreign language anxiety scale. </w:t>
      </w:r>
      <w:r w:rsidRPr="004667A2">
        <w:rPr>
          <w:rFonts w:ascii="Times New Roman" w:eastAsia="Times New Roman" w:hAnsi="Times New Roman" w:cs="Times New Roman"/>
          <w:i/>
          <w:iCs/>
          <w:kern w:val="0"/>
          <w14:ligatures w14:val="none"/>
        </w:rPr>
        <w:t>TESOL Quarterly, 20</w:t>
      </w:r>
      <w:r w:rsidRPr="004667A2">
        <w:rPr>
          <w:rFonts w:ascii="Times New Roman" w:eastAsia="Times New Roman" w:hAnsi="Times New Roman" w:cs="Times New Roman"/>
          <w:kern w:val="0"/>
          <w14:ligatures w14:val="none"/>
        </w:rPr>
        <w:t>(3), 559–562. https://doi.org/10.2307/3586302</w:t>
      </w:r>
    </w:p>
    <w:p w14:paraId="03B438D9" w14:textId="77777777" w:rsidR="0056522B" w:rsidRDefault="0056522B"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Hyland, K. (2006). </w:t>
      </w:r>
      <w:r w:rsidRPr="004667A2">
        <w:rPr>
          <w:rFonts w:ascii="Times New Roman" w:eastAsia="Times New Roman" w:hAnsi="Times New Roman" w:cs="Times New Roman"/>
          <w:i/>
          <w:iCs/>
          <w:kern w:val="0"/>
          <w14:ligatures w14:val="none"/>
        </w:rPr>
        <w:t>English for academic purposes: An advanced resource book</w:t>
      </w:r>
      <w:r w:rsidRPr="004667A2">
        <w:rPr>
          <w:rFonts w:ascii="Times New Roman" w:eastAsia="Times New Roman" w:hAnsi="Times New Roman" w:cs="Times New Roman"/>
          <w:kern w:val="0"/>
          <w14:ligatures w14:val="none"/>
        </w:rPr>
        <w:t>. Routledge.</w:t>
      </w:r>
    </w:p>
    <w:p w14:paraId="487F88B6" w14:textId="29049E7A" w:rsidR="00460B0B" w:rsidRPr="00460B0B" w:rsidRDefault="00460B0B" w:rsidP="009549BF">
      <w:pPr>
        <w:spacing w:after="120" w:line="360" w:lineRule="auto"/>
        <w:ind w:firstLine="720"/>
        <w:jc w:val="both"/>
        <w:rPr>
          <w:rFonts w:ascii="Times New Roman" w:eastAsia="Times New Roman" w:hAnsi="Times New Roman" w:cs="Times New Roman"/>
          <w:kern w:val="0"/>
          <w:lang w:val="vi-VN"/>
          <w14:ligatures w14:val="none"/>
        </w:rPr>
      </w:pPr>
      <w:r w:rsidRPr="00460B0B">
        <w:rPr>
          <w:rFonts w:ascii="Times New Roman" w:hAnsi="Times New Roman" w:cs="Times New Roman"/>
        </w:rPr>
        <w:t xml:space="preserve">Lamb, M., &amp; </w:t>
      </w:r>
      <w:proofErr w:type="spellStart"/>
      <w:r w:rsidRPr="00460B0B">
        <w:rPr>
          <w:rFonts w:ascii="Times New Roman" w:hAnsi="Times New Roman" w:cs="Times New Roman"/>
        </w:rPr>
        <w:t>Arisandy</w:t>
      </w:r>
      <w:proofErr w:type="spellEnd"/>
      <w:r w:rsidRPr="00460B0B">
        <w:rPr>
          <w:rFonts w:ascii="Times New Roman" w:hAnsi="Times New Roman" w:cs="Times New Roman"/>
        </w:rPr>
        <w:t xml:space="preserve">, F. E. (2020). The impact of online use of English on motivation to learn. </w:t>
      </w:r>
      <w:r w:rsidRPr="00460B0B">
        <w:rPr>
          <w:rStyle w:val="Emphasis"/>
          <w:rFonts w:ascii="Times New Roman" w:hAnsi="Times New Roman" w:cs="Times New Roman"/>
        </w:rPr>
        <w:t>Computer Assisted Language Learning, 33</w:t>
      </w:r>
      <w:r w:rsidRPr="00460B0B">
        <w:rPr>
          <w:rFonts w:ascii="Times New Roman" w:hAnsi="Times New Roman" w:cs="Times New Roman"/>
        </w:rPr>
        <w:t>(1–2), 85–108. https://doi.org/10.1080/09588221.2018.1545670</w:t>
      </w:r>
    </w:p>
    <w:p w14:paraId="33F5952E" w14:textId="77777777" w:rsidR="0056522B" w:rsidRPr="004667A2" w:rsidRDefault="0056522B" w:rsidP="009549BF">
      <w:pPr>
        <w:spacing w:after="120" w:line="360" w:lineRule="auto"/>
        <w:ind w:firstLine="720"/>
        <w:jc w:val="both"/>
        <w:rPr>
          <w:rFonts w:ascii="Times New Roman" w:eastAsia="Times New Roman" w:hAnsi="Times New Roman" w:cs="Times New Roman"/>
          <w:kern w:val="0"/>
          <w14:ligatures w14:val="none"/>
        </w:rPr>
      </w:pPr>
      <w:r w:rsidRPr="004667A2">
        <w:rPr>
          <w:rFonts w:ascii="Times New Roman" w:eastAsia="Times New Roman" w:hAnsi="Times New Roman" w:cs="Times New Roman"/>
          <w:kern w:val="0"/>
          <w14:ligatures w14:val="none"/>
        </w:rPr>
        <w:lastRenderedPageBreak/>
        <w:t xml:space="preserve">Littlewood, W. (2007). Communicative and task‐based language teaching in East Asian classrooms. </w:t>
      </w:r>
      <w:r w:rsidRPr="004667A2">
        <w:rPr>
          <w:rFonts w:ascii="Times New Roman" w:eastAsia="Times New Roman" w:hAnsi="Times New Roman" w:cs="Times New Roman"/>
          <w:i/>
          <w:iCs/>
          <w:kern w:val="0"/>
          <w14:ligatures w14:val="none"/>
        </w:rPr>
        <w:t>Language Teaching, 40</w:t>
      </w:r>
      <w:r w:rsidRPr="004667A2">
        <w:rPr>
          <w:rFonts w:ascii="Times New Roman" w:eastAsia="Times New Roman" w:hAnsi="Times New Roman" w:cs="Times New Roman"/>
          <w:kern w:val="0"/>
          <w14:ligatures w14:val="none"/>
        </w:rPr>
        <w:t xml:space="preserve">(3), 243–249. </w:t>
      </w:r>
      <w:hyperlink r:id="rId9" w:tgtFrame="_new" w:history="1">
        <w:r w:rsidRPr="004667A2">
          <w:rPr>
            <w:rFonts w:ascii="Times New Roman" w:eastAsia="Times New Roman" w:hAnsi="Times New Roman" w:cs="Times New Roman"/>
            <w:color w:val="0000FF"/>
            <w:kern w:val="0"/>
            <w:u w:val="single"/>
            <w14:ligatures w14:val="none"/>
          </w:rPr>
          <w:t>https://doi.org/10.1017/S0261444807004363</w:t>
        </w:r>
      </w:hyperlink>
    </w:p>
    <w:p w14:paraId="6F68CFF6" w14:textId="77777777" w:rsidR="0056522B" w:rsidRDefault="0056522B" w:rsidP="009549BF">
      <w:pPr>
        <w:spacing w:after="120" w:line="360" w:lineRule="auto"/>
        <w:ind w:firstLine="720"/>
        <w:jc w:val="both"/>
        <w:rPr>
          <w:lang w:val="vi-VN"/>
        </w:rPr>
      </w:pPr>
      <w:proofErr w:type="spellStart"/>
      <w:r w:rsidRPr="004667A2">
        <w:rPr>
          <w:rFonts w:ascii="Times New Roman" w:eastAsia="Times New Roman" w:hAnsi="Times New Roman" w:cs="Times New Roman"/>
          <w:kern w:val="0"/>
          <w14:ligatures w14:val="none"/>
        </w:rPr>
        <w:t>MacIntyre</w:t>
      </w:r>
      <w:proofErr w:type="spellEnd"/>
      <w:r w:rsidRPr="004667A2">
        <w:rPr>
          <w:rFonts w:ascii="Times New Roman" w:eastAsia="Times New Roman" w:hAnsi="Times New Roman" w:cs="Times New Roman"/>
          <w:kern w:val="0"/>
          <w14:ligatures w14:val="none"/>
        </w:rPr>
        <w:t xml:space="preserve">, P. D., Clément, R., Dörnyei, Z., &amp; Noels, K. A. (1998). Conceptualizing willingness to communicate in a second language: A situational model of L2 confidence and affiliation. </w:t>
      </w:r>
      <w:r w:rsidRPr="004667A2">
        <w:rPr>
          <w:rFonts w:ascii="Times New Roman" w:eastAsia="Times New Roman" w:hAnsi="Times New Roman" w:cs="Times New Roman"/>
          <w:i/>
          <w:iCs/>
          <w:kern w:val="0"/>
          <w14:ligatures w14:val="none"/>
        </w:rPr>
        <w:t>The Modern Language Journal, 82</w:t>
      </w:r>
      <w:r w:rsidRPr="004667A2">
        <w:rPr>
          <w:rFonts w:ascii="Times New Roman" w:eastAsia="Times New Roman" w:hAnsi="Times New Roman" w:cs="Times New Roman"/>
          <w:kern w:val="0"/>
          <w14:ligatures w14:val="none"/>
        </w:rPr>
        <w:t xml:space="preserve">(4), 545–562. </w:t>
      </w:r>
      <w:hyperlink r:id="rId10" w:tgtFrame="_new" w:history="1">
        <w:r w:rsidRPr="004667A2">
          <w:rPr>
            <w:rFonts w:ascii="Times New Roman" w:eastAsia="Times New Roman" w:hAnsi="Times New Roman" w:cs="Times New Roman"/>
            <w:color w:val="0000FF"/>
            <w:kern w:val="0"/>
            <w:u w:val="single"/>
            <w14:ligatures w14:val="none"/>
          </w:rPr>
          <w:t>https://doi.org/10.1111/j.1540-4781.1998.tb05543.x</w:t>
        </w:r>
      </w:hyperlink>
    </w:p>
    <w:p w14:paraId="7440B057" w14:textId="2DEA1BA8" w:rsidR="007430E2" w:rsidRDefault="007430E2" w:rsidP="009549BF">
      <w:pPr>
        <w:spacing w:after="120" w:line="360" w:lineRule="auto"/>
        <w:ind w:firstLine="720"/>
        <w:jc w:val="both"/>
        <w:rPr>
          <w:rFonts w:ascii="Times New Roman" w:hAnsi="Times New Roman" w:cs="Times New Roman"/>
          <w:lang w:val="vi-VN"/>
        </w:rPr>
      </w:pPr>
      <w:r w:rsidRPr="007430E2">
        <w:rPr>
          <w:rFonts w:ascii="Times New Roman" w:hAnsi="Times New Roman" w:cs="Times New Roman"/>
        </w:rPr>
        <w:t xml:space="preserve">Nation, I. S. P., &amp; Newton, J. (2009). </w:t>
      </w:r>
      <w:r w:rsidRPr="007430E2">
        <w:rPr>
          <w:rStyle w:val="Emphasis"/>
          <w:rFonts w:ascii="Times New Roman" w:hAnsi="Times New Roman" w:cs="Times New Roman"/>
        </w:rPr>
        <w:t>Teaching ESL/EFL listening and speaking</w:t>
      </w:r>
      <w:r w:rsidRPr="007430E2">
        <w:rPr>
          <w:rFonts w:ascii="Times New Roman" w:hAnsi="Times New Roman" w:cs="Times New Roman"/>
        </w:rPr>
        <w:t>. Routledge.</w:t>
      </w:r>
    </w:p>
    <w:p w14:paraId="6AF58268" w14:textId="03A91B21" w:rsidR="00C951E6" w:rsidRPr="00C951E6" w:rsidRDefault="00C951E6" w:rsidP="009549BF">
      <w:pPr>
        <w:spacing w:after="120" w:line="360" w:lineRule="auto"/>
        <w:ind w:firstLine="720"/>
        <w:jc w:val="both"/>
        <w:rPr>
          <w:rFonts w:ascii="Times New Roman" w:hAnsi="Times New Roman" w:cs="Times New Roman"/>
          <w:lang w:val="vi-VN"/>
        </w:rPr>
      </w:pPr>
      <w:r w:rsidRPr="00C951E6">
        <w:rPr>
          <w:rFonts w:ascii="Times New Roman" w:hAnsi="Times New Roman" w:cs="Times New Roman"/>
        </w:rPr>
        <w:t xml:space="preserve">Nguyen, T. T. H., &amp; </w:t>
      </w:r>
      <w:proofErr w:type="spellStart"/>
      <w:r w:rsidRPr="00C951E6">
        <w:rPr>
          <w:rFonts w:ascii="Times New Roman" w:hAnsi="Times New Roman" w:cs="Times New Roman"/>
        </w:rPr>
        <w:t>Habók</w:t>
      </w:r>
      <w:proofErr w:type="spellEnd"/>
      <w:r w:rsidRPr="00C951E6">
        <w:rPr>
          <w:rFonts w:ascii="Times New Roman" w:hAnsi="Times New Roman" w:cs="Times New Roman"/>
        </w:rPr>
        <w:t xml:space="preserve">, A. (2023). Vietnamese EFL students’ willingness to communicate in English and its related factors. </w:t>
      </w:r>
      <w:proofErr w:type="spellStart"/>
      <w:r w:rsidRPr="00C951E6">
        <w:rPr>
          <w:rStyle w:val="Emphasis"/>
          <w:rFonts w:ascii="Times New Roman" w:hAnsi="Times New Roman" w:cs="Times New Roman"/>
        </w:rPr>
        <w:t>Heliyon</w:t>
      </w:r>
      <w:proofErr w:type="spellEnd"/>
      <w:r w:rsidRPr="00C951E6">
        <w:rPr>
          <w:rStyle w:val="Emphasis"/>
          <w:rFonts w:ascii="Times New Roman" w:hAnsi="Times New Roman" w:cs="Times New Roman"/>
        </w:rPr>
        <w:t>, 9</w:t>
      </w:r>
      <w:r w:rsidRPr="00C951E6">
        <w:rPr>
          <w:rFonts w:ascii="Times New Roman" w:hAnsi="Times New Roman" w:cs="Times New Roman"/>
        </w:rPr>
        <w:t>(5), e15834. https://doi.org/10.1016/j.heliyon.2023.e15834</w:t>
      </w:r>
    </w:p>
    <w:p w14:paraId="7E7D546C" w14:textId="63444B25" w:rsidR="0069607F" w:rsidRPr="0069607F" w:rsidRDefault="0069607F" w:rsidP="009549BF">
      <w:pPr>
        <w:spacing w:after="120" w:line="360" w:lineRule="auto"/>
        <w:ind w:firstLine="720"/>
        <w:jc w:val="both"/>
        <w:rPr>
          <w:rFonts w:ascii="Times New Roman" w:hAnsi="Times New Roman" w:cs="Times New Roman"/>
          <w:lang w:val="vi-VN"/>
        </w:rPr>
      </w:pPr>
      <w:r w:rsidRPr="0069607F">
        <w:rPr>
          <w:rFonts w:ascii="Times New Roman" w:hAnsi="Times New Roman" w:cs="Times New Roman"/>
        </w:rPr>
        <w:t xml:space="preserve">Nguyen, V. H., &amp; Vu, H. N. (2024). A phenomenological analysis of the obstacles impeding Vietnamese EFL learners' willingness to communicate in English. </w:t>
      </w:r>
      <w:r w:rsidRPr="0069607F">
        <w:rPr>
          <w:rStyle w:val="Emphasis"/>
          <w:rFonts w:ascii="Times New Roman" w:hAnsi="Times New Roman" w:cs="Times New Roman"/>
        </w:rPr>
        <w:t>International Journal of English Language Studies, 6</w:t>
      </w:r>
      <w:r w:rsidRPr="0069607F">
        <w:rPr>
          <w:rFonts w:ascii="Times New Roman" w:hAnsi="Times New Roman" w:cs="Times New Roman"/>
        </w:rPr>
        <w:t>(2). https://doi.org/10.32996/ijels.2024.6.2.21</w:t>
      </w:r>
    </w:p>
    <w:p w14:paraId="2B0DB830" w14:textId="4A8BD5FB" w:rsidR="00DC0549" w:rsidRPr="00A11A4A" w:rsidRDefault="00DC0549" w:rsidP="009549BF">
      <w:pPr>
        <w:pStyle w:val="NormalWeb"/>
        <w:spacing w:line="360" w:lineRule="auto"/>
        <w:ind w:left="720"/>
        <w:jc w:val="both"/>
        <w:rPr>
          <w:lang w:val="vi-VN"/>
        </w:rPr>
      </w:pPr>
      <w:r>
        <w:t xml:space="preserve">Peng, J.-E., &amp; Woodrow, L. (2010). Willingness to communicate in English: A model in the Chinese EFL classroom context. </w:t>
      </w:r>
      <w:r>
        <w:rPr>
          <w:rStyle w:val="Emphasis"/>
          <w:rFonts w:eastAsiaTheme="majorEastAsia"/>
        </w:rPr>
        <w:t>Language Learning, 60</w:t>
      </w:r>
      <w:r>
        <w:t xml:space="preserve">(4), 834–876. </w:t>
      </w:r>
      <w:hyperlink r:id="rId11" w:tgtFrame="_new" w:history="1">
        <w:r>
          <w:rPr>
            <w:rStyle w:val="Hyperlink"/>
            <w:rFonts w:eastAsiaTheme="majorEastAsia"/>
          </w:rPr>
          <w:t>https://doi.org/10.1111/j.1467-9922.2010.00576.x</w:t>
        </w:r>
      </w:hyperlink>
    </w:p>
    <w:p w14:paraId="2E342253" w14:textId="77777777" w:rsidR="0056522B" w:rsidRDefault="0056522B" w:rsidP="009549BF">
      <w:pPr>
        <w:spacing w:after="120" w:line="360" w:lineRule="auto"/>
        <w:ind w:firstLine="720"/>
        <w:jc w:val="both"/>
        <w:rPr>
          <w:rFonts w:ascii="Times New Roman" w:eastAsia="Times New Roman" w:hAnsi="Times New Roman" w:cs="Times New Roman"/>
          <w:kern w:val="0"/>
          <w:lang w:val="vi-VN"/>
          <w14:ligatures w14:val="none"/>
        </w:rPr>
      </w:pPr>
      <w:r w:rsidRPr="004667A2">
        <w:rPr>
          <w:rFonts w:ascii="Times New Roman" w:eastAsia="Times New Roman" w:hAnsi="Times New Roman" w:cs="Times New Roman"/>
          <w:kern w:val="0"/>
          <w14:ligatures w14:val="none"/>
        </w:rPr>
        <w:t xml:space="preserve">Richards, J. C. (2008). </w:t>
      </w:r>
      <w:r w:rsidRPr="004667A2">
        <w:rPr>
          <w:rFonts w:ascii="Times New Roman" w:eastAsia="Times New Roman" w:hAnsi="Times New Roman" w:cs="Times New Roman"/>
          <w:i/>
          <w:iCs/>
          <w:kern w:val="0"/>
          <w14:ligatures w14:val="none"/>
        </w:rPr>
        <w:t>Teaching listening and speaking: From theory to practice</w:t>
      </w:r>
      <w:r w:rsidRPr="004667A2">
        <w:rPr>
          <w:rFonts w:ascii="Times New Roman" w:eastAsia="Times New Roman" w:hAnsi="Times New Roman" w:cs="Times New Roman"/>
          <w:kern w:val="0"/>
          <w14:ligatures w14:val="none"/>
        </w:rPr>
        <w:t>. Cambridge University Press.</w:t>
      </w:r>
    </w:p>
    <w:p w14:paraId="67567D15" w14:textId="69943AD8" w:rsidR="00A11A4A" w:rsidRPr="00A11A4A" w:rsidRDefault="00A11A4A" w:rsidP="009549BF">
      <w:pPr>
        <w:spacing w:after="120" w:line="360" w:lineRule="auto"/>
        <w:ind w:firstLine="720"/>
        <w:jc w:val="both"/>
        <w:rPr>
          <w:rFonts w:ascii="Times New Roman" w:eastAsia="Times New Roman" w:hAnsi="Times New Roman" w:cs="Times New Roman"/>
          <w:kern w:val="0"/>
          <w:lang w:val="vi-VN"/>
          <w14:ligatures w14:val="none"/>
        </w:rPr>
      </w:pPr>
      <w:r w:rsidRPr="00A11A4A">
        <w:rPr>
          <w:rFonts w:ascii="Times New Roman" w:hAnsi="Times New Roman" w:cs="Times New Roman"/>
        </w:rPr>
        <w:t xml:space="preserve">Tai, T. Y. (2024). </w:t>
      </w:r>
      <w:r w:rsidRPr="00A11A4A">
        <w:rPr>
          <w:rStyle w:val="Emphasis"/>
          <w:rFonts w:ascii="Times New Roman" w:hAnsi="Times New Roman" w:cs="Times New Roman"/>
        </w:rPr>
        <w:t>Comparing the effects of intelligent personal assistant-human and human-human interactions on EFL learners’ willingness to communicate beyond the classroom</w:t>
      </w:r>
      <w:r w:rsidRPr="00A11A4A">
        <w:rPr>
          <w:rFonts w:ascii="Times New Roman" w:hAnsi="Times New Roman" w:cs="Times New Roman"/>
        </w:rPr>
        <w:t xml:space="preserve">. </w:t>
      </w:r>
      <w:r w:rsidRPr="00A11A4A">
        <w:rPr>
          <w:rStyle w:val="Emphasis"/>
          <w:rFonts w:ascii="Times New Roman" w:hAnsi="Times New Roman" w:cs="Times New Roman"/>
        </w:rPr>
        <w:t>Computers &amp; Education, 210</w:t>
      </w:r>
      <w:r w:rsidRPr="00A11A4A">
        <w:rPr>
          <w:rFonts w:ascii="Times New Roman" w:hAnsi="Times New Roman" w:cs="Times New Roman"/>
        </w:rPr>
        <w:t xml:space="preserve">, 104965. </w:t>
      </w:r>
      <w:hyperlink r:id="rId12" w:tgtFrame="_new" w:history="1">
        <w:r w:rsidRPr="00A11A4A">
          <w:rPr>
            <w:rStyle w:val="Hyperlink"/>
            <w:rFonts w:ascii="Times New Roman" w:hAnsi="Times New Roman" w:cs="Times New Roman"/>
          </w:rPr>
          <w:t>https://doi.org/10.1016/j.compedu.2023.104965</w:t>
        </w:r>
      </w:hyperlink>
    </w:p>
    <w:p w14:paraId="54173662" w14:textId="77777777" w:rsidR="001C5118" w:rsidRDefault="001C5118" w:rsidP="009549BF">
      <w:pPr>
        <w:pStyle w:val="NormalWeb"/>
        <w:spacing w:line="360" w:lineRule="auto"/>
        <w:ind w:left="720"/>
        <w:jc w:val="both"/>
      </w:pPr>
      <w:r>
        <w:t xml:space="preserve">Yang, Y., Cui, Y., &amp; Yao, S. (2024). Teacher support, grit and L2 willingness to communicate: The mediating effect of foreign language enjoyment. </w:t>
      </w:r>
      <w:r>
        <w:rPr>
          <w:rStyle w:val="Emphasis"/>
          <w:rFonts w:eastAsiaTheme="majorEastAsia"/>
        </w:rPr>
        <w:t>BMC Psychology, 12</w:t>
      </w:r>
      <w:r>
        <w:t xml:space="preserve">, 383. </w:t>
      </w:r>
      <w:hyperlink r:id="rId13" w:tgtFrame="_new" w:history="1">
        <w:r>
          <w:rPr>
            <w:rStyle w:val="Hyperlink"/>
            <w:rFonts w:eastAsiaTheme="majorEastAsia"/>
          </w:rPr>
          <w:t>https://doi.org/10.1186/s40359-024-01877-5</w:t>
        </w:r>
      </w:hyperlink>
      <w:r>
        <w:t xml:space="preserve"> </w:t>
      </w:r>
    </w:p>
    <w:p w14:paraId="01E1D136" w14:textId="77777777" w:rsidR="004B7DCF" w:rsidRDefault="00DC0549" w:rsidP="004B7DCF">
      <w:pPr>
        <w:spacing w:line="360" w:lineRule="auto"/>
        <w:ind w:left="720"/>
        <w:jc w:val="both"/>
        <w:rPr>
          <w:rFonts w:ascii="Times New Roman" w:eastAsia="Times New Roman" w:hAnsi="Times New Roman" w:cs="Times New Roman"/>
          <w:kern w:val="0"/>
          <w:lang w:val="vi-VN"/>
          <w14:ligatures w14:val="none"/>
        </w:rPr>
      </w:pPr>
      <w:r w:rsidRPr="00B52813">
        <w:rPr>
          <w:rFonts w:ascii="Times New Roman" w:hAnsi="Times New Roman" w:cs="Times New Roman"/>
        </w:rPr>
        <w:t xml:space="preserve">Yashima, T. (2002). Willingness to communicate in a second language: The Japanese EFL context. </w:t>
      </w:r>
      <w:r w:rsidRPr="00B52813">
        <w:rPr>
          <w:rStyle w:val="Emphasis"/>
          <w:rFonts w:ascii="Times New Roman" w:eastAsiaTheme="majorEastAsia" w:hAnsi="Times New Roman" w:cs="Times New Roman"/>
        </w:rPr>
        <w:t>The Modern Language Journal, 86</w:t>
      </w:r>
      <w:r w:rsidRPr="00B52813">
        <w:rPr>
          <w:rFonts w:ascii="Times New Roman" w:hAnsi="Times New Roman" w:cs="Times New Roman"/>
        </w:rPr>
        <w:t xml:space="preserve">(1), 54–66. </w:t>
      </w:r>
      <w:hyperlink r:id="rId14" w:tgtFrame="_new" w:history="1">
        <w:r w:rsidRPr="00B52813">
          <w:rPr>
            <w:rStyle w:val="Hyperlink"/>
            <w:rFonts w:ascii="Times New Roman" w:eastAsiaTheme="majorEastAsia" w:hAnsi="Times New Roman" w:cs="Times New Roman"/>
          </w:rPr>
          <w:t>https://doi.org/10.1111/1540-4781.00136</w:t>
        </w:r>
      </w:hyperlink>
    </w:p>
    <w:p w14:paraId="0B41BC0D" w14:textId="64FE1112" w:rsidR="003468A9" w:rsidRPr="004B7DCF" w:rsidRDefault="003468A9" w:rsidP="004B7DCF">
      <w:pPr>
        <w:spacing w:line="360" w:lineRule="auto"/>
        <w:ind w:left="720"/>
        <w:jc w:val="both"/>
        <w:rPr>
          <w:rFonts w:ascii="Times New Roman" w:eastAsia="Times New Roman" w:hAnsi="Times New Roman" w:cs="Times New Roman"/>
          <w:kern w:val="0"/>
          <w14:ligatures w14:val="none"/>
        </w:rPr>
      </w:pPr>
      <w:r w:rsidRPr="004667A2">
        <w:rPr>
          <w:rFonts w:ascii="Times New Roman" w:hAnsi="Times New Roman" w:cs="Times New Roman"/>
          <w:b/>
          <w:bCs/>
          <w:color w:val="000000" w:themeColor="text1"/>
          <w:lang w:val="vi-VN"/>
        </w:rPr>
        <w:lastRenderedPageBreak/>
        <w:t>Author’s bio</w:t>
      </w:r>
      <w:r w:rsidRPr="004667A2">
        <w:rPr>
          <w:rFonts w:ascii="Times New Roman" w:hAnsi="Times New Roman" w:cs="Times New Roman"/>
          <w:color w:val="000000" w:themeColor="text1"/>
          <w:lang w:val="vi-VN"/>
        </w:rPr>
        <w:t xml:space="preserve">: </w:t>
      </w:r>
    </w:p>
    <w:p w14:paraId="3D2BAEF1" w14:textId="700F0DBA" w:rsidR="003468A9" w:rsidRPr="004667A2" w:rsidRDefault="00EF14F1" w:rsidP="009549BF">
      <w:pPr>
        <w:spacing w:after="120" w:line="360" w:lineRule="auto"/>
        <w:ind w:firstLine="720"/>
        <w:jc w:val="both"/>
        <w:rPr>
          <w:rFonts w:ascii="Times New Roman" w:hAnsi="Times New Roman" w:cs="Times New Roman"/>
          <w:color w:val="000000" w:themeColor="text1"/>
        </w:rPr>
      </w:pPr>
      <w:r w:rsidRPr="00EF14F1">
        <w:rPr>
          <w:rFonts w:ascii="Times New Roman" w:hAnsi="Times New Roman" w:cs="Times New Roman"/>
          <w:color w:val="000000" w:themeColor="text1"/>
        </w:rPr>
        <w:t>Nguyen Thi Ngoc Chinh is an English lecturer at FPT University, Vietnam, with 15 years of experience teaching university students. Her teaching and research interests include EFL speaking, critical reading, and communicative language teaching in higher education contexts.</w:t>
      </w:r>
    </w:p>
    <w:p w14:paraId="4FE33661" w14:textId="77777777" w:rsidR="003468A9" w:rsidRPr="004667A2" w:rsidRDefault="003468A9" w:rsidP="009549BF">
      <w:pPr>
        <w:widowControl w:val="0"/>
        <w:autoSpaceDE w:val="0"/>
        <w:autoSpaceDN w:val="0"/>
        <w:adjustRightInd w:val="0"/>
        <w:spacing w:after="120" w:line="360" w:lineRule="auto"/>
        <w:ind w:firstLine="720"/>
        <w:jc w:val="both"/>
        <w:rPr>
          <w:rFonts w:ascii="Times New Roman" w:hAnsi="Times New Roman" w:cs="Times New Roman"/>
          <w:color w:val="000000" w:themeColor="text1"/>
        </w:rPr>
      </w:pPr>
    </w:p>
    <w:p w14:paraId="5AAA177B" w14:textId="77777777" w:rsidR="003468A9" w:rsidRPr="004667A2" w:rsidRDefault="003468A9" w:rsidP="009549BF">
      <w:pPr>
        <w:widowControl w:val="0"/>
        <w:autoSpaceDE w:val="0"/>
        <w:autoSpaceDN w:val="0"/>
        <w:adjustRightInd w:val="0"/>
        <w:spacing w:after="120" w:line="360" w:lineRule="auto"/>
        <w:ind w:firstLine="720"/>
        <w:jc w:val="both"/>
        <w:rPr>
          <w:rFonts w:ascii="Times New Roman" w:hAnsi="Times New Roman" w:cs="Times New Roman"/>
          <w:color w:val="000000" w:themeColor="text1"/>
        </w:rPr>
      </w:pPr>
    </w:p>
    <w:p w14:paraId="54558F0F" w14:textId="1CE26CEC" w:rsidR="0056522B" w:rsidRPr="004667A2" w:rsidRDefault="0056522B" w:rsidP="009549BF">
      <w:pPr>
        <w:spacing w:after="120" w:line="360" w:lineRule="auto"/>
        <w:ind w:firstLine="720"/>
        <w:jc w:val="both"/>
        <w:rPr>
          <w:rFonts w:ascii="Times New Roman" w:eastAsia="Times New Roman" w:hAnsi="Times New Roman" w:cs="Times New Roman"/>
          <w:kern w:val="0"/>
          <w14:ligatures w14:val="none"/>
        </w:rPr>
      </w:pPr>
    </w:p>
    <w:p w14:paraId="663F109C" w14:textId="77777777" w:rsidR="0056522B" w:rsidRPr="004667A2" w:rsidRDefault="0056522B" w:rsidP="009549BF">
      <w:pPr>
        <w:spacing w:after="120" w:line="360" w:lineRule="auto"/>
        <w:ind w:firstLine="720"/>
        <w:jc w:val="both"/>
        <w:outlineLvl w:val="1"/>
        <w:rPr>
          <w:rFonts w:ascii="Times New Roman" w:hAnsi="Times New Roman" w:cs="Times New Roman"/>
          <w:lang w:val="vi-VN"/>
        </w:rPr>
      </w:pPr>
    </w:p>
    <w:sectPr w:rsidR="0056522B" w:rsidRPr="004667A2">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9144" w14:textId="77777777" w:rsidR="00B21A82" w:rsidRDefault="00B21A82" w:rsidP="007C2506">
      <w:pPr>
        <w:spacing w:after="0" w:line="240" w:lineRule="auto"/>
      </w:pPr>
      <w:r>
        <w:separator/>
      </w:r>
    </w:p>
  </w:endnote>
  <w:endnote w:type="continuationSeparator" w:id="0">
    <w:p w14:paraId="57311E02" w14:textId="77777777" w:rsidR="00B21A82" w:rsidRDefault="00B21A82" w:rsidP="007C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 Zar">
    <w:altName w:val="Arial"/>
    <w:panose1 w:val="020B0604020202020204"/>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449956"/>
      <w:docPartObj>
        <w:docPartGallery w:val="Page Numbers (Bottom of Page)"/>
        <w:docPartUnique/>
      </w:docPartObj>
    </w:sdtPr>
    <w:sdtContent>
      <w:p w14:paraId="48653873" w14:textId="439FB37D" w:rsidR="007C2506" w:rsidRDefault="007C2506" w:rsidP="00F71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7B4725" w14:textId="77777777" w:rsidR="007C2506" w:rsidRDefault="007C2506" w:rsidP="00F714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061850"/>
      <w:docPartObj>
        <w:docPartGallery w:val="Page Numbers (Bottom of Page)"/>
        <w:docPartUnique/>
      </w:docPartObj>
    </w:sdtPr>
    <w:sdtContent>
      <w:p w14:paraId="34915A4A" w14:textId="01F89E39" w:rsidR="007C2506" w:rsidRDefault="007C2506" w:rsidP="00F71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EC271B7" w14:textId="33DEC886" w:rsidR="007C2506" w:rsidRPr="00F7144F" w:rsidRDefault="00F7144F" w:rsidP="00F7144F">
    <w:pPr>
      <w:pStyle w:val="Footer"/>
      <w:ind w:right="360"/>
      <w:rPr>
        <w:rFonts w:ascii="Times New Roman" w:hAnsi="Times New Roman" w:cs="Times New Roman"/>
        <w:lang w:val="vi-VN"/>
      </w:rPr>
    </w:pPr>
    <w:r w:rsidRPr="00F7144F">
      <w:rPr>
        <w:rFonts w:ascii="Times New Roman" w:hAnsi="Times New Roman" w:cs="Times New Roman"/>
      </w:rPr>
      <w:t>Nguyen</w:t>
    </w:r>
    <w:r w:rsidRPr="00F7144F">
      <w:rPr>
        <w:rFonts w:ascii="Times New Roman" w:hAnsi="Times New Roman" w:cs="Times New Roman"/>
        <w:lang w:val="vi-VN"/>
      </w:rPr>
      <w:t xml:space="preserve"> </w:t>
    </w:r>
    <w:r w:rsidRPr="00F7144F">
      <w:rPr>
        <w:rFonts w:ascii="Times New Roman" w:hAnsi="Times New Roman" w:cs="Times New Roman"/>
        <w:lang w:val="vi-VN"/>
      </w:rPr>
      <w:t xml:space="preserve">Thi Ngoc Chinh, English Teacher, </w:t>
    </w:r>
    <w:r w:rsidR="003A4F0E" w:rsidRPr="00F7144F">
      <w:rPr>
        <w:rFonts w:ascii="Times New Roman" w:hAnsi="Times New Roman" w:cs="Times New Roman"/>
        <w:lang w:val="vi-VN"/>
      </w:rPr>
      <w:t>FPT University</w:t>
    </w:r>
    <w:r w:rsidRPr="00F7144F">
      <w:rPr>
        <w:rFonts w:ascii="Times New Roman" w:hAnsi="Times New Roman" w:cs="Times New Roman"/>
        <w:lang w:val="vi-VN"/>
      </w:rPr>
      <w:t>, Hanoi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5FBA" w14:textId="77777777" w:rsidR="00B21A82" w:rsidRDefault="00B21A82" w:rsidP="007C2506">
      <w:pPr>
        <w:spacing w:after="0" w:line="240" w:lineRule="auto"/>
      </w:pPr>
      <w:r>
        <w:separator/>
      </w:r>
    </w:p>
  </w:footnote>
  <w:footnote w:type="continuationSeparator" w:id="0">
    <w:p w14:paraId="3917AFDC" w14:textId="77777777" w:rsidR="00B21A82" w:rsidRDefault="00B21A82" w:rsidP="007C2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B49"/>
    <w:multiLevelType w:val="multilevel"/>
    <w:tmpl w:val="57E8F60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DE3B6F"/>
    <w:multiLevelType w:val="multilevel"/>
    <w:tmpl w:val="5486F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EEB0A78"/>
    <w:multiLevelType w:val="multilevel"/>
    <w:tmpl w:val="B9EE68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C517B"/>
    <w:multiLevelType w:val="multilevel"/>
    <w:tmpl w:val="3C22312C"/>
    <w:lvl w:ilvl="0">
      <w:start w:val="3"/>
      <w:numFmt w:val="decimal"/>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470035"/>
    <w:multiLevelType w:val="multilevel"/>
    <w:tmpl w:val="42DAFD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803466"/>
    <w:multiLevelType w:val="multilevel"/>
    <w:tmpl w:val="EA6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95C65"/>
    <w:multiLevelType w:val="multilevel"/>
    <w:tmpl w:val="AF82C39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E63828"/>
    <w:multiLevelType w:val="multilevel"/>
    <w:tmpl w:val="32DC9C3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10485788">
    <w:abstractNumId w:val="5"/>
  </w:num>
  <w:num w:numId="2" w16cid:durableId="308558586">
    <w:abstractNumId w:val="1"/>
  </w:num>
  <w:num w:numId="3" w16cid:durableId="264045264">
    <w:abstractNumId w:val="4"/>
  </w:num>
  <w:num w:numId="4" w16cid:durableId="1497182628">
    <w:abstractNumId w:val="3"/>
  </w:num>
  <w:num w:numId="5" w16cid:durableId="237398887">
    <w:abstractNumId w:val="7"/>
  </w:num>
  <w:num w:numId="6" w16cid:durableId="1645239850">
    <w:abstractNumId w:val="6"/>
  </w:num>
  <w:num w:numId="7" w16cid:durableId="221521552">
    <w:abstractNumId w:val="0"/>
  </w:num>
  <w:num w:numId="8" w16cid:durableId="1750927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95"/>
    <w:rsid w:val="000005F8"/>
    <w:rsid w:val="0001165F"/>
    <w:rsid w:val="00034E23"/>
    <w:rsid w:val="00035021"/>
    <w:rsid w:val="00056B99"/>
    <w:rsid w:val="000639F2"/>
    <w:rsid w:val="00067492"/>
    <w:rsid w:val="000678CD"/>
    <w:rsid w:val="00076C84"/>
    <w:rsid w:val="000774A8"/>
    <w:rsid w:val="00081816"/>
    <w:rsid w:val="000A17D2"/>
    <w:rsid w:val="000C0BCF"/>
    <w:rsid w:val="000C71C8"/>
    <w:rsid w:val="000D2677"/>
    <w:rsid w:val="000E1B88"/>
    <w:rsid w:val="000F1D3A"/>
    <w:rsid w:val="000F290E"/>
    <w:rsid w:val="000F568A"/>
    <w:rsid w:val="000F6A88"/>
    <w:rsid w:val="001004A0"/>
    <w:rsid w:val="00102D41"/>
    <w:rsid w:val="00107DFA"/>
    <w:rsid w:val="0011270E"/>
    <w:rsid w:val="00122614"/>
    <w:rsid w:val="00123CD4"/>
    <w:rsid w:val="00123CEB"/>
    <w:rsid w:val="00136FAF"/>
    <w:rsid w:val="00141792"/>
    <w:rsid w:val="00141F7C"/>
    <w:rsid w:val="001512CA"/>
    <w:rsid w:val="00160B3C"/>
    <w:rsid w:val="00184D2F"/>
    <w:rsid w:val="00197D43"/>
    <w:rsid w:val="001B598D"/>
    <w:rsid w:val="001C10E9"/>
    <w:rsid w:val="001C5118"/>
    <w:rsid w:val="001C5937"/>
    <w:rsid w:val="001E4A7F"/>
    <w:rsid w:val="001F13B7"/>
    <w:rsid w:val="0020571D"/>
    <w:rsid w:val="00244E8E"/>
    <w:rsid w:val="00251D41"/>
    <w:rsid w:val="00253EE2"/>
    <w:rsid w:val="00274DDC"/>
    <w:rsid w:val="00275389"/>
    <w:rsid w:val="00276AD9"/>
    <w:rsid w:val="0029250B"/>
    <w:rsid w:val="00293428"/>
    <w:rsid w:val="002A7A19"/>
    <w:rsid w:val="002B27FE"/>
    <w:rsid w:val="002D10D4"/>
    <w:rsid w:val="002D2A6E"/>
    <w:rsid w:val="002E0202"/>
    <w:rsid w:val="002E4375"/>
    <w:rsid w:val="002E4E64"/>
    <w:rsid w:val="00306703"/>
    <w:rsid w:val="00312B9D"/>
    <w:rsid w:val="003130AA"/>
    <w:rsid w:val="003136B6"/>
    <w:rsid w:val="00313E3D"/>
    <w:rsid w:val="00332BAD"/>
    <w:rsid w:val="003465AE"/>
    <w:rsid w:val="003468A9"/>
    <w:rsid w:val="003562A1"/>
    <w:rsid w:val="0036313D"/>
    <w:rsid w:val="00366BC5"/>
    <w:rsid w:val="003675A2"/>
    <w:rsid w:val="00384C68"/>
    <w:rsid w:val="00384C81"/>
    <w:rsid w:val="003A4F0E"/>
    <w:rsid w:val="003B5470"/>
    <w:rsid w:val="003B5535"/>
    <w:rsid w:val="003D4AD4"/>
    <w:rsid w:val="00411006"/>
    <w:rsid w:val="00435B30"/>
    <w:rsid w:val="00441ABD"/>
    <w:rsid w:val="00442579"/>
    <w:rsid w:val="00444F54"/>
    <w:rsid w:val="0045485E"/>
    <w:rsid w:val="00460B0B"/>
    <w:rsid w:val="004667A2"/>
    <w:rsid w:val="0048764B"/>
    <w:rsid w:val="004926D1"/>
    <w:rsid w:val="0049344F"/>
    <w:rsid w:val="004959A0"/>
    <w:rsid w:val="004A2034"/>
    <w:rsid w:val="004B7DCF"/>
    <w:rsid w:val="004C1109"/>
    <w:rsid w:val="004C59D5"/>
    <w:rsid w:val="004C6664"/>
    <w:rsid w:val="004E1E39"/>
    <w:rsid w:val="004E3B5E"/>
    <w:rsid w:val="00501010"/>
    <w:rsid w:val="00505D80"/>
    <w:rsid w:val="005061BA"/>
    <w:rsid w:val="0050626C"/>
    <w:rsid w:val="00521299"/>
    <w:rsid w:val="00524333"/>
    <w:rsid w:val="005265FA"/>
    <w:rsid w:val="00536911"/>
    <w:rsid w:val="00540BF9"/>
    <w:rsid w:val="005412E8"/>
    <w:rsid w:val="005512B2"/>
    <w:rsid w:val="00553F9C"/>
    <w:rsid w:val="005616BD"/>
    <w:rsid w:val="0056522B"/>
    <w:rsid w:val="00570D85"/>
    <w:rsid w:val="00575A34"/>
    <w:rsid w:val="00591FE4"/>
    <w:rsid w:val="00594221"/>
    <w:rsid w:val="005B1DFC"/>
    <w:rsid w:val="005B621F"/>
    <w:rsid w:val="005C7E1A"/>
    <w:rsid w:val="005D2674"/>
    <w:rsid w:val="005D381D"/>
    <w:rsid w:val="00604988"/>
    <w:rsid w:val="006158E4"/>
    <w:rsid w:val="00621412"/>
    <w:rsid w:val="00623056"/>
    <w:rsid w:val="00632191"/>
    <w:rsid w:val="006623D8"/>
    <w:rsid w:val="00666BB6"/>
    <w:rsid w:val="00671D95"/>
    <w:rsid w:val="006832A1"/>
    <w:rsid w:val="00695058"/>
    <w:rsid w:val="0069607F"/>
    <w:rsid w:val="006B38EF"/>
    <w:rsid w:val="006C55D5"/>
    <w:rsid w:val="006D1BA8"/>
    <w:rsid w:val="006D3DA2"/>
    <w:rsid w:val="006D6279"/>
    <w:rsid w:val="006E36DF"/>
    <w:rsid w:val="006F14C9"/>
    <w:rsid w:val="006F3F4E"/>
    <w:rsid w:val="00700894"/>
    <w:rsid w:val="0070531E"/>
    <w:rsid w:val="00710251"/>
    <w:rsid w:val="00713CA1"/>
    <w:rsid w:val="007250A3"/>
    <w:rsid w:val="00727DE8"/>
    <w:rsid w:val="0073348A"/>
    <w:rsid w:val="007430E2"/>
    <w:rsid w:val="00747FFA"/>
    <w:rsid w:val="007770A2"/>
    <w:rsid w:val="0078296E"/>
    <w:rsid w:val="00784CF2"/>
    <w:rsid w:val="00785E88"/>
    <w:rsid w:val="007869C2"/>
    <w:rsid w:val="007873DE"/>
    <w:rsid w:val="007B408D"/>
    <w:rsid w:val="007B7A97"/>
    <w:rsid w:val="007C160E"/>
    <w:rsid w:val="007C2506"/>
    <w:rsid w:val="007D01FE"/>
    <w:rsid w:val="007D26B8"/>
    <w:rsid w:val="007D34B3"/>
    <w:rsid w:val="007E425F"/>
    <w:rsid w:val="007E68A1"/>
    <w:rsid w:val="007F5E5D"/>
    <w:rsid w:val="007F6039"/>
    <w:rsid w:val="007F68E3"/>
    <w:rsid w:val="00800F5B"/>
    <w:rsid w:val="00801E25"/>
    <w:rsid w:val="008158F8"/>
    <w:rsid w:val="00815FD2"/>
    <w:rsid w:val="00821817"/>
    <w:rsid w:val="00834DCE"/>
    <w:rsid w:val="00841E47"/>
    <w:rsid w:val="0084379A"/>
    <w:rsid w:val="008609EC"/>
    <w:rsid w:val="008646E0"/>
    <w:rsid w:val="00871146"/>
    <w:rsid w:val="00885072"/>
    <w:rsid w:val="00893950"/>
    <w:rsid w:val="008B3A81"/>
    <w:rsid w:val="008B591D"/>
    <w:rsid w:val="008B6744"/>
    <w:rsid w:val="008D7E98"/>
    <w:rsid w:val="008E0DAD"/>
    <w:rsid w:val="00913B1C"/>
    <w:rsid w:val="00914E3F"/>
    <w:rsid w:val="0092769E"/>
    <w:rsid w:val="009338F7"/>
    <w:rsid w:val="0094259F"/>
    <w:rsid w:val="009430E4"/>
    <w:rsid w:val="00943506"/>
    <w:rsid w:val="00944D67"/>
    <w:rsid w:val="00947E61"/>
    <w:rsid w:val="009549BF"/>
    <w:rsid w:val="0095644A"/>
    <w:rsid w:val="00963CB1"/>
    <w:rsid w:val="00976D5E"/>
    <w:rsid w:val="0098024B"/>
    <w:rsid w:val="0099089E"/>
    <w:rsid w:val="009A664F"/>
    <w:rsid w:val="009D773B"/>
    <w:rsid w:val="00A01D56"/>
    <w:rsid w:val="00A10398"/>
    <w:rsid w:val="00A11A4A"/>
    <w:rsid w:val="00A15966"/>
    <w:rsid w:val="00A30F1E"/>
    <w:rsid w:val="00A41176"/>
    <w:rsid w:val="00A568B3"/>
    <w:rsid w:val="00A57C15"/>
    <w:rsid w:val="00A64962"/>
    <w:rsid w:val="00A6502F"/>
    <w:rsid w:val="00A707A7"/>
    <w:rsid w:val="00A727CC"/>
    <w:rsid w:val="00A80F48"/>
    <w:rsid w:val="00A9508E"/>
    <w:rsid w:val="00AA282D"/>
    <w:rsid w:val="00AB56B3"/>
    <w:rsid w:val="00AB6329"/>
    <w:rsid w:val="00AC6BC5"/>
    <w:rsid w:val="00AE14F2"/>
    <w:rsid w:val="00AF5629"/>
    <w:rsid w:val="00B060AE"/>
    <w:rsid w:val="00B1331B"/>
    <w:rsid w:val="00B21A61"/>
    <w:rsid w:val="00B21A82"/>
    <w:rsid w:val="00B2729A"/>
    <w:rsid w:val="00B32B9E"/>
    <w:rsid w:val="00B401AA"/>
    <w:rsid w:val="00B50C9C"/>
    <w:rsid w:val="00B52813"/>
    <w:rsid w:val="00B548B0"/>
    <w:rsid w:val="00B57679"/>
    <w:rsid w:val="00B6704C"/>
    <w:rsid w:val="00BA077A"/>
    <w:rsid w:val="00BC2206"/>
    <w:rsid w:val="00BD6566"/>
    <w:rsid w:val="00BD7A1A"/>
    <w:rsid w:val="00BE2384"/>
    <w:rsid w:val="00BF4095"/>
    <w:rsid w:val="00BF662B"/>
    <w:rsid w:val="00BF6C27"/>
    <w:rsid w:val="00C10B29"/>
    <w:rsid w:val="00C33E4F"/>
    <w:rsid w:val="00C37266"/>
    <w:rsid w:val="00C506D9"/>
    <w:rsid w:val="00C70892"/>
    <w:rsid w:val="00C75D60"/>
    <w:rsid w:val="00C83C81"/>
    <w:rsid w:val="00C86AE7"/>
    <w:rsid w:val="00C951E6"/>
    <w:rsid w:val="00CB584C"/>
    <w:rsid w:val="00CB7F94"/>
    <w:rsid w:val="00CC07D3"/>
    <w:rsid w:val="00CC557B"/>
    <w:rsid w:val="00CD1560"/>
    <w:rsid w:val="00CD1809"/>
    <w:rsid w:val="00CD27F1"/>
    <w:rsid w:val="00CE7063"/>
    <w:rsid w:val="00CF12B8"/>
    <w:rsid w:val="00D145BA"/>
    <w:rsid w:val="00D1643E"/>
    <w:rsid w:val="00D20C13"/>
    <w:rsid w:val="00D27862"/>
    <w:rsid w:val="00D3594D"/>
    <w:rsid w:val="00D46CDA"/>
    <w:rsid w:val="00D65724"/>
    <w:rsid w:val="00D673F5"/>
    <w:rsid w:val="00D7160A"/>
    <w:rsid w:val="00D814F7"/>
    <w:rsid w:val="00D8313B"/>
    <w:rsid w:val="00D83B0A"/>
    <w:rsid w:val="00DA1456"/>
    <w:rsid w:val="00DB413C"/>
    <w:rsid w:val="00DC0549"/>
    <w:rsid w:val="00DC2062"/>
    <w:rsid w:val="00DC4FBA"/>
    <w:rsid w:val="00DC7D46"/>
    <w:rsid w:val="00DD743B"/>
    <w:rsid w:val="00DE6294"/>
    <w:rsid w:val="00E1390E"/>
    <w:rsid w:val="00E21F3D"/>
    <w:rsid w:val="00E4036C"/>
    <w:rsid w:val="00E4091B"/>
    <w:rsid w:val="00E42987"/>
    <w:rsid w:val="00E6022F"/>
    <w:rsid w:val="00E76811"/>
    <w:rsid w:val="00E87CFA"/>
    <w:rsid w:val="00EA3477"/>
    <w:rsid w:val="00EC2238"/>
    <w:rsid w:val="00EC36C8"/>
    <w:rsid w:val="00EC6364"/>
    <w:rsid w:val="00ED09A8"/>
    <w:rsid w:val="00ED77F0"/>
    <w:rsid w:val="00EE0BBE"/>
    <w:rsid w:val="00EE62A1"/>
    <w:rsid w:val="00EF14F1"/>
    <w:rsid w:val="00EF2303"/>
    <w:rsid w:val="00EF4F86"/>
    <w:rsid w:val="00F13D51"/>
    <w:rsid w:val="00F32B15"/>
    <w:rsid w:val="00F33EE6"/>
    <w:rsid w:val="00F36718"/>
    <w:rsid w:val="00F36AD1"/>
    <w:rsid w:val="00F45757"/>
    <w:rsid w:val="00F55EF5"/>
    <w:rsid w:val="00F569A9"/>
    <w:rsid w:val="00F56F35"/>
    <w:rsid w:val="00F7144F"/>
    <w:rsid w:val="00F771D3"/>
    <w:rsid w:val="00F81A5D"/>
    <w:rsid w:val="00F82BFE"/>
    <w:rsid w:val="00F84C54"/>
    <w:rsid w:val="00F862AB"/>
    <w:rsid w:val="00FB2392"/>
    <w:rsid w:val="00FB2ACC"/>
    <w:rsid w:val="00FB6B68"/>
    <w:rsid w:val="00FC0843"/>
    <w:rsid w:val="00FC282B"/>
    <w:rsid w:val="00FC460C"/>
    <w:rsid w:val="00FC6C80"/>
    <w:rsid w:val="00FD3ACA"/>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0"/>
  <w15:chartTrackingRefBased/>
  <w15:docId w15:val="{3A9F4012-E485-D642-87C0-19867A73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1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1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1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1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D95"/>
    <w:rPr>
      <w:rFonts w:eastAsiaTheme="majorEastAsia" w:cstheme="majorBidi"/>
      <w:color w:val="272727" w:themeColor="text1" w:themeTint="D8"/>
    </w:rPr>
  </w:style>
  <w:style w:type="paragraph" w:styleId="Title">
    <w:name w:val="Title"/>
    <w:basedOn w:val="Normal"/>
    <w:next w:val="Normal"/>
    <w:link w:val="TitleChar"/>
    <w:uiPriority w:val="10"/>
    <w:qFormat/>
    <w:rsid w:val="0067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D95"/>
    <w:pPr>
      <w:spacing w:before="160"/>
      <w:jc w:val="center"/>
    </w:pPr>
    <w:rPr>
      <w:i/>
      <w:iCs/>
      <w:color w:val="404040" w:themeColor="text1" w:themeTint="BF"/>
    </w:rPr>
  </w:style>
  <w:style w:type="character" w:customStyle="1" w:styleId="QuoteChar">
    <w:name w:val="Quote Char"/>
    <w:basedOn w:val="DefaultParagraphFont"/>
    <w:link w:val="Quote"/>
    <w:uiPriority w:val="29"/>
    <w:rsid w:val="00671D95"/>
    <w:rPr>
      <w:i/>
      <w:iCs/>
      <w:color w:val="404040" w:themeColor="text1" w:themeTint="BF"/>
    </w:rPr>
  </w:style>
  <w:style w:type="paragraph" w:styleId="ListParagraph">
    <w:name w:val="List Paragraph"/>
    <w:basedOn w:val="Normal"/>
    <w:uiPriority w:val="34"/>
    <w:qFormat/>
    <w:rsid w:val="00671D95"/>
    <w:pPr>
      <w:ind w:left="720"/>
      <w:contextualSpacing/>
    </w:pPr>
  </w:style>
  <w:style w:type="character" w:styleId="IntenseEmphasis">
    <w:name w:val="Intense Emphasis"/>
    <w:basedOn w:val="DefaultParagraphFont"/>
    <w:uiPriority w:val="21"/>
    <w:qFormat/>
    <w:rsid w:val="00671D95"/>
    <w:rPr>
      <w:i/>
      <w:iCs/>
      <w:color w:val="0F4761" w:themeColor="accent1" w:themeShade="BF"/>
    </w:rPr>
  </w:style>
  <w:style w:type="paragraph" w:styleId="IntenseQuote">
    <w:name w:val="Intense Quote"/>
    <w:basedOn w:val="Normal"/>
    <w:next w:val="Normal"/>
    <w:link w:val="IntenseQuoteChar"/>
    <w:uiPriority w:val="30"/>
    <w:qFormat/>
    <w:rsid w:val="00671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D95"/>
    <w:rPr>
      <w:i/>
      <w:iCs/>
      <w:color w:val="0F4761" w:themeColor="accent1" w:themeShade="BF"/>
    </w:rPr>
  </w:style>
  <w:style w:type="character" w:styleId="IntenseReference">
    <w:name w:val="Intense Reference"/>
    <w:basedOn w:val="DefaultParagraphFont"/>
    <w:uiPriority w:val="32"/>
    <w:qFormat/>
    <w:rsid w:val="00671D95"/>
    <w:rPr>
      <w:b/>
      <w:bCs/>
      <w:smallCaps/>
      <w:color w:val="0F4761" w:themeColor="accent1" w:themeShade="BF"/>
      <w:spacing w:val="5"/>
    </w:rPr>
  </w:style>
  <w:style w:type="paragraph" w:styleId="NormalWeb">
    <w:name w:val="Normal (Web)"/>
    <w:basedOn w:val="Normal"/>
    <w:uiPriority w:val="99"/>
    <w:unhideWhenUsed/>
    <w:rsid w:val="00671D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1D95"/>
    <w:rPr>
      <w:b/>
      <w:bCs/>
    </w:rPr>
  </w:style>
  <w:style w:type="paragraph" w:customStyle="1" w:styleId="RALs-HeadingsNoIndent">
    <w:name w:val="RALs-HeadingsNoIndent"/>
    <w:basedOn w:val="Normal"/>
    <w:next w:val="Normal"/>
    <w:qFormat/>
    <w:rsid w:val="00444F54"/>
    <w:pPr>
      <w:keepNext/>
      <w:spacing w:before="240" w:after="60" w:line="276" w:lineRule="auto"/>
      <w:jc w:val="both"/>
    </w:pPr>
    <w:rPr>
      <w:rFonts w:ascii="Times New Roman" w:eastAsia="Times New Roman" w:hAnsi="Times New Roman" w:cs="B Zar"/>
      <w:b/>
      <w:bCs/>
      <w:kern w:val="0"/>
      <w:sz w:val="20"/>
      <w:szCs w:val="22"/>
      <w14:ligatures w14:val="none"/>
    </w:rPr>
  </w:style>
  <w:style w:type="paragraph" w:styleId="z-TopofForm">
    <w:name w:val="HTML Top of Form"/>
    <w:basedOn w:val="Normal"/>
    <w:next w:val="Normal"/>
    <w:link w:val="z-TopofFormChar"/>
    <w:hidden/>
    <w:uiPriority w:val="99"/>
    <w:semiHidden/>
    <w:unhideWhenUsed/>
    <w:rsid w:val="00F862A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862AB"/>
    <w:rPr>
      <w:rFonts w:ascii="Arial" w:eastAsia="Times New Roman" w:hAnsi="Arial" w:cs="Arial"/>
      <w:vanish/>
      <w:kern w:val="0"/>
      <w:sz w:val="16"/>
      <w:szCs w:val="16"/>
      <w14:ligatures w14:val="none"/>
    </w:rPr>
  </w:style>
  <w:style w:type="paragraph" w:customStyle="1" w:styleId="placeholder">
    <w:name w:val="placeholder"/>
    <w:basedOn w:val="Normal"/>
    <w:rsid w:val="00F862A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F862A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862AB"/>
    <w:rPr>
      <w:rFonts w:ascii="Arial" w:eastAsia="Times New Roman" w:hAnsi="Arial" w:cs="Arial"/>
      <w:vanish/>
      <w:kern w:val="0"/>
      <w:sz w:val="16"/>
      <w:szCs w:val="16"/>
      <w14:ligatures w14:val="none"/>
    </w:rPr>
  </w:style>
  <w:style w:type="paragraph" w:styleId="Footer">
    <w:name w:val="footer"/>
    <w:basedOn w:val="Normal"/>
    <w:link w:val="FooterChar"/>
    <w:uiPriority w:val="99"/>
    <w:unhideWhenUsed/>
    <w:rsid w:val="007C2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506"/>
  </w:style>
  <w:style w:type="character" w:styleId="PageNumber">
    <w:name w:val="page number"/>
    <w:basedOn w:val="DefaultParagraphFont"/>
    <w:uiPriority w:val="99"/>
    <w:semiHidden/>
    <w:unhideWhenUsed/>
    <w:rsid w:val="007C2506"/>
  </w:style>
  <w:style w:type="table" w:styleId="TableGrid">
    <w:name w:val="Table Grid"/>
    <w:basedOn w:val="TableNormal"/>
    <w:uiPriority w:val="39"/>
    <w:rsid w:val="0081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4E3F"/>
    <w:rPr>
      <w:i/>
      <w:iCs/>
    </w:rPr>
  </w:style>
  <w:style w:type="character" w:customStyle="1" w:styleId="whitespace-normal">
    <w:name w:val="whitespace-normal"/>
    <w:basedOn w:val="DefaultParagraphFont"/>
    <w:rsid w:val="001512CA"/>
  </w:style>
  <w:style w:type="character" w:styleId="Hyperlink">
    <w:name w:val="Hyperlink"/>
    <w:basedOn w:val="DefaultParagraphFont"/>
    <w:uiPriority w:val="99"/>
    <w:unhideWhenUsed/>
    <w:rsid w:val="0056522B"/>
    <w:rPr>
      <w:color w:val="0000FF"/>
      <w:u w:val="single"/>
    </w:rPr>
  </w:style>
  <w:style w:type="paragraph" w:customStyle="1" w:styleId="RALs-ReferencesList">
    <w:name w:val="RALs-ReferencesList"/>
    <w:basedOn w:val="Normal"/>
    <w:qFormat/>
    <w:rsid w:val="00DC4FBA"/>
    <w:pPr>
      <w:spacing w:before="120" w:after="100" w:line="276" w:lineRule="auto"/>
      <w:ind w:left="426" w:hanging="426"/>
      <w:jc w:val="both"/>
    </w:pPr>
    <w:rPr>
      <w:rFonts w:ascii="Times New Roman" w:eastAsia="Times New Roman" w:hAnsi="Times New Roman" w:cs="B Zar"/>
      <w:kern w:val="0"/>
      <w:sz w:val="20"/>
      <w:szCs w:val="20"/>
      <w14:ligatures w14:val="none"/>
    </w:rPr>
  </w:style>
  <w:style w:type="paragraph" w:styleId="Header">
    <w:name w:val="header"/>
    <w:basedOn w:val="Normal"/>
    <w:link w:val="HeaderChar"/>
    <w:uiPriority w:val="99"/>
    <w:unhideWhenUsed/>
    <w:rsid w:val="007D0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1FE"/>
  </w:style>
  <w:style w:type="character" w:styleId="UnresolvedMention">
    <w:name w:val="Unresolved Mention"/>
    <w:basedOn w:val="DefaultParagraphFont"/>
    <w:uiPriority w:val="99"/>
    <w:semiHidden/>
    <w:unhideWhenUsed/>
    <w:rsid w:val="0049344F"/>
    <w:rPr>
      <w:color w:val="605E5C"/>
      <w:shd w:val="clear" w:color="auto" w:fill="E1DFDD"/>
    </w:rPr>
  </w:style>
  <w:style w:type="character" w:styleId="FollowedHyperlink">
    <w:name w:val="FollowedHyperlink"/>
    <w:basedOn w:val="DefaultParagraphFont"/>
    <w:uiPriority w:val="99"/>
    <w:semiHidden/>
    <w:unhideWhenUsed/>
    <w:rsid w:val="00815F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pplin/1.1.1" TargetMode="External"/><Relationship Id="rId13" Type="http://schemas.openxmlformats.org/officeDocument/2006/relationships/hyperlink" Target="https://doi.org/10.1186/s40359-024-0187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yperlink" Target="https://doi.org/10.1016/j.compedu.2023.10496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7-9922.2010.00576.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11/j.1540-4781.1998.tb05543.x" TargetMode="External"/><Relationship Id="rId4" Type="http://schemas.openxmlformats.org/officeDocument/2006/relationships/webSettings" Target="webSettings.xml"/><Relationship Id="rId9" Type="http://schemas.openxmlformats.org/officeDocument/2006/relationships/hyperlink" Target="https://doi.org/10.1017/S0261444807004363" TargetMode="External"/><Relationship Id="rId14" Type="http://schemas.openxmlformats.org/officeDocument/2006/relationships/hyperlink" Target="https://doi.org/10.1111/1540-4781.0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22</Pages>
  <Words>7199</Words>
  <Characters>41038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Nguyen</dc:creator>
  <cp:keywords/>
  <dc:description/>
  <cp:lastModifiedBy>Thang Nguyen</cp:lastModifiedBy>
  <cp:revision>291</cp:revision>
  <dcterms:created xsi:type="dcterms:W3CDTF">2026-02-09T15:48:00Z</dcterms:created>
  <dcterms:modified xsi:type="dcterms:W3CDTF">2026-06-20T14:49:00Z</dcterms:modified>
</cp:coreProperties>
</file>