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F9FF2" w14:textId="77777777" w:rsidR="0069715E" w:rsidRPr="00C2115A" w:rsidRDefault="0069715E" w:rsidP="0069715E">
      <w:pPr>
        <w:pStyle w:val="NormalWeb"/>
        <w:jc w:val="center"/>
        <w:rPr>
          <w:b/>
          <w:bCs/>
          <w:sz w:val="26"/>
          <w:szCs w:val="26"/>
        </w:rPr>
      </w:pPr>
      <w:r w:rsidRPr="00C2115A">
        <w:rPr>
          <w:b/>
          <w:bCs/>
          <w:sz w:val="26"/>
          <w:szCs w:val="26"/>
        </w:rPr>
        <w:t>Community Social Support Practices Contributing into Quality Education in Solukhumbu District</w:t>
      </w:r>
    </w:p>
    <w:p w14:paraId="3277CDB9" w14:textId="77777777" w:rsidR="0069715E" w:rsidRPr="002435F9" w:rsidRDefault="0069715E" w:rsidP="0069715E">
      <w:pPr>
        <w:pStyle w:val="NormalWeb"/>
        <w:contextualSpacing/>
        <w:jc w:val="both"/>
        <w:rPr>
          <w:rStyle w:val="Strong"/>
          <w:b w:val="0"/>
          <w:bCs w:val="0"/>
        </w:rPr>
      </w:pPr>
      <w:r w:rsidRPr="002435F9">
        <w:rPr>
          <w:rStyle w:val="Strong"/>
          <w:i/>
          <w:iCs/>
        </w:rPr>
        <w:t>Nirmal Chongbang</w:t>
      </w:r>
      <w:r w:rsidRPr="002435F9">
        <w:rPr>
          <w:rStyle w:val="Strong"/>
          <w:i/>
          <w:iCs/>
          <w:vertAlign w:val="superscript"/>
        </w:rPr>
        <w:t>1</w:t>
      </w:r>
      <w:r w:rsidRPr="002435F9">
        <w:rPr>
          <w:rStyle w:val="Strong"/>
          <w:b w:val="0"/>
          <w:bCs w:val="0"/>
        </w:rPr>
        <w:t>, PhD student</w:t>
      </w:r>
    </w:p>
    <w:p w14:paraId="391BFEA2" w14:textId="77777777" w:rsidR="0069715E" w:rsidRPr="002435F9" w:rsidRDefault="0069715E" w:rsidP="0069715E">
      <w:pPr>
        <w:pStyle w:val="NormalWeb"/>
        <w:contextualSpacing/>
        <w:jc w:val="both"/>
        <w:rPr>
          <w:rStyle w:val="Strong"/>
          <w:b w:val="0"/>
          <w:bCs w:val="0"/>
        </w:rPr>
      </w:pPr>
      <w:r w:rsidRPr="002435F9">
        <w:rPr>
          <w:rStyle w:val="Strong"/>
          <w:b w:val="0"/>
          <w:bCs w:val="0"/>
        </w:rPr>
        <w:t xml:space="preserve">Tribhuvan University, Social Work Department, </w:t>
      </w:r>
    </w:p>
    <w:p w14:paraId="0204712F" w14:textId="5B15C831" w:rsidR="0069715E" w:rsidRPr="002435F9" w:rsidRDefault="0069715E" w:rsidP="0069715E">
      <w:pPr>
        <w:pStyle w:val="NormalWeb"/>
        <w:contextualSpacing/>
        <w:jc w:val="both"/>
        <w:rPr>
          <w:rStyle w:val="Strong"/>
          <w:b w:val="0"/>
          <w:bCs w:val="0"/>
          <w:color w:val="001D35"/>
          <w:shd w:val="clear" w:color="auto" w:fill="FFFFFF"/>
        </w:rPr>
      </w:pPr>
      <w:r w:rsidRPr="002435F9">
        <w:rPr>
          <w:rStyle w:val="Strong"/>
          <w:b w:val="0"/>
          <w:bCs w:val="0"/>
          <w:color w:val="001D35"/>
          <w:shd w:val="clear" w:color="auto" w:fill="FFFFFF"/>
        </w:rPr>
        <w:t xml:space="preserve">Orchid Number: </w:t>
      </w:r>
      <w:hyperlink r:id="rId8" w:history="1">
        <w:r w:rsidRPr="002435F9">
          <w:rPr>
            <w:rStyle w:val="Hyperlink"/>
            <w:shd w:val="clear" w:color="auto" w:fill="FFFFFF"/>
          </w:rPr>
          <w:t>https://orcid.org/0000-0002-9461-8164</w:t>
        </w:r>
      </w:hyperlink>
    </w:p>
    <w:p w14:paraId="7F76D3DD" w14:textId="77777777" w:rsidR="0069715E" w:rsidRPr="002435F9" w:rsidRDefault="0069715E" w:rsidP="0069715E">
      <w:pPr>
        <w:pStyle w:val="NormalWeb"/>
        <w:contextualSpacing/>
        <w:jc w:val="both"/>
        <w:rPr>
          <w:rStyle w:val="Strong"/>
          <w:b w:val="0"/>
          <w:bCs w:val="0"/>
        </w:rPr>
      </w:pPr>
      <w:r w:rsidRPr="002435F9">
        <w:rPr>
          <w:rStyle w:val="Strong"/>
          <w:i/>
          <w:iCs/>
        </w:rPr>
        <w:t>Ratnesh Sashi</w:t>
      </w:r>
      <w:r w:rsidRPr="002435F9">
        <w:rPr>
          <w:rStyle w:val="Strong"/>
          <w:i/>
          <w:iCs/>
          <w:vertAlign w:val="superscript"/>
        </w:rPr>
        <w:t>2</w:t>
      </w:r>
      <w:r w:rsidRPr="002435F9">
        <w:rPr>
          <w:rStyle w:val="Strong"/>
          <w:b w:val="0"/>
          <w:bCs w:val="0"/>
        </w:rPr>
        <w:t>, Independent Researcher, Nepal</w:t>
      </w:r>
    </w:p>
    <w:p w14:paraId="0CAAC38C" w14:textId="77777777" w:rsidR="0069715E" w:rsidRPr="002435F9" w:rsidRDefault="0069715E" w:rsidP="0069715E">
      <w:pPr>
        <w:pStyle w:val="NormalWeb"/>
        <w:contextualSpacing/>
        <w:jc w:val="both"/>
        <w:rPr>
          <w:rStyle w:val="Strong"/>
          <w:b w:val="0"/>
          <w:bCs w:val="0"/>
        </w:rPr>
      </w:pPr>
      <w:r w:rsidRPr="002435F9">
        <w:rPr>
          <w:rStyle w:val="Strong"/>
          <w:i/>
          <w:iCs/>
        </w:rPr>
        <w:t>Manoj Bhandari</w:t>
      </w:r>
      <w:r w:rsidRPr="002435F9">
        <w:rPr>
          <w:rStyle w:val="Strong"/>
          <w:i/>
          <w:iCs/>
          <w:vertAlign w:val="superscript"/>
        </w:rPr>
        <w:t>3</w:t>
      </w:r>
      <w:r w:rsidRPr="002435F9">
        <w:rPr>
          <w:rStyle w:val="Strong"/>
          <w:b w:val="0"/>
          <w:bCs w:val="0"/>
        </w:rPr>
        <w:t>, MPhil student, Tribhuvan University, Education Department</w:t>
      </w:r>
    </w:p>
    <w:p w14:paraId="0E1C7873" w14:textId="77777777" w:rsidR="0069715E" w:rsidRPr="002435F9" w:rsidRDefault="0069715E" w:rsidP="0069715E">
      <w:pPr>
        <w:pStyle w:val="NormalWeb"/>
        <w:jc w:val="both"/>
        <w:rPr>
          <w:rStyle w:val="Strong"/>
          <w:b w:val="0"/>
          <w:bCs w:val="0"/>
        </w:rPr>
      </w:pPr>
    </w:p>
    <w:p w14:paraId="75459C28" w14:textId="77777777" w:rsidR="0069715E" w:rsidRPr="002435F9" w:rsidRDefault="0069715E" w:rsidP="0069715E">
      <w:pPr>
        <w:pStyle w:val="NormalWeb"/>
        <w:tabs>
          <w:tab w:val="left" w:pos="4001"/>
        </w:tabs>
        <w:jc w:val="both"/>
      </w:pPr>
      <w:r w:rsidRPr="002435F9">
        <w:rPr>
          <w:rStyle w:val="Strong"/>
        </w:rPr>
        <w:t>Abstract</w:t>
      </w:r>
      <w:r w:rsidRPr="002435F9">
        <w:rPr>
          <w:rStyle w:val="Strong"/>
        </w:rPr>
        <w:tab/>
      </w:r>
    </w:p>
    <w:p w14:paraId="0A849635" w14:textId="39A5403B" w:rsidR="0069715E" w:rsidRPr="002435F9" w:rsidRDefault="0069715E" w:rsidP="0069715E">
      <w:pPr>
        <w:pStyle w:val="NormalWeb"/>
        <w:jc w:val="both"/>
      </w:pPr>
      <w:r w:rsidRPr="002435F9">
        <w:t xml:space="preserve">Despite encouraging gains in basic education access in Nepal, including a high net enrolment rate at the basic level, the country continues to face significant challenges in ensuring inclusive, quality education for all children, particularly in rural and remote districts such as Solukhumbu. These challenges include gender disparities, socio-economic inequalities, under-resourced schools, and limited community engagement, which contribute to absenteeism, dropouts, and learning gaps among disadvantaged groups. The current study aimed to document community social support practices and </w:t>
      </w:r>
      <w:r w:rsidR="009003B7">
        <w:t>study data</w:t>
      </w:r>
      <w:r w:rsidRPr="002435F9">
        <w:t xml:space="preserve"> educational conditions in Solududhkunda Municipality and Thulung Dudhkoshi Rural Municipality to inform targeted interventions that enhance school inclusivity, child-friendliness, and community participation.</w:t>
      </w:r>
    </w:p>
    <w:p w14:paraId="1B83237B" w14:textId="3353042F" w:rsidR="0069715E" w:rsidRPr="002435F9" w:rsidRDefault="0069715E" w:rsidP="0069715E">
      <w:pPr>
        <w:pStyle w:val="NormalWeb"/>
        <w:jc w:val="both"/>
      </w:pPr>
      <w:r w:rsidRPr="002435F9">
        <w:t xml:space="preserve">A cross-sectional </w:t>
      </w:r>
      <w:r w:rsidR="009003B7">
        <w:t>study data</w:t>
      </w:r>
      <w:r w:rsidRPr="002435F9">
        <w:t xml:space="preserve"> survey was conducted across 50 public schools, 50 adolescent groups, 50 community-based organisation (CBO) households, and representatives from two local governments in Solukhumbu District. Data collection employed structured questionnaires at school, household, and individual levels, alongside key informant interviews with school administrators and local government education officers. Field staff received training to ensure data quality, and rigorous editing, coding, and data processing procedures were implemented to ensure reliability of the dataset.</w:t>
      </w:r>
    </w:p>
    <w:p w14:paraId="10F4F051" w14:textId="7B5B5F11" w:rsidR="0069715E" w:rsidRPr="002435F9" w:rsidRDefault="0069715E" w:rsidP="0069715E">
      <w:pPr>
        <w:pStyle w:val="NormalWeb"/>
        <w:jc w:val="both"/>
      </w:pPr>
      <w:r w:rsidRPr="002435F9">
        <w:t xml:space="preserve">Preliminary results indicate substantial variability in school infrastructure, governance, and learning environments. </w:t>
      </w:r>
      <w:r w:rsidR="00622565">
        <w:t>Group of a</w:t>
      </w:r>
      <w:r w:rsidRPr="002435F9">
        <w:t>dolescents showed differing levels of school attendance, self-esteem, and engagement in social and educational activities, with menstrual hygiene practices and related absenteeism notable concerns. CBO households displayed diverse socio-economic profiles, livelihood strategies, and levels of support for children’s learning. Community participation in school governance and local government planning was present but limited by capacity and resource gaps.</w:t>
      </w:r>
    </w:p>
    <w:p w14:paraId="1FB4039B" w14:textId="7EDD2600" w:rsidR="0069715E" w:rsidRPr="002435F9" w:rsidRDefault="0069715E" w:rsidP="0069715E">
      <w:pPr>
        <w:pStyle w:val="NormalWeb"/>
        <w:jc w:val="both"/>
      </w:pPr>
      <w:r w:rsidRPr="002435F9">
        <w:t xml:space="preserve">The </w:t>
      </w:r>
      <w:r w:rsidR="009003B7">
        <w:t>study data</w:t>
      </w:r>
      <w:r w:rsidRPr="002435F9">
        <w:t xml:space="preserve"> highlights critical barriers and enabling factors influencing quality education in remote mountain contexts. Strengthening community structures, enhancing parental and adolescent engagement, and improving school environments can support equitable educational outcomes. This evidence will guide project implementation and future evaluations.</w:t>
      </w:r>
    </w:p>
    <w:p w14:paraId="57FB2347" w14:textId="17C64F55" w:rsidR="0069715E" w:rsidRPr="002435F9" w:rsidRDefault="0069715E" w:rsidP="0069715E">
      <w:pPr>
        <w:pStyle w:val="NormalWeb"/>
        <w:jc w:val="both"/>
      </w:pPr>
      <w:r w:rsidRPr="002435F9">
        <w:rPr>
          <w:rStyle w:val="Strong"/>
        </w:rPr>
        <w:t>Keywords:</w:t>
      </w:r>
      <w:r w:rsidRPr="002435F9">
        <w:t xml:space="preserve"> quality education, community support, rural Nepal, </w:t>
      </w:r>
      <w:r w:rsidR="009003B7">
        <w:t>study data</w:t>
      </w:r>
      <w:r w:rsidRPr="002435F9">
        <w:t xml:space="preserve"> study, educational equity</w:t>
      </w:r>
    </w:p>
    <w:p w14:paraId="5885500E" w14:textId="1A126574" w:rsidR="0069715E" w:rsidRDefault="0069715E" w:rsidP="0069715E">
      <w:pPr>
        <w:jc w:val="both"/>
        <w:rPr>
          <w:rFonts w:ascii="Times New Roman" w:hAnsi="Times New Roman" w:cs="Times New Roman"/>
          <w:sz w:val="24"/>
          <w:szCs w:val="24"/>
        </w:rPr>
      </w:pPr>
    </w:p>
    <w:p w14:paraId="4ECAC4AB" w14:textId="11187B3F" w:rsidR="00C74D9D" w:rsidRDefault="00C74D9D" w:rsidP="0069715E">
      <w:pPr>
        <w:jc w:val="both"/>
        <w:rPr>
          <w:rFonts w:ascii="Times New Roman" w:hAnsi="Times New Roman" w:cs="Times New Roman"/>
          <w:sz w:val="24"/>
          <w:szCs w:val="24"/>
        </w:rPr>
      </w:pPr>
    </w:p>
    <w:p w14:paraId="733CC845" w14:textId="26F99C19" w:rsidR="00BF6961" w:rsidRDefault="00BF6961" w:rsidP="0069715E">
      <w:pPr>
        <w:jc w:val="both"/>
        <w:rPr>
          <w:rFonts w:ascii="Times New Roman" w:hAnsi="Times New Roman" w:cs="Times New Roman"/>
          <w:sz w:val="24"/>
          <w:szCs w:val="24"/>
        </w:rPr>
      </w:pPr>
    </w:p>
    <w:p w14:paraId="50E636D5" w14:textId="77777777" w:rsidR="00811559" w:rsidRPr="002435F9" w:rsidRDefault="00811559" w:rsidP="0069715E">
      <w:pPr>
        <w:jc w:val="both"/>
        <w:rPr>
          <w:rFonts w:ascii="Times New Roman" w:hAnsi="Times New Roman" w:cs="Times New Roman"/>
          <w:sz w:val="24"/>
          <w:szCs w:val="24"/>
        </w:rPr>
      </w:pPr>
    </w:p>
    <w:p w14:paraId="5F72BE28" w14:textId="77777777" w:rsidR="00C93E76" w:rsidRPr="00836023" w:rsidRDefault="00C93E76" w:rsidP="00C93E76">
      <w:pPr>
        <w:spacing w:before="100" w:beforeAutospacing="1" w:after="100" w:afterAutospacing="1" w:line="240" w:lineRule="auto"/>
        <w:jc w:val="both"/>
        <w:outlineLvl w:val="1"/>
        <w:rPr>
          <w:rFonts w:ascii="Times New Roman" w:eastAsia="Times New Roman" w:hAnsi="Times New Roman" w:cs="Times New Roman"/>
          <w:b/>
          <w:bCs/>
          <w:sz w:val="23"/>
          <w:szCs w:val="23"/>
          <w:lang w:eastAsia="en-GB"/>
        </w:rPr>
      </w:pPr>
      <w:r w:rsidRPr="00836023">
        <w:rPr>
          <w:rFonts w:ascii="Times New Roman" w:eastAsia="Times New Roman" w:hAnsi="Times New Roman" w:cs="Times New Roman"/>
          <w:b/>
          <w:bCs/>
          <w:sz w:val="23"/>
          <w:szCs w:val="23"/>
          <w:lang w:eastAsia="en-GB"/>
        </w:rPr>
        <w:lastRenderedPageBreak/>
        <w:t>1. Introduction</w:t>
      </w:r>
    </w:p>
    <w:p w14:paraId="4FF5FF7D" w14:textId="77777777" w:rsidR="00C93E76" w:rsidRPr="00836023" w:rsidRDefault="00C93E76" w:rsidP="00AC2FDB">
      <w:pPr>
        <w:spacing w:before="100" w:beforeAutospacing="1" w:after="100" w:afterAutospacing="1" w:line="360" w:lineRule="auto"/>
        <w:ind w:firstLine="720"/>
        <w:rPr>
          <w:rFonts w:ascii="Times New Roman" w:eastAsia="Times New Roman" w:hAnsi="Times New Roman" w:cs="Times New Roman"/>
          <w:sz w:val="23"/>
          <w:szCs w:val="23"/>
          <w:lang w:eastAsia="en-GB"/>
        </w:rPr>
      </w:pPr>
      <w:r w:rsidRPr="00836023">
        <w:rPr>
          <w:rFonts w:ascii="Times New Roman" w:eastAsia="Times New Roman" w:hAnsi="Times New Roman" w:cs="Times New Roman"/>
          <w:sz w:val="23"/>
          <w:szCs w:val="23"/>
          <w:lang w:eastAsia="en-GB"/>
        </w:rPr>
        <w:t>Community social support practices—defined as the collective actions and informal networks that families, neighbours, local governance bodies, and civil society provide—play a critical role in shaping educational outcomes across South Asia. Research suggests that family and community variables, such as socioeconomic status, cultural norms, and collective participation, significantly influence children’s schooling and learning outcomes in the region (Shafiq &amp; Chudgar, 2025). In Nepal’s rural contexts, community engagement has been shown to be essential for fostering supportive learning environments and enhancing the effectiveness of formal education systems (Shrestha &amp; Dangal, 2024; Maharjan, 2025). However, the quality and extent of such social support practices vary widely due to disparities in local capacity, resources, and socio-cultural barriers, which in turn affect enrolment, retention, and inclusive educational engagement.</w:t>
      </w:r>
    </w:p>
    <w:p w14:paraId="2B573B06" w14:textId="77777777" w:rsidR="00C93E76" w:rsidRPr="00836023" w:rsidRDefault="00C93E76" w:rsidP="00AC2FDB">
      <w:pPr>
        <w:spacing w:before="100" w:beforeAutospacing="1" w:after="100" w:afterAutospacing="1" w:line="360" w:lineRule="auto"/>
        <w:ind w:firstLine="720"/>
        <w:rPr>
          <w:rFonts w:ascii="Times New Roman" w:eastAsia="Times New Roman" w:hAnsi="Times New Roman" w:cs="Times New Roman"/>
          <w:sz w:val="23"/>
          <w:szCs w:val="23"/>
          <w:lang w:eastAsia="en-GB"/>
        </w:rPr>
      </w:pPr>
      <w:r w:rsidRPr="00836023">
        <w:rPr>
          <w:rFonts w:ascii="Times New Roman" w:eastAsia="Times New Roman" w:hAnsi="Times New Roman" w:cs="Times New Roman"/>
          <w:sz w:val="23"/>
          <w:szCs w:val="23"/>
          <w:lang w:eastAsia="en-GB"/>
        </w:rPr>
        <w:t>Despite policy frameworks that create spaces for community participation in school governance, substantial gaps persist between policy intent and effective implementation in Nepal (ResearchGate, 2025). Studies have documented that while structures like School Management Committees (SMCs) are mandated as bridges between schools and communities, actual participation often remains tokenistic, restricted largely to socio-politically advantaged groups, and limited by structural constraints such as geographic distance and low parental literacy (South Asian Journal of Research &amp; Innovation, 2025; Katel &amp; Katel, 2024). Furthermore, parental engagement tends to be stronger among more literate and resource-rich families, whereas marginalized families—especially in rural settings—remain underrepresented in collective school support practices (Pant &amp; Pant, 2025). These gaps highlight the uneven distribution of community social support resources and the need for targeted approaches that reinforce participation and equity in education at the grassroots level.</w:t>
      </w:r>
    </w:p>
    <w:p w14:paraId="4C801C23" w14:textId="3FBCB7AF" w:rsidR="00C93E76" w:rsidRPr="00836023" w:rsidRDefault="00C93E76" w:rsidP="00AC2FDB">
      <w:pPr>
        <w:spacing w:before="100" w:beforeAutospacing="1" w:after="100" w:afterAutospacing="1" w:line="360" w:lineRule="auto"/>
        <w:ind w:firstLine="720"/>
        <w:rPr>
          <w:rFonts w:ascii="Times New Roman" w:eastAsia="Times New Roman" w:hAnsi="Times New Roman" w:cs="Times New Roman"/>
          <w:sz w:val="23"/>
          <w:szCs w:val="23"/>
          <w:lang w:eastAsia="en-GB"/>
        </w:rPr>
      </w:pPr>
      <w:r w:rsidRPr="00836023">
        <w:rPr>
          <w:rFonts w:ascii="Times New Roman" w:eastAsia="Times New Roman" w:hAnsi="Times New Roman" w:cs="Times New Roman"/>
          <w:sz w:val="23"/>
          <w:szCs w:val="23"/>
          <w:lang w:eastAsia="en-GB"/>
        </w:rPr>
        <w:t xml:space="preserve">Given these persistent disparities, future research must deepen the understanding of how community social support practices function in diverse rural landscapes, particularly in under-resourced districts like Solukhumbu. Although broad evidence from South Asia underscores that community involvement can enhance educational quality, there remains a lack of contextually grounded research that explores mechanisms of support, barriers to participation, and effective models of sustained engagement in remote and socio-culturally heterogeneous settings (Shafiq &amp; Chudgar, 2025; Shrestha &amp; Dangal, 2024). Such evidence is critical not only for refining project design and policy interventions but also for contributing to academically robust frameworks that link social capital, community participation, and learning outcomes across South Asia. Therefore, this study’s emphasis on </w:t>
      </w:r>
      <w:r w:rsidR="009003B7">
        <w:rPr>
          <w:rFonts w:ascii="Times New Roman" w:eastAsia="Times New Roman" w:hAnsi="Times New Roman" w:cs="Times New Roman"/>
          <w:sz w:val="23"/>
          <w:szCs w:val="23"/>
          <w:lang w:eastAsia="en-GB"/>
        </w:rPr>
        <w:t>study data</w:t>
      </w:r>
      <w:r w:rsidRPr="00836023">
        <w:rPr>
          <w:rFonts w:ascii="Times New Roman" w:eastAsia="Times New Roman" w:hAnsi="Times New Roman" w:cs="Times New Roman"/>
          <w:sz w:val="23"/>
          <w:szCs w:val="23"/>
          <w:lang w:eastAsia="en-GB"/>
        </w:rPr>
        <w:t xml:space="preserve"> documentation and analysis of community support practices </w:t>
      </w:r>
      <w:r w:rsidRPr="00836023">
        <w:rPr>
          <w:rFonts w:ascii="Times New Roman" w:eastAsia="Times New Roman" w:hAnsi="Times New Roman" w:cs="Times New Roman"/>
          <w:sz w:val="23"/>
          <w:szCs w:val="23"/>
          <w:lang w:eastAsia="en-GB"/>
        </w:rPr>
        <w:lastRenderedPageBreak/>
        <w:t>in Solukhumbu aims to address this gap and inform scalable strategies for inclusive quality education in similar contexts.</w:t>
      </w:r>
    </w:p>
    <w:p w14:paraId="69C44513" w14:textId="77777777" w:rsidR="00C93E76" w:rsidRPr="00836023" w:rsidRDefault="00C93E76" w:rsidP="00AC2FDB">
      <w:pPr>
        <w:spacing w:before="100" w:beforeAutospacing="1" w:after="100" w:afterAutospacing="1" w:line="360" w:lineRule="auto"/>
        <w:ind w:firstLine="720"/>
        <w:rPr>
          <w:rFonts w:ascii="Times New Roman" w:eastAsia="Times New Roman" w:hAnsi="Times New Roman" w:cs="Times New Roman"/>
          <w:sz w:val="23"/>
          <w:szCs w:val="23"/>
          <w:lang w:eastAsia="en-GB"/>
        </w:rPr>
      </w:pPr>
      <w:r w:rsidRPr="00836023">
        <w:rPr>
          <w:rFonts w:ascii="Times New Roman" w:eastAsia="Times New Roman" w:hAnsi="Times New Roman" w:cs="Times New Roman"/>
          <w:sz w:val="23"/>
          <w:szCs w:val="23"/>
          <w:lang w:eastAsia="en-GB"/>
        </w:rPr>
        <w:t xml:space="preserve">Nepal’s basic education net enrolment rate reached </w:t>
      </w:r>
      <w:r w:rsidRPr="00E24D36">
        <w:rPr>
          <w:rFonts w:ascii="Times New Roman" w:eastAsia="Times New Roman" w:hAnsi="Times New Roman" w:cs="Times New Roman"/>
          <w:i/>
          <w:iCs/>
          <w:sz w:val="23"/>
          <w:szCs w:val="23"/>
          <w:lang w:eastAsia="en-GB"/>
        </w:rPr>
        <w:t>95.1% in 2023/24</w:t>
      </w:r>
      <w:r w:rsidRPr="00836023">
        <w:rPr>
          <w:rFonts w:ascii="Times New Roman" w:eastAsia="Times New Roman" w:hAnsi="Times New Roman" w:cs="Times New Roman"/>
          <w:sz w:val="23"/>
          <w:szCs w:val="23"/>
          <w:lang w:eastAsia="en-GB"/>
        </w:rPr>
        <w:t xml:space="preserve">, indicating widespread primary and lower-secondary access. Nonetheless, substantial gaps persist in learning outcomes and inclusive education, particularly for rural and marginalized populations. Gender disparities and geographic disadvantages reinforce barriers to sustained educational achievement. Solukhumbu District, with roughly 104,768 residents in dispersed mountain settlements, typifies these challenges, where steep terrain and limited infrastructure constrain school access and community livelihoods. School dropout rates escalate in higher grades, and girls often face additional metabolic and cultural barriers that affect sustained participation. </w:t>
      </w:r>
    </w:p>
    <w:p w14:paraId="299AEC5B" w14:textId="05872A5B" w:rsidR="00C93E76" w:rsidRPr="00836023" w:rsidRDefault="00C93E76" w:rsidP="00AC2FDB">
      <w:pPr>
        <w:spacing w:before="100" w:beforeAutospacing="1" w:after="100" w:afterAutospacing="1" w:line="360" w:lineRule="auto"/>
        <w:ind w:firstLine="284"/>
        <w:jc w:val="both"/>
        <w:rPr>
          <w:rFonts w:ascii="Times New Roman" w:eastAsia="Times New Roman" w:hAnsi="Times New Roman" w:cs="Times New Roman"/>
          <w:sz w:val="23"/>
          <w:szCs w:val="23"/>
          <w:lang w:eastAsia="en-GB"/>
        </w:rPr>
      </w:pPr>
      <w:r w:rsidRPr="00836023">
        <w:rPr>
          <w:rFonts w:ascii="Times New Roman" w:eastAsia="Times New Roman" w:hAnsi="Times New Roman" w:cs="Times New Roman"/>
          <w:sz w:val="23"/>
          <w:szCs w:val="23"/>
          <w:lang w:eastAsia="en-GB"/>
        </w:rPr>
        <w:t xml:space="preserve">Notwithstanding these obstacles, communities in Solukhumbu demonstrate strong cultural value for education and </w:t>
      </w:r>
      <w:r w:rsidR="003E7734" w:rsidRPr="00836023">
        <w:rPr>
          <w:rFonts w:ascii="Times New Roman" w:eastAsia="Times New Roman" w:hAnsi="Times New Roman" w:cs="Times New Roman"/>
          <w:sz w:val="23"/>
          <w:szCs w:val="23"/>
          <w:lang w:eastAsia="en-GB"/>
        </w:rPr>
        <w:t>promising</w:t>
      </w:r>
      <w:r w:rsidRPr="00836023">
        <w:rPr>
          <w:rFonts w:ascii="Times New Roman" w:eastAsia="Times New Roman" w:hAnsi="Times New Roman" w:cs="Times New Roman"/>
          <w:sz w:val="23"/>
          <w:szCs w:val="23"/>
          <w:lang w:eastAsia="en-GB"/>
        </w:rPr>
        <w:t xml:space="preserve"> capacity for social mobilization, yet often lack structured platforms, technical skills, and material resources to support equitable educational pathways.</w:t>
      </w:r>
    </w:p>
    <w:p w14:paraId="3BCAD9B2" w14:textId="77777777" w:rsidR="00AC2FDB" w:rsidRPr="00E40940" w:rsidRDefault="00C93E76" w:rsidP="00AC2FDB">
      <w:pPr>
        <w:pStyle w:val="RALs-Heading1"/>
        <w:jc w:val="left"/>
        <w:rPr>
          <w:rFonts w:asciiTheme="majorBidi" w:hAnsiTheme="majorBidi" w:cstheme="majorBidi"/>
          <w:sz w:val="24"/>
          <w:szCs w:val="24"/>
        </w:rPr>
      </w:pPr>
      <w:r w:rsidRPr="00836023">
        <w:rPr>
          <w:rFonts w:cs="Times New Roman"/>
          <w:sz w:val="23"/>
          <w:szCs w:val="23"/>
          <w:lang w:eastAsia="en-GB"/>
        </w:rPr>
        <w:t>2</w:t>
      </w:r>
      <w:r w:rsidR="00510D64" w:rsidRPr="00836023">
        <w:rPr>
          <w:rFonts w:cs="Times New Roman"/>
          <w:sz w:val="23"/>
          <w:szCs w:val="23"/>
          <w:lang w:eastAsia="en-GB"/>
        </w:rPr>
        <w:t>.</w:t>
      </w:r>
      <w:r w:rsidRPr="00836023">
        <w:rPr>
          <w:rFonts w:cs="Times New Roman"/>
          <w:sz w:val="23"/>
          <w:szCs w:val="23"/>
          <w:lang w:eastAsia="en-GB"/>
        </w:rPr>
        <w:t xml:space="preserve"> </w:t>
      </w:r>
      <w:r w:rsidR="00AC2FDB" w:rsidRPr="00E40940">
        <w:rPr>
          <w:rFonts w:asciiTheme="majorBidi" w:hAnsiTheme="majorBidi" w:cstheme="majorBidi"/>
          <w:sz w:val="24"/>
          <w:szCs w:val="24"/>
        </w:rPr>
        <w:t>Literature Review</w:t>
      </w:r>
    </w:p>
    <w:p w14:paraId="7CB1B3CA" w14:textId="77777777" w:rsidR="00C93E76" w:rsidRPr="00836023" w:rsidRDefault="00C93E76" w:rsidP="00080E8B">
      <w:pPr>
        <w:spacing w:before="100" w:beforeAutospacing="1" w:after="100" w:afterAutospacing="1" w:line="360" w:lineRule="auto"/>
        <w:ind w:firstLine="284"/>
        <w:jc w:val="both"/>
        <w:rPr>
          <w:rFonts w:ascii="Times New Roman" w:eastAsia="Times New Roman" w:hAnsi="Times New Roman" w:cs="Times New Roman"/>
          <w:sz w:val="23"/>
          <w:szCs w:val="23"/>
          <w:lang w:eastAsia="en-GB"/>
        </w:rPr>
      </w:pPr>
      <w:bookmarkStart w:id="0" w:name="_Hlk223604137"/>
      <w:r w:rsidRPr="00836023">
        <w:rPr>
          <w:rFonts w:ascii="Times New Roman" w:eastAsia="Times New Roman" w:hAnsi="Times New Roman" w:cs="Times New Roman"/>
          <w:sz w:val="23"/>
          <w:szCs w:val="23"/>
          <w:lang w:eastAsia="en-GB"/>
        </w:rPr>
        <w:t>Community social support practices encompass a range of actions by families, local groups, and institutions that influence children’s holistic educational experiences – from school governance participation to household encouragement, local resource mobilization, and peer support among adolescents. Such practices are critical in contexts where formal systems alone cannot address structural educational limitations.</w:t>
      </w:r>
    </w:p>
    <w:p w14:paraId="484B4C36" w14:textId="77777777" w:rsidR="00C93E76" w:rsidRPr="00836023" w:rsidRDefault="00C93E76" w:rsidP="00080E8B">
      <w:pPr>
        <w:spacing w:before="100" w:beforeAutospacing="1" w:after="100" w:afterAutospacing="1" w:line="360" w:lineRule="auto"/>
        <w:ind w:firstLine="284"/>
        <w:rPr>
          <w:rFonts w:ascii="Times New Roman" w:eastAsia="Times New Roman" w:hAnsi="Times New Roman" w:cs="Times New Roman"/>
          <w:sz w:val="23"/>
          <w:szCs w:val="23"/>
          <w:lang w:eastAsia="en-GB"/>
        </w:rPr>
      </w:pPr>
      <w:r w:rsidRPr="00836023">
        <w:rPr>
          <w:rFonts w:ascii="Times New Roman" w:eastAsia="Times New Roman" w:hAnsi="Times New Roman" w:cs="Times New Roman"/>
          <w:sz w:val="23"/>
          <w:szCs w:val="23"/>
          <w:lang w:eastAsia="en-GB"/>
        </w:rPr>
        <w:t xml:space="preserve">Community social support practices encompass a spectrum of actions by families, local groups, and institutions that collectively shape children's educational experiences beyond what formal schooling alone can achieve. These practices include parental encouragement of learning, active participation in school governance through bodies like School Management Committees (SMCs), peer support among adolescents, and mobilization of local resources to improve school environments (Pant &amp; Pant, 2025; Katel &amp; Katel, 2024). The theoretical grounding of these practices often draws on social capital frameworks, which posit that networks of relationships within communities provide emotional, informational, and instrumental resources that bolster student engagement, reduce barriers to learning, and support school effectiveness (Pant &amp; Pant, 2025). Empirical research across Nepal also shows that when parents and community members contribute to school activities — from facilitating communication to providing labour and resources — students benefit academically and socially, and schools become more inclusive spaces (Pant &amp; Pant, 2025; Chaudhary, 2024). Such insights underscore that community social support is not merely additive but foundational to enhancing education quality, especially in </w:t>
      </w:r>
      <w:r w:rsidRPr="00836023">
        <w:rPr>
          <w:rFonts w:ascii="Times New Roman" w:eastAsia="Times New Roman" w:hAnsi="Times New Roman" w:cs="Times New Roman"/>
          <w:sz w:val="23"/>
          <w:szCs w:val="23"/>
          <w:lang w:eastAsia="en-GB"/>
        </w:rPr>
        <w:lastRenderedPageBreak/>
        <w:t>under-resourced and remote contexts where formal systems alone may not adequately address structural limitations.</w:t>
      </w:r>
    </w:p>
    <w:p w14:paraId="0BB788F7" w14:textId="5049FC77" w:rsidR="00C93E76" w:rsidRPr="00836023" w:rsidRDefault="00C93E76" w:rsidP="00080E8B">
      <w:pPr>
        <w:spacing w:before="100" w:beforeAutospacing="1" w:after="100" w:afterAutospacing="1" w:line="360" w:lineRule="auto"/>
        <w:ind w:firstLine="284"/>
        <w:rPr>
          <w:rFonts w:ascii="Times New Roman" w:eastAsia="Times New Roman" w:hAnsi="Times New Roman" w:cs="Times New Roman"/>
          <w:sz w:val="23"/>
          <w:szCs w:val="23"/>
          <w:lang w:eastAsia="en-GB"/>
        </w:rPr>
      </w:pPr>
      <w:r w:rsidRPr="00836023">
        <w:rPr>
          <w:rFonts w:ascii="Times New Roman" w:eastAsia="Times New Roman" w:hAnsi="Times New Roman" w:cs="Times New Roman"/>
          <w:sz w:val="23"/>
          <w:szCs w:val="23"/>
          <w:lang w:eastAsia="en-GB"/>
        </w:rPr>
        <w:t xml:space="preserve">In Solukhumbu District, </w:t>
      </w:r>
      <w:r w:rsidR="009003B7">
        <w:rPr>
          <w:rFonts w:ascii="Times New Roman" w:eastAsia="Times New Roman" w:hAnsi="Times New Roman" w:cs="Times New Roman"/>
          <w:sz w:val="23"/>
          <w:szCs w:val="23"/>
          <w:lang w:eastAsia="en-GB"/>
        </w:rPr>
        <w:t>study data</w:t>
      </w:r>
      <w:r w:rsidRPr="00836023">
        <w:rPr>
          <w:rFonts w:ascii="Times New Roman" w:eastAsia="Times New Roman" w:hAnsi="Times New Roman" w:cs="Times New Roman"/>
          <w:sz w:val="23"/>
          <w:szCs w:val="23"/>
          <w:lang w:eastAsia="en-GB"/>
        </w:rPr>
        <w:t xml:space="preserve"> reveal patterns that directly align with this conceptual framing: near-gender parity in early enrolment followed by steep declines in retention at higher grade levels reflects not only systemic challenges but also gaps in sustained community support mechanisms. While girls and boys initially enrol at similar rates, socio-economic pressures, migration for labour, and uneven school governance contribute to dropout trends and moderate academic performance in upper grades — outcomes that community engagement could help </w:t>
      </w:r>
      <w:r w:rsidR="00E9661F" w:rsidRPr="00836023">
        <w:rPr>
          <w:rFonts w:ascii="Times New Roman" w:eastAsia="Times New Roman" w:hAnsi="Times New Roman" w:cs="Times New Roman"/>
          <w:sz w:val="23"/>
          <w:szCs w:val="23"/>
          <w:lang w:eastAsia="en-GB"/>
        </w:rPr>
        <w:t>better</w:t>
      </w:r>
      <w:r w:rsidRPr="00836023">
        <w:rPr>
          <w:rFonts w:ascii="Times New Roman" w:eastAsia="Times New Roman" w:hAnsi="Times New Roman" w:cs="Times New Roman"/>
          <w:sz w:val="23"/>
          <w:szCs w:val="23"/>
          <w:lang w:eastAsia="en-GB"/>
        </w:rPr>
        <w:t xml:space="preserve"> through targeted support, mentoring, and coordinated local action (</w:t>
      </w:r>
      <w:r w:rsidR="009003B7">
        <w:rPr>
          <w:rFonts w:ascii="Times New Roman" w:eastAsia="Times New Roman" w:hAnsi="Times New Roman" w:cs="Times New Roman"/>
          <w:sz w:val="23"/>
          <w:szCs w:val="23"/>
          <w:lang w:eastAsia="en-GB"/>
        </w:rPr>
        <w:t>study data</w:t>
      </w:r>
      <w:r w:rsidRPr="00836023">
        <w:rPr>
          <w:rFonts w:ascii="Times New Roman" w:eastAsia="Times New Roman" w:hAnsi="Times New Roman" w:cs="Times New Roman"/>
          <w:sz w:val="23"/>
          <w:szCs w:val="23"/>
          <w:lang w:eastAsia="en-GB"/>
        </w:rPr>
        <w:t xml:space="preserve"> </w:t>
      </w:r>
      <w:r w:rsidR="00362F9D">
        <w:rPr>
          <w:rFonts w:ascii="Times New Roman" w:eastAsia="Times New Roman" w:hAnsi="Times New Roman" w:cs="Times New Roman"/>
          <w:sz w:val="23"/>
          <w:szCs w:val="23"/>
          <w:lang w:eastAsia="en-GB"/>
        </w:rPr>
        <w:t>2025</w:t>
      </w:r>
      <w:r w:rsidRPr="00836023">
        <w:rPr>
          <w:rFonts w:ascii="Times New Roman" w:eastAsia="Times New Roman" w:hAnsi="Times New Roman" w:cs="Times New Roman"/>
          <w:sz w:val="23"/>
          <w:szCs w:val="23"/>
          <w:lang w:eastAsia="en-GB"/>
        </w:rPr>
        <w:t>). Uneven availability of child-friendly facilities and variable functioning of SMCs and PTAs further highlight that material and participatory support within communities influences whether schools can provide environments that retain older students and promote learning. Additionally, findings from adolescent engagement (e.g., varying self-esteem levels and limited youth group resources) and CBO household insights (e.g., economic instabilities and low formal governance participation) show how gaps in peer support and parental involvement resonate with broader socio-economic constraints (</w:t>
      </w:r>
      <w:r w:rsidR="009003B7">
        <w:rPr>
          <w:rFonts w:ascii="Times New Roman" w:eastAsia="Times New Roman" w:hAnsi="Times New Roman" w:cs="Times New Roman"/>
          <w:sz w:val="23"/>
          <w:szCs w:val="23"/>
          <w:lang w:eastAsia="en-GB"/>
        </w:rPr>
        <w:t>study data</w:t>
      </w:r>
      <w:r w:rsidRPr="00836023">
        <w:rPr>
          <w:rFonts w:ascii="Times New Roman" w:eastAsia="Times New Roman" w:hAnsi="Times New Roman" w:cs="Times New Roman"/>
          <w:sz w:val="23"/>
          <w:szCs w:val="23"/>
          <w:lang w:eastAsia="en-GB"/>
        </w:rPr>
        <w:t xml:space="preserve"> data). Thus, integrating community social support practices into education strategy not only addresses structural deficiencies (e.g., infrastructure and teacher distribution) but also strengthens socio-emotional and participatory dimensions of schooling, providing an empirically grounded rationale for future interventions and research in similar rural mountain settings.</w:t>
      </w:r>
    </w:p>
    <w:p w14:paraId="072C2D4D" w14:textId="7940308E" w:rsidR="00C93E76" w:rsidRPr="00836023" w:rsidRDefault="00C93E76" w:rsidP="00080E8B">
      <w:pPr>
        <w:spacing w:before="100" w:beforeAutospacing="1" w:after="100" w:afterAutospacing="1" w:line="360" w:lineRule="auto"/>
        <w:ind w:firstLine="284"/>
        <w:rPr>
          <w:rFonts w:ascii="Times New Roman" w:eastAsia="Times New Roman" w:hAnsi="Times New Roman" w:cs="Times New Roman"/>
          <w:sz w:val="23"/>
          <w:szCs w:val="23"/>
          <w:lang w:eastAsia="en-GB"/>
        </w:rPr>
      </w:pPr>
      <w:r w:rsidRPr="00836023">
        <w:rPr>
          <w:rFonts w:ascii="Times New Roman" w:eastAsia="Times New Roman" w:hAnsi="Times New Roman" w:cs="Times New Roman"/>
          <w:sz w:val="23"/>
          <w:szCs w:val="23"/>
          <w:lang w:eastAsia="en-GB"/>
        </w:rPr>
        <w:t xml:space="preserve">The </w:t>
      </w:r>
      <w:r w:rsidR="00F42F35" w:rsidRPr="00836023">
        <w:rPr>
          <w:rFonts w:ascii="Times New Roman" w:eastAsia="Times New Roman" w:hAnsi="Times New Roman" w:cs="Times New Roman"/>
          <w:sz w:val="23"/>
          <w:szCs w:val="23"/>
          <w:lang w:eastAsia="en-GB"/>
        </w:rPr>
        <w:t>social reality</w:t>
      </w:r>
      <w:r w:rsidRPr="00836023">
        <w:rPr>
          <w:rFonts w:ascii="Times New Roman" w:eastAsia="Times New Roman" w:hAnsi="Times New Roman" w:cs="Times New Roman"/>
          <w:sz w:val="23"/>
          <w:szCs w:val="23"/>
          <w:lang w:eastAsia="en-GB"/>
        </w:rPr>
        <w:t xml:space="preserve"> of this study reflects the assumption that multiple realities exist and that social phenomenon—such as community engagement in education—cannot be reduced to a single objective truth. In qualitative paradigms, reality is understood as socially constructed, context specific, and experienced differently by diverse actors, including students, parents, teachers, and local officials (Creswell &amp; Poth, 2018). This aligns with the </w:t>
      </w:r>
      <w:r w:rsidR="009003B7">
        <w:rPr>
          <w:rFonts w:ascii="Times New Roman" w:eastAsia="Times New Roman" w:hAnsi="Times New Roman" w:cs="Times New Roman"/>
          <w:sz w:val="23"/>
          <w:szCs w:val="23"/>
          <w:lang w:eastAsia="en-GB"/>
        </w:rPr>
        <w:t>study data</w:t>
      </w:r>
      <w:r w:rsidRPr="00836023">
        <w:rPr>
          <w:rFonts w:ascii="Times New Roman" w:eastAsia="Times New Roman" w:hAnsi="Times New Roman" w:cs="Times New Roman"/>
          <w:sz w:val="23"/>
          <w:szCs w:val="23"/>
          <w:lang w:eastAsia="en-GB"/>
        </w:rPr>
        <w:t xml:space="preserve"> context in Solukhumbu, where gendered enrolment patterns, varied school governance practices, and </w:t>
      </w:r>
      <w:r w:rsidR="001F2F9F" w:rsidRPr="00836023">
        <w:rPr>
          <w:rFonts w:ascii="Times New Roman" w:eastAsia="Times New Roman" w:hAnsi="Times New Roman" w:cs="Times New Roman"/>
          <w:sz w:val="23"/>
          <w:szCs w:val="23"/>
          <w:lang w:eastAsia="en-GB"/>
        </w:rPr>
        <w:t>socio-economic</w:t>
      </w:r>
      <w:r w:rsidRPr="00836023">
        <w:rPr>
          <w:rFonts w:ascii="Times New Roman" w:eastAsia="Times New Roman" w:hAnsi="Times New Roman" w:cs="Times New Roman"/>
          <w:sz w:val="23"/>
          <w:szCs w:val="23"/>
          <w:lang w:eastAsia="en-GB"/>
        </w:rPr>
        <w:t xml:space="preserve"> constraints affect educational experiences in distinctive ways across school catchments. Such a relativist ontological stance recognizes that community support practices are not fixed entities but are shaped by local customs, interactions, and meanings that stakeholders attach to schooling and social support. </w:t>
      </w:r>
    </w:p>
    <w:p w14:paraId="44D29AB8" w14:textId="55AC1AB8" w:rsidR="00C93E76" w:rsidRPr="00836023" w:rsidRDefault="00C93E76" w:rsidP="00080E8B">
      <w:pPr>
        <w:spacing w:before="100" w:beforeAutospacing="1" w:after="100" w:afterAutospacing="1" w:line="360" w:lineRule="auto"/>
        <w:ind w:firstLine="284"/>
        <w:rPr>
          <w:rFonts w:ascii="Times New Roman" w:eastAsia="Times New Roman" w:hAnsi="Times New Roman" w:cs="Times New Roman"/>
          <w:sz w:val="23"/>
          <w:szCs w:val="23"/>
          <w:lang w:eastAsia="en-GB"/>
        </w:rPr>
      </w:pPr>
      <w:r w:rsidRPr="00836023">
        <w:rPr>
          <w:rFonts w:ascii="Times New Roman" w:eastAsia="Times New Roman" w:hAnsi="Times New Roman" w:cs="Times New Roman"/>
          <w:sz w:val="23"/>
          <w:szCs w:val="23"/>
          <w:lang w:eastAsia="en-GB"/>
        </w:rPr>
        <w:t xml:space="preserve">Closely tied to </w:t>
      </w:r>
      <w:r w:rsidR="001F2F9F" w:rsidRPr="00836023">
        <w:rPr>
          <w:rFonts w:ascii="Times New Roman" w:eastAsia="Times New Roman" w:hAnsi="Times New Roman" w:cs="Times New Roman"/>
          <w:sz w:val="23"/>
          <w:szCs w:val="23"/>
          <w:lang w:eastAsia="en-GB"/>
        </w:rPr>
        <w:t>social realit</w:t>
      </w:r>
      <w:r w:rsidRPr="00836023">
        <w:rPr>
          <w:rFonts w:ascii="Times New Roman" w:eastAsia="Times New Roman" w:hAnsi="Times New Roman" w:cs="Times New Roman"/>
          <w:sz w:val="23"/>
          <w:szCs w:val="23"/>
          <w:lang w:eastAsia="en-GB"/>
        </w:rPr>
        <w:t>y, this research acknowledges that knowledge emerges from participants’ lived experiences and the interpretive engagement of the researcher in the fields. Knowledge is regarded as subjective, negotiated, and co constructed through interactions with adolescents</w:t>
      </w:r>
      <w:r w:rsidR="00841495">
        <w:rPr>
          <w:rFonts w:ascii="Times New Roman" w:eastAsia="Times New Roman" w:hAnsi="Times New Roman" w:cs="Times New Roman"/>
          <w:sz w:val="23"/>
          <w:szCs w:val="23"/>
          <w:lang w:eastAsia="en-GB"/>
        </w:rPr>
        <w:t xml:space="preserve"> group</w:t>
      </w:r>
      <w:r w:rsidRPr="00836023">
        <w:rPr>
          <w:rFonts w:ascii="Times New Roman" w:eastAsia="Times New Roman" w:hAnsi="Times New Roman" w:cs="Times New Roman"/>
          <w:sz w:val="23"/>
          <w:szCs w:val="23"/>
          <w:lang w:eastAsia="en-GB"/>
        </w:rPr>
        <w:t xml:space="preserve">, CBO households, school leaders, and local government representatives. This </w:t>
      </w:r>
      <w:r w:rsidRPr="00836023">
        <w:rPr>
          <w:rFonts w:ascii="Times New Roman" w:eastAsia="Times New Roman" w:hAnsi="Times New Roman" w:cs="Times New Roman"/>
          <w:sz w:val="23"/>
          <w:szCs w:val="23"/>
          <w:lang w:eastAsia="en-GB"/>
        </w:rPr>
        <w:lastRenderedPageBreak/>
        <w:t xml:space="preserve">epistemological stance justifies in depth interviews, structured questionnaires with open discussions, and classroom observations that capture nuanced perspectives on participation, barriers, and community engagement. Axiology further underscores that the researcher’s values, ethical commitments, and reflexivity are integral to the inquiry: the choice to focus on community voices, interpret their narratives sensitively, and foreground issues of equity and participation reflects a value commitment to inclusivity and social justice rather than detached objectivity. Finally, the logic of inquiry in this qualitative framework is primarily inductive and interpretive, moving from specific, context rich data toward broader conceptual understanding of how social support practices influence education quality within these communities. </w:t>
      </w:r>
    </w:p>
    <w:p w14:paraId="5E866413" w14:textId="71914F6A" w:rsidR="00C93E76" w:rsidRPr="00836023" w:rsidRDefault="00C93E76" w:rsidP="00080E8B">
      <w:pPr>
        <w:spacing w:before="100" w:beforeAutospacing="1" w:after="100" w:afterAutospacing="1" w:line="360" w:lineRule="auto"/>
        <w:ind w:firstLine="284"/>
        <w:rPr>
          <w:rFonts w:ascii="Times New Roman" w:eastAsia="Times New Roman" w:hAnsi="Times New Roman" w:cs="Times New Roman"/>
          <w:sz w:val="23"/>
          <w:szCs w:val="23"/>
          <w:lang w:eastAsia="en-GB"/>
        </w:rPr>
      </w:pPr>
      <w:r w:rsidRPr="00836023">
        <w:rPr>
          <w:rFonts w:ascii="Times New Roman" w:eastAsia="Times New Roman" w:hAnsi="Times New Roman" w:cs="Times New Roman"/>
          <w:sz w:val="23"/>
          <w:szCs w:val="23"/>
          <w:lang w:eastAsia="en-GB"/>
        </w:rPr>
        <w:t>Building on social capital, ecological systems theory (Bronfenbrenner, 1979) provides a multi-layered perspective by conceptualizing children’s education as embedded in interacting systems — family (microsystem), community and school (mesosystem), and broader socio-political structures (ecosystem). In rural Nepal, children’s educational experiences are shaped not only by intra-school factors like teacher distribution and learning materials but also by household livelihood pressures, migration patterns, and community support practices (</w:t>
      </w:r>
      <w:r w:rsidR="009003B7">
        <w:rPr>
          <w:rFonts w:ascii="Times New Roman" w:eastAsia="Times New Roman" w:hAnsi="Times New Roman" w:cs="Times New Roman"/>
          <w:sz w:val="23"/>
          <w:szCs w:val="23"/>
          <w:lang w:eastAsia="en-GB"/>
        </w:rPr>
        <w:t>study data</w:t>
      </w:r>
      <w:r w:rsidRPr="00836023">
        <w:rPr>
          <w:rFonts w:ascii="Times New Roman" w:eastAsia="Times New Roman" w:hAnsi="Times New Roman" w:cs="Times New Roman"/>
          <w:sz w:val="23"/>
          <w:szCs w:val="23"/>
          <w:lang w:eastAsia="en-GB"/>
        </w:rPr>
        <w:t xml:space="preserve"> data). For instance, while Solukhumbu shows near-gender parity in enrolment at early grades, retention declines markedly in higher grades due to socio-economic drivers such as seasonal labour and household responsibilities. These patterns reveal how household and community contexts intersect with school processes to influence educational continuity and quality. Ecological systems theory underscores that to enhance educational outcomes, interventions must address both school environments and the wider community systems within which students are situated.</w:t>
      </w:r>
    </w:p>
    <w:p w14:paraId="64BA27EF" w14:textId="77777777" w:rsidR="00C93E76" w:rsidRPr="00836023" w:rsidRDefault="00C93E76" w:rsidP="00080E8B">
      <w:pPr>
        <w:spacing w:before="100" w:beforeAutospacing="1" w:after="100" w:afterAutospacing="1" w:line="360" w:lineRule="auto"/>
        <w:ind w:firstLine="284"/>
        <w:rPr>
          <w:rFonts w:ascii="Times New Roman" w:eastAsia="Times New Roman" w:hAnsi="Times New Roman" w:cs="Times New Roman"/>
          <w:sz w:val="23"/>
          <w:szCs w:val="23"/>
          <w:lang w:eastAsia="en-GB"/>
        </w:rPr>
      </w:pPr>
      <w:r w:rsidRPr="00836023">
        <w:rPr>
          <w:rFonts w:ascii="Times New Roman" w:eastAsia="Times New Roman" w:hAnsi="Times New Roman" w:cs="Times New Roman"/>
          <w:sz w:val="23"/>
          <w:szCs w:val="23"/>
          <w:lang w:eastAsia="en-GB"/>
        </w:rPr>
        <w:t xml:space="preserve">Complementing these structural lenses, social constructivism emphasizes that community social support practices are not merely functional resources but </w:t>
      </w:r>
      <w:r w:rsidRPr="00836023">
        <w:rPr>
          <w:rFonts w:ascii="Times New Roman" w:eastAsia="Times New Roman" w:hAnsi="Times New Roman" w:cs="Times New Roman"/>
          <w:i/>
          <w:iCs/>
          <w:sz w:val="23"/>
          <w:szCs w:val="23"/>
          <w:lang w:eastAsia="en-GB"/>
        </w:rPr>
        <w:t>culturally and socially constructed realities</w:t>
      </w:r>
      <w:r w:rsidRPr="00836023">
        <w:rPr>
          <w:rFonts w:ascii="Times New Roman" w:eastAsia="Times New Roman" w:hAnsi="Times New Roman" w:cs="Times New Roman"/>
          <w:sz w:val="23"/>
          <w:szCs w:val="23"/>
          <w:lang w:eastAsia="en-GB"/>
        </w:rPr>
        <w:t xml:space="preserve"> shaped by shared norms, values, and collective identity (Berger &amp; Luckmann, 1966). In the Nepalese context, local values around education — such as collective pride in schooling and communal efforts around school improvement — play a critical role in shaping how families engage with schools and how adolescents perceive education as meaningful. Research on school governance in Nepal further highlights local cultural influences on participation dynamics, noting that community norms, expectations, and informal power relations significantly shape how governance bodies like SMCs operate (Adhikari, 2025). Applying a constructivist lens thus helps explain variations in community participation beyond measurable socioeconomic factors, illuminating the </w:t>
      </w:r>
      <w:r w:rsidRPr="00836023">
        <w:rPr>
          <w:rFonts w:ascii="Times New Roman" w:eastAsia="Times New Roman" w:hAnsi="Times New Roman" w:cs="Times New Roman"/>
          <w:i/>
          <w:iCs/>
          <w:sz w:val="23"/>
          <w:szCs w:val="23"/>
          <w:lang w:eastAsia="en-GB"/>
        </w:rPr>
        <w:t>meaning</w:t>
      </w:r>
      <w:r w:rsidRPr="00836023">
        <w:rPr>
          <w:rFonts w:ascii="Times New Roman" w:eastAsia="Times New Roman" w:hAnsi="Times New Roman" w:cs="Times New Roman"/>
          <w:sz w:val="23"/>
          <w:szCs w:val="23"/>
          <w:lang w:eastAsia="en-GB"/>
        </w:rPr>
        <w:t xml:space="preserve"> that families and communities attach to education and how this meaning is enacted through social support practices.</w:t>
      </w:r>
    </w:p>
    <w:p w14:paraId="318BDB74" w14:textId="77777777" w:rsidR="00E349B1" w:rsidRDefault="00C93E76" w:rsidP="00E349B1">
      <w:pPr>
        <w:spacing w:before="100" w:beforeAutospacing="1" w:after="100" w:afterAutospacing="1" w:line="360" w:lineRule="auto"/>
        <w:ind w:firstLine="284"/>
        <w:rPr>
          <w:rFonts w:ascii="Times New Roman" w:eastAsia="Times New Roman" w:hAnsi="Times New Roman" w:cs="Times New Roman"/>
          <w:sz w:val="23"/>
          <w:szCs w:val="23"/>
          <w:lang w:eastAsia="en-GB"/>
        </w:rPr>
      </w:pPr>
      <w:r w:rsidRPr="00836023">
        <w:rPr>
          <w:rFonts w:ascii="Times New Roman" w:eastAsia="Times New Roman" w:hAnsi="Times New Roman" w:cs="Times New Roman"/>
          <w:sz w:val="23"/>
          <w:szCs w:val="23"/>
          <w:lang w:eastAsia="en-GB"/>
        </w:rPr>
        <w:lastRenderedPageBreak/>
        <w:t xml:space="preserve">Finally, institutional theory contributes to understanding the interplay between formal governance structures and community-based practices. Institutional theory </w:t>
      </w:r>
      <w:r w:rsidR="00796DF9" w:rsidRPr="00836023">
        <w:rPr>
          <w:rFonts w:ascii="Times New Roman" w:eastAsia="Times New Roman" w:hAnsi="Times New Roman" w:cs="Times New Roman"/>
          <w:sz w:val="23"/>
          <w:szCs w:val="23"/>
          <w:lang w:eastAsia="en-GB"/>
        </w:rPr>
        <w:t>theorises</w:t>
      </w:r>
      <w:r w:rsidRPr="00836023">
        <w:rPr>
          <w:rFonts w:ascii="Times New Roman" w:eastAsia="Times New Roman" w:hAnsi="Times New Roman" w:cs="Times New Roman"/>
          <w:sz w:val="23"/>
          <w:szCs w:val="23"/>
          <w:lang w:eastAsia="en-GB"/>
        </w:rPr>
        <w:t xml:space="preserve"> that the rules, norms, and cognitive frameworks within which actors operate shape behaviours and outcomes (Scott, 2004). In Nepal’s decentralized education system, formal policies empower community stakeholders through SMCs and local government planning processes, yet these institutional provisions often fall short in practice due to gaps in implementation capacity and stakeholder awareness (Bhattarai, 2022). This disconnects between policy intent and actual functionality underscores that institutional support alone cannot produce educational equity — the </w:t>
      </w:r>
      <w:r w:rsidRPr="00836023">
        <w:rPr>
          <w:rFonts w:ascii="Times New Roman" w:eastAsia="Times New Roman" w:hAnsi="Times New Roman" w:cs="Times New Roman"/>
          <w:i/>
          <w:iCs/>
          <w:sz w:val="23"/>
          <w:szCs w:val="23"/>
          <w:lang w:eastAsia="en-GB"/>
        </w:rPr>
        <w:t>quality</w:t>
      </w:r>
      <w:r w:rsidRPr="00836023">
        <w:rPr>
          <w:rFonts w:ascii="Times New Roman" w:eastAsia="Times New Roman" w:hAnsi="Times New Roman" w:cs="Times New Roman"/>
          <w:sz w:val="23"/>
          <w:szCs w:val="23"/>
          <w:lang w:eastAsia="en-GB"/>
        </w:rPr>
        <w:t xml:space="preserve"> of enactment and local ownership matters. Institutional theory hence clarifies why strengthening both formal structures and community norms is necessary to enhance inclusive educational engagement in rural districts like Solukhumbu.</w:t>
      </w:r>
      <w:r w:rsidR="00E349B1">
        <w:rPr>
          <w:rFonts w:ascii="Times New Roman" w:eastAsia="Times New Roman" w:hAnsi="Times New Roman" w:cs="Times New Roman"/>
          <w:sz w:val="23"/>
          <w:szCs w:val="23"/>
          <w:lang w:eastAsia="en-GB"/>
        </w:rPr>
        <w:t xml:space="preserve"> </w:t>
      </w:r>
      <w:bookmarkEnd w:id="0"/>
    </w:p>
    <w:p w14:paraId="32395573" w14:textId="5AC6CB67" w:rsidR="00E349B1" w:rsidRPr="00C648AD" w:rsidRDefault="00E349B1" w:rsidP="00E349B1">
      <w:pPr>
        <w:spacing w:before="100" w:beforeAutospacing="1" w:after="100" w:afterAutospacing="1" w:line="360" w:lineRule="auto"/>
        <w:ind w:firstLine="284"/>
        <w:rPr>
          <w:rFonts w:ascii="Times New Roman" w:hAnsi="Times New Roman" w:cs="Times New Roman"/>
          <w:sz w:val="23"/>
          <w:szCs w:val="23"/>
        </w:rPr>
      </w:pPr>
      <w:r w:rsidRPr="00C648AD">
        <w:rPr>
          <w:rFonts w:ascii="Times New Roman" w:hAnsi="Times New Roman" w:cs="Times New Roman"/>
          <w:sz w:val="23"/>
          <w:szCs w:val="23"/>
        </w:rPr>
        <w:t>Despite growing evidence that parental involvement, school governance participation, peer support, and local resource mobilization contribute positively to educational outcomes in Nepal, existing scholars provides limited integrated understanding of how these dimensions of community social support interact within remote mountain contexts</w:t>
      </w:r>
      <w:r w:rsidR="00246DE9">
        <w:rPr>
          <w:rFonts w:ascii="Times New Roman" w:hAnsi="Times New Roman" w:cs="Times New Roman"/>
          <w:sz w:val="23"/>
          <w:szCs w:val="23"/>
        </w:rPr>
        <w:t xml:space="preserve"> like Solukhumbu, Nepal</w:t>
      </w:r>
      <w:r w:rsidRPr="00C648AD">
        <w:rPr>
          <w:rFonts w:ascii="Times New Roman" w:hAnsi="Times New Roman" w:cs="Times New Roman"/>
          <w:sz w:val="23"/>
          <w:szCs w:val="23"/>
        </w:rPr>
        <w:t xml:space="preserve">. Previous studies have largely examined governance structures, household factors, or participation mechanisms in isolation, leaving significant gaps in understanding the relationships among community engagement, socio-economic conditions, adolescent support systems, school environments, and educational outcomes. Consequently, empirical evidence remains insufficient to explain the mechanisms, barriers, and contextually effective models of sustained community engagement that can promote equitable and inclusive education in under-resourced rural municipalities. To address this gap, </w:t>
      </w:r>
      <w:r w:rsidR="00422C09">
        <w:rPr>
          <w:rFonts w:ascii="Times New Roman" w:hAnsi="Times New Roman" w:cs="Times New Roman"/>
          <w:sz w:val="23"/>
          <w:szCs w:val="23"/>
        </w:rPr>
        <w:t xml:space="preserve">our present </w:t>
      </w:r>
      <w:r w:rsidRPr="00C648AD">
        <w:rPr>
          <w:rFonts w:ascii="Times New Roman" w:hAnsi="Times New Roman" w:cs="Times New Roman"/>
          <w:sz w:val="23"/>
          <w:szCs w:val="23"/>
        </w:rPr>
        <w:t>study examines how community social support practices influence educational participation, retention, and learning experiences in rural Solukhumbu, with the aim of identifying evidence-based strategies for strengthening inclusive and quality education in remote mountain settings.</w:t>
      </w:r>
    </w:p>
    <w:p w14:paraId="736D8498" w14:textId="18528EB4" w:rsidR="0069715E" w:rsidRPr="00836023" w:rsidRDefault="007E2F8B" w:rsidP="0069715E">
      <w:pPr>
        <w:spacing w:before="100" w:beforeAutospacing="1" w:after="100" w:afterAutospacing="1" w:line="240" w:lineRule="auto"/>
        <w:jc w:val="both"/>
        <w:outlineLvl w:val="1"/>
        <w:rPr>
          <w:rFonts w:ascii="Times New Roman" w:eastAsia="Times New Roman" w:hAnsi="Times New Roman" w:cs="Times New Roman"/>
          <w:b/>
          <w:bCs/>
          <w:sz w:val="23"/>
          <w:szCs w:val="23"/>
          <w:lang w:eastAsia="en-GB"/>
        </w:rPr>
      </w:pPr>
      <w:r>
        <w:rPr>
          <w:rFonts w:ascii="Times New Roman" w:eastAsia="Times New Roman" w:hAnsi="Times New Roman" w:cs="Times New Roman"/>
          <w:b/>
          <w:bCs/>
          <w:sz w:val="23"/>
          <w:szCs w:val="23"/>
          <w:lang w:eastAsia="en-GB"/>
        </w:rPr>
        <w:t>3.</w:t>
      </w:r>
      <w:r w:rsidR="0069715E" w:rsidRPr="00836023">
        <w:rPr>
          <w:rFonts w:ascii="Times New Roman" w:eastAsia="Times New Roman" w:hAnsi="Times New Roman" w:cs="Times New Roman"/>
          <w:b/>
          <w:bCs/>
          <w:sz w:val="23"/>
          <w:szCs w:val="23"/>
          <w:lang w:eastAsia="en-GB"/>
        </w:rPr>
        <w:t xml:space="preserve"> Methodology</w:t>
      </w:r>
    </w:p>
    <w:p w14:paraId="3D5C1876" w14:textId="61C799F2" w:rsidR="0069715E" w:rsidRPr="00836023" w:rsidRDefault="0069715E" w:rsidP="009F4F2D">
      <w:pPr>
        <w:spacing w:before="100" w:beforeAutospacing="1" w:after="100" w:afterAutospacing="1" w:line="360" w:lineRule="auto"/>
        <w:ind w:firstLine="720"/>
        <w:rPr>
          <w:rFonts w:ascii="Times New Roman" w:eastAsia="Times New Roman" w:hAnsi="Times New Roman" w:cs="Times New Roman"/>
          <w:sz w:val="23"/>
          <w:szCs w:val="23"/>
          <w:lang w:eastAsia="en-GB"/>
        </w:rPr>
      </w:pPr>
      <w:bookmarkStart w:id="1" w:name="_Hlk223604176"/>
      <w:r w:rsidRPr="00836023">
        <w:rPr>
          <w:rFonts w:ascii="Times New Roman" w:eastAsia="Times New Roman" w:hAnsi="Times New Roman" w:cs="Times New Roman"/>
          <w:sz w:val="23"/>
          <w:szCs w:val="23"/>
          <w:lang w:eastAsia="en-GB"/>
        </w:rPr>
        <w:t xml:space="preserve">The study employed a qualitative methodology to capture in depth insights into community social support practices influencing education in </w:t>
      </w:r>
      <w:r w:rsidRPr="00836023">
        <w:rPr>
          <w:rFonts w:ascii="Times New Roman" w:eastAsia="Times New Roman" w:hAnsi="Times New Roman" w:cs="Times New Roman"/>
          <w:i/>
          <w:iCs/>
          <w:sz w:val="23"/>
          <w:szCs w:val="23"/>
          <w:lang w:eastAsia="en-GB"/>
        </w:rPr>
        <w:t>Solududhkunda Municipality and Thulung Dudhkoshi Rural Municipality</w:t>
      </w:r>
      <w:r w:rsidRPr="00836023">
        <w:rPr>
          <w:rFonts w:ascii="Times New Roman" w:eastAsia="Times New Roman" w:hAnsi="Times New Roman" w:cs="Times New Roman"/>
          <w:sz w:val="23"/>
          <w:szCs w:val="23"/>
          <w:lang w:eastAsia="en-GB"/>
        </w:rPr>
        <w:t xml:space="preserve">. Qualitative data were gathered through structured questionnaires administered at the school, adolescent group, and household (CBO member) levels, enabling systematic documentation of perceptions, behaviours, and contextual variables across the 50 school catchments. In addition, key informant interviews (KIIs) were conducted with school principals, early childhood development (ECD) teachers, and local government education officers using semi structured guides to elicit rich, contextual information about governance, infrastructure, and community engagement practices. Classroom observations using </w:t>
      </w:r>
      <w:r w:rsidRPr="00836023">
        <w:rPr>
          <w:rFonts w:ascii="Times New Roman" w:eastAsia="Times New Roman" w:hAnsi="Times New Roman" w:cs="Times New Roman"/>
          <w:sz w:val="23"/>
          <w:szCs w:val="23"/>
          <w:lang w:eastAsia="en-GB"/>
        </w:rPr>
        <w:lastRenderedPageBreak/>
        <w:t>structured checklists complemented interview data by providing observational evidence of teaching practices, learning environments, and material resources, enhancing contextual understanding beyond verbal reports. To ensure data trustworthiness, field teams received targeted training on qualitative techniques and ethical engagement, tools were pre</w:t>
      </w:r>
      <w:r w:rsidR="00D82573">
        <w:rPr>
          <w:rFonts w:ascii="Times New Roman" w:eastAsia="Times New Roman" w:hAnsi="Times New Roman" w:cs="Times New Roman"/>
          <w:sz w:val="23"/>
          <w:szCs w:val="23"/>
          <w:lang w:eastAsia="en-GB"/>
        </w:rPr>
        <w:t>-</w:t>
      </w:r>
      <w:r w:rsidRPr="00836023">
        <w:rPr>
          <w:rFonts w:ascii="Times New Roman" w:eastAsia="Times New Roman" w:hAnsi="Times New Roman" w:cs="Times New Roman"/>
          <w:sz w:val="23"/>
          <w:szCs w:val="23"/>
          <w:lang w:eastAsia="en-GB"/>
        </w:rPr>
        <w:t xml:space="preserve">tested for clarity, and daily supervision ensured completeness and consistency of records. Completed questionnaires and interview notes were reviewed in real time by supervisors prior to data entry, and entries were processed in Excel with systematic checks to maintain data quality and integrity throughout the research process, reflecting best practices in qualitative </w:t>
      </w:r>
      <w:r w:rsidR="009003B7">
        <w:rPr>
          <w:rFonts w:ascii="Times New Roman" w:eastAsia="Times New Roman" w:hAnsi="Times New Roman" w:cs="Times New Roman"/>
          <w:sz w:val="23"/>
          <w:szCs w:val="23"/>
          <w:lang w:eastAsia="en-GB"/>
        </w:rPr>
        <w:t>study data</w:t>
      </w:r>
      <w:r w:rsidRPr="00836023">
        <w:rPr>
          <w:rFonts w:ascii="Times New Roman" w:eastAsia="Times New Roman" w:hAnsi="Times New Roman" w:cs="Times New Roman"/>
          <w:sz w:val="23"/>
          <w:szCs w:val="23"/>
          <w:lang w:eastAsia="en-GB"/>
        </w:rPr>
        <w:t xml:space="preserve"> studies of education and community systems.</w:t>
      </w:r>
    </w:p>
    <w:p w14:paraId="11234D86" w14:textId="2521A15B" w:rsidR="0069715E" w:rsidRPr="00836023" w:rsidRDefault="00225DF8" w:rsidP="002F6BBB">
      <w:pPr>
        <w:spacing w:before="100" w:beforeAutospacing="1" w:after="100" w:afterAutospacing="1" w:line="240" w:lineRule="auto"/>
        <w:jc w:val="both"/>
        <w:outlineLvl w:val="2"/>
        <w:rPr>
          <w:rFonts w:ascii="Times New Roman" w:eastAsia="Times New Roman" w:hAnsi="Times New Roman" w:cs="Times New Roman"/>
          <w:b/>
          <w:bCs/>
          <w:sz w:val="23"/>
          <w:szCs w:val="23"/>
          <w:lang w:eastAsia="en-GB"/>
        </w:rPr>
      </w:pPr>
      <w:r>
        <w:rPr>
          <w:rFonts w:ascii="Times New Roman" w:eastAsia="Times New Roman" w:hAnsi="Times New Roman" w:cs="Times New Roman"/>
          <w:b/>
          <w:bCs/>
          <w:sz w:val="23"/>
          <w:szCs w:val="23"/>
          <w:lang w:eastAsia="en-GB"/>
        </w:rPr>
        <w:t>3</w:t>
      </w:r>
      <w:r w:rsidR="0069715E" w:rsidRPr="00836023">
        <w:rPr>
          <w:rFonts w:ascii="Times New Roman" w:eastAsia="Times New Roman" w:hAnsi="Times New Roman" w:cs="Times New Roman"/>
          <w:b/>
          <w:bCs/>
          <w:sz w:val="23"/>
          <w:szCs w:val="23"/>
          <w:lang w:eastAsia="en-GB"/>
        </w:rPr>
        <w:t>.1 Coverage and Sampling</w:t>
      </w:r>
    </w:p>
    <w:p w14:paraId="1261BB50" w14:textId="0A727A77" w:rsidR="0069715E" w:rsidRPr="00836023" w:rsidRDefault="0069715E" w:rsidP="00A54DD5">
      <w:pPr>
        <w:spacing w:before="100" w:beforeAutospacing="1" w:after="100" w:afterAutospacing="1" w:line="360" w:lineRule="auto"/>
        <w:rPr>
          <w:rFonts w:ascii="Times New Roman" w:eastAsia="Times New Roman" w:hAnsi="Times New Roman" w:cs="Times New Roman"/>
          <w:sz w:val="23"/>
          <w:szCs w:val="23"/>
          <w:lang w:eastAsia="en-GB"/>
        </w:rPr>
      </w:pPr>
      <w:r w:rsidRPr="00836023">
        <w:rPr>
          <w:rFonts w:ascii="Times New Roman" w:eastAsia="Times New Roman" w:hAnsi="Times New Roman" w:cs="Times New Roman"/>
          <w:sz w:val="23"/>
          <w:szCs w:val="23"/>
          <w:lang w:eastAsia="en-GB"/>
        </w:rPr>
        <w:t xml:space="preserve">The study covered </w:t>
      </w:r>
      <w:r w:rsidRPr="00836023">
        <w:rPr>
          <w:rFonts w:ascii="Times New Roman" w:eastAsia="Times New Roman" w:hAnsi="Times New Roman" w:cs="Times New Roman"/>
          <w:i/>
          <w:iCs/>
          <w:sz w:val="23"/>
          <w:szCs w:val="23"/>
          <w:lang w:eastAsia="en-GB"/>
        </w:rPr>
        <w:t>Solududhkunda Municipality and Thulung Dudhkoshi Rural Municipality</w:t>
      </w:r>
      <w:r w:rsidRPr="00836023">
        <w:rPr>
          <w:rFonts w:ascii="Times New Roman" w:eastAsia="Times New Roman" w:hAnsi="Times New Roman" w:cs="Times New Roman"/>
          <w:sz w:val="23"/>
          <w:szCs w:val="23"/>
          <w:lang w:eastAsia="en-GB"/>
        </w:rPr>
        <w:t xml:space="preserve">, involving all </w:t>
      </w:r>
      <w:r w:rsidRPr="00836023">
        <w:rPr>
          <w:rFonts w:ascii="Times New Roman" w:eastAsia="Times New Roman" w:hAnsi="Times New Roman" w:cs="Times New Roman"/>
          <w:i/>
          <w:iCs/>
          <w:sz w:val="23"/>
          <w:szCs w:val="23"/>
          <w:lang w:eastAsia="en-GB"/>
        </w:rPr>
        <w:t>50 public schools</w:t>
      </w:r>
      <w:r w:rsidRPr="00836023">
        <w:rPr>
          <w:rFonts w:ascii="Times New Roman" w:eastAsia="Times New Roman" w:hAnsi="Times New Roman" w:cs="Times New Roman"/>
          <w:sz w:val="23"/>
          <w:szCs w:val="23"/>
          <w:lang w:eastAsia="en-GB"/>
        </w:rPr>
        <w:t xml:space="preserve"> in these catchment areas, representative</w:t>
      </w:r>
      <w:r w:rsidR="00524AA2">
        <w:rPr>
          <w:rFonts w:ascii="Times New Roman" w:eastAsia="Times New Roman" w:hAnsi="Times New Roman" w:cs="Times New Roman"/>
          <w:sz w:val="23"/>
          <w:szCs w:val="23"/>
          <w:lang w:eastAsia="en-GB"/>
        </w:rPr>
        <w:t>s from</w:t>
      </w:r>
      <w:r w:rsidRPr="00836023">
        <w:rPr>
          <w:rFonts w:ascii="Times New Roman" w:eastAsia="Times New Roman" w:hAnsi="Times New Roman" w:cs="Times New Roman"/>
          <w:sz w:val="23"/>
          <w:szCs w:val="23"/>
          <w:lang w:eastAsia="en-GB"/>
        </w:rPr>
        <w:t xml:space="preserve"> adolescent group per school catchment, one CBO household per school cluster, and key local government educational officers.</w:t>
      </w:r>
    </w:p>
    <w:p w14:paraId="4A5BB74A" w14:textId="77563974" w:rsidR="0069715E" w:rsidRPr="00836023" w:rsidRDefault="00225DF8" w:rsidP="0069715E">
      <w:pPr>
        <w:spacing w:before="100" w:beforeAutospacing="1" w:after="100" w:afterAutospacing="1" w:line="240" w:lineRule="auto"/>
        <w:jc w:val="both"/>
        <w:outlineLvl w:val="2"/>
        <w:rPr>
          <w:rFonts w:ascii="Times New Roman" w:eastAsia="Times New Roman" w:hAnsi="Times New Roman" w:cs="Times New Roman"/>
          <w:b/>
          <w:bCs/>
          <w:sz w:val="23"/>
          <w:szCs w:val="23"/>
          <w:lang w:eastAsia="en-GB"/>
        </w:rPr>
      </w:pPr>
      <w:r>
        <w:rPr>
          <w:rFonts w:ascii="Times New Roman" w:eastAsia="Times New Roman" w:hAnsi="Times New Roman" w:cs="Times New Roman"/>
          <w:b/>
          <w:bCs/>
          <w:sz w:val="23"/>
          <w:szCs w:val="23"/>
          <w:lang w:eastAsia="en-GB"/>
        </w:rPr>
        <w:t>3</w:t>
      </w:r>
      <w:r w:rsidR="0069715E" w:rsidRPr="00836023">
        <w:rPr>
          <w:rFonts w:ascii="Times New Roman" w:eastAsia="Times New Roman" w:hAnsi="Times New Roman" w:cs="Times New Roman"/>
          <w:b/>
          <w:bCs/>
          <w:sz w:val="23"/>
          <w:szCs w:val="23"/>
          <w:lang w:eastAsia="en-GB"/>
        </w:rPr>
        <w:t>.2 Data Collection Approaches</w:t>
      </w:r>
    </w:p>
    <w:p w14:paraId="3B9379CF" w14:textId="77777777" w:rsidR="0069715E" w:rsidRPr="00836023" w:rsidRDefault="0069715E" w:rsidP="00A54DD5">
      <w:pPr>
        <w:spacing w:before="100" w:beforeAutospacing="1" w:after="100" w:afterAutospacing="1" w:line="360" w:lineRule="auto"/>
        <w:rPr>
          <w:rFonts w:ascii="Times New Roman" w:eastAsia="Times New Roman" w:hAnsi="Times New Roman" w:cs="Times New Roman"/>
          <w:sz w:val="23"/>
          <w:szCs w:val="23"/>
          <w:lang w:eastAsia="en-GB"/>
        </w:rPr>
      </w:pPr>
      <w:r w:rsidRPr="00836023">
        <w:rPr>
          <w:rFonts w:ascii="Times New Roman" w:eastAsia="Times New Roman" w:hAnsi="Times New Roman" w:cs="Times New Roman"/>
          <w:sz w:val="23"/>
          <w:szCs w:val="23"/>
          <w:lang w:eastAsia="en-GB"/>
        </w:rPr>
        <w:t>Data were collected via structured questionnaires at school, adolescent, and household levels; key informant interviews (KIIs) with principals, ECD teachers, and municipal representatives; and classroom observations. Field teams received systematic training and tools were pretested to ensure reliability and sensitivity in capturing social and educational indicators.</w:t>
      </w:r>
    </w:p>
    <w:p w14:paraId="23B4D191" w14:textId="5A8B504D" w:rsidR="0069715E" w:rsidRPr="00836023" w:rsidRDefault="00225DF8" w:rsidP="0069715E">
      <w:pPr>
        <w:spacing w:before="100" w:beforeAutospacing="1" w:after="100" w:afterAutospacing="1" w:line="240" w:lineRule="auto"/>
        <w:jc w:val="both"/>
        <w:outlineLvl w:val="2"/>
        <w:rPr>
          <w:rFonts w:ascii="Times New Roman" w:eastAsia="Times New Roman" w:hAnsi="Times New Roman" w:cs="Times New Roman"/>
          <w:b/>
          <w:bCs/>
          <w:sz w:val="23"/>
          <w:szCs w:val="23"/>
          <w:lang w:eastAsia="en-GB"/>
        </w:rPr>
      </w:pPr>
      <w:r>
        <w:rPr>
          <w:rFonts w:ascii="Times New Roman" w:eastAsia="Times New Roman" w:hAnsi="Times New Roman" w:cs="Times New Roman"/>
          <w:b/>
          <w:bCs/>
          <w:sz w:val="23"/>
          <w:szCs w:val="23"/>
          <w:lang w:eastAsia="en-GB"/>
        </w:rPr>
        <w:t>3</w:t>
      </w:r>
      <w:r w:rsidR="0069715E" w:rsidRPr="00836023">
        <w:rPr>
          <w:rFonts w:ascii="Times New Roman" w:eastAsia="Times New Roman" w:hAnsi="Times New Roman" w:cs="Times New Roman"/>
          <w:b/>
          <w:bCs/>
          <w:sz w:val="23"/>
          <w:szCs w:val="23"/>
          <w:lang w:eastAsia="en-GB"/>
        </w:rPr>
        <w:t>.3 Data Quality and Processing</w:t>
      </w:r>
    </w:p>
    <w:p w14:paraId="6AD87992" w14:textId="77777777" w:rsidR="0069715E" w:rsidRPr="00836023" w:rsidRDefault="0069715E" w:rsidP="00A54DD5">
      <w:pPr>
        <w:spacing w:before="100" w:beforeAutospacing="1" w:after="100" w:afterAutospacing="1" w:line="360" w:lineRule="auto"/>
        <w:ind w:firstLine="720"/>
        <w:rPr>
          <w:rFonts w:ascii="Times New Roman" w:eastAsia="Times New Roman" w:hAnsi="Times New Roman" w:cs="Times New Roman"/>
          <w:sz w:val="23"/>
          <w:szCs w:val="23"/>
          <w:lang w:eastAsia="en-GB"/>
        </w:rPr>
      </w:pPr>
      <w:r w:rsidRPr="00836023">
        <w:rPr>
          <w:rFonts w:ascii="Times New Roman" w:eastAsia="Times New Roman" w:hAnsi="Times New Roman" w:cs="Times New Roman"/>
          <w:sz w:val="23"/>
          <w:szCs w:val="23"/>
          <w:lang w:eastAsia="en-GB"/>
        </w:rPr>
        <w:t>Questionnaires and interview forms were reviewed daily during fieldwork, with supervisors checking completeness prior to data entry. Entries were processed using Excel with systematic checks for consistency. Quality control was maintained throughout to ensure findings reflect actual conditions.</w:t>
      </w:r>
    </w:p>
    <w:bookmarkEnd w:id="1"/>
    <w:p w14:paraId="1DC4D91B" w14:textId="370D1597" w:rsidR="0069715E" w:rsidRPr="00836023" w:rsidRDefault="0069715E" w:rsidP="00A54DD5">
      <w:pPr>
        <w:spacing w:before="100" w:beforeAutospacing="1" w:after="100" w:afterAutospacing="1" w:line="360" w:lineRule="auto"/>
        <w:ind w:firstLine="720"/>
        <w:rPr>
          <w:rFonts w:ascii="Times New Roman" w:eastAsia="Times New Roman" w:hAnsi="Times New Roman" w:cs="Times New Roman"/>
          <w:sz w:val="23"/>
          <w:szCs w:val="23"/>
          <w:lang w:eastAsia="en-GB"/>
        </w:rPr>
      </w:pPr>
      <w:r w:rsidRPr="00836023">
        <w:rPr>
          <w:rFonts w:ascii="Times New Roman" w:eastAsia="Times New Roman" w:hAnsi="Times New Roman" w:cs="Times New Roman"/>
          <w:sz w:val="23"/>
          <w:szCs w:val="23"/>
          <w:lang w:eastAsia="en-GB"/>
        </w:rPr>
        <w:t xml:space="preserve">To understand how </w:t>
      </w:r>
      <w:r w:rsidRPr="00836023">
        <w:rPr>
          <w:rFonts w:ascii="Times New Roman" w:eastAsia="Times New Roman" w:hAnsi="Times New Roman" w:cs="Times New Roman"/>
          <w:i/>
          <w:iCs/>
          <w:sz w:val="23"/>
          <w:szCs w:val="23"/>
          <w:lang w:eastAsia="en-GB"/>
        </w:rPr>
        <w:t>community social support practices</w:t>
      </w:r>
      <w:r w:rsidRPr="00836023">
        <w:rPr>
          <w:rFonts w:ascii="Times New Roman" w:eastAsia="Times New Roman" w:hAnsi="Times New Roman" w:cs="Times New Roman"/>
          <w:sz w:val="23"/>
          <w:szCs w:val="23"/>
          <w:lang w:eastAsia="en-GB"/>
        </w:rPr>
        <w:t xml:space="preserve"> influence educational outcomes, this study draws on social capital theory as its central analytical lens. Social capital refers to the networks, norms, and trust that exist within communities and facilitate cooperation for mutual benefit (Pant &amp; Pant, 2025). In education, social capital manifests when family members, neighbours, and community leaders collectively engage with schools — not only through infrastructure contributions but also through decision-making, accountability, and support for student learning. In Nepal, structures like </w:t>
      </w:r>
      <w:r w:rsidRPr="00836023">
        <w:rPr>
          <w:rFonts w:ascii="Times New Roman" w:eastAsia="Times New Roman" w:hAnsi="Times New Roman" w:cs="Times New Roman"/>
          <w:i/>
          <w:iCs/>
          <w:sz w:val="23"/>
          <w:szCs w:val="23"/>
          <w:lang w:eastAsia="en-GB"/>
        </w:rPr>
        <w:t>School Management Committees (SMCs)</w:t>
      </w:r>
      <w:r w:rsidRPr="00836023">
        <w:rPr>
          <w:rFonts w:ascii="Times New Roman" w:eastAsia="Times New Roman" w:hAnsi="Times New Roman" w:cs="Times New Roman"/>
          <w:sz w:val="23"/>
          <w:szCs w:val="23"/>
          <w:lang w:eastAsia="en-GB"/>
        </w:rPr>
        <w:t xml:space="preserve"> are legally mandated to function as bridges between schools and communities, promoting local decision-making and resource mobilization (</w:t>
      </w:r>
      <w:r w:rsidR="00D06551" w:rsidRPr="00D06551">
        <w:rPr>
          <w:rFonts w:ascii="Times New Roman" w:hAnsi="Times New Roman" w:cs="Times New Roman"/>
        </w:rPr>
        <w:t>Shrestha&amp; Dangal</w:t>
      </w:r>
      <w:r w:rsidRPr="00D06551">
        <w:rPr>
          <w:rFonts w:ascii="Times New Roman" w:eastAsia="Times New Roman" w:hAnsi="Times New Roman" w:cs="Times New Roman"/>
          <w:sz w:val="23"/>
          <w:szCs w:val="23"/>
          <w:lang w:eastAsia="en-GB"/>
        </w:rPr>
        <w:t>,</w:t>
      </w:r>
      <w:r w:rsidRPr="00836023">
        <w:rPr>
          <w:rFonts w:ascii="Times New Roman" w:eastAsia="Times New Roman" w:hAnsi="Times New Roman" w:cs="Times New Roman"/>
          <w:sz w:val="23"/>
          <w:szCs w:val="23"/>
          <w:lang w:eastAsia="en-GB"/>
        </w:rPr>
        <w:t xml:space="preserve"> 2024). However, although SMCs have </w:t>
      </w:r>
      <w:r w:rsidRPr="00836023">
        <w:rPr>
          <w:rFonts w:ascii="Times New Roman" w:eastAsia="Times New Roman" w:hAnsi="Times New Roman" w:cs="Times New Roman"/>
          <w:sz w:val="23"/>
          <w:szCs w:val="23"/>
          <w:lang w:eastAsia="en-GB"/>
        </w:rPr>
        <w:lastRenderedPageBreak/>
        <w:t>statutory recognition under the Education Act, research consistently notes limitations in meaningful stakeholder engagement due to capacity constraints, political interference, and uneven community participation (</w:t>
      </w:r>
      <w:r w:rsidR="00D06551" w:rsidRPr="00D06551">
        <w:rPr>
          <w:rFonts w:ascii="Times New Roman" w:hAnsi="Times New Roman" w:cs="Times New Roman"/>
        </w:rPr>
        <w:t>Shrestha&amp; Dangal</w:t>
      </w:r>
      <w:r w:rsidR="00D06551" w:rsidRPr="00D06551">
        <w:rPr>
          <w:rFonts w:ascii="Times New Roman" w:eastAsia="Times New Roman" w:hAnsi="Times New Roman" w:cs="Times New Roman"/>
          <w:sz w:val="23"/>
          <w:szCs w:val="23"/>
          <w:lang w:eastAsia="en-GB"/>
        </w:rPr>
        <w:t>, 2024</w:t>
      </w:r>
      <w:r w:rsidRPr="00836023">
        <w:rPr>
          <w:rFonts w:ascii="Times New Roman" w:eastAsia="Times New Roman" w:hAnsi="Times New Roman" w:cs="Times New Roman"/>
          <w:sz w:val="23"/>
          <w:szCs w:val="23"/>
          <w:lang w:eastAsia="en-GB"/>
        </w:rPr>
        <w:t>). This theoretical grounding helps explain why some schools with robust community support display better retention and learning outcomes than others lacking such social networks.</w:t>
      </w:r>
    </w:p>
    <w:p w14:paraId="22B7021F" w14:textId="6A6F950D" w:rsidR="00AB378A" w:rsidRPr="00E40940" w:rsidRDefault="00225DF8" w:rsidP="00AB378A">
      <w:pPr>
        <w:pStyle w:val="RALs-Heading1"/>
        <w:jc w:val="both"/>
        <w:rPr>
          <w:rFonts w:asciiTheme="majorBidi" w:hAnsiTheme="majorBidi" w:cstheme="majorBidi"/>
          <w:sz w:val="24"/>
          <w:szCs w:val="24"/>
        </w:rPr>
      </w:pPr>
      <w:r>
        <w:rPr>
          <w:rFonts w:cs="Times New Roman"/>
          <w:sz w:val="23"/>
          <w:szCs w:val="23"/>
          <w:lang w:eastAsia="en-GB"/>
        </w:rPr>
        <w:t>4</w:t>
      </w:r>
      <w:r w:rsidR="0069715E" w:rsidRPr="00836023">
        <w:rPr>
          <w:rFonts w:cs="Times New Roman"/>
          <w:sz w:val="23"/>
          <w:szCs w:val="23"/>
          <w:lang w:eastAsia="en-GB"/>
        </w:rPr>
        <w:t xml:space="preserve">. </w:t>
      </w:r>
      <w:bookmarkStart w:id="2" w:name="_Hlk223604232"/>
      <w:r>
        <w:rPr>
          <w:rFonts w:cs="Times New Roman"/>
          <w:sz w:val="23"/>
          <w:szCs w:val="23"/>
          <w:lang w:eastAsia="en-GB"/>
        </w:rPr>
        <w:t>Results</w:t>
      </w:r>
    </w:p>
    <w:p w14:paraId="47B821BC" w14:textId="77777777" w:rsidR="00C475BD" w:rsidRPr="00C475BD" w:rsidRDefault="00C475BD" w:rsidP="00C475BD">
      <w:pPr>
        <w:spacing w:before="100" w:beforeAutospacing="1" w:after="100" w:afterAutospacing="1" w:line="360" w:lineRule="auto"/>
        <w:rPr>
          <w:rFonts w:ascii="Times New Roman" w:eastAsia="Times New Roman" w:hAnsi="Times New Roman" w:cs="Times New Roman"/>
          <w:sz w:val="23"/>
          <w:szCs w:val="23"/>
          <w:lang w:eastAsia="en-GB"/>
        </w:rPr>
      </w:pPr>
      <w:r w:rsidRPr="00C475BD">
        <w:rPr>
          <w:rFonts w:ascii="Times New Roman" w:eastAsia="Times New Roman" w:hAnsi="Times New Roman" w:cs="Times New Roman"/>
          <w:sz w:val="23"/>
          <w:szCs w:val="23"/>
          <w:lang w:eastAsia="en-GB"/>
        </w:rPr>
        <w:t>The findings indicate that community social support practices play a significant role in shaping educational participation and learning experiences in Solukhumbu; however, their effectiveness is constrained by socio-economic challenges, limited parental engagement, weak institutional coordination, and inadequate youth participation mechanisms. While communities demonstrate strong commitment to children's education, support systems often remain informal, fragmented, and insufficiently connected to formal school governance and local government structures.</w:t>
      </w:r>
    </w:p>
    <w:p w14:paraId="7DF3000F" w14:textId="77777777" w:rsidR="00C475BD" w:rsidRPr="00C475BD" w:rsidRDefault="00C475BD" w:rsidP="00C475BD">
      <w:pPr>
        <w:spacing w:before="100" w:beforeAutospacing="1" w:after="100" w:afterAutospacing="1" w:line="360" w:lineRule="auto"/>
        <w:rPr>
          <w:rFonts w:ascii="Times New Roman" w:eastAsia="Times New Roman" w:hAnsi="Times New Roman" w:cs="Times New Roman"/>
          <w:sz w:val="23"/>
          <w:szCs w:val="23"/>
          <w:lang w:eastAsia="en-GB"/>
        </w:rPr>
      </w:pPr>
      <w:r w:rsidRPr="00C475BD">
        <w:rPr>
          <w:rFonts w:ascii="Times New Roman" w:eastAsia="Times New Roman" w:hAnsi="Times New Roman" w:cs="Times New Roman"/>
          <w:sz w:val="23"/>
          <w:szCs w:val="23"/>
          <w:lang w:eastAsia="en-GB"/>
        </w:rPr>
        <w:t>The study further reveals that educational outcomes are influenced by the interaction of household conditions, community networks, and institutional capacities. Schools with stronger community trust and engagement reported better student participation and retention, yet persistent barriers such as poverty, migration, low parental literacy, and weak governance capacities continue to limit inclusive educational progress. These findings suggest that community support contributes most effectively when supported by functional institutions, coordinated partnerships, and sustained stakeholder engagement.</w:t>
      </w:r>
    </w:p>
    <w:p w14:paraId="6E564CB0" w14:textId="77777777" w:rsidR="00C475BD" w:rsidRPr="00C475BD" w:rsidRDefault="00C475BD" w:rsidP="00C475BD">
      <w:pPr>
        <w:spacing w:before="100" w:beforeAutospacing="1" w:after="100" w:afterAutospacing="1" w:line="360" w:lineRule="auto"/>
        <w:rPr>
          <w:rFonts w:ascii="Times New Roman" w:eastAsia="Times New Roman" w:hAnsi="Times New Roman" w:cs="Times New Roman"/>
          <w:sz w:val="23"/>
          <w:szCs w:val="23"/>
          <w:lang w:eastAsia="en-GB"/>
        </w:rPr>
      </w:pPr>
      <w:r w:rsidRPr="00C475BD">
        <w:rPr>
          <w:rFonts w:ascii="Times New Roman" w:eastAsia="Times New Roman" w:hAnsi="Times New Roman" w:cs="Times New Roman"/>
          <w:b/>
          <w:bCs/>
          <w:sz w:val="23"/>
          <w:szCs w:val="23"/>
          <w:lang w:eastAsia="en-GB"/>
        </w:rPr>
        <w:t>Key Findings</w:t>
      </w:r>
    </w:p>
    <w:p w14:paraId="7FC8E4E9" w14:textId="77777777" w:rsidR="00C475BD" w:rsidRPr="00C475BD" w:rsidRDefault="00C475BD" w:rsidP="00C475BD">
      <w:pPr>
        <w:numPr>
          <w:ilvl w:val="0"/>
          <w:numId w:val="10"/>
        </w:numPr>
        <w:spacing w:before="100" w:beforeAutospacing="1" w:after="100" w:afterAutospacing="1" w:line="360" w:lineRule="auto"/>
        <w:rPr>
          <w:rFonts w:ascii="Times New Roman" w:eastAsia="Times New Roman" w:hAnsi="Times New Roman" w:cs="Times New Roman"/>
          <w:sz w:val="23"/>
          <w:szCs w:val="23"/>
          <w:lang w:eastAsia="en-GB"/>
        </w:rPr>
      </w:pPr>
      <w:r w:rsidRPr="00C475BD">
        <w:rPr>
          <w:rFonts w:ascii="Times New Roman" w:eastAsia="Times New Roman" w:hAnsi="Times New Roman" w:cs="Times New Roman"/>
          <w:sz w:val="23"/>
          <w:szCs w:val="23"/>
          <w:lang w:eastAsia="en-GB"/>
        </w:rPr>
        <w:t>Community members highly value education and actively support school enrolment, resulting in near-gender parity at primary levels.</w:t>
      </w:r>
    </w:p>
    <w:p w14:paraId="5902AAEA" w14:textId="77777777" w:rsidR="00C475BD" w:rsidRPr="00C475BD" w:rsidRDefault="00C475BD" w:rsidP="00C475BD">
      <w:pPr>
        <w:numPr>
          <w:ilvl w:val="0"/>
          <w:numId w:val="10"/>
        </w:numPr>
        <w:spacing w:before="100" w:beforeAutospacing="1" w:after="100" w:afterAutospacing="1" w:line="360" w:lineRule="auto"/>
        <w:rPr>
          <w:rFonts w:ascii="Times New Roman" w:eastAsia="Times New Roman" w:hAnsi="Times New Roman" w:cs="Times New Roman"/>
          <w:sz w:val="23"/>
          <w:szCs w:val="23"/>
          <w:lang w:eastAsia="en-GB"/>
        </w:rPr>
      </w:pPr>
      <w:r w:rsidRPr="00C475BD">
        <w:rPr>
          <w:rFonts w:ascii="Times New Roman" w:eastAsia="Times New Roman" w:hAnsi="Times New Roman" w:cs="Times New Roman"/>
          <w:sz w:val="23"/>
          <w:szCs w:val="23"/>
          <w:lang w:eastAsia="en-GB"/>
        </w:rPr>
        <w:t>Parental involvement in learning support and school governance remains limited due to low literacy levels, livelihood pressures, distance, and inadequate awareness.</w:t>
      </w:r>
    </w:p>
    <w:p w14:paraId="5663BEFA" w14:textId="77777777" w:rsidR="00C475BD" w:rsidRPr="00C475BD" w:rsidRDefault="00C475BD" w:rsidP="00C475BD">
      <w:pPr>
        <w:numPr>
          <w:ilvl w:val="0"/>
          <w:numId w:val="10"/>
        </w:numPr>
        <w:spacing w:before="100" w:beforeAutospacing="1" w:after="100" w:afterAutospacing="1" w:line="360" w:lineRule="auto"/>
        <w:rPr>
          <w:rFonts w:ascii="Times New Roman" w:eastAsia="Times New Roman" w:hAnsi="Times New Roman" w:cs="Times New Roman"/>
          <w:sz w:val="23"/>
          <w:szCs w:val="23"/>
          <w:lang w:eastAsia="en-GB"/>
        </w:rPr>
      </w:pPr>
      <w:r w:rsidRPr="00C475BD">
        <w:rPr>
          <w:rFonts w:ascii="Times New Roman" w:eastAsia="Times New Roman" w:hAnsi="Times New Roman" w:cs="Times New Roman"/>
          <w:sz w:val="23"/>
          <w:szCs w:val="23"/>
          <w:lang w:eastAsia="en-GB"/>
        </w:rPr>
        <w:t>Youth groups demonstrate strong potential for peer learning, leadership, and community mobilization, but their impact is constrained by insufficient resources and limited institutional recognition.</w:t>
      </w:r>
    </w:p>
    <w:p w14:paraId="4BA27335" w14:textId="77777777" w:rsidR="00C475BD" w:rsidRPr="00C475BD" w:rsidRDefault="00C475BD" w:rsidP="00C475BD">
      <w:pPr>
        <w:numPr>
          <w:ilvl w:val="0"/>
          <w:numId w:val="10"/>
        </w:numPr>
        <w:spacing w:before="100" w:beforeAutospacing="1" w:after="100" w:afterAutospacing="1" w:line="360" w:lineRule="auto"/>
        <w:rPr>
          <w:rFonts w:ascii="Times New Roman" w:eastAsia="Times New Roman" w:hAnsi="Times New Roman" w:cs="Times New Roman"/>
          <w:sz w:val="23"/>
          <w:szCs w:val="23"/>
          <w:lang w:eastAsia="en-GB"/>
        </w:rPr>
      </w:pPr>
      <w:r w:rsidRPr="00C475BD">
        <w:rPr>
          <w:rFonts w:ascii="Times New Roman" w:eastAsia="Times New Roman" w:hAnsi="Times New Roman" w:cs="Times New Roman"/>
          <w:sz w:val="23"/>
          <w:szCs w:val="23"/>
          <w:lang w:eastAsia="en-GB"/>
        </w:rPr>
        <w:t>School Management Committees (SMCs) and Parent-Teacher Associations (PTAs) function as important engagement platforms; however, variations in capacity, participation, and accountability reduce their effectiveness.</w:t>
      </w:r>
    </w:p>
    <w:p w14:paraId="322A91CB" w14:textId="77777777" w:rsidR="00C475BD" w:rsidRPr="00C475BD" w:rsidRDefault="00C475BD" w:rsidP="00C475BD">
      <w:pPr>
        <w:numPr>
          <w:ilvl w:val="0"/>
          <w:numId w:val="10"/>
        </w:numPr>
        <w:spacing w:before="100" w:beforeAutospacing="1" w:after="100" w:afterAutospacing="1" w:line="360" w:lineRule="auto"/>
        <w:rPr>
          <w:rFonts w:ascii="Times New Roman" w:eastAsia="Times New Roman" w:hAnsi="Times New Roman" w:cs="Times New Roman"/>
          <w:sz w:val="23"/>
          <w:szCs w:val="23"/>
          <w:lang w:eastAsia="en-GB"/>
        </w:rPr>
      </w:pPr>
      <w:r w:rsidRPr="00C475BD">
        <w:rPr>
          <w:rFonts w:ascii="Times New Roman" w:eastAsia="Times New Roman" w:hAnsi="Times New Roman" w:cs="Times New Roman"/>
          <w:sz w:val="23"/>
          <w:szCs w:val="23"/>
          <w:lang w:eastAsia="en-GB"/>
        </w:rPr>
        <w:t>Household socio-economic conditions, including unstable income, labour migration, and dependence on subsistence agriculture, significantly affect educational continuity and retention, particularly at higher grades.</w:t>
      </w:r>
    </w:p>
    <w:p w14:paraId="2627F4E9" w14:textId="77777777" w:rsidR="00C475BD" w:rsidRPr="00C475BD" w:rsidRDefault="00C475BD" w:rsidP="00C475BD">
      <w:pPr>
        <w:numPr>
          <w:ilvl w:val="0"/>
          <w:numId w:val="10"/>
        </w:numPr>
        <w:spacing w:before="100" w:beforeAutospacing="1" w:after="100" w:afterAutospacing="1" w:line="360" w:lineRule="auto"/>
        <w:rPr>
          <w:rFonts w:ascii="Times New Roman" w:eastAsia="Times New Roman" w:hAnsi="Times New Roman" w:cs="Times New Roman"/>
          <w:sz w:val="23"/>
          <w:szCs w:val="23"/>
          <w:lang w:eastAsia="en-GB"/>
        </w:rPr>
      </w:pPr>
      <w:r w:rsidRPr="00C475BD">
        <w:rPr>
          <w:rFonts w:ascii="Times New Roman" w:eastAsia="Times New Roman" w:hAnsi="Times New Roman" w:cs="Times New Roman"/>
          <w:sz w:val="23"/>
          <w:szCs w:val="23"/>
          <w:lang w:eastAsia="en-GB"/>
        </w:rPr>
        <w:lastRenderedPageBreak/>
        <w:t>Partnerships among schools, local governments, NGOs, and community organizations exist but often lack coordination, shared accountability, and sustained capacity-building support needed to strengthen learning outcomes.</w:t>
      </w:r>
    </w:p>
    <w:p w14:paraId="0B18FA5A" w14:textId="61D92FA8" w:rsidR="0069715E" w:rsidRPr="00836023" w:rsidRDefault="0069715E" w:rsidP="00AB378A">
      <w:pPr>
        <w:spacing w:before="100" w:beforeAutospacing="1" w:after="100" w:afterAutospacing="1" w:line="240" w:lineRule="auto"/>
        <w:jc w:val="both"/>
        <w:outlineLvl w:val="1"/>
        <w:rPr>
          <w:rFonts w:ascii="Times New Roman" w:eastAsia="Times New Roman" w:hAnsi="Times New Roman" w:cs="Times New Roman"/>
          <w:sz w:val="23"/>
          <w:szCs w:val="23"/>
          <w:lang w:eastAsia="en-GB"/>
        </w:rPr>
      </w:pPr>
      <w:r w:rsidRPr="00836023">
        <w:rPr>
          <w:rFonts w:ascii="Times New Roman" w:eastAsia="Times New Roman" w:hAnsi="Times New Roman" w:cs="Times New Roman"/>
          <w:sz w:val="23"/>
          <w:szCs w:val="23"/>
          <w:lang w:eastAsia="en-GB"/>
        </w:rPr>
        <w:t xml:space="preserve">Three major participation gaps emerged from the evidence: </w:t>
      </w:r>
    </w:p>
    <w:p w14:paraId="58491820" w14:textId="77777777" w:rsidR="0069715E" w:rsidRPr="00836023" w:rsidRDefault="0069715E" w:rsidP="0069715E">
      <w:pPr>
        <w:spacing w:before="100" w:beforeAutospacing="1" w:after="100" w:afterAutospacing="1" w:line="240" w:lineRule="auto"/>
        <w:rPr>
          <w:rFonts w:ascii="Times New Roman" w:eastAsia="Times New Roman" w:hAnsi="Times New Roman" w:cs="Times New Roman"/>
          <w:b/>
          <w:bCs/>
          <w:i/>
          <w:iCs/>
          <w:sz w:val="23"/>
          <w:szCs w:val="23"/>
          <w:lang w:eastAsia="en-GB"/>
        </w:rPr>
      </w:pPr>
      <w:r w:rsidRPr="00836023">
        <w:rPr>
          <w:rFonts w:ascii="Times New Roman" w:eastAsia="Times New Roman" w:hAnsi="Times New Roman" w:cs="Times New Roman"/>
          <w:b/>
          <w:bCs/>
          <w:i/>
          <w:iCs/>
          <w:sz w:val="23"/>
          <w:szCs w:val="23"/>
          <w:lang w:eastAsia="en-GB"/>
        </w:rPr>
        <w:t xml:space="preserve">1. Parental Involvement Barriers: </w:t>
      </w:r>
    </w:p>
    <w:p w14:paraId="072F5DC4" w14:textId="77777777" w:rsidR="0069715E" w:rsidRPr="00836023" w:rsidRDefault="0069715E" w:rsidP="0069715E">
      <w:pPr>
        <w:spacing w:before="100" w:beforeAutospacing="1" w:after="100" w:afterAutospacing="1" w:line="240" w:lineRule="auto"/>
        <w:rPr>
          <w:rFonts w:ascii="Times New Roman" w:eastAsia="Times New Roman" w:hAnsi="Times New Roman" w:cs="Times New Roman"/>
          <w:sz w:val="23"/>
          <w:szCs w:val="23"/>
          <w:lang w:eastAsia="en-GB"/>
        </w:rPr>
      </w:pPr>
      <w:r w:rsidRPr="00836023">
        <w:rPr>
          <w:rFonts w:ascii="Times New Roman" w:eastAsia="Times New Roman" w:hAnsi="Times New Roman" w:cs="Times New Roman"/>
          <w:sz w:val="23"/>
          <w:szCs w:val="23"/>
          <w:lang w:eastAsia="en-GB"/>
        </w:rPr>
        <w:t xml:space="preserve">Although families invest in schooling, many parents lack the literacy, time, or resources to participate meaningfully in governance or to provide structured academic support, limiting their social capital contributions to education beyond basic attendance and enrolment. </w:t>
      </w:r>
    </w:p>
    <w:p w14:paraId="3F2CEF63" w14:textId="77777777" w:rsidR="0069715E" w:rsidRPr="00836023" w:rsidRDefault="0069715E" w:rsidP="0069715E">
      <w:pPr>
        <w:spacing w:before="100" w:beforeAutospacing="1" w:after="100" w:afterAutospacing="1" w:line="240" w:lineRule="auto"/>
        <w:rPr>
          <w:rFonts w:ascii="Times New Roman" w:eastAsia="Times New Roman" w:hAnsi="Times New Roman" w:cs="Times New Roman"/>
          <w:b/>
          <w:bCs/>
          <w:i/>
          <w:iCs/>
          <w:sz w:val="23"/>
          <w:szCs w:val="23"/>
          <w:lang w:eastAsia="en-GB"/>
        </w:rPr>
      </w:pPr>
      <w:r w:rsidRPr="00836023">
        <w:rPr>
          <w:rFonts w:ascii="Times New Roman" w:eastAsia="Times New Roman" w:hAnsi="Times New Roman" w:cs="Times New Roman"/>
          <w:b/>
          <w:bCs/>
          <w:i/>
          <w:iCs/>
          <w:sz w:val="23"/>
          <w:szCs w:val="23"/>
          <w:lang w:eastAsia="en-GB"/>
        </w:rPr>
        <w:t xml:space="preserve">2. Youth Group Capacity and Institutional Integration: </w:t>
      </w:r>
    </w:p>
    <w:p w14:paraId="39E871DF" w14:textId="77777777" w:rsidR="0069715E" w:rsidRPr="00836023" w:rsidRDefault="0069715E" w:rsidP="00E634A4">
      <w:pPr>
        <w:spacing w:before="100" w:beforeAutospacing="1" w:after="100" w:afterAutospacing="1" w:line="360" w:lineRule="auto"/>
        <w:rPr>
          <w:rFonts w:ascii="Times New Roman" w:eastAsia="Times New Roman" w:hAnsi="Times New Roman" w:cs="Times New Roman"/>
          <w:sz w:val="23"/>
          <w:szCs w:val="23"/>
          <w:lang w:eastAsia="en-GB"/>
        </w:rPr>
      </w:pPr>
      <w:r w:rsidRPr="00836023">
        <w:rPr>
          <w:rFonts w:ascii="Times New Roman" w:eastAsia="Times New Roman" w:hAnsi="Times New Roman" w:cs="Times New Roman"/>
          <w:sz w:val="23"/>
          <w:szCs w:val="23"/>
          <w:lang w:eastAsia="en-GB"/>
        </w:rPr>
        <w:t xml:space="preserve">Youth-led initiatives demonstrate potential for energizing educational and social activities, yet resource constraints and scant government support limit their ability to sustain engagement or influence formal partnerships with schools and local governance. </w:t>
      </w:r>
    </w:p>
    <w:p w14:paraId="256547BD" w14:textId="77777777" w:rsidR="0069715E" w:rsidRPr="00836023" w:rsidRDefault="0069715E" w:rsidP="0069715E">
      <w:pPr>
        <w:spacing w:before="100" w:beforeAutospacing="1" w:after="100" w:afterAutospacing="1" w:line="240" w:lineRule="auto"/>
        <w:rPr>
          <w:rFonts w:ascii="Times New Roman" w:eastAsia="Times New Roman" w:hAnsi="Times New Roman" w:cs="Times New Roman"/>
          <w:b/>
          <w:bCs/>
          <w:i/>
          <w:iCs/>
          <w:sz w:val="23"/>
          <w:szCs w:val="23"/>
          <w:lang w:eastAsia="en-GB"/>
        </w:rPr>
      </w:pPr>
      <w:r w:rsidRPr="00836023">
        <w:rPr>
          <w:rFonts w:ascii="Times New Roman" w:eastAsia="Times New Roman" w:hAnsi="Times New Roman" w:cs="Times New Roman"/>
          <w:b/>
          <w:bCs/>
          <w:i/>
          <w:iCs/>
          <w:sz w:val="23"/>
          <w:szCs w:val="23"/>
          <w:lang w:eastAsia="en-GB"/>
        </w:rPr>
        <w:t xml:space="preserve">3. Institutional Partnership Constraints: </w:t>
      </w:r>
    </w:p>
    <w:p w14:paraId="397DDB54" w14:textId="77777777" w:rsidR="0069715E" w:rsidRPr="00836023" w:rsidRDefault="0069715E" w:rsidP="00E634A4">
      <w:pPr>
        <w:spacing w:before="100" w:beforeAutospacing="1" w:after="100" w:afterAutospacing="1" w:line="360" w:lineRule="auto"/>
        <w:rPr>
          <w:rFonts w:ascii="Times New Roman" w:eastAsia="Times New Roman" w:hAnsi="Times New Roman" w:cs="Times New Roman"/>
          <w:sz w:val="23"/>
          <w:szCs w:val="23"/>
          <w:lang w:eastAsia="en-GB"/>
        </w:rPr>
      </w:pPr>
      <w:r w:rsidRPr="00836023">
        <w:rPr>
          <w:rFonts w:ascii="Times New Roman" w:eastAsia="Times New Roman" w:hAnsi="Times New Roman" w:cs="Times New Roman"/>
          <w:sz w:val="23"/>
          <w:szCs w:val="23"/>
          <w:lang w:eastAsia="en-GB"/>
        </w:rPr>
        <w:t xml:space="preserve">Institutional partnerships — particularly between SMCs, local governance bodies, and schools — often lack coordinated action, capacity building, and shared accountability frameworks needed to translate community inputs into improved learning environments and outcomes. </w:t>
      </w:r>
    </w:p>
    <w:p w14:paraId="2C53EBCD" w14:textId="77777777" w:rsidR="0069715E" w:rsidRPr="00836023" w:rsidRDefault="0069715E" w:rsidP="0069715E">
      <w:pPr>
        <w:spacing w:before="100" w:beforeAutospacing="1" w:after="100" w:afterAutospacing="1" w:line="240" w:lineRule="auto"/>
        <w:rPr>
          <w:rFonts w:ascii="Times New Roman" w:eastAsia="Times New Roman" w:hAnsi="Times New Roman" w:cs="Times New Roman"/>
          <w:b/>
          <w:bCs/>
          <w:i/>
          <w:iCs/>
          <w:sz w:val="23"/>
          <w:szCs w:val="23"/>
          <w:lang w:eastAsia="en-GB"/>
        </w:rPr>
      </w:pPr>
      <w:r w:rsidRPr="00836023">
        <w:rPr>
          <w:rFonts w:ascii="Times New Roman" w:eastAsia="Times New Roman" w:hAnsi="Times New Roman" w:cs="Times New Roman"/>
          <w:b/>
          <w:bCs/>
          <w:i/>
          <w:iCs/>
          <w:sz w:val="23"/>
          <w:szCs w:val="23"/>
          <w:lang w:eastAsia="en-GB"/>
        </w:rPr>
        <w:t xml:space="preserve">Integrated Interpretation and Theory-Driven Insights: </w:t>
      </w:r>
    </w:p>
    <w:p w14:paraId="2A89D97C" w14:textId="77777777" w:rsidR="0069715E" w:rsidRPr="00836023" w:rsidRDefault="0069715E" w:rsidP="00E634A4">
      <w:pPr>
        <w:spacing w:before="100" w:beforeAutospacing="1" w:after="100" w:afterAutospacing="1" w:line="360" w:lineRule="auto"/>
        <w:rPr>
          <w:rFonts w:ascii="Times New Roman" w:eastAsia="Times New Roman" w:hAnsi="Times New Roman" w:cs="Times New Roman"/>
          <w:sz w:val="23"/>
          <w:szCs w:val="23"/>
          <w:lang w:eastAsia="en-GB"/>
        </w:rPr>
      </w:pPr>
      <w:r w:rsidRPr="00836023">
        <w:rPr>
          <w:rFonts w:ascii="Times New Roman" w:eastAsia="Times New Roman" w:hAnsi="Times New Roman" w:cs="Times New Roman"/>
          <w:sz w:val="23"/>
          <w:szCs w:val="23"/>
          <w:lang w:eastAsia="en-GB"/>
        </w:rPr>
        <w:t xml:space="preserve">• Social capital theory explains why schools with stronger, trust-based community networks show relatively better retention and engagement — community norms and collective action strengthen student support systems. </w:t>
      </w:r>
    </w:p>
    <w:p w14:paraId="056944DD" w14:textId="77777777" w:rsidR="0069715E" w:rsidRPr="00836023" w:rsidRDefault="0069715E" w:rsidP="00E634A4">
      <w:pPr>
        <w:spacing w:before="100" w:beforeAutospacing="1" w:after="100" w:afterAutospacing="1" w:line="360" w:lineRule="auto"/>
        <w:rPr>
          <w:rFonts w:ascii="Times New Roman" w:eastAsia="Times New Roman" w:hAnsi="Times New Roman" w:cs="Times New Roman"/>
          <w:sz w:val="23"/>
          <w:szCs w:val="23"/>
          <w:lang w:eastAsia="en-GB"/>
        </w:rPr>
      </w:pPr>
      <w:r w:rsidRPr="00836023">
        <w:rPr>
          <w:rFonts w:ascii="Times New Roman" w:eastAsia="Times New Roman" w:hAnsi="Times New Roman" w:cs="Times New Roman"/>
          <w:sz w:val="23"/>
          <w:szCs w:val="23"/>
          <w:lang w:eastAsia="en-GB"/>
        </w:rPr>
        <w:t xml:space="preserve">• Ecological systems theory reveals that broader livelihood pressures and community contexts are not peripheral but central determinants of schooling patterns. </w:t>
      </w:r>
    </w:p>
    <w:p w14:paraId="32838B75" w14:textId="77777777" w:rsidR="0069715E" w:rsidRPr="00836023" w:rsidRDefault="0069715E" w:rsidP="00E634A4">
      <w:pPr>
        <w:spacing w:before="100" w:beforeAutospacing="1" w:after="100" w:afterAutospacing="1" w:line="360" w:lineRule="auto"/>
        <w:rPr>
          <w:rFonts w:ascii="Times New Roman" w:eastAsia="Times New Roman" w:hAnsi="Times New Roman" w:cs="Times New Roman"/>
          <w:sz w:val="23"/>
          <w:szCs w:val="23"/>
          <w:lang w:eastAsia="en-GB"/>
        </w:rPr>
      </w:pPr>
      <w:r w:rsidRPr="00836023">
        <w:rPr>
          <w:rFonts w:ascii="Times New Roman" w:eastAsia="Times New Roman" w:hAnsi="Times New Roman" w:cs="Times New Roman"/>
          <w:sz w:val="23"/>
          <w:szCs w:val="23"/>
          <w:lang w:eastAsia="en-GB"/>
        </w:rPr>
        <w:t xml:space="preserve">• Social constructivism highlights the culturally embedded meanings attached to education, showing that community values and beliefs shape both participation norms and adolescent perceptions. </w:t>
      </w:r>
    </w:p>
    <w:p w14:paraId="7B89D1AE" w14:textId="77777777" w:rsidR="0069715E" w:rsidRPr="00836023" w:rsidRDefault="0069715E" w:rsidP="00E634A4">
      <w:pPr>
        <w:spacing w:before="100" w:beforeAutospacing="1" w:after="100" w:afterAutospacing="1" w:line="360" w:lineRule="auto"/>
        <w:rPr>
          <w:rFonts w:ascii="Times New Roman" w:eastAsia="Times New Roman" w:hAnsi="Times New Roman" w:cs="Times New Roman"/>
          <w:sz w:val="23"/>
          <w:szCs w:val="23"/>
          <w:lang w:eastAsia="en-GB"/>
        </w:rPr>
      </w:pPr>
      <w:r w:rsidRPr="00836023">
        <w:rPr>
          <w:rFonts w:ascii="Times New Roman" w:eastAsia="Times New Roman" w:hAnsi="Times New Roman" w:cs="Times New Roman"/>
          <w:sz w:val="23"/>
          <w:szCs w:val="23"/>
          <w:lang w:eastAsia="en-GB"/>
        </w:rPr>
        <w:t xml:space="preserve">• Institutional theory clarifies that formal structures (like SMCs) shape engagement behaviours only when local capacities, stakeholder awareness, and supportive norms align to enable effective enactment of policies. </w:t>
      </w:r>
    </w:p>
    <w:p w14:paraId="713DF9AB" w14:textId="77777777" w:rsidR="0069715E" w:rsidRPr="00836023" w:rsidRDefault="0069715E" w:rsidP="0069715E">
      <w:pPr>
        <w:spacing w:before="100" w:beforeAutospacing="1" w:after="100" w:afterAutospacing="1" w:line="240" w:lineRule="auto"/>
        <w:rPr>
          <w:rFonts w:ascii="Times New Roman" w:eastAsia="Times New Roman" w:hAnsi="Times New Roman" w:cs="Times New Roman"/>
          <w:b/>
          <w:bCs/>
          <w:i/>
          <w:iCs/>
          <w:sz w:val="23"/>
          <w:szCs w:val="23"/>
          <w:lang w:eastAsia="en-GB"/>
        </w:rPr>
      </w:pPr>
      <w:r w:rsidRPr="00836023">
        <w:rPr>
          <w:rFonts w:ascii="Times New Roman" w:eastAsia="Times New Roman" w:hAnsi="Times New Roman" w:cs="Times New Roman"/>
          <w:b/>
          <w:bCs/>
          <w:i/>
          <w:iCs/>
          <w:sz w:val="23"/>
          <w:szCs w:val="23"/>
          <w:lang w:eastAsia="en-GB"/>
        </w:rPr>
        <w:t xml:space="preserve">Evidence-Based Recommendations: </w:t>
      </w:r>
    </w:p>
    <w:p w14:paraId="719FFFE4" w14:textId="77777777" w:rsidR="0069715E" w:rsidRPr="00836023" w:rsidRDefault="0069715E" w:rsidP="00F655A3">
      <w:pPr>
        <w:spacing w:before="100" w:beforeAutospacing="1" w:after="100" w:afterAutospacing="1" w:line="360" w:lineRule="auto"/>
        <w:rPr>
          <w:rFonts w:ascii="Times New Roman" w:eastAsia="Times New Roman" w:hAnsi="Times New Roman" w:cs="Times New Roman"/>
          <w:sz w:val="23"/>
          <w:szCs w:val="23"/>
          <w:lang w:eastAsia="en-GB"/>
        </w:rPr>
      </w:pPr>
      <w:r w:rsidRPr="00836023">
        <w:rPr>
          <w:rFonts w:ascii="Times New Roman" w:eastAsia="Times New Roman" w:hAnsi="Times New Roman" w:cs="Times New Roman"/>
          <w:sz w:val="23"/>
          <w:szCs w:val="23"/>
          <w:lang w:eastAsia="en-GB"/>
        </w:rPr>
        <w:lastRenderedPageBreak/>
        <w:t xml:space="preserve">• </w:t>
      </w:r>
      <w:r w:rsidRPr="009556BE">
        <w:rPr>
          <w:rFonts w:ascii="Times New Roman" w:eastAsia="Times New Roman" w:hAnsi="Times New Roman" w:cs="Times New Roman"/>
          <w:i/>
          <w:iCs/>
          <w:sz w:val="23"/>
          <w:szCs w:val="23"/>
          <w:lang w:eastAsia="en-GB"/>
        </w:rPr>
        <w:t>Capacity Building:</w:t>
      </w:r>
      <w:r w:rsidRPr="00836023">
        <w:rPr>
          <w:rFonts w:ascii="Times New Roman" w:eastAsia="Times New Roman" w:hAnsi="Times New Roman" w:cs="Times New Roman"/>
          <w:sz w:val="23"/>
          <w:szCs w:val="23"/>
          <w:lang w:eastAsia="en-GB"/>
        </w:rPr>
        <w:t xml:space="preserve"> Train SMC and PTA members in leadership, inclusive decision-making, and resource mobilization to enhance governance effectiveness. </w:t>
      </w:r>
    </w:p>
    <w:p w14:paraId="2228C7E3" w14:textId="77777777" w:rsidR="0069715E" w:rsidRPr="00836023" w:rsidRDefault="0069715E" w:rsidP="00F655A3">
      <w:pPr>
        <w:spacing w:before="100" w:beforeAutospacing="1" w:after="100" w:afterAutospacing="1" w:line="360" w:lineRule="auto"/>
        <w:rPr>
          <w:rFonts w:ascii="Times New Roman" w:eastAsia="Times New Roman" w:hAnsi="Times New Roman" w:cs="Times New Roman"/>
          <w:sz w:val="23"/>
          <w:szCs w:val="23"/>
          <w:lang w:eastAsia="en-GB"/>
        </w:rPr>
      </w:pPr>
      <w:r w:rsidRPr="00836023">
        <w:rPr>
          <w:rFonts w:ascii="Times New Roman" w:eastAsia="Times New Roman" w:hAnsi="Times New Roman" w:cs="Times New Roman"/>
          <w:sz w:val="23"/>
          <w:szCs w:val="23"/>
          <w:lang w:eastAsia="en-GB"/>
        </w:rPr>
        <w:t xml:space="preserve">• </w:t>
      </w:r>
      <w:r w:rsidRPr="009556BE">
        <w:rPr>
          <w:rFonts w:ascii="Times New Roman" w:eastAsia="Times New Roman" w:hAnsi="Times New Roman" w:cs="Times New Roman"/>
          <w:i/>
          <w:iCs/>
          <w:sz w:val="23"/>
          <w:szCs w:val="23"/>
          <w:lang w:eastAsia="en-GB"/>
        </w:rPr>
        <w:t>Parental Support Programs:</w:t>
      </w:r>
      <w:r w:rsidRPr="00836023">
        <w:rPr>
          <w:rFonts w:ascii="Times New Roman" w:eastAsia="Times New Roman" w:hAnsi="Times New Roman" w:cs="Times New Roman"/>
          <w:sz w:val="23"/>
          <w:szCs w:val="23"/>
          <w:lang w:eastAsia="en-GB"/>
        </w:rPr>
        <w:t xml:space="preserve"> Establish community literacy and awareness initiatives to deepen parental involvement in learning support and school governance. </w:t>
      </w:r>
    </w:p>
    <w:p w14:paraId="11892543" w14:textId="77777777" w:rsidR="0069715E" w:rsidRPr="00836023" w:rsidRDefault="0069715E" w:rsidP="00F655A3">
      <w:pPr>
        <w:spacing w:before="100" w:beforeAutospacing="1" w:after="100" w:afterAutospacing="1" w:line="360" w:lineRule="auto"/>
        <w:rPr>
          <w:rFonts w:ascii="Times New Roman" w:eastAsia="Times New Roman" w:hAnsi="Times New Roman" w:cs="Times New Roman"/>
          <w:sz w:val="23"/>
          <w:szCs w:val="23"/>
          <w:lang w:eastAsia="en-GB"/>
        </w:rPr>
      </w:pPr>
      <w:r w:rsidRPr="00836023">
        <w:rPr>
          <w:rFonts w:ascii="Times New Roman" w:eastAsia="Times New Roman" w:hAnsi="Times New Roman" w:cs="Times New Roman"/>
          <w:sz w:val="23"/>
          <w:szCs w:val="23"/>
          <w:lang w:eastAsia="en-GB"/>
        </w:rPr>
        <w:t xml:space="preserve">• </w:t>
      </w:r>
      <w:r w:rsidRPr="009556BE">
        <w:rPr>
          <w:rFonts w:ascii="Times New Roman" w:eastAsia="Times New Roman" w:hAnsi="Times New Roman" w:cs="Times New Roman"/>
          <w:i/>
          <w:iCs/>
          <w:sz w:val="23"/>
          <w:szCs w:val="23"/>
          <w:lang w:eastAsia="en-GB"/>
        </w:rPr>
        <w:t>Youth Integration Mechanisms:</w:t>
      </w:r>
      <w:r w:rsidRPr="00836023">
        <w:rPr>
          <w:rFonts w:ascii="Times New Roman" w:eastAsia="Times New Roman" w:hAnsi="Times New Roman" w:cs="Times New Roman"/>
          <w:sz w:val="23"/>
          <w:szCs w:val="23"/>
          <w:lang w:eastAsia="en-GB"/>
        </w:rPr>
        <w:t xml:space="preserve"> Create formal platforms for youth groups to collaborate with schools and local government, ensuring sustained support and recognition. </w:t>
      </w:r>
    </w:p>
    <w:p w14:paraId="55672DFE" w14:textId="77777777" w:rsidR="0069715E" w:rsidRPr="00836023" w:rsidRDefault="0069715E" w:rsidP="00F655A3">
      <w:pPr>
        <w:spacing w:before="100" w:beforeAutospacing="1" w:after="100" w:afterAutospacing="1" w:line="360" w:lineRule="auto"/>
        <w:rPr>
          <w:rFonts w:ascii="Times New Roman" w:eastAsia="Times New Roman" w:hAnsi="Times New Roman" w:cs="Times New Roman"/>
          <w:sz w:val="23"/>
          <w:szCs w:val="23"/>
          <w:lang w:eastAsia="en-GB"/>
        </w:rPr>
      </w:pPr>
      <w:r w:rsidRPr="00836023">
        <w:rPr>
          <w:rFonts w:ascii="Times New Roman" w:eastAsia="Times New Roman" w:hAnsi="Times New Roman" w:cs="Times New Roman"/>
          <w:sz w:val="23"/>
          <w:szCs w:val="23"/>
          <w:lang w:eastAsia="en-GB"/>
        </w:rPr>
        <w:t xml:space="preserve">• </w:t>
      </w:r>
      <w:commentRangeStart w:id="3"/>
      <w:r w:rsidRPr="009556BE">
        <w:rPr>
          <w:rFonts w:ascii="Times New Roman" w:eastAsia="Times New Roman" w:hAnsi="Times New Roman" w:cs="Times New Roman"/>
          <w:i/>
          <w:iCs/>
          <w:sz w:val="23"/>
          <w:szCs w:val="23"/>
          <w:lang w:eastAsia="en-GB"/>
        </w:rPr>
        <w:t>Institutional Strengthening:</w:t>
      </w:r>
      <w:r w:rsidRPr="00836023">
        <w:rPr>
          <w:rFonts w:ascii="Times New Roman" w:eastAsia="Times New Roman" w:hAnsi="Times New Roman" w:cs="Times New Roman"/>
          <w:sz w:val="23"/>
          <w:szCs w:val="23"/>
          <w:lang w:eastAsia="en-GB"/>
        </w:rPr>
        <w:t xml:space="preserve"> </w:t>
      </w:r>
      <w:commentRangeEnd w:id="3"/>
      <w:r w:rsidR="009556BE">
        <w:rPr>
          <w:rStyle w:val="CommentReference"/>
        </w:rPr>
        <w:commentReference w:id="3"/>
      </w:r>
      <w:r w:rsidRPr="00836023">
        <w:rPr>
          <w:rFonts w:ascii="Times New Roman" w:eastAsia="Times New Roman" w:hAnsi="Times New Roman" w:cs="Times New Roman"/>
          <w:sz w:val="23"/>
          <w:szCs w:val="23"/>
          <w:lang w:eastAsia="en-GB"/>
        </w:rPr>
        <w:t xml:space="preserve">Develop coordinated frameworks for local governance and schools to share accountability, align resources, and strengthen community-school partnerships through continuous feedback loops. </w:t>
      </w:r>
    </w:p>
    <w:p w14:paraId="725C3B04" w14:textId="77777777" w:rsidR="0069715E" w:rsidRPr="00836023" w:rsidRDefault="0069715E" w:rsidP="0069715E">
      <w:pPr>
        <w:spacing w:before="100" w:beforeAutospacing="1" w:after="100" w:afterAutospacing="1" w:line="240" w:lineRule="auto"/>
        <w:rPr>
          <w:rFonts w:ascii="Times New Roman" w:eastAsia="Times New Roman" w:hAnsi="Times New Roman" w:cs="Times New Roman"/>
          <w:b/>
          <w:bCs/>
          <w:i/>
          <w:iCs/>
          <w:sz w:val="23"/>
          <w:szCs w:val="23"/>
          <w:lang w:eastAsia="en-GB"/>
        </w:rPr>
      </w:pPr>
      <w:r w:rsidRPr="00836023">
        <w:rPr>
          <w:rFonts w:ascii="Times New Roman" w:eastAsia="Times New Roman" w:hAnsi="Times New Roman" w:cs="Times New Roman"/>
          <w:b/>
          <w:bCs/>
          <w:i/>
          <w:iCs/>
          <w:sz w:val="23"/>
          <w:szCs w:val="23"/>
          <w:lang w:eastAsia="en-GB"/>
        </w:rPr>
        <w:t xml:space="preserve">Gaps in Participation and Institutional Dynamics </w:t>
      </w:r>
    </w:p>
    <w:p w14:paraId="57510F2C" w14:textId="77777777" w:rsidR="0069715E" w:rsidRPr="00836023" w:rsidRDefault="0069715E" w:rsidP="00E634A4">
      <w:pPr>
        <w:spacing w:before="100" w:beforeAutospacing="1" w:after="100" w:afterAutospacing="1" w:line="360" w:lineRule="auto"/>
        <w:ind w:firstLine="720"/>
        <w:rPr>
          <w:rFonts w:ascii="Times New Roman" w:eastAsia="Times New Roman" w:hAnsi="Times New Roman" w:cs="Times New Roman"/>
          <w:sz w:val="23"/>
          <w:szCs w:val="23"/>
          <w:lang w:eastAsia="en-GB"/>
        </w:rPr>
      </w:pPr>
      <w:r w:rsidRPr="00836023">
        <w:rPr>
          <w:rFonts w:ascii="Times New Roman" w:eastAsia="Times New Roman" w:hAnsi="Times New Roman" w:cs="Times New Roman"/>
          <w:sz w:val="23"/>
          <w:szCs w:val="23"/>
          <w:lang w:eastAsia="en-GB"/>
        </w:rPr>
        <w:t xml:space="preserve">Across schools, School Management Committees (SMCs) and Parent-Teacher Associations (PTAs) serve as primary institutional mechanisms for community engagement. However, their effectiveness varies widely. Consistent with systematic reviews of Nepalese SMCs, barriers such as limited member capacity, awareness gaps, and political interference reduce the potential for meaningful community participation in planning and accountability. </w:t>
      </w:r>
    </w:p>
    <w:p w14:paraId="5BBFFB9A" w14:textId="77777777" w:rsidR="0069715E" w:rsidRPr="00836023" w:rsidRDefault="0069715E" w:rsidP="0069715E">
      <w:pPr>
        <w:spacing w:before="100" w:beforeAutospacing="1" w:after="100" w:afterAutospacing="1" w:line="240" w:lineRule="auto"/>
        <w:rPr>
          <w:rFonts w:ascii="Times New Roman" w:eastAsia="Times New Roman" w:hAnsi="Times New Roman" w:cs="Times New Roman"/>
          <w:b/>
          <w:bCs/>
          <w:i/>
          <w:iCs/>
          <w:sz w:val="23"/>
          <w:szCs w:val="23"/>
          <w:lang w:eastAsia="en-GB"/>
        </w:rPr>
      </w:pPr>
      <w:r w:rsidRPr="00836023">
        <w:rPr>
          <w:rFonts w:ascii="Times New Roman" w:eastAsia="Times New Roman" w:hAnsi="Times New Roman" w:cs="Times New Roman"/>
          <w:b/>
          <w:bCs/>
          <w:i/>
          <w:iCs/>
          <w:sz w:val="23"/>
          <w:szCs w:val="23"/>
          <w:lang w:eastAsia="en-GB"/>
        </w:rPr>
        <w:t xml:space="preserve">Parental and Community Engagement </w:t>
      </w:r>
    </w:p>
    <w:p w14:paraId="6F241D02" w14:textId="77777777" w:rsidR="0069715E" w:rsidRPr="00836023" w:rsidRDefault="0069715E" w:rsidP="00483053">
      <w:pPr>
        <w:spacing w:before="100" w:beforeAutospacing="1" w:after="100" w:afterAutospacing="1" w:line="360" w:lineRule="auto"/>
        <w:ind w:firstLine="720"/>
        <w:rPr>
          <w:rFonts w:ascii="Times New Roman" w:eastAsia="Times New Roman" w:hAnsi="Times New Roman" w:cs="Times New Roman"/>
          <w:sz w:val="23"/>
          <w:szCs w:val="23"/>
          <w:lang w:eastAsia="en-GB"/>
        </w:rPr>
      </w:pPr>
      <w:r w:rsidRPr="00836023">
        <w:rPr>
          <w:rFonts w:ascii="Times New Roman" w:eastAsia="Times New Roman" w:hAnsi="Times New Roman" w:cs="Times New Roman"/>
          <w:sz w:val="23"/>
          <w:szCs w:val="23"/>
          <w:lang w:eastAsia="en-GB"/>
        </w:rPr>
        <w:t xml:space="preserve">Parental involvement, while recognized as crucial, is constrained by distance, communication barriers, and declining participation at secondary levels, echoing findings from recent research specific to Solukhumbu that points to geographical isolation and low literacy as obstacles to engagement. This gap underscores why social capital alone — without purposeful strategies to bridge distance, build capacity, and foster inclusive participation — may not generate equitable schooling support. </w:t>
      </w:r>
    </w:p>
    <w:p w14:paraId="5779BC4D" w14:textId="77777777" w:rsidR="0069715E" w:rsidRPr="00836023" w:rsidRDefault="0069715E" w:rsidP="0069715E">
      <w:pPr>
        <w:spacing w:before="100" w:beforeAutospacing="1" w:after="100" w:afterAutospacing="1" w:line="240" w:lineRule="auto"/>
        <w:rPr>
          <w:rFonts w:ascii="Times New Roman" w:eastAsia="Times New Roman" w:hAnsi="Times New Roman" w:cs="Times New Roman"/>
          <w:b/>
          <w:bCs/>
          <w:i/>
          <w:iCs/>
          <w:sz w:val="23"/>
          <w:szCs w:val="23"/>
          <w:lang w:eastAsia="en-GB"/>
        </w:rPr>
      </w:pPr>
      <w:r w:rsidRPr="00836023">
        <w:rPr>
          <w:rFonts w:ascii="Times New Roman" w:eastAsia="Times New Roman" w:hAnsi="Times New Roman" w:cs="Times New Roman"/>
          <w:b/>
          <w:bCs/>
          <w:i/>
          <w:iCs/>
          <w:sz w:val="23"/>
          <w:szCs w:val="23"/>
          <w:lang w:eastAsia="en-GB"/>
        </w:rPr>
        <w:t xml:space="preserve">Peer and Youth Group Mobilization </w:t>
      </w:r>
    </w:p>
    <w:p w14:paraId="7439C96F" w14:textId="77777777" w:rsidR="0069715E" w:rsidRPr="00836023" w:rsidRDefault="0069715E" w:rsidP="00483053">
      <w:pPr>
        <w:spacing w:before="100" w:beforeAutospacing="1" w:after="100" w:afterAutospacing="1" w:line="360" w:lineRule="auto"/>
        <w:ind w:firstLine="720"/>
        <w:rPr>
          <w:rFonts w:ascii="Times New Roman" w:eastAsia="Times New Roman" w:hAnsi="Times New Roman" w:cs="Times New Roman"/>
          <w:sz w:val="23"/>
          <w:szCs w:val="23"/>
          <w:lang w:eastAsia="en-GB"/>
        </w:rPr>
      </w:pPr>
      <w:r w:rsidRPr="00836023">
        <w:rPr>
          <w:rFonts w:ascii="Times New Roman" w:eastAsia="Times New Roman" w:hAnsi="Times New Roman" w:cs="Times New Roman"/>
          <w:sz w:val="23"/>
          <w:szCs w:val="23"/>
          <w:lang w:eastAsia="en-GB"/>
        </w:rPr>
        <w:t xml:space="preserve">Youth-led activities suggest potential for peer learning, leadership development, and community mobilization. However, the scalability of these efforts is limited by a lack of integration into formal governance and support structures. This gap highlights an opportunity: youth groups could act as catalysts for broader community awareness, provided they are supported with training, resources, and formal recognition within local education plans. </w:t>
      </w:r>
    </w:p>
    <w:p w14:paraId="67F1A401" w14:textId="77777777" w:rsidR="0069715E" w:rsidRPr="00836023" w:rsidRDefault="0069715E" w:rsidP="0069715E">
      <w:pPr>
        <w:spacing w:before="100" w:beforeAutospacing="1" w:after="100" w:afterAutospacing="1" w:line="240" w:lineRule="auto"/>
        <w:rPr>
          <w:rFonts w:ascii="Times New Roman" w:eastAsia="Times New Roman" w:hAnsi="Times New Roman" w:cs="Times New Roman"/>
          <w:b/>
          <w:bCs/>
          <w:i/>
          <w:iCs/>
          <w:sz w:val="23"/>
          <w:szCs w:val="23"/>
          <w:lang w:eastAsia="en-GB"/>
        </w:rPr>
      </w:pPr>
      <w:r w:rsidRPr="00836023">
        <w:rPr>
          <w:rFonts w:ascii="Times New Roman" w:eastAsia="Times New Roman" w:hAnsi="Times New Roman" w:cs="Times New Roman"/>
          <w:b/>
          <w:bCs/>
          <w:i/>
          <w:iCs/>
          <w:sz w:val="23"/>
          <w:szCs w:val="23"/>
          <w:lang w:eastAsia="en-GB"/>
        </w:rPr>
        <w:t xml:space="preserve">Institutional Partnerships and Structural Barriers </w:t>
      </w:r>
    </w:p>
    <w:p w14:paraId="3C2D9DCB" w14:textId="77777777" w:rsidR="0069715E" w:rsidRPr="00836023" w:rsidRDefault="0069715E" w:rsidP="00483053">
      <w:pPr>
        <w:spacing w:before="100" w:beforeAutospacing="1" w:after="100" w:afterAutospacing="1" w:line="360" w:lineRule="auto"/>
        <w:ind w:firstLine="720"/>
        <w:rPr>
          <w:rFonts w:ascii="Times New Roman" w:eastAsia="Times New Roman" w:hAnsi="Times New Roman" w:cs="Times New Roman"/>
          <w:sz w:val="23"/>
          <w:szCs w:val="23"/>
          <w:lang w:eastAsia="en-GB"/>
        </w:rPr>
      </w:pPr>
      <w:r w:rsidRPr="00836023">
        <w:rPr>
          <w:rFonts w:ascii="Times New Roman" w:eastAsia="Times New Roman" w:hAnsi="Times New Roman" w:cs="Times New Roman"/>
          <w:sz w:val="23"/>
          <w:szCs w:val="23"/>
          <w:lang w:eastAsia="en-GB"/>
        </w:rPr>
        <w:lastRenderedPageBreak/>
        <w:t xml:space="preserve">Collaborations between schools, NGOs, and civil society organizations show promise, particularly in areas like teacher training and gender-responsive initiatives. However, structural barriers — such as inadequate technical skills within communities, limited access to local funds, and weak functional linkages with local governments — commonly hinder sustained impact. These structural barriers reflect the limitations noted in broader Nepalese educational governance research, where institutional provisions do not always translate into effective practice without strong community ownership and aligned capacity development. </w:t>
      </w:r>
    </w:p>
    <w:p w14:paraId="3D0B5002" w14:textId="40E5DB39" w:rsidR="0069715E" w:rsidRPr="001D49E8" w:rsidRDefault="001D49E8" w:rsidP="0069715E">
      <w:pPr>
        <w:spacing w:before="100" w:beforeAutospacing="1" w:after="100" w:afterAutospacing="1" w:line="240" w:lineRule="auto"/>
        <w:rPr>
          <w:rFonts w:ascii="Times New Roman" w:eastAsia="Times New Roman" w:hAnsi="Times New Roman" w:cs="Times New Roman"/>
          <w:b/>
          <w:bCs/>
          <w:sz w:val="23"/>
          <w:szCs w:val="23"/>
          <w:lang w:eastAsia="en-GB"/>
        </w:rPr>
      </w:pPr>
      <w:r w:rsidRPr="001D49E8">
        <w:rPr>
          <w:rFonts w:ascii="Times New Roman" w:eastAsia="Times New Roman" w:hAnsi="Times New Roman" w:cs="Times New Roman"/>
          <w:b/>
          <w:bCs/>
          <w:sz w:val="23"/>
          <w:szCs w:val="23"/>
          <w:lang w:eastAsia="en-GB"/>
        </w:rPr>
        <w:t xml:space="preserve">5. </w:t>
      </w:r>
      <w:r w:rsidR="0069715E" w:rsidRPr="001D49E8">
        <w:rPr>
          <w:rFonts w:ascii="Times New Roman" w:eastAsia="Times New Roman" w:hAnsi="Times New Roman" w:cs="Times New Roman"/>
          <w:b/>
          <w:bCs/>
          <w:sz w:val="23"/>
          <w:szCs w:val="23"/>
          <w:lang w:eastAsia="en-GB"/>
        </w:rPr>
        <w:t>Discussion</w:t>
      </w:r>
    </w:p>
    <w:p w14:paraId="76093FB4" w14:textId="77777777" w:rsidR="0069715E" w:rsidRPr="00836023" w:rsidRDefault="0069715E" w:rsidP="00A96099">
      <w:pPr>
        <w:spacing w:before="100" w:beforeAutospacing="1" w:after="100" w:afterAutospacing="1" w:line="360" w:lineRule="auto"/>
        <w:ind w:firstLine="720"/>
        <w:rPr>
          <w:rFonts w:ascii="Times New Roman" w:eastAsia="Times New Roman" w:hAnsi="Times New Roman" w:cs="Times New Roman"/>
          <w:sz w:val="23"/>
          <w:szCs w:val="23"/>
          <w:lang w:eastAsia="en-GB"/>
        </w:rPr>
      </w:pPr>
      <w:r w:rsidRPr="00836023">
        <w:rPr>
          <w:rFonts w:ascii="Times New Roman" w:eastAsia="Times New Roman" w:hAnsi="Times New Roman" w:cs="Times New Roman"/>
          <w:sz w:val="23"/>
          <w:szCs w:val="23"/>
          <w:lang w:eastAsia="en-GB"/>
        </w:rPr>
        <w:t xml:space="preserve">Across multiple analytical lenses, the study demonstrates that community social support practices positively influence educational outcomes when embedded within supportive socio-economic and institutional contexts. Social capital — as realized through networks of families, neighbours, and community leaders — improves retention and engagement when active and inclusive. Ecological systems theory highlights how family and community conditions intersect with school structures, shaping attendance patterns and learning experiences. Social constructivism underscores the cultural meanings and values that communities attach to education, influencing norms of participation and peer engagement. Institutional theory clarifies that formal governance structures like SMCs and PTAs function most effectively when capacity, awareness, and community ownership are present. </w:t>
      </w:r>
    </w:p>
    <w:p w14:paraId="6DF035C3" w14:textId="77777777" w:rsidR="00063613" w:rsidRPr="00836023" w:rsidRDefault="00063613" w:rsidP="00A96099">
      <w:pPr>
        <w:spacing w:before="100" w:beforeAutospacing="1" w:after="100" w:afterAutospacing="1" w:line="360" w:lineRule="auto"/>
        <w:ind w:firstLine="720"/>
        <w:rPr>
          <w:rFonts w:ascii="Times New Roman" w:eastAsia="Times New Roman" w:hAnsi="Times New Roman" w:cs="Times New Roman"/>
          <w:sz w:val="23"/>
          <w:szCs w:val="23"/>
          <w:lang w:eastAsia="en-GB"/>
        </w:rPr>
      </w:pPr>
      <w:r w:rsidRPr="00836023">
        <w:rPr>
          <w:rFonts w:ascii="Times New Roman" w:eastAsia="Times New Roman" w:hAnsi="Times New Roman" w:cs="Times New Roman"/>
          <w:sz w:val="23"/>
          <w:szCs w:val="23"/>
          <w:lang w:eastAsia="en-GB"/>
        </w:rPr>
        <w:t xml:space="preserve">This study’s examination of community social support practices in Solukhumbu District — in relation to schooling experiences, socio-economic conditions of households, and community participation gaps — highlights a complex interplay of structural, social, and institutional factors that shape educational outcomes. Drawing on social capital theory as the central analytical lens, with complementary insights from ecological systems, social constructivism, and institutional theory, the evidence reveals that while community support has the potential to enhance schooling, its influence is uneven and shaped by broader socio-economic and governance conditions. </w:t>
      </w:r>
    </w:p>
    <w:p w14:paraId="334B6ECE" w14:textId="77777777" w:rsidR="00063613" w:rsidRPr="00836023" w:rsidRDefault="00063613" w:rsidP="00A96099">
      <w:pPr>
        <w:spacing w:before="100" w:beforeAutospacing="1" w:after="100" w:afterAutospacing="1" w:line="360" w:lineRule="auto"/>
        <w:ind w:firstLine="720"/>
        <w:rPr>
          <w:rFonts w:ascii="Times New Roman" w:eastAsia="Times New Roman" w:hAnsi="Times New Roman" w:cs="Times New Roman"/>
          <w:sz w:val="23"/>
          <w:szCs w:val="23"/>
          <w:lang w:eastAsia="en-GB"/>
        </w:rPr>
      </w:pPr>
      <w:r w:rsidRPr="00836023">
        <w:rPr>
          <w:rFonts w:ascii="Times New Roman" w:eastAsia="Times New Roman" w:hAnsi="Times New Roman" w:cs="Times New Roman"/>
          <w:sz w:val="23"/>
          <w:szCs w:val="23"/>
          <w:lang w:eastAsia="en-GB"/>
        </w:rPr>
        <w:t xml:space="preserve">School registration data show near gender parity in enrolment at primary and lower grades (2,913 girls; 2,853 boys), suggesting initial equitable access. However, enrolment declines markedly in higher grades — particularly among boys prone to labour migration — underscoring how community social support interacts with household livelihood pressures to influence student attendance and continuity. Ecological systems theory helps explain how school experiences are embedded in interrelated family, community, and wider socio-economic systems, where seasonal labour demands and migration stress educational continuity and reinforce dropout trends. As community actors, families and neighbours provide foundational social networks that can support </w:t>
      </w:r>
      <w:r w:rsidRPr="00836023">
        <w:rPr>
          <w:rFonts w:ascii="Times New Roman" w:eastAsia="Times New Roman" w:hAnsi="Times New Roman" w:cs="Times New Roman"/>
          <w:sz w:val="23"/>
          <w:szCs w:val="23"/>
          <w:lang w:eastAsia="en-GB"/>
        </w:rPr>
        <w:lastRenderedPageBreak/>
        <w:t xml:space="preserve">access and belonging, yet such support alone does not insulate students from broader economic pressures. </w:t>
      </w:r>
    </w:p>
    <w:p w14:paraId="6FE69D24" w14:textId="6A086C05" w:rsidR="00063613" w:rsidRPr="00836023" w:rsidRDefault="00063613" w:rsidP="00A96099">
      <w:pPr>
        <w:spacing w:before="100" w:beforeAutospacing="1" w:after="100" w:afterAutospacing="1" w:line="360" w:lineRule="auto"/>
        <w:ind w:firstLine="720"/>
        <w:rPr>
          <w:rFonts w:ascii="Times New Roman" w:eastAsia="Times New Roman" w:hAnsi="Times New Roman" w:cs="Times New Roman"/>
          <w:sz w:val="23"/>
          <w:szCs w:val="23"/>
          <w:lang w:eastAsia="en-GB"/>
        </w:rPr>
      </w:pPr>
      <w:r w:rsidRPr="00836023">
        <w:rPr>
          <w:rFonts w:ascii="Times New Roman" w:eastAsia="Times New Roman" w:hAnsi="Times New Roman" w:cs="Times New Roman"/>
          <w:sz w:val="23"/>
          <w:szCs w:val="23"/>
          <w:lang w:eastAsia="en-GB"/>
        </w:rPr>
        <w:t xml:space="preserve">Findings from the </w:t>
      </w:r>
      <w:r w:rsidR="00666EED">
        <w:rPr>
          <w:rFonts w:ascii="Times New Roman" w:eastAsia="Times New Roman" w:hAnsi="Times New Roman" w:cs="Times New Roman"/>
          <w:sz w:val="23"/>
          <w:szCs w:val="23"/>
          <w:lang w:eastAsia="en-GB"/>
        </w:rPr>
        <w:t>adolescents’</w:t>
      </w:r>
      <w:r w:rsidRPr="00836023">
        <w:rPr>
          <w:rFonts w:ascii="Times New Roman" w:eastAsia="Times New Roman" w:hAnsi="Times New Roman" w:cs="Times New Roman"/>
          <w:sz w:val="23"/>
          <w:szCs w:val="23"/>
          <w:lang w:eastAsia="en-GB"/>
        </w:rPr>
        <w:t xml:space="preserve"> cohorts reveal widespread low self-esteem and negative self-perceptions among adolescents, particularly girls, which act as psychosocial barriers to active educational engagement. Social constructivism suggests that community norms and shared values deeply shape how students perceive education’s relevance and meaning. Adolescents identified social issues such as alcoholism, child marriage, and substance abuse as indirect but powerful influences on school participation, reflecting how collective community challenges intersect with individual educational trajectories. Youth groups demonstrated initiative — about 63% organized education-related campaigns — but resource constraints and limited institutional support undermined the sustainability and scale of these efforts, indicating gaps in translating community energy into sustained educational engagement. </w:t>
      </w:r>
    </w:p>
    <w:p w14:paraId="7D2752C7" w14:textId="77777777" w:rsidR="00063613" w:rsidRPr="00836023" w:rsidRDefault="00063613" w:rsidP="00A96099">
      <w:pPr>
        <w:spacing w:before="100" w:beforeAutospacing="1" w:after="100" w:afterAutospacing="1" w:line="360" w:lineRule="auto"/>
        <w:ind w:firstLine="720"/>
        <w:rPr>
          <w:rFonts w:ascii="Times New Roman" w:eastAsia="Times New Roman" w:hAnsi="Times New Roman" w:cs="Times New Roman"/>
          <w:sz w:val="23"/>
          <w:szCs w:val="23"/>
          <w:lang w:eastAsia="en-GB"/>
        </w:rPr>
      </w:pPr>
      <w:r>
        <w:rPr>
          <w:rFonts w:ascii="Times New Roman" w:eastAsia="Times New Roman" w:hAnsi="Times New Roman" w:cs="Times New Roman"/>
          <w:sz w:val="23"/>
          <w:szCs w:val="23"/>
          <w:lang w:eastAsia="en-GB"/>
        </w:rPr>
        <w:t>Community based organizations (</w:t>
      </w:r>
      <w:r w:rsidRPr="00836023">
        <w:rPr>
          <w:rFonts w:ascii="Times New Roman" w:eastAsia="Times New Roman" w:hAnsi="Times New Roman" w:cs="Times New Roman"/>
          <w:sz w:val="23"/>
          <w:szCs w:val="23"/>
          <w:lang w:eastAsia="en-GB"/>
        </w:rPr>
        <w:t>CBO</w:t>
      </w:r>
      <w:r>
        <w:rPr>
          <w:rFonts w:ascii="Times New Roman" w:eastAsia="Times New Roman" w:hAnsi="Times New Roman" w:cs="Times New Roman"/>
          <w:sz w:val="23"/>
          <w:szCs w:val="23"/>
          <w:lang w:eastAsia="en-GB"/>
        </w:rPr>
        <w:t>)</w:t>
      </w:r>
      <w:r w:rsidRPr="00836023">
        <w:rPr>
          <w:rFonts w:ascii="Times New Roman" w:eastAsia="Times New Roman" w:hAnsi="Times New Roman" w:cs="Times New Roman"/>
          <w:sz w:val="23"/>
          <w:szCs w:val="23"/>
          <w:lang w:eastAsia="en-GB"/>
        </w:rPr>
        <w:t xml:space="preserve"> household insights underscore that large family sizes, reliance on subsistence agriculture, and unstable incomes strongly condition children’s schooling experiences. Despite significant household investment in children’s education, formal engagement with school governance structures and local planning remained low, reflecting limited capacity to influence educational processes. This aligns with findings from other Nepalese regions where socio-economic constraints — such as poverty, low literacy, and migration — restrict the scope of parental involvement and community engagement in meaningful school support activities. </w:t>
      </w:r>
    </w:p>
    <w:p w14:paraId="689FA14A" w14:textId="77777777" w:rsidR="00063613" w:rsidRPr="00836023" w:rsidRDefault="00063613" w:rsidP="00A96099">
      <w:pPr>
        <w:spacing w:before="100" w:beforeAutospacing="1" w:after="100" w:afterAutospacing="1" w:line="360" w:lineRule="auto"/>
        <w:ind w:firstLine="720"/>
        <w:rPr>
          <w:rFonts w:ascii="Times New Roman" w:eastAsia="Times New Roman" w:hAnsi="Times New Roman" w:cs="Times New Roman"/>
          <w:sz w:val="23"/>
          <w:szCs w:val="23"/>
          <w:lang w:eastAsia="en-GB"/>
        </w:rPr>
      </w:pPr>
      <w:r w:rsidRPr="00836023">
        <w:rPr>
          <w:rFonts w:ascii="Times New Roman" w:eastAsia="Times New Roman" w:hAnsi="Times New Roman" w:cs="Times New Roman"/>
          <w:sz w:val="23"/>
          <w:szCs w:val="23"/>
          <w:lang w:eastAsia="en-GB"/>
        </w:rPr>
        <w:t xml:space="preserve">School Management Committees (SMCs) and Parent-Teacher Associations (PTAs), as institutional bridges between schools and communities, were found to be active but highly variable in effectiveness across project schools. While legal provisions mandate SMCs as vehicles for community voice, decision-making, and accountability, research indicates persistent capacity constraints, communication gaps, and political interference that limit deep stakeholder engagement. These limitations reflect broader findings that institutional provisions alone are insufficient — without adequate capacity, awareness, and inclusive representation, formal structures cannot fully realize community participation intentions. Moreover, social norms and cultural contexts — as highlighted in Nepalese governance research — significantly shape how </w:t>
      </w:r>
      <w:r>
        <w:rPr>
          <w:rFonts w:ascii="Times New Roman" w:eastAsia="Times New Roman" w:hAnsi="Times New Roman" w:cs="Times New Roman"/>
          <w:sz w:val="23"/>
          <w:szCs w:val="23"/>
          <w:lang w:eastAsia="en-GB"/>
        </w:rPr>
        <w:t>school management committee (</w:t>
      </w:r>
      <w:r w:rsidRPr="00836023">
        <w:rPr>
          <w:rFonts w:ascii="Times New Roman" w:eastAsia="Times New Roman" w:hAnsi="Times New Roman" w:cs="Times New Roman"/>
          <w:sz w:val="23"/>
          <w:szCs w:val="23"/>
          <w:lang w:eastAsia="en-GB"/>
        </w:rPr>
        <w:t>SMCs</w:t>
      </w:r>
      <w:r>
        <w:rPr>
          <w:rFonts w:ascii="Times New Roman" w:eastAsia="Times New Roman" w:hAnsi="Times New Roman" w:cs="Times New Roman"/>
          <w:sz w:val="23"/>
          <w:szCs w:val="23"/>
          <w:lang w:eastAsia="en-GB"/>
        </w:rPr>
        <w:t>)</w:t>
      </w:r>
      <w:r w:rsidRPr="00836023">
        <w:rPr>
          <w:rFonts w:ascii="Times New Roman" w:eastAsia="Times New Roman" w:hAnsi="Times New Roman" w:cs="Times New Roman"/>
          <w:sz w:val="23"/>
          <w:szCs w:val="23"/>
          <w:lang w:eastAsia="en-GB"/>
        </w:rPr>
        <w:t xml:space="preserve"> function in practice, influencing whose voices are heard and whose priorities are advanced. </w:t>
      </w:r>
    </w:p>
    <w:p w14:paraId="4EFB7D9B" w14:textId="77777777" w:rsidR="00063613" w:rsidRPr="00836023" w:rsidRDefault="00063613" w:rsidP="00063613">
      <w:pPr>
        <w:spacing w:before="100" w:beforeAutospacing="1" w:after="100" w:afterAutospacing="1" w:line="240" w:lineRule="auto"/>
        <w:rPr>
          <w:rFonts w:ascii="Times New Roman" w:eastAsia="Times New Roman" w:hAnsi="Times New Roman" w:cs="Times New Roman"/>
          <w:b/>
          <w:bCs/>
          <w:sz w:val="23"/>
          <w:szCs w:val="23"/>
          <w:lang w:eastAsia="en-GB"/>
        </w:rPr>
      </w:pPr>
      <w:r w:rsidRPr="00836023">
        <w:rPr>
          <w:rFonts w:ascii="Times New Roman" w:eastAsia="Times New Roman" w:hAnsi="Times New Roman" w:cs="Times New Roman"/>
          <w:b/>
          <w:bCs/>
          <w:sz w:val="23"/>
          <w:szCs w:val="23"/>
          <w:lang w:eastAsia="en-GB"/>
        </w:rPr>
        <w:t xml:space="preserve">Gaps in Community Participation: </w:t>
      </w:r>
    </w:p>
    <w:p w14:paraId="210E8877" w14:textId="77777777" w:rsidR="00063613" w:rsidRPr="00836023" w:rsidRDefault="00063613" w:rsidP="00E9254F">
      <w:pPr>
        <w:spacing w:before="100" w:beforeAutospacing="1" w:after="100" w:afterAutospacing="1" w:line="360" w:lineRule="auto"/>
        <w:rPr>
          <w:rFonts w:ascii="Times New Roman" w:eastAsia="Times New Roman" w:hAnsi="Times New Roman" w:cs="Times New Roman"/>
          <w:sz w:val="23"/>
          <w:szCs w:val="23"/>
          <w:lang w:eastAsia="en-GB"/>
        </w:rPr>
      </w:pPr>
      <w:r w:rsidRPr="00836023">
        <w:rPr>
          <w:rFonts w:ascii="Times New Roman" w:eastAsia="Times New Roman" w:hAnsi="Times New Roman" w:cs="Times New Roman"/>
          <w:sz w:val="23"/>
          <w:szCs w:val="23"/>
          <w:lang w:eastAsia="en-GB"/>
        </w:rPr>
        <w:lastRenderedPageBreak/>
        <w:t xml:space="preserve">In Solukhumbu District, community social support practices do influence educational experiences and outcomes, but this influence is conditioned by household socio-economics, psychosocial realities among adolescents, and the strength (or weakness) of institutional engagement mechanisms. Enhancing inclusive educational outcomes therefore requires multi-layered interventions that build parental capacity, strengthen youth group engagement with formal governance structures, and empower institutional actors — particularly SMCs and PTAs — through targeted training, clear roles, and supportive policies that bridge intent and practice. </w:t>
      </w:r>
    </w:p>
    <w:p w14:paraId="4595F8F3" w14:textId="77777777" w:rsidR="00063613" w:rsidRPr="00836023" w:rsidRDefault="00063613" w:rsidP="00E9254F">
      <w:pPr>
        <w:spacing w:before="100" w:beforeAutospacing="1" w:after="100" w:afterAutospacing="1" w:line="360" w:lineRule="auto"/>
        <w:rPr>
          <w:rFonts w:ascii="Times New Roman" w:eastAsia="Times New Roman" w:hAnsi="Times New Roman" w:cs="Times New Roman"/>
          <w:sz w:val="23"/>
          <w:szCs w:val="23"/>
          <w:lang w:eastAsia="en-GB"/>
        </w:rPr>
      </w:pPr>
      <w:r w:rsidRPr="00836023">
        <w:rPr>
          <w:rFonts w:ascii="Times New Roman" w:eastAsia="Times New Roman" w:hAnsi="Times New Roman" w:cs="Times New Roman"/>
          <w:sz w:val="23"/>
          <w:szCs w:val="23"/>
          <w:lang w:eastAsia="en-GB"/>
        </w:rPr>
        <w:t xml:space="preserve">By integrating theoretical insight with empirical evidence, this study underscores that community engagement is not merely a backdrop to schooling but a dynamic and essential determinant of inclusive, sustained educational progress in rural Nepal. </w:t>
      </w:r>
    </w:p>
    <w:p w14:paraId="257C5334" w14:textId="77777777" w:rsidR="00063613" w:rsidRPr="00836023" w:rsidRDefault="00063613" w:rsidP="00E9254F">
      <w:pPr>
        <w:spacing w:before="100" w:beforeAutospacing="1" w:after="100" w:afterAutospacing="1" w:line="360" w:lineRule="auto"/>
        <w:rPr>
          <w:rFonts w:ascii="Times New Roman" w:eastAsia="Times New Roman" w:hAnsi="Times New Roman" w:cs="Times New Roman"/>
          <w:sz w:val="23"/>
          <w:szCs w:val="23"/>
          <w:lang w:eastAsia="en-GB"/>
        </w:rPr>
      </w:pPr>
      <w:r w:rsidRPr="00836023">
        <w:rPr>
          <w:rFonts w:ascii="Times New Roman" w:eastAsia="Times New Roman" w:hAnsi="Times New Roman" w:cs="Times New Roman"/>
          <w:sz w:val="23"/>
          <w:szCs w:val="23"/>
          <w:lang w:eastAsia="en-GB"/>
        </w:rPr>
        <w:t xml:space="preserve">Across Solukhumbu’s project schools, participation patterns reflect both strengths and limitations in community support. Near-gender parity in enrolment at primary levels demonstrates initial community investment and access to schooling. However, enrolment drops markedly in higher grades — especially among boys who are more likely to migrate for labour — pointing to the interaction between household livelihood pressures and schooling decisions, as framed by ecological systems theory, where family and community structures intersect with school processes to influence continuity and quality. This aligns with research showing that socio-economic constraints, migration, and household labour needs remain significant determinants of retention and dropout trends. </w:t>
      </w:r>
    </w:p>
    <w:p w14:paraId="2D90ABF6" w14:textId="6CBCBDD7" w:rsidR="00063613" w:rsidRPr="00836023" w:rsidRDefault="00063613" w:rsidP="00E9254F">
      <w:pPr>
        <w:spacing w:before="100" w:beforeAutospacing="1" w:after="100" w:afterAutospacing="1" w:line="360" w:lineRule="auto"/>
        <w:rPr>
          <w:rFonts w:ascii="Times New Roman" w:eastAsia="Times New Roman" w:hAnsi="Times New Roman" w:cs="Times New Roman"/>
          <w:sz w:val="23"/>
          <w:szCs w:val="23"/>
          <w:lang w:eastAsia="en-GB"/>
        </w:rPr>
      </w:pPr>
      <w:r w:rsidRPr="00836023">
        <w:rPr>
          <w:rFonts w:ascii="Times New Roman" w:eastAsia="Times New Roman" w:hAnsi="Times New Roman" w:cs="Times New Roman"/>
          <w:sz w:val="23"/>
          <w:szCs w:val="23"/>
          <w:lang w:eastAsia="en-GB"/>
        </w:rPr>
        <w:t xml:space="preserve">Adolescent engagement, particularly in </w:t>
      </w:r>
      <w:r w:rsidR="00622565">
        <w:rPr>
          <w:rFonts w:ascii="Times New Roman" w:eastAsia="Times New Roman" w:hAnsi="Times New Roman" w:cs="Times New Roman"/>
          <w:sz w:val="23"/>
          <w:szCs w:val="23"/>
          <w:lang w:eastAsia="en-GB"/>
        </w:rPr>
        <w:t>adolescent</w:t>
      </w:r>
      <w:r w:rsidRPr="00836023">
        <w:rPr>
          <w:rFonts w:ascii="Times New Roman" w:eastAsia="Times New Roman" w:hAnsi="Times New Roman" w:cs="Times New Roman"/>
          <w:sz w:val="23"/>
          <w:szCs w:val="23"/>
          <w:lang w:eastAsia="en-GB"/>
        </w:rPr>
        <w:t xml:space="preserve"> cohorts, paints a nuanced picture of peer-based support and psychosocial barriers. Low self-esteem and negative self-perceptions among youth suggest that social support networks do not automatically translate into positive academic self-concepts, underscoring the need to embed psychosocial reinforcement within community support practices. Youth groups did organize education-related campaigns, yet resource limitations and minimal institutional backing restricted their potential — illustrating a gap between grassroots enthusiasm and sustained implementation capacity. </w:t>
      </w:r>
    </w:p>
    <w:p w14:paraId="2221CD71" w14:textId="77777777" w:rsidR="00063613" w:rsidRPr="00836023" w:rsidRDefault="00063613" w:rsidP="00063613">
      <w:pPr>
        <w:spacing w:before="100" w:beforeAutospacing="1" w:after="100" w:afterAutospacing="1" w:line="240" w:lineRule="auto"/>
        <w:rPr>
          <w:rFonts w:ascii="Times New Roman" w:eastAsia="Times New Roman" w:hAnsi="Times New Roman" w:cs="Times New Roman"/>
          <w:b/>
          <w:bCs/>
          <w:sz w:val="23"/>
          <w:szCs w:val="23"/>
          <w:lang w:eastAsia="en-GB"/>
        </w:rPr>
      </w:pPr>
      <w:r w:rsidRPr="00836023">
        <w:rPr>
          <w:rFonts w:ascii="Times New Roman" w:eastAsia="Times New Roman" w:hAnsi="Times New Roman" w:cs="Times New Roman"/>
          <w:b/>
          <w:bCs/>
          <w:sz w:val="23"/>
          <w:szCs w:val="23"/>
          <w:lang w:eastAsia="en-GB"/>
        </w:rPr>
        <w:t xml:space="preserve">Socio-Economic Conditions and Support Mechanisms </w:t>
      </w:r>
    </w:p>
    <w:p w14:paraId="05D33010" w14:textId="6B4F1209" w:rsidR="00063613" w:rsidRPr="00836023" w:rsidRDefault="00063613" w:rsidP="00E9254F">
      <w:pPr>
        <w:spacing w:before="100" w:beforeAutospacing="1" w:after="100" w:afterAutospacing="1" w:line="360" w:lineRule="auto"/>
        <w:rPr>
          <w:rFonts w:ascii="Times New Roman" w:eastAsia="Times New Roman" w:hAnsi="Times New Roman" w:cs="Times New Roman"/>
          <w:sz w:val="23"/>
          <w:szCs w:val="23"/>
          <w:lang w:eastAsia="en-GB"/>
        </w:rPr>
      </w:pPr>
      <w:r w:rsidRPr="00836023">
        <w:rPr>
          <w:rFonts w:ascii="Times New Roman" w:eastAsia="Times New Roman" w:hAnsi="Times New Roman" w:cs="Times New Roman"/>
          <w:sz w:val="23"/>
          <w:szCs w:val="23"/>
          <w:lang w:eastAsia="en-GB"/>
        </w:rPr>
        <w:t xml:space="preserve">Analysis of CBO household data highlights large family sizes, subsistence agriculture reliance, and unstable income, all of which critically frame parents’ capacity to engage in schooling support beyond the basic act of </w:t>
      </w:r>
      <w:r w:rsidR="00953D8C" w:rsidRPr="00836023">
        <w:rPr>
          <w:rFonts w:ascii="Times New Roman" w:eastAsia="Times New Roman" w:hAnsi="Times New Roman" w:cs="Times New Roman"/>
          <w:sz w:val="23"/>
          <w:szCs w:val="23"/>
          <w:lang w:eastAsia="en-GB"/>
        </w:rPr>
        <w:t>enrolment</w:t>
      </w:r>
      <w:r w:rsidRPr="00836023">
        <w:rPr>
          <w:rFonts w:ascii="Times New Roman" w:eastAsia="Times New Roman" w:hAnsi="Times New Roman" w:cs="Times New Roman"/>
          <w:sz w:val="23"/>
          <w:szCs w:val="23"/>
          <w:lang w:eastAsia="en-GB"/>
        </w:rPr>
        <w:t xml:space="preserve">. These conditions limit both formal participation in governance structures and the ability to mobilize resources for learning — a pattern consistent with research that finds socio-economic status shapes educational involvement and influence. </w:t>
      </w:r>
    </w:p>
    <w:p w14:paraId="11E77848" w14:textId="77777777" w:rsidR="00063613" w:rsidRPr="00836023" w:rsidRDefault="00063613" w:rsidP="00E9254F">
      <w:pPr>
        <w:spacing w:before="100" w:beforeAutospacing="1" w:after="100" w:afterAutospacing="1" w:line="360" w:lineRule="auto"/>
        <w:rPr>
          <w:rFonts w:ascii="Times New Roman" w:eastAsia="Times New Roman" w:hAnsi="Times New Roman" w:cs="Times New Roman"/>
          <w:sz w:val="23"/>
          <w:szCs w:val="23"/>
          <w:lang w:eastAsia="en-GB"/>
        </w:rPr>
      </w:pPr>
      <w:r w:rsidRPr="00836023">
        <w:rPr>
          <w:rFonts w:ascii="Times New Roman" w:eastAsia="Times New Roman" w:hAnsi="Times New Roman" w:cs="Times New Roman"/>
          <w:sz w:val="23"/>
          <w:szCs w:val="23"/>
          <w:lang w:eastAsia="en-GB"/>
        </w:rPr>
        <w:lastRenderedPageBreak/>
        <w:t xml:space="preserve">Within local governance contexts, qualitative insights from municipal officers reveal mixed capacities for resource allocation and community engagement. While municipalities like Solududhkunda have shown stronger uptake of partnership opportunities, others struggle to link community proposals to local priorities — illustrating how institutional environments condition community support practices in tangible ways. </w:t>
      </w:r>
    </w:p>
    <w:p w14:paraId="77FE2AE9" w14:textId="77777777" w:rsidR="00063613" w:rsidRPr="00836023" w:rsidRDefault="00063613" w:rsidP="00E9254F">
      <w:pPr>
        <w:spacing w:before="100" w:beforeAutospacing="1" w:after="100" w:afterAutospacing="1" w:line="360" w:lineRule="auto"/>
        <w:rPr>
          <w:rFonts w:ascii="Times New Roman" w:eastAsia="Times New Roman" w:hAnsi="Times New Roman" w:cs="Times New Roman"/>
          <w:sz w:val="23"/>
          <w:szCs w:val="23"/>
          <w:lang w:eastAsia="en-GB"/>
        </w:rPr>
      </w:pPr>
      <w:r w:rsidRPr="00836023">
        <w:rPr>
          <w:rFonts w:ascii="Times New Roman" w:eastAsia="Times New Roman" w:hAnsi="Times New Roman" w:cs="Times New Roman"/>
          <w:sz w:val="23"/>
          <w:szCs w:val="23"/>
          <w:lang w:eastAsia="en-GB"/>
        </w:rPr>
        <w:t xml:space="preserve">In sum, community social support practices are critical but not sufficient in isolation; their potential is realized only when socio-economic conditions, institutional capacities, and cultural norms are addressed through integrated, contextually grounded strategies that promote sustained and inclusive engagement in children’s education. </w:t>
      </w:r>
    </w:p>
    <w:p w14:paraId="5BDDDA92" w14:textId="77777777" w:rsidR="0069715E" w:rsidRPr="00836023" w:rsidRDefault="0069715E" w:rsidP="0026027E">
      <w:pPr>
        <w:spacing w:before="100" w:beforeAutospacing="1" w:after="100" w:afterAutospacing="1" w:line="360" w:lineRule="auto"/>
        <w:rPr>
          <w:rFonts w:ascii="Times New Roman" w:eastAsia="Times New Roman" w:hAnsi="Times New Roman" w:cs="Times New Roman"/>
          <w:b/>
          <w:bCs/>
          <w:i/>
          <w:iCs/>
          <w:sz w:val="23"/>
          <w:szCs w:val="23"/>
          <w:lang w:eastAsia="en-GB"/>
        </w:rPr>
      </w:pPr>
      <w:r w:rsidRPr="00836023">
        <w:rPr>
          <w:rFonts w:ascii="Times New Roman" w:eastAsia="Times New Roman" w:hAnsi="Times New Roman" w:cs="Times New Roman"/>
          <w:b/>
          <w:bCs/>
          <w:i/>
          <w:iCs/>
          <w:sz w:val="23"/>
          <w:szCs w:val="23"/>
          <w:lang w:eastAsia="en-GB"/>
        </w:rPr>
        <w:t xml:space="preserve">Concluding Insights and Recommendations </w:t>
      </w:r>
    </w:p>
    <w:p w14:paraId="6916E861" w14:textId="77777777" w:rsidR="0069715E" w:rsidRPr="00836023" w:rsidRDefault="0069715E" w:rsidP="0026027E">
      <w:pPr>
        <w:spacing w:before="100" w:beforeAutospacing="1" w:after="100" w:afterAutospacing="1" w:line="360" w:lineRule="auto"/>
        <w:rPr>
          <w:rFonts w:ascii="Times New Roman" w:eastAsia="Times New Roman" w:hAnsi="Times New Roman" w:cs="Times New Roman"/>
          <w:sz w:val="23"/>
          <w:szCs w:val="23"/>
          <w:lang w:eastAsia="en-GB"/>
        </w:rPr>
      </w:pPr>
      <w:r w:rsidRPr="00836023">
        <w:rPr>
          <w:rFonts w:ascii="Times New Roman" w:eastAsia="Times New Roman" w:hAnsi="Times New Roman" w:cs="Times New Roman"/>
          <w:sz w:val="23"/>
          <w:szCs w:val="23"/>
          <w:lang w:eastAsia="en-GB"/>
        </w:rPr>
        <w:t xml:space="preserve">The evidence points to key leverage points for enhancing inclusive educational participation: </w:t>
      </w:r>
    </w:p>
    <w:p w14:paraId="2EDDCD2C" w14:textId="77777777" w:rsidR="0069715E" w:rsidRPr="00836023" w:rsidRDefault="0069715E" w:rsidP="0026027E">
      <w:pPr>
        <w:spacing w:before="100" w:beforeAutospacing="1" w:after="100" w:afterAutospacing="1" w:line="360" w:lineRule="auto"/>
        <w:rPr>
          <w:rFonts w:ascii="Times New Roman" w:eastAsia="Times New Roman" w:hAnsi="Times New Roman" w:cs="Times New Roman"/>
          <w:sz w:val="23"/>
          <w:szCs w:val="23"/>
          <w:lang w:eastAsia="en-GB"/>
        </w:rPr>
      </w:pPr>
      <w:r w:rsidRPr="00836023">
        <w:rPr>
          <w:rFonts w:ascii="Times New Roman" w:eastAsia="Times New Roman" w:hAnsi="Times New Roman" w:cs="Times New Roman"/>
          <w:sz w:val="23"/>
          <w:szCs w:val="23"/>
          <w:lang w:eastAsia="en-GB"/>
        </w:rPr>
        <w:t xml:space="preserve">1. Strengthen SMC and PTA Capacities: Provide training in leadership, participatory decision-making, and governance accountability to expand meaningful community engagement. </w:t>
      </w:r>
    </w:p>
    <w:p w14:paraId="0E14D519" w14:textId="77777777" w:rsidR="0069715E" w:rsidRPr="00836023" w:rsidRDefault="0069715E" w:rsidP="0026027E">
      <w:pPr>
        <w:spacing w:before="100" w:beforeAutospacing="1" w:after="100" w:afterAutospacing="1" w:line="360" w:lineRule="auto"/>
        <w:rPr>
          <w:rFonts w:ascii="Times New Roman" w:eastAsia="Times New Roman" w:hAnsi="Times New Roman" w:cs="Times New Roman"/>
          <w:sz w:val="23"/>
          <w:szCs w:val="23"/>
          <w:lang w:eastAsia="en-GB"/>
        </w:rPr>
      </w:pPr>
      <w:r w:rsidRPr="00836023">
        <w:rPr>
          <w:rFonts w:ascii="Times New Roman" w:eastAsia="Times New Roman" w:hAnsi="Times New Roman" w:cs="Times New Roman"/>
          <w:sz w:val="23"/>
          <w:szCs w:val="23"/>
          <w:lang w:eastAsia="en-GB"/>
        </w:rPr>
        <w:t xml:space="preserve">2. Enhance Parental Support Strategies: Develop targeted literacy and communication programs to help parents engage effectively with schools, especially at secondary levels. </w:t>
      </w:r>
    </w:p>
    <w:p w14:paraId="503FD7D4" w14:textId="77777777" w:rsidR="0069715E" w:rsidRPr="00836023" w:rsidRDefault="0069715E" w:rsidP="0026027E">
      <w:pPr>
        <w:spacing w:before="100" w:beforeAutospacing="1" w:after="100" w:afterAutospacing="1" w:line="360" w:lineRule="auto"/>
        <w:rPr>
          <w:rFonts w:ascii="Times New Roman" w:eastAsia="Times New Roman" w:hAnsi="Times New Roman" w:cs="Times New Roman"/>
          <w:sz w:val="23"/>
          <w:szCs w:val="23"/>
          <w:lang w:eastAsia="en-GB"/>
        </w:rPr>
      </w:pPr>
      <w:r w:rsidRPr="00836023">
        <w:rPr>
          <w:rFonts w:ascii="Times New Roman" w:eastAsia="Times New Roman" w:hAnsi="Times New Roman" w:cs="Times New Roman"/>
          <w:sz w:val="23"/>
          <w:szCs w:val="23"/>
          <w:lang w:eastAsia="en-GB"/>
        </w:rPr>
        <w:t xml:space="preserve">3. Support Youth Groups: Institutionalize mechanisms for youth leadership within school councils and municipal education plans to amplify peer-based mobilization. </w:t>
      </w:r>
    </w:p>
    <w:p w14:paraId="3C47BF40" w14:textId="4AE472A6" w:rsidR="0069715E" w:rsidRDefault="0069715E" w:rsidP="0026027E">
      <w:pPr>
        <w:spacing w:before="100" w:beforeAutospacing="1" w:after="100" w:afterAutospacing="1" w:line="360" w:lineRule="auto"/>
        <w:rPr>
          <w:rFonts w:ascii="Times New Roman" w:eastAsia="Times New Roman" w:hAnsi="Times New Roman" w:cs="Times New Roman"/>
          <w:sz w:val="23"/>
          <w:szCs w:val="23"/>
          <w:lang w:eastAsia="en-GB"/>
        </w:rPr>
      </w:pPr>
      <w:r w:rsidRPr="00836023">
        <w:rPr>
          <w:rFonts w:ascii="Times New Roman" w:eastAsia="Times New Roman" w:hAnsi="Times New Roman" w:cs="Times New Roman"/>
          <w:sz w:val="23"/>
          <w:szCs w:val="23"/>
          <w:lang w:eastAsia="en-GB"/>
        </w:rPr>
        <w:t xml:space="preserve">4. Build Institutional Bridges: Foster stronger coordination between communities, local governments, and NGOs to align resources, clarify roles, and reinforce shared accountability for equitable educational outcomes. </w:t>
      </w:r>
    </w:p>
    <w:bookmarkEnd w:id="2"/>
    <w:p w14:paraId="2780CEEC" w14:textId="3BCFF79D" w:rsidR="0069715E" w:rsidRPr="00836023" w:rsidRDefault="00AB2A42" w:rsidP="0069715E">
      <w:pPr>
        <w:spacing w:before="100" w:beforeAutospacing="1" w:after="100" w:afterAutospacing="1" w:line="240" w:lineRule="auto"/>
        <w:jc w:val="both"/>
        <w:outlineLvl w:val="2"/>
        <w:rPr>
          <w:rFonts w:ascii="Times New Roman" w:eastAsia="Times New Roman" w:hAnsi="Times New Roman" w:cs="Times New Roman"/>
          <w:b/>
          <w:bCs/>
          <w:sz w:val="23"/>
          <w:szCs w:val="23"/>
          <w:lang w:eastAsia="en-GB"/>
        </w:rPr>
      </w:pPr>
      <w:r>
        <w:rPr>
          <w:rFonts w:ascii="Times New Roman" w:eastAsia="Times New Roman" w:hAnsi="Times New Roman" w:cs="Times New Roman"/>
          <w:b/>
          <w:bCs/>
          <w:sz w:val="23"/>
          <w:szCs w:val="23"/>
          <w:lang w:eastAsia="en-GB"/>
        </w:rPr>
        <w:t>6</w:t>
      </w:r>
      <w:r w:rsidR="00CB60B7" w:rsidRPr="00836023">
        <w:rPr>
          <w:rFonts w:ascii="Times New Roman" w:eastAsia="Times New Roman" w:hAnsi="Times New Roman" w:cs="Times New Roman"/>
          <w:b/>
          <w:bCs/>
          <w:sz w:val="23"/>
          <w:szCs w:val="23"/>
          <w:lang w:eastAsia="en-GB"/>
        </w:rPr>
        <w:t>.</w:t>
      </w:r>
      <w:r w:rsidR="0069715E" w:rsidRPr="00836023">
        <w:rPr>
          <w:rFonts w:ascii="Times New Roman" w:eastAsia="Times New Roman" w:hAnsi="Times New Roman" w:cs="Times New Roman"/>
          <w:b/>
          <w:bCs/>
          <w:sz w:val="23"/>
          <w:szCs w:val="23"/>
          <w:lang w:eastAsia="en-GB"/>
        </w:rPr>
        <w:t xml:space="preserve"> Conclusions</w:t>
      </w:r>
    </w:p>
    <w:p w14:paraId="7F9079D0" w14:textId="77777777" w:rsidR="002862B6" w:rsidRPr="002862B6" w:rsidRDefault="002862B6" w:rsidP="002862B6">
      <w:pPr>
        <w:pStyle w:val="isselectedend"/>
        <w:spacing w:line="360" w:lineRule="auto"/>
        <w:rPr>
          <w:sz w:val="23"/>
          <w:szCs w:val="23"/>
        </w:rPr>
      </w:pPr>
      <w:bookmarkStart w:id="4" w:name="_Hlk223604370"/>
      <w:r w:rsidRPr="002862B6">
        <w:rPr>
          <w:sz w:val="23"/>
          <w:szCs w:val="23"/>
        </w:rPr>
        <w:t xml:space="preserve">This study contributes to addressing a significant evidence gap in understanding how community social support practices interact with educational participation, retention, and learning experiences in remote mountain contexts of Nepal. Through qualitative inquiry across schools, adolescent groups, households, and local government stakeholders in Solududhkunda Municipality and Thulung Dudhkoshi Rural Municipality, the findings demonstrate that community support is a critical yet unevenly distributed resource influencing educational outcomes. While communities place high value on education and actively support school enrolment, the effectiveness of such support is shaped by household socio-economic realities, </w:t>
      </w:r>
      <w:r w:rsidRPr="002862B6">
        <w:rPr>
          <w:sz w:val="23"/>
          <w:szCs w:val="23"/>
        </w:rPr>
        <w:lastRenderedPageBreak/>
        <w:t>adolescent psychosocial wellbeing, institutional capacities, and the quality of community-school partnerships.</w:t>
      </w:r>
    </w:p>
    <w:p w14:paraId="649E2EB3" w14:textId="77777777" w:rsidR="002862B6" w:rsidRPr="002862B6" w:rsidRDefault="002862B6" w:rsidP="002862B6">
      <w:pPr>
        <w:pStyle w:val="isselectedend"/>
        <w:spacing w:line="360" w:lineRule="auto"/>
        <w:rPr>
          <w:sz w:val="23"/>
          <w:szCs w:val="23"/>
        </w:rPr>
      </w:pPr>
      <w:r w:rsidRPr="002862B6">
        <w:rPr>
          <w:sz w:val="23"/>
          <w:szCs w:val="23"/>
        </w:rPr>
        <w:t>The study reveals that educational participation and continuity are influenced not by a single factor but by the interaction of social capital, governance mechanisms, livelihood pressures, and cultural norms. Stronger community trust, parental commitment, youth engagement, and institutional collaboration are associated with better educational participation and retention; however, persistent challenges—including labour migration, low parental literacy, limited youth integration, weak governance capacities, and fragmented institutional coordination—continue to constrain inclusive educational progress. The findings therefore affirm that community social support practices are essential determinants of educational success in rural mountain settings, but their full potential can only be realized when supported by enabling socio-economic conditions, responsive institutions, and sustained stakeholder engagement.</w:t>
      </w:r>
    </w:p>
    <w:p w14:paraId="23728470" w14:textId="34F56F21" w:rsidR="002862B6" w:rsidRPr="002862B6" w:rsidRDefault="002862B6" w:rsidP="002862B6">
      <w:pPr>
        <w:pStyle w:val="Heading2"/>
        <w:rPr>
          <w:sz w:val="23"/>
          <w:szCs w:val="23"/>
        </w:rPr>
      </w:pPr>
      <w:r w:rsidRPr="002862B6">
        <w:rPr>
          <w:sz w:val="23"/>
          <w:szCs w:val="23"/>
        </w:rPr>
        <w:t>7</w:t>
      </w:r>
      <w:r w:rsidRPr="002862B6">
        <w:rPr>
          <w:sz w:val="23"/>
          <w:szCs w:val="23"/>
        </w:rPr>
        <w:t>. Way Forward</w:t>
      </w:r>
    </w:p>
    <w:p w14:paraId="7B4F7661" w14:textId="77777777" w:rsidR="002862B6" w:rsidRPr="002862B6" w:rsidRDefault="002862B6" w:rsidP="002862B6">
      <w:pPr>
        <w:pStyle w:val="isselectedend"/>
        <w:spacing w:line="360" w:lineRule="auto"/>
        <w:rPr>
          <w:sz w:val="23"/>
          <w:szCs w:val="23"/>
        </w:rPr>
      </w:pPr>
      <w:r w:rsidRPr="002862B6">
        <w:rPr>
          <w:sz w:val="23"/>
          <w:szCs w:val="23"/>
        </w:rPr>
        <w:t>The findings suggest that future efforts to strengthen educational outcomes in Solukhumbu should move beyond isolated interventions and adopt integrated approaches that simultaneously address household, community, school, and governance-level factors. Given the demonstrated influence of community social support on educational participation and retention, local governments, schools, civil society organizations, and development partners should invest in strengthening the institutional and social conditions that enable meaningful community engagement. Particular attention should be given to enhancing the capacity of School Management Committees (SMCs) and Parent-Teacher Associations (PTAs), improving communication and collaboration between schools and communities, and ensuring that community voices are systematically reflected in local education planning and decision-making processes.</w:t>
      </w:r>
    </w:p>
    <w:p w14:paraId="327D6232" w14:textId="77777777" w:rsidR="002862B6" w:rsidRPr="002862B6" w:rsidRDefault="002862B6" w:rsidP="002862B6">
      <w:pPr>
        <w:pStyle w:val="NormalWeb"/>
        <w:spacing w:line="360" w:lineRule="auto"/>
        <w:rPr>
          <w:sz w:val="23"/>
          <w:szCs w:val="23"/>
        </w:rPr>
      </w:pPr>
      <w:r w:rsidRPr="002862B6">
        <w:rPr>
          <w:sz w:val="23"/>
          <w:szCs w:val="23"/>
        </w:rPr>
        <w:t>The study also highlights the importance of investing in adolescents as active contributors to educational development. Strengthening youth leadership platforms, integrating psychosocial support into school and community programs, and creating formal pathways for youth participation in local governance can help transform existing community goodwill into sustained educational action. Equally important is the need to address structural barriers faced by families, including livelihood insecurity, labour migration, and limited educational awareness, through targeted parental support and community empowerment initiatives. Future research should build on these findings by examining longitudinal relationships between community support mechanisms and learning outcomes, thereby generating stronger evidence on scalable and contextually effective models of inclusive education in Nepal’s remote mountain regions.</w:t>
      </w:r>
    </w:p>
    <w:p w14:paraId="59676B8E" w14:textId="77777777" w:rsidR="009A0F24" w:rsidRPr="00E40940" w:rsidRDefault="009A0F24" w:rsidP="009A0F24">
      <w:pPr>
        <w:pStyle w:val="RALs-HeadingsNoIndent"/>
        <w:rPr>
          <w:rFonts w:asciiTheme="majorBidi" w:hAnsiTheme="majorBidi" w:cstheme="majorBidi"/>
          <w:sz w:val="24"/>
          <w:szCs w:val="24"/>
        </w:rPr>
      </w:pPr>
      <w:bookmarkStart w:id="5" w:name="_Hlk223604425"/>
      <w:bookmarkEnd w:id="4"/>
      <w:r w:rsidRPr="00E40940">
        <w:rPr>
          <w:rFonts w:asciiTheme="majorBidi" w:hAnsiTheme="majorBidi" w:cstheme="majorBidi"/>
          <w:sz w:val="24"/>
          <w:szCs w:val="24"/>
        </w:rPr>
        <w:lastRenderedPageBreak/>
        <w:t xml:space="preserve">Acknowledgments </w:t>
      </w:r>
    </w:p>
    <w:p w14:paraId="2DCB2A57" w14:textId="4BF6CE3D" w:rsidR="009E07B9" w:rsidRPr="009E07B9" w:rsidRDefault="009E07B9" w:rsidP="00993B18">
      <w:pPr>
        <w:spacing w:before="100" w:beforeAutospacing="1" w:after="100" w:afterAutospacing="1" w:line="360" w:lineRule="auto"/>
        <w:rPr>
          <w:rFonts w:ascii="Times New Roman" w:eastAsia="Times New Roman" w:hAnsi="Times New Roman" w:cs="Times New Roman"/>
          <w:sz w:val="23"/>
          <w:szCs w:val="23"/>
          <w:lang w:eastAsia="en-GB"/>
        </w:rPr>
      </w:pPr>
      <w:r w:rsidRPr="009E07B9">
        <w:rPr>
          <w:rFonts w:ascii="Times New Roman" w:eastAsia="Times New Roman" w:hAnsi="Times New Roman" w:cs="Times New Roman"/>
          <w:sz w:val="23"/>
          <w:szCs w:val="23"/>
          <w:lang w:eastAsia="en-GB"/>
        </w:rPr>
        <w:t>We</w:t>
      </w:r>
      <w:r w:rsidRPr="00836023">
        <w:rPr>
          <w:rFonts w:ascii="Times New Roman" w:eastAsia="Times New Roman" w:hAnsi="Times New Roman" w:cs="Times New Roman"/>
          <w:sz w:val="23"/>
          <w:szCs w:val="23"/>
          <w:lang w:eastAsia="en-GB"/>
        </w:rPr>
        <w:t xml:space="preserve"> (</w:t>
      </w:r>
      <w:r w:rsidRPr="009E07B9">
        <w:rPr>
          <w:rFonts w:ascii="Times New Roman" w:eastAsia="Times New Roman" w:hAnsi="Times New Roman" w:cs="Times New Roman"/>
          <w:sz w:val="23"/>
          <w:szCs w:val="23"/>
          <w:lang w:eastAsia="en-GB"/>
        </w:rPr>
        <w:t>authors</w:t>
      </w:r>
      <w:r w:rsidRPr="00836023">
        <w:rPr>
          <w:rFonts w:ascii="Times New Roman" w:eastAsia="Times New Roman" w:hAnsi="Times New Roman" w:cs="Times New Roman"/>
          <w:sz w:val="23"/>
          <w:szCs w:val="23"/>
          <w:lang w:eastAsia="en-GB"/>
        </w:rPr>
        <w:t xml:space="preserve"> team)</w:t>
      </w:r>
      <w:r w:rsidRPr="009E07B9">
        <w:rPr>
          <w:rFonts w:ascii="Times New Roman" w:eastAsia="Times New Roman" w:hAnsi="Times New Roman" w:cs="Times New Roman"/>
          <w:sz w:val="23"/>
          <w:szCs w:val="23"/>
          <w:lang w:eastAsia="en-GB"/>
        </w:rPr>
        <w:t>, would like to express our sincere gratitude to the local communities of Solukhumbu for their valuable support, active participation, and cooperation throughout the research process. We are especially thankful to the local</w:t>
      </w:r>
      <w:r w:rsidR="005B79A0">
        <w:rPr>
          <w:rFonts w:ascii="Times New Roman" w:eastAsia="Times New Roman" w:hAnsi="Times New Roman" w:cs="Times New Roman"/>
          <w:sz w:val="23"/>
          <w:szCs w:val="23"/>
          <w:lang w:eastAsia="en-GB"/>
        </w:rPr>
        <w:t>-based</w:t>
      </w:r>
      <w:r w:rsidRPr="009E07B9">
        <w:rPr>
          <w:rFonts w:ascii="Times New Roman" w:eastAsia="Times New Roman" w:hAnsi="Times New Roman" w:cs="Times New Roman"/>
          <w:sz w:val="23"/>
          <w:szCs w:val="23"/>
          <w:lang w:eastAsia="en-GB"/>
        </w:rPr>
        <w:t xml:space="preserve"> NGOs, community-based organizations (CBOs), school teachers, parents, and community mem</w:t>
      </w:r>
      <w:r w:rsidR="005B79A0">
        <w:rPr>
          <w:rFonts w:ascii="Times New Roman" w:eastAsia="Times New Roman" w:hAnsi="Times New Roman" w:cs="Times New Roman"/>
          <w:sz w:val="23"/>
          <w:szCs w:val="23"/>
          <w:lang w:eastAsia="en-GB"/>
        </w:rPr>
        <w:t>b</w:t>
      </w:r>
      <w:r w:rsidRPr="009E07B9">
        <w:rPr>
          <w:rFonts w:ascii="Times New Roman" w:eastAsia="Times New Roman" w:hAnsi="Times New Roman" w:cs="Times New Roman"/>
          <w:sz w:val="23"/>
          <w:szCs w:val="23"/>
          <w:lang w:eastAsia="en-GB"/>
        </w:rPr>
        <w:t>ers whose insights, experiences, and encouragement greatly contributed to the successful completion of this study.</w:t>
      </w:r>
      <w:r w:rsidR="00283602" w:rsidRPr="00836023">
        <w:rPr>
          <w:rFonts w:ascii="Times New Roman" w:eastAsia="Times New Roman" w:hAnsi="Times New Roman" w:cs="Times New Roman"/>
          <w:sz w:val="23"/>
          <w:szCs w:val="23"/>
          <w:lang w:eastAsia="en-GB"/>
        </w:rPr>
        <w:t xml:space="preserve"> </w:t>
      </w:r>
      <w:r w:rsidRPr="009E07B9">
        <w:rPr>
          <w:rFonts w:ascii="Times New Roman" w:eastAsia="Times New Roman" w:hAnsi="Times New Roman" w:cs="Times New Roman"/>
          <w:sz w:val="23"/>
          <w:szCs w:val="23"/>
          <w:lang w:eastAsia="en-GB"/>
        </w:rPr>
        <w:t>We highly appreciate the time, knowledge, and hospitality extended by all stakeholders and respondents during field visits, consultations, discussions, and data collection activities. Their contributions have significantly enriched the quality, relevance, and practical understanding of this research work.</w:t>
      </w:r>
    </w:p>
    <w:p w14:paraId="66241CD3" w14:textId="77777777" w:rsidR="009E07B9" w:rsidRPr="009E07B9" w:rsidRDefault="009E07B9" w:rsidP="00993B18">
      <w:pPr>
        <w:spacing w:before="100" w:beforeAutospacing="1" w:after="100" w:afterAutospacing="1" w:line="360" w:lineRule="auto"/>
        <w:rPr>
          <w:rFonts w:ascii="Times New Roman" w:eastAsia="Times New Roman" w:hAnsi="Times New Roman" w:cs="Times New Roman"/>
          <w:sz w:val="23"/>
          <w:szCs w:val="23"/>
          <w:lang w:eastAsia="en-GB"/>
        </w:rPr>
      </w:pPr>
      <w:r w:rsidRPr="009E07B9">
        <w:rPr>
          <w:rFonts w:ascii="Times New Roman" w:eastAsia="Times New Roman" w:hAnsi="Times New Roman" w:cs="Times New Roman"/>
          <w:sz w:val="23"/>
          <w:szCs w:val="23"/>
          <w:lang w:eastAsia="en-GB"/>
        </w:rPr>
        <w:t>We also acknowledge the support and coordination provided by local institutions and community leaders in facilitating meaningful engagement and collaboration at the community level.</w:t>
      </w:r>
    </w:p>
    <w:p w14:paraId="5907AAE8" w14:textId="3741C416" w:rsidR="005F018B" w:rsidRPr="00BB3B01" w:rsidRDefault="005F018B" w:rsidP="005F018B">
      <w:pPr>
        <w:pStyle w:val="RALs-ReferencesList"/>
        <w:rPr>
          <w:rFonts w:asciiTheme="majorBidi" w:eastAsiaTheme="minorHAnsi" w:hAnsiTheme="majorBidi" w:cstheme="majorBidi"/>
          <w:b/>
          <w:bCs/>
          <w:sz w:val="24"/>
          <w:szCs w:val="24"/>
          <w:u w:val="single"/>
        </w:rPr>
      </w:pPr>
      <w:r w:rsidRPr="00BB3B01">
        <w:rPr>
          <w:rFonts w:asciiTheme="majorBidi" w:eastAsiaTheme="minorHAnsi" w:hAnsiTheme="majorBidi" w:cstheme="majorBidi"/>
          <w:b/>
          <w:bCs/>
          <w:sz w:val="24"/>
          <w:szCs w:val="24"/>
          <w:u w:val="single"/>
        </w:rPr>
        <w:t>Bio</w:t>
      </w:r>
      <w:r w:rsidR="00243D21" w:rsidRPr="00BB3B01">
        <w:rPr>
          <w:rFonts w:asciiTheme="majorBidi" w:eastAsiaTheme="minorHAnsi" w:hAnsiTheme="majorBidi" w:cstheme="majorBidi"/>
          <w:b/>
          <w:bCs/>
          <w:sz w:val="24"/>
          <w:szCs w:val="24"/>
          <w:u w:val="single"/>
        </w:rPr>
        <w:t>-</w:t>
      </w:r>
      <w:r w:rsidRPr="00BB3B01">
        <w:rPr>
          <w:rFonts w:asciiTheme="majorBidi" w:eastAsiaTheme="minorHAnsi" w:hAnsiTheme="majorBidi" w:cstheme="majorBidi"/>
          <w:b/>
          <w:bCs/>
          <w:sz w:val="24"/>
          <w:szCs w:val="24"/>
          <w:u w:val="single"/>
        </w:rPr>
        <w:t>note</w:t>
      </w:r>
      <w:r w:rsidR="006562FD">
        <w:rPr>
          <w:rFonts w:asciiTheme="majorBidi" w:eastAsiaTheme="minorHAnsi" w:hAnsiTheme="majorBidi" w:cstheme="majorBidi"/>
          <w:b/>
          <w:bCs/>
          <w:sz w:val="24"/>
          <w:szCs w:val="24"/>
          <w:u w:val="single"/>
        </w:rPr>
        <w:t xml:space="preserve"> of Team:</w:t>
      </w:r>
    </w:p>
    <w:p w14:paraId="46F27260" w14:textId="77777777" w:rsidR="00243D21" w:rsidRPr="00243D21" w:rsidRDefault="00243D21" w:rsidP="00243D21">
      <w:pPr>
        <w:spacing w:before="100" w:beforeAutospacing="1" w:after="100" w:afterAutospacing="1" w:line="240" w:lineRule="auto"/>
        <w:rPr>
          <w:rFonts w:ascii="Times New Roman" w:eastAsia="Times New Roman" w:hAnsi="Times New Roman" w:cs="Times New Roman"/>
          <w:b/>
          <w:bCs/>
          <w:sz w:val="24"/>
          <w:szCs w:val="24"/>
          <w:lang w:eastAsia="en-GB"/>
        </w:rPr>
      </w:pPr>
      <w:r w:rsidRPr="00243D21">
        <w:rPr>
          <w:rFonts w:ascii="Times New Roman" w:eastAsia="Times New Roman" w:hAnsi="Times New Roman" w:cs="Times New Roman"/>
          <w:b/>
          <w:bCs/>
          <w:sz w:val="24"/>
          <w:szCs w:val="24"/>
          <w:lang w:eastAsia="en-GB"/>
        </w:rPr>
        <w:t>I. Nirmal Chongbang</w:t>
      </w:r>
    </w:p>
    <w:p w14:paraId="5E1AABF5" w14:textId="77777777" w:rsidR="00243D21" w:rsidRPr="00243D21" w:rsidRDefault="00243D21" w:rsidP="004818D1">
      <w:pPr>
        <w:spacing w:before="100" w:beforeAutospacing="1" w:after="100" w:afterAutospacing="1" w:line="360" w:lineRule="auto"/>
        <w:ind w:firstLine="720"/>
        <w:rPr>
          <w:rFonts w:ascii="Times New Roman" w:eastAsia="Times New Roman" w:hAnsi="Times New Roman" w:cs="Times New Roman"/>
          <w:sz w:val="24"/>
          <w:szCs w:val="24"/>
          <w:lang w:eastAsia="en-GB"/>
        </w:rPr>
      </w:pPr>
      <w:r w:rsidRPr="00243D21">
        <w:rPr>
          <w:rFonts w:ascii="Times New Roman" w:eastAsia="Times New Roman" w:hAnsi="Times New Roman" w:cs="Times New Roman"/>
          <w:sz w:val="24"/>
          <w:szCs w:val="24"/>
          <w:lang w:eastAsia="en-GB"/>
        </w:rPr>
        <w:t>Nirmal Chongbang is a PhD student in Social Work with professional experience in humanitarian and development programming in Nepal. His academic and professional interests focus on community support practices, resilience building, disaster risk reduction, and climate adaptation. He is actively engaged in knowledge generation and evidence-based community development initiatives.</w:t>
      </w:r>
    </w:p>
    <w:p w14:paraId="4043C31A" w14:textId="77777777" w:rsidR="00243D21" w:rsidRPr="00243D21" w:rsidRDefault="00243D21" w:rsidP="00243D21">
      <w:pPr>
        <w:spacing w:before="100" w:beforeAutospacing="1" w:after="100" w:afterAutospacing="1" w:line="240" w:lineRule="auto"/>
        <w:rPr>
          <w:rFonts w:ascii="Times New Roman" w:eastAsia="Times New Roman" w:hAnsi="Times New Roman" w:cs="Times New Roman"/>
          <w:b/>
          <w:bCs/>
          <w:sz w:val="24"/>
          <w:szCs w:val="24"/>
          <w:lang w:eastAsia="en-GB"/>
        </w:rPr>
      </w:pPr>
      <w:r w:rsidRPr="00243D21">
        <w:rPr>
          <w:rFonts w:ascii="Times New Roman" w:eastAsia="Times New Roman" w:hAnsi="Times New Roman" w:cs="Times New Roman"/>
          <w:b/>
          <w:bCs/>
          <w:sz w:val="24"/>
          <w:szCs w:val="24"/>
          <w:lang w:eastAsia="en-GB"/>
        </w:rPr>
        <w:t>II. Ratnesh Shahi</w:t>
      </w:r>
    </w:p>
    <w:p w14:paraId="02A081E8" w14:textId="77777777" w:rsidR="00243D21" w:rsidRPr="00243D21" w:rsidRDefault="00243D21" w:rsidP="004818D1">
      <w:pPr>
        <w:spacing w:before="100" w:beforeAutospacing="1" w:after="100" w:afterAutospacing="1" w:line="360" w:lineRule="auto"/>
        <w:ind w:firstLine="720"/>
        <w:rPr>
          <w:rFonts w:ascii="Times New Roman" w:eastAsia="Times New Roman" w:hAnsi="Times New Roman" w:cs="Times New Roman"/>
          <w:sz w:val="24"/>
          <w:szCs w:val="24"/>
          <w:lang w:eastAsia="en-GB"/>
        </w:rPr>
      </w:pPr>
      <w:r w:rsidRPr="00243D21">
        <w:rPr>
          <w:rFonts w:ascii="Times New Roman" w:eastAsia="Times New Roman" w:hAnsi="Times New Roman" w:cs="Times New Roman"/>
          <w:sz w:val="24"/>
          <w:szCs w:val="24"/>
          <w:lang w:eastAsia="en-GB"/>
        </w:rPr>
        <w:t>Ratnesh Shahi is a Government Official of Nepal with experience in public administration, governance, and policy leadership. He has contributed to institutional coordination and policy implementation processes at different levels of government. His interests include governance reform, public policy, and leadership in development sectors.</w:t>
      </w:r>
    </w:p>
    <w:p w14:paraId="62A4635E" w14:textId="77777777" w:rsidR="00243D21" w:rsidRPr="00243D21" w:rsidRDefault="00243D21" w:rsidP="00243D21">
      <w:pPr>
        <w:spacing w:before="100" w:beforeAutospacing="1" w:after="100" w:afterAutospacing="1" w:line="240" w:lineRule="auto"/>
        <w:rPr>
          <w:rFonts w:ascii="Times New Roman" w:eastAsia="Times New Roman" w:hAnsi="Times New Roman" w:cs="Times New Roman"/>
          <w:b/>
          <w:bCs/>
          <w:sz w:val="24"/>
          <w:szCs w:val="24"/>
          <w:lang w:eastAsia="en-GB"/>
        </w:rPr>
      </w:pPr>
      <w:r w:rsidRPr="00243D21">
        <w:rPr>
          <w:rFonts w:ascii="Times New Roman" w:eastAsia="Times New Roman" w:hAnsi="Times New Roman" w:cs="Times New Roman"/>
          <w:b/>
          <w:bCs/>
          <w:sz w:val="24"/>
          <w:szCs w:val="24"/>
          <w:lang w:eastAsia="en-GB"/>
        </w:rPr>
        <w:t>III. Manoj Bhandari</w:t>
      </w:r>
    </w:p>
    <w:p w14:paraId="5784EEEE" w14:textId="77777777" w:rsidR="00243D21" w:rsidRPr="00243D21" w:rsidRDefault="00243D21" w:rsidP="004818D1">
      <w:pPr>
        <w:spacing w:before="100" w:beforeAutospacing="1" w:after="100" w:afterAutospacing="1" w:line="360" w:lineRule="auto"/>
        <w:ind w:firstLine="720"/>
        <w:rPr>
          <w:rFonts w:ascii="Times New Roman" w:eastAsia="Times New Roman" w:hAnsi="Times New Roman" w:cs="Times New Roman"/>
          <w:sz w:val="24"/>
          <w:szCs w:val="24"/>
          <w:lang w:eastAsia="en-GB"/>
        </w:rPr>
      </w:pPr>
      <w:r w:rsidRPr="00243D21">
        <w:rPr>
          <w:rFonts w:ascii="Times New Roman" w:eastAsia="Times New Roman" w:hAnsi="Times New Roman" w:cs="Times New Roman"/>
          <w:sz w:val="24"/>
          <w:szCs w:val="24"/>
          <w:lang w:eastAsia="en-GB"/>
        </w:rPr>
        <w:t>Manoj Bhandari is an MPhil student specializing in Education and Knowledge Management. His academic interests include educational development, learning systems, and knowledge-sharing practices for institutional strengthening. He is committed to promoting research-based educational innovation and capacity development.</w:t>
      </w:r>
    </w:p>
    <w:p w14:paraId="11FE90EA" w14:textId="2C14ADBE" w:rsidR="00C3730C" w:rsidRDefault="00C3730C" w:rsidP="002435F9">
      <w:pPr>
        <w:jc w:val="both"/>
        <w:rPr>
          <w:rFonts w:ascii="Times New Roman" w:hAnsi="Times New Roman" w:cs="Times New Roman"/>
          <w:b/>
          <w:bCs/>
          <w:sz w:val="24"/>
          <w:szCs w:val="24"/>
        </w:rPr>
      </w:pPr>
    </w:p>
    <w:p w14:paraId="2CFDACF9" w14:textId="635E2073" w:rsidR="00D1414B" w:rsidRDefault="00D1414B" w:rsidP="002435F9">
      <w:pPr>
        <w:jc w:val="both"/>
        <w:rPr>
          <w:rFonts w:ascii="Times New Roman" w:hAnsi="Times New Roman" w:cs="Times New Roman"/>
          <w:b/>
          <w:bCs/>
          <w:sz w:val="24"/>
          <w:szCs w:val="24"/>
        </w:rPr>
      </w:pPr>
      <w:r w:rsidRPr="00D1414B">
        <w:rPr>
          <w:rFonts w:ascii="Times New Roman" w:hAnsi="Times New Roman" w:cs="Times New Roman"/>
          <w:b/>
          <w:bCs/>
          <w:sz w:val="24"/>
          <w:szCs w:val="24"/>
        </w:rPr>
        <w:lastRenderedPageBreak/>
        <w:t>References:</w:t>
      </w:r>
    </w:p>
    <w:p w14:paraId="72845FD4" w14:textId="73572C2E" w:rsidR="00353315" w:rsidRDefault="00353315" w:rsidP="00353315">
      <w:pPr>
        <w:pStyle w:val="isselectedend"/>
      </w:pPr>
      <w:r>
        <w:t xml:space="preserve">Adhikari, A. (2025). </w:t>
      </w:r>
      <w:r>
        <w:rPr>
          <w:rStyle w:val="Emphasis"/>
        </w:rPr>
        <w:t>Community participation and school governance in Nepal: The role of local norms and power relations</w:t>
      </w:r>
      <w:r>
        <w:t xml:space="preserve">. </w:t>
      </w:r>
      <w:r w:rsidR="000E13FE" w:rsidRPr="000E13FE">
        <w:rPr>
          <w:rStyle w:val="text-token-text-primary"/>
        </w:rPr>
        <w:t>https://www.nepjol.info/index.php/nprcjmr/article/view/83856</w:t>
      </w:r>
    </w:p>
    <w:p w14:paraId="5B5D42F9" w14:textId="77777777" w:rsidR="00353315" w:rsidRDefault="00353315" w:rsidP="00353315">
      <w:pPr>
        <w:pStyle w:val="isselectedend"/>
      </w:pPr>
      <w:r>
        <w:t xml:space="preserve">Berger, P. L., &amp; Luckmann, T. (1966). </w:t>
      </w:r>
      <w:r>
        <w:rPr>
          <w:rStyle w:val="Emphasis"/>
        </w:rPr>
        <w:t>The social construction of reality: A treatise in the sociology of knowledge</w:t>
      </w:r>
      <w:r>
        <w:t>. Anchor Books.</w:t>
      </w:r>
    </w:p>
    <w:p w14:paraId="44006280" w14:textId="77777777" w:rsidR="00C0406A" w:rsidRDefault="00353315" w:rsidP="00353315">
      <w:pPr>
        <w:pStyle w:val="isselectedend"/>
      </w:pPr>
      <w:r>
        <w:t xml:space="preserve">Bhattarai, B. (2022). </w:t>
      </w:r>
      <w:r>
        <w:rPr>
          <w:rStyle w:val="Emphasis"/>
        </w:rPr>
        <w:t>Decentralized education governance and community participation in Nepal</w:t>
      </w:r>
      <w:r>
        <w:t xml:space="preserve">. </w:t>
      </w:r>
      <w:r w:rsidR="00C0406A">
        <w:rPr>
          <w:rFonts w:ascii="Roboto" w:hAnsi="Roboto"/>
          <w:color w:val="555555"/>
          <w:sz w:val="21"/>
          <w:szCs w:val="21"/>
          <w:shd w:val="clear" w:color="auto" w:fill="FFFFFF"/>
        </w:rPr>
        <w:t>DOI:</w:t>
      </w:r>
      <w:hyperlink r:id="rId13" w:tgtFrame="_blank" w:history="1">
        <w:r w:rsidR="00C0406A">
          <w:rPr>
            <w:rStyle w:val="Hyperlink"/>
            <w:rFonts w:ascii="Roboto" w:hAnsi="Roboto"/>
            <w:sz w:val="21"/>
            <w:szCs w:val="21"/>
            <w:bdr w:val="none" w:sz="0" w:space="0" w:color="auto" w:frame="1"/>
            <w:shd w:val="clear" w:color="auto" w:fill="FFFFFF"/>
          </w:rPr>
          <w:t>10.3126/sijssr.v2i2.33060</w:t>
        </w:r>
      </w:hyperlink>
      <w:r w:rsidR="00C0406A">
        <w:br/>
      </w:r>
    </w:p>
    <w:p w14:paraId="42ED845E" w14:textId="03F408C0" w:rsidR="00353315" w:rsidRDefault="00353315" w:rsidP="00353315">
      <w:pPr>
        <w:pStyle w:val="isselectedend"/>
      </w:pPr>
      <w:r>
        <w:t xml:space="preserve">Bronfenbrenner, U. (1979). </w:t>
      </w:r>
      <w:r>
        <w:rPr>
          <w:rStyle w:val="Emphasis"/>
        </w:rPr>
        <w:t>The ecology of human development: Experiments by nature and design</w:t>
      </w:r>
      <w:r>
        <w:t>. Harvard University Press.</w:t>
      </w:r>
    </w:p>
    <w:p w14:paraId="11394C1A" w14:textId="77777777" w:rsidR="00353315" w:rsidRPr="00525B71" w:rsidRDefault="00353315" w:rsidP="00353315">
      <w:pPr>
        <w:spacing w:before="100" w:beforeAutospacing="1" w:after="100" w:afterAutospacing="1" w:line="240" w:lineRule="auto"/>
        <w:rPr>
          <w:rFonts w:ascii="Times New Roman" w:eastAsia="Times New Roman" w:hAnsi="Times New Roman" w:cs="Times New Roman"/>
          <w:sz w:val="24"/>
          <w:szCs w:val="24"/>
          <w:lang w:eastAsia="en-GB"/>
        </w:rPr>
      </w:pPr>
      <w:r w:rsidRPr="00525B71">
        <w:rPr>
          <w:rFonts w:ascii="Times New Roman" w:eastAsia="Times New Roman" w:hAnsi="Times New Roman" w:cs="Times New Roman"/>
          <w:sz w:val="24"/>
          <w:szCs w:val="24"/>
          <w:lang w:eastAsia="en-GB"/>
        </w:rPr>
        <w:t xml:space="preserve">Chaudhary, T. (2024). </w:t>
      </w:r>
      <w:r w:rsidRPr="00525B71">
        <w:rPr>
          <w:rFonts w:ascii="Times New Roman" w:eastAsia="Times New Roman" w:hAnsi="Times New Roman" w:cs="Times New Roman"/>
          <w:i/>
          <w:iCs/>
          <w:sz w:val="24"/>
          <w:szCs w:val="24"/>
          <w:lang w:eastAsia="en-GB"/>
        </w:rPr>
        <w:t>Parental Engagement to Promote a Reading Culture in the Tharu Community</w:t>
      </w:r>
      <w:r w:rsidRPr="00525B71">
        <w:rPr>
          <w:rFonts w:ascii="Times New Roman" w:eastAsia="Times New Roman" w:hAnsi="Times New Roman" w:cs="Times New Roman"/>
          <w:sz w:val="24"/>
          <w:szCs w:val="24"/>
          <w:lang w:eastAsia="en-GB"/>
        </w:rPr>
        <w:t xml:space="preserve">. Journal of Multidisciplinary Research Advancements. </w:t>
      </w:r>
    </w:p>
    <w:p w14:paraId="55DC38CA" w14:textId="77777777" w:rsidR="00353315" w:rsidRDefault="00353315" w:rsidP="00353315">
      <w:pPr>
        <w:pStyle w:val="isselectedend"/>
      </w:pPr>
      <w:r>
        <w:t xml:space="preserve">Creswell, J. W., &amp; Poth, C. N. (2018). </w:t>
      </w:r>
      <w:r>
        <w:rPr>
          <w:rStyle w:val="Emphasis"/>
        </w:rPr>
        <w:t>Qualitative inquiry and research design: Choosing among five approaches</w:t>
      </w:r>
      <w:r>
        <w:t xml:space="preserve"> (4th ed.). Sage Publications.</w:t>
      </w:r>
    </w:p>
    <w:p w14:paraId="7C7B7CC3" w14:textId="43060A4C" w:rsidR="00353315" w:rsidRDefault="00353315" w:rsidP="00353315">
      <w:pPr>
        <w:pStyle w:val="isselectedend"/>
      </w:pPr>
      <w:r>
        <w:t xml:space="preserve">Dahal, D. (2025). </w:t>
      </w:r>
      <w:r>
        <w:rPr>
          <w:rStyle w:val="Emphasis"/>
        </w:rPr>
        <w:t>School Management Committees and stakeholder participation in Nepalese education</w:t>
      </w:r>
      <w:r>
        <w:t xml:space="preserve">. </w:t>
      </w:r>
      <w:r w:rsidR="004E552C" w:rsidRPr="004E552C">
        <w:t>https://doi.org/10.3126/jori.v12i2.87960</w:t>
      </w:r>
    </w:p>
    <w:p w14:paraId="286E4DCF" w14:textId="65C26CE4" w:rsidR="00353315" w:rsidRDefault="00353315" w:rsidP="00A53E21">
      <w:pPr>
        <w:pStyle w:val="NormalWeb"/>
      </w:pPr>
      <w:r>
        <w:t xml:space="preserve">Katel, K., &amp; Katel, S. (2024). </w:t>
      </w:r>
      <w:r>
        <w:rPr>
          <w:rStyle w:val="Emphasis"/>
        </w:rPr>
        <w:t>Community participation and school governance in Nepal: Opportunities and challenges</w:t>
      </w:r>
      <w:r>
        <w:t>.</w:t>
      </w:r>
      <w:r w:rsidR="00A53E21">
        <w:t xml:space="preserve"> </w:t>
      </w:r>
      <w:r w:rsidR="00A53E21">
        <w:t>DOI: https://doi.org/10.3126/rs.v1i1.74679</w:t>
      </w:r>
    </w:p>
    <w:p w14:paraId="2AABD98A" w14:textId="07CA01BA" w:rsidR="00353315" w:rsidRDefault="00353315" w:rsidP="007405B7">
      <w:pPr>
        <w:pStyle w:val="NormalWeb"/>
      </w:pPr>
      <w:r>
        <w:t xml:space="preserve">Maharjan, S. (2025). </w:t>
      </w:r>
      <w:r>
        <w:rPr>
          <w:rStyle w:val="Emphasis"/>
        </w:rPr>
        <w:t>Community engagement and learning environments in rural Nepal</w:t>
      </w:r>
      <w:r>
        <w:t xml:space="preserve">. </w:t>
      </w:r>
      <w:r w:rsidR="007405B7">
        <w:t>DOI:10.58230/27454312.2424</w:t>
      </w:r>
    </w:p>
    <w:p w14:paraId="1DC546B8" w14:textId="17875111" w:rsidR="00353315" w:rsidRDefault="00353315" w:rsidP="00AA32C4">
      <w:pPr>
        <w:pStyle w:val="NormalWeb"/>
      </w:pPr>
      <w:r>
        <w:t xml:space="preserve">Pant, R., &amp; Pant, S. (2025). </w:t>
      </w:r>
      <w:r>
        <w:rPr>
          <w:rStyle w:val="Emphasis"/>
        </w:rPr>
        <w:t>Social capital, parental involvement, and educational outcomes in Nepal</w:t>
      </w:r>
      <w:r>
        <w:t xml:space="preserve">. </w:t>
      </w:r>
      <w:r w:rsidR="00AA32C4">
        <w:t>DOI: https://doi.org/10.3126/kmcj.v7i2.83447</w:t>
      </w:r>
    </w:p>
    <w:p w14:paraId="368487DA" w14:textId="3A8733E6" w:rsidR="00353315" w:rsidRDefault="00353315" w:rsidP="008873DC">
      <w:pPr>
        <w:pStyle w:val="NormalWeb"/>
      </w:pPr>
      <w:r>
        <w:t xml:space="preserve">Scott, W. R. (2004). </w:t>
      </w:r>
      <w:r>
        <w:rPr>
          <w:rStyle w:val="Emphasis"/>
        </w:rPr>
        <w:t>Institutional theory</w:t>
      </w:r>
      <w:r>
        <w:t xml:space="preserve">. In G. Ritzer (Ed.), </w:t>
      </w:r>
      <w:r>
        <w:rPr>
          <w:rStyle w:val="Emphasis"/>
        </w:rPr>
        <w:t>Encyclopedia of social theory</w:t>
      </w:r>
      <w:r>
        <w:t xml:space="preserve"> (</w:t>
      </w:r>
      <w:r w:rsidR="008873DC">
        <w:t>DOI:10.3923/ibm.2016.5422.5431</w:t>
      </w:r>
      <w:r>
        <w:t>). Sage Publications.</w:t>
      </w:r>
    </w:p>
    <w:p w14:paraId="75794476" w14:textId="77777777" w:rsidR="00090431" w:rsidRDefault="00090431" w:rsidP="00090431">
      <w:pPr>
        <w:pStyle w:val="NormalWeb"/>
      </w:pPr>
      <w:r>
        <w:t>Shrestha, S., &amp; Dangal, M. R. (2024). Bridging the gap between community schools and rural communities in Nepal using participatory action research. Australian and International Journal of Rural Education, 34(2), 54–70. https://doi.org/10.47381/aijre.v34i2.715</w:t>
      </w:r>
    </w:p>
    <w:p w14:paraId="207A28E4" w14:textId="78EACCBB" w:rsidR="00413770" w:rsidRDefault="00353315" w:rsidP="00413770">
      <w:pPr>
        <w:pStyle w:val="isselectedend"/>
        <w:rPr>
          <w:rStyle w:val="text-token-text-primary"/>
        </w:rPr>
      </w:pPr>
      <w:r>
        <w:t xml:space="preserve">South Asian Journal of Research &amp; Innovation. (2025). </w:t>
      </w:r>
      <w:r>
        <w:rPr>
          <w:rStyle w:val="Emphasis"/>
        </w:rPr>
        <w:t>Community participation in school governance in Nepal</w:t>
      </w:r>
      <w:r>
        <w:t xml:space="preserve">. </w:t>
      </w:r>
      <w:hyperlink r:id="rId14" w:history="1">
        <w:r w:rsidR="00413770" w:rsidRPr="007F7AB1">
          <w:rPr>
            <w:rStyle w:val="Hyperlink"/>
          </w:rPr>
          <w:t>https://www.nepjol.info/index.php/jori/article/view/87960</w:t>
        </w:r>
      </w:hyperlink>
    </w:p>
    <w:p w14:paraId="6BAB5967" w14:textId="72766DA6" w:rsidR="00D1414B" w:rsidRPr="002435F9" w:rsidRDefault="00353315" w:rsidP="007E7DC6">
      <w:pPr>
        <w:pStyle w:val="isselectedend"/>
      </w:pPr>
      <w:r>
        <w:t xml:space="preserve">ResearchGate. (2025). </w:t>
      </w:r>
      <w:r>
        <w:rPr>
          <w:rStyle w:val="Emphasis"/>
        </w:rPr>
        <w:t>Community participation and educational governance in Nepal</w:t>
      </w:r>
      <w:r>
        <w:t xml:space="preserve">. Retrieved from </w:t>
      </w:r>
      <w:hyperlink r:id="rId15" w:history="1">
        <w:r>
          <w:rPr>
            <w:rStyle w:val="Hyperlink"/>
          </w:rPr>
          <w:t>https://www.researchgate.net</w:t>
        </w:r>
      </w:hyperlink>
      <w:bookmarkEnd w:id="5"/>
    </w:p>
    <w:sectPr w:rsidR="00D1414B" w:rsidRPr="002435F9" w:rsidSect="00CF3FE9">
      <w:pgSz w:w="11906" w:h="16838"/>
      <w:pgMar w:top="1440" w:right="1440" w:bottom="851"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DELL" w:date="2026-05-17T11:00:00Z" w:initials="D">
    <w:p w14:paraId="6319D0F4" w14:textId="70720DBC" w:rsidR="009556BE" w:rsidRDefault="009556BE">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19D0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B41E35" w16cex:dateUtc="2026-05-17T0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19D0F4" w16cid:durableId="2DB41E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08B4C" w14:textId="77777777" w:rsidR="00E532E1" w:rsidRDefault="00E532E1" w:rsidP="002534E2">
      <w:pPr>
        <w:spacing w:after="0" w:line="240" w:lineRule="auto"/>
      </w:pPr>
      <w:r>
        <w:separator/>
      </w:r>
    </w:p>
  </w:endnote>
  <w:endnote w:type="continuationSeparator" w:id="0">
    <w:p w14:paraId="5DAEFF36" w14:textId="77777777" w:rsidR="00E532E1" w:rsidRDefault="00E532E1" w:rsidP="00253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 Zar">
    <w:altName w:val="Arial"/>
    <w:charset w:val="B2"/>
    <w:family w:val="auto"/>
    <w:pitch w:val="variable"/>
    <w:sig w:usb0="00002001" w:usb1="80000000" w:usb2="00000008" w:usb3="00000000" w:csb0="00000040"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76151" w14:textId="77777777" w:rsidR="00E532E1" w:rsidRDefault="00E532E1" w:rsidP="002534E2">
      <w:pPr>
        <w:spacing w:after="0" w:line="240" w:lineRule="auto"/>
      </w:pPr>
      <w:r>
        <w:separator/>
      </w:r>
    </w:p>
  </w:footnote>
  <w:footnote w:type="continuationSeparator" w:id="0">
    <w:p w14:paraId="65AC2E2F" w14:textId="77777777" w:rsidR="00E532E1" w:rsidRDefault="00E532E1" w:rsidP="002534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F1B6A"/>
    <w:multiLevelType w:val="multilevel"/>
    <w:tmpl w:val="D0248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8808D6"/>
    <w:multiLevelType w:val="multilevel"/>
    <w:tmpl w:val="40324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A2DE4"/>
    <w:multiLevelType w:val="multilevel"/>
    <w:tmpl w:val="9C4C9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8D128A"/>
    <w:multiLevelType w:val="multilevel"/>
    <w:tmpl w:val="C3B6C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D33EC2"/>
    <w:multiLevelType w:val="multilevel"/>
    <w:tmpl w:val="A428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952270"/>
    <w:multiLevelType w:val="multilevel"/>
    <w:tmpl w:val="A1C0B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401A80"/>
    <w:multiLevelType w:val="multilevel"/>
    <w:tmpl w:val="9A02A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7308E5"/>
    <w:multiLevelType w:val="multilevel"/>
    <w:tmpl w:val="C36C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DD79EC"/>
    <w:multiLevelType w:val="hybridMultilevel"/>
    <w:tmpl w:val="B9E885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4A0636B"/>
    <w:multiLevelType w:val="multilevel"/>
    <w:tmpl w:val="BD4EF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8"/>
  </w:num>
  <w:num w:numId="4">
    <w:abstractNumId w:val="5"/>
  </w:num>
  <w:num w:numId="5">
    <w:abstractNumId w:val="4"/>
  </w:num>
  <w:num w:numId="6">
    <w:abstractNumId w:val="1"/>
  </w:num>
  <w:num w:numId="7">
    <w:abstractNumId w:val="0"/>
  </w:num>
  <w:num w:numId="8">
    <w:abstractNumId w:val="9"/>
  </w:num>
  <w:num w:numId="9">
    <w:abstractNumId w:val="2"/>
  </w:num>
  <w:num w:numId="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15A"/>
    <w:rsid w:val="00016D55"/>
    <w:rsid w:val="00030A16"/>
    <w:rsid w:val="00060AEF"/>
    <w:rsid w:val="00063613"/>
    <w:rsid w:val="000719EF"/>
    <w:rsid w:val="00080E8B"/>
    <w:rsid w:val="00090431"/>
    <w:rsid w:val="000929E6"/>
    <w:rsid w:val="000B0D0D"/>
    <w:rsid w:val="000B5E51"/>
    <w:rsid w:val="000C525C"/>
    <w:rsid w:val="000E13FE"/>
    <w:rsid w:val="000F34E5"/>
    <w:rsid w:val="000F3E14"/>
    <w:rsid w:val="00106EF4"/>
    <w:rsid w:val="00190C2D"/>
    <w:rsid w:val="00191AC1"/>
    <w:rsid w:val="00191E03"/>
    <w:rsid w:val="001B0CC2"/>
    <w:rsid w:val="001B4020"/>
    <w:rsid w:val="001B64B1"/>
    <w:rsid w:val="001B6F67"/>
    <w:rsid w:val="001C7C42"/>
    <w:rsid w:val="001D49E8"/>
    <w:rsid w:val="001F2F9F"/>
    <w:rsid w:val="00202235"/>
    <w:rsid w:val="00225DF8"/>
    <w:rsid w:val="00240B4B"/>
    <w:rsid w:val="002435F9"/>
    <w:rsid w:val="00243D21"/>
    <w:rsid w:val="00246DE9"/>
    <w:rsid w:val="002534E2"/>
    <w:rsid w:val="0026027E"/>
    <w:rsid w:val="00265686"/>
    <w:rsid w:val="00280F16"/>
    <w:rsid w:val="0028140F"/>
    <w:rsid w:val="00283602"/>
    <w:rsid w:val="002862B6"/>
    <w:rsid w:val="002A6B61"/>
    <w:rsid w:val="002B5E4D"/>
    <w:rsid w:val="002E449F"/>
    <w:rsid w:val="002E7309"/>
    <w:rsid w:val="002F6BBB"/>
    <w:rsid w:val="00340BE7"/>
    <w:rsid w:val="003527CB"/>
    <w:rsid w:val="00353315"/>
    <w:rsid w:val="00362F9D"/>
    <w:rsid w:val="00364DD7"/>
    <w:rsid w:val="003A0DD9"/>
    <w:rsid w:val="003E7734"/>
    <w:rsid w:val="00413770"/>
    <w:rsid w:val="00422C09"/>
    <w:rsid w:val="00434E8F"/>
    <w:rsid w:val="00453A8F"/>
    <w:rsid w:val="00463442"/>
    <w:rsid w:val="004762A0"/>
    <w:rsid w:val="004818D1"/>
    <w:rsid w:val="00483053"/>
    <w:rsid w:val="004E19E1"/>
    <w:rsid w:val="004E552C"/>
    <w:rsid w:val="00500438"/>
    <w:rsid w:val="005054C7"/>
    <w:rsid w:val="00510D64"/>
    <w:rsid w:val="00515575"/>
    <w:rsid w:val="00524AA2"/>
    <w:rsid w:val="00525B71"/>
    <w:rsid w:val="0057224B"/>
    <w:rsid w:val="0057519F"/>
    <w:rsid w:val="005B573F"/>
    <w:rsid w:val="005B79A0"/>
    <w:rsid w:val="005C6655"/>
    <w:rsid w:val="005C6A43"/>
    <w:rsid w:val="005C6E9B"/>
    <w:rsid w:val="005D5AF1"/>
    <w:rsid w:val="005E28F3"/>
    <w:rsid w:val="005F018B"/>
    <w:rsid w:val="0060583C"/>
    <w:rsid w:val="00607838"/>
    <w:rsid w:val="00607912"/>
    <w:rsid w:val="006159BB"/>
    <w:rsid w:val="00622565"/>
    <w:rsid w:val="0063758F"/>
    <w:rsid w:val="006562FD"/>
    <w:rsid w:val="00666EED"/>
    <w:rsid w:val="0067092C"/>
    <w:rsid w:val="006908F3"/>
    <w:rsid w:val="0069715E"/>
    <w:rsid w:val="006B2CAE"/>
    <w:rsid w:val="006F51B1"/>
    <w:rsid w:val="007119D4"/>
    <w:rsid w:val="007340E5"/>
    <w:rsid w:val="007405B7"/>
    <w:rsid w:val="0074228F"/>
    <w:rsid w:val="00795916"/>
    <w:rsid w:val="00796DF9"/>
    <w:rsid w:val="007C4BD2"/>
    <w:rsid w:val="007C771D"/>
    <w:rsid w:val="007D5D52"/>
    <w:rsid w:val="007D63A6"/>
    <w:rsid w:val="007E2F8B"/>
    <w:rsid w:val="007E7DC6"/>
    <w:rsid w:val="007F2A94"/>
    <w:rsid w:val="007F677A"/>
    <w:rsid w:val="00811559"/>
    <w:rsid w:val="00831AB1"/>
    <w:rsid w:val="00836023"/>
    <w:rsid w:val="00841495"/>
    <w:rsid w:val="008444A6"/>
    <w:rsid w:val="00877D5D"/>
    <w:rsid w:val="00881D3F"/>
    <w:rsid w:val="00885CEE"/>
    <w:rsid w:val="008873DC"/>
    <w:rsid w:val="00892F25"/>
    <w:rsid w:val="0089793C"/>
    <w:rsid w:val="008A6AF6"/>
    <w:rsid w:val="008C4525"/>
    <w:rsid w:val="008D65D3"/>
    <w:rsid w:val="009003B7"/>
    <w:rsid w:val="009054CF"/>
    <w:rsid w:val="00917B83"/>
    <w:rsid w:val="009274AC"/>
    <w:rsid w:val="00951BFB"/>
    <w:rsid w:val="00953D8C"/>
    <w:rsid w:val="009556BE"/>
    <w:rsid w:val="0096160A"/>
    <w:rsid w:val="00993B18"/>
    <w:rsid w:val="009A0F24"/>
    <w:rsid w:val="009B1D23"/>
    <w:rsid w:val="009C42CF"/>
    <w:rsid w:val="009D296B"/>
    <w:rsid w:val="009E07B9"/>
    <w:rsid w:val="009F4F2D"/>
    <w:rsid w:val="00A4620E"/>
    <w:rsid w:val="00A4793B"/>
    <w:rsid w:val="00A53E21"/>
    <w:rsid w:val="00A54DD5"/>
    <w:rsid w:val="00A71BD6"/>
    <w:rsid w:val="00A816DD"/>
    <w:rsid w:val="00A935EB"/>
    <w:rsid w:val="00A96099"/>
    <w:rsid w:val="00AA32C4"/>
    <w:rsid w:val="00AB2A42"/>
    <w:rsid w:val="00AB324B"/>
    <w:rsid w:val="00AB378A"/>
    <w:rsid w:val="00AC2FDB"/>
    <w:rsid w:val="00AE586F"/>
    <w:rsid w:val="00AF4201"/>
    <w:rsid w:val="00B03BF2"/>
    <w:rsid w:val="00B2476C"/>
    <w:rsid w:val="00B65654"/>
    <w:rsid w:val="00B76E8A"/>
    <w:rsid w:val="00B914F7"/>
    <w:rsid w:val="00B97F39"/>
    <w:rsid w:val="00BB3B01"/>
    <w:rsid w:val="00BE62C0"/>
    <w:rsid w:val="00BE7FF1"/>
    <w:rsid w:val="00BF6961"/>
    <w:rsid w:val="00C0406A"/>
    <w:rsid w:val="00C0725E"/>
    <w:rsid w:val="00C2115A"/>
    <w:rsid w:val="00C3069E"/>
    <w:rsid w:val="00C307CB"/>
    <w:rsid w:val="00C3730C"/>
    <w:rsid w:val="00C475BD"/>
    <w:rsid w:val="00C526E2"/>
    <w:rsid w:val="00C648AD"/>
    <w:rsid w:val="00C67039"/>
    <w:rsid w:val="00C74D9D"/>
    <w:rsid w:val="00C77AA8"/>
    <w:rsid w:val="00C93E76"/>
    <w:rsid w:val="00CB60B7"/>
    <w:rsid w:val="00CB6BE5"/>
    <w:rsid w:val="00CC175F"/>
    <w:rsid w:val="00CF3FE9"/>
    <w:rsid w:val="00CF517F"/>
    <w:rsid w:val="00CF5C63"/>
    <w:rsid w:val="00D03DD6"/>
    <w:rsid w:val="00D05B71"/>
    <w:rsid w:val="00D06551"/>
    <w:rsid w:val="00D10617"/>
    <w:rsid w:val="00D138DE"/>
    <w:rsid w:val="00D1414B"/>
    <w:rsid w:val="00D41069"/>
    <w:rsid w:val="00D82573"/>
    <w:rsid w:val="00D83494"/>
    <w:rsid w:val="00D93903"/>
    <w:rsid w:val="00DC3F8A"/>
    <w:rsid w:val="00DE59AC"/>
    <w:rsid w:val="00E05643"/>
    <w:rsid w:val="00E24D36"/>
    <w:rsid w:val="00E32BBE"/>
    <w:rsid w:val="00E349B1"/>
    <w:rsid w:val="00E532E1"/>
    <w:rsid w:val="00E634A4"/>
    <w:rsid w:val="00E75B7B"/>
    <w:rsid w:val="00E9254F"/>
    <w:rsid w:val="00E9661F"/>
    <w:rsid w:val="00ED722A"/>
    <w:rsid w:val="00EF7504"/>
    <w:rsid w:val="00F17627"/>
    <w:rsid w:val="00F42F35"/>
    <w:rsid w:val="00F62CC0"/>
    <w:rsid w:val="00F655A3"/>
    <w:rsid w:val="00F66412"/>
    <w:rsid w:val="00F6787F"/>
    <w:rsid w:val="00F953EE"/>
    <w:rsid w:val="00FF7A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8DE42"/>
  <w15:chartTrackingRefBased/>
  <w15:docId w15:val="{7A35A0D5-37D9-4720-A059-4F7F607E8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435F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435F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2435F9"/>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11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2115A"/>
    <w:rPr>
      <w:b/>
      <w:bCs/>
    </w:rPr>
  </w:style>
  <w:style w:type="character" w:styleId="Hyperlink">
    <w:name w:val="Hyperlink"/>
    <w:basedOn w:val="DefaultParagraphFont"/>
    <w:uiPriority w:val="99"/>
    <w:unhideWhenUsed/>
    <w:rsid w:val="002534E2"/>
    <w:rPr>
      <w:color w:val="0563C1" w:themeColor="hyperlink"/>
      <w:u w:val="single"/>
    </w:rPr>
  </w:style>
  <w:style w:type="character" w:styleId="UnresolvedMention">
    <w:name w:val="Unresolved Mention"/>
    <w:basedOn w:val="DefaultParagraphFont"/>
    <w:uiPriority w:val="99"/>
    <w:semiHidden/>
    <w:unhideWhenUsed/>
    <w:rsid w:val="002534E2"/>
    <w:rPr>
      <w:color w:val="605E5C"/>
      <w:shd w:val="clear" w:color="auto" w:fill="E1DFDD"/>
    </w:rPr>
  </w:style>
  <w:style w:type="paragraph" w:styleId="Header">
    <w:name w:val="header"/>
    <w:basedOn w:val="Normal"/>
    <w:link w:val="HeaderChar"/>
    <w:uiPriority w:val="99"/>
    <w:unhideWhenUsed/>
    <w:rsid w:val="002534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4E2"/>
  </w:style>
  <w:style w:type="paragraph" w:styleId="Footer">
    <w:name w:val="footer"/>
    <w:basedOn w:val="Normal"/>
    <w:link w:val="FooterChar"/>
    <w:uiPriority w:val="99"/>
    <w:unhideWhenUsed/>
    <w:rsid w:val="002534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4E2"/>
  </w:style>
  <w:style w:type="character" w:customStyle="1" w:styleId="Heading2Char">
    <w:name w:val="Heading 2 Char"/>
    <w:basedOn w:val="DefaultParagraphFont"/>
    <w:link w:val="Heading2"/>
    <w:uiPriority w:val="9"/>
    <w:rsid w:val="002435F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435F9"/>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2435F9"/>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951BFB"/>
    <w:rPr>
      <w:i/>
      <w:iCs/>
    </w:rPr>
  </w:style>
  <w:style w:type="paragraph" w:styleId="ListParagraph">
    <w:name w:val="List Paragraph"/>
    <w:basedOn w:val="Normal"/>
    <w:uiPriority w:val="34"/>
    <w:qFormat/>
    <w:rsid w:val="000B5E51"/>
    <w:pPr>
      <w:ind w:left="720"/>
      <w:contextualSpacing/>
    </w:pPr>
  </w:style>
  <w:style w:type="character" w:styleId="CommentReference">
    <w:name w:val="annotation reference"/>
    <w:basedOn w:val="DefaultParagraphFont"/>
    <w:uiPriority w:val="99"/>
    <w:semiHidden/>
    <w:unhideWhenUsed/>
    <w:rsid w:val="009556BE"/>
    <w:rPr>
      <w:sz w:val="16"/>
      <w:szCs w:val="16"/>
    </w:rPr>
  </w:style>
  <w:style w:type="paragraph" w:styleId="CommentText">
    <w:name w:val="annotation text"/>
    <w:basedOn w:val="Normal"/>
    <w:link w:val="CommentTextChar"/>
    <w:uiPriority w:val="99"/>
    <w:semiHidden/>
    <w:unhideWhenUsed/>
    <w:rsid w:val="009556BE"/>
    <w:pPr>
      <w:spacing w:line="240" w:lineRule="auto"/>
    </w:pPr>
    <w:rPr>
      <w:sz w:val="20"/>
      <w:szCs w:val="20"/>
    </w:rPr>
  </w:style>
  <w:style w:type="character" w:customStyle="1" w:styleId="CommentTextChar">
    <w:name w:val="Comment Text Char"/>
    <w:basedOn w:val="DefaultParagraphFont"/>
    <w:link w:val="CommentText"/>
    <w:uiPriority w:val="99"/>
    <w:semiHidden/>
    <w:rsid w:val="009556BE"/>
    <w:rPr>
      <w:sz w:val="20"/>
      <w:szCs w:val="20"/>
    </w:rPr>
  </w:style>
  <w:style w:type="paragraph" w:styleId="CommentSubject">
    <w:name w:val="annotation subject"/>
    <w:basedOn w:val="CommentText"/>
    <w:next w:val="CommentText"/>
    <w:link w:val="CommentSubjectChar"/>
    <w:uiPriority w:val="99"/>
    <w:semiHidden/>
    <w:unhideWhenUsed/>
    <w:rsid w:val="009556BE"/>
    <w:rPr>
      <w:b/>
      <w:bCs/>
    </w:rPr>
  </w:style>
  <w:style w:type="character" w:customStyle="1" w:styleId="CommentSubjectChar">
    <w:name w:val="Comment Subject Char"/>
    <w:basedOn w:val="CommentTextChar"/>
    <w:link w:val="CommentSubject"/>
    <w:uiPriority w:val="99"/>
    <w:semiHidden/>
    <w:rsid w:val="009556BE"/>
    <w:rPr>
      <w:b/>
      <w:bCs/>
      <w:sz w:val="20"/>
      <w:szCs w:val="20"/>
    </w:rPr>
  </w:style>
  <w:style w:type="paragraph" w:customStyle="1" w:styleId="RALs-Heading1">
    <w:name w:val="RALs-Heading1"/>
    <w:basedOn w:val="Normal"/>
    <w:next w:val="Normal"/>
    <w:qFormat/>
    <w:rsid w:val="00AC2FDB"/>
    <w:pPr>
      <w:keepNext/>
      <w:spacing w:before="240" w:after="0" w:line="276" w:lineRule="auto"/>
      <w:ind w:left="284" w:hanging="284"/>
      <w:jc w:val="center"/>
    </w:pPr>
    <w:rPr>
      <w:rFonts w:ascii="Times New Roman" w:eastAsia="Times New Roman" w:hAnsi="Times New Roman" w:cs="B Zar"/>
      <w:b/>
      <w:bCs/>
      <w:sz w:val="20"/>
      <w:lang w:val="en-US"/>
    </w:rPr>
  </w:style>
  <w:style w:type="paragraph" w:customStyle="1" w:styleId="RALs-HeadingsNoIndent">
    <w:name w:val="RALs-HeadingsNoIndent"/>
    <w:basedOn w:val="Normal"/>
    <w:next w:val="Normal"/>
    <w:qFormat/>
    <w:rsid w:val="009A0F24"/>
    <w:pPr>
      <w:keepNext/>
      <w:spacing w:before="240" w:after="60" w:line="276" w:lineRule="auto"/>
      <w:jc w:val="both"/>
    </w:pPr>
    <w:rPr>
      <w:rFonts w:ascii="Times New Roman" w:eastAsia="Times New Roman" w:hAnsi="Times New Roman" w:cs="B Zar"/>
      <w:b/>
      <w:bCs/>
      <w:sz w:val="20"/>
      <w:lang w:val="en-US"/>
    </w:rPr>
  </w:style>
  <w:style w:type="paragraph" w:customStyle="1" w:styleId="RALs-ReferencesList">
    <w:name w:val="RALs-ReferencesList"/>
    <w:basedOn w:val="Normal"/>
    <w:qFormat/>
    <w:rsid w:val="005F018B"/>
    <w:pPr>
      <w:spacing w:before="120" w:after="100" w:line="276" w:lineRule="auto"/>
      <w:ind w:left="426" w:hanging="426"/>
      <w:jc w:val="both"/>
    </w:pPr>
    <w:rPr>
      <w:rFonts w:ascii="Times New Roman" w:eastAsia="Times New Roman" w:hAnsi="Times New Roman" w:cs="B Zar"/>
      <w:sz w:val="20"/>
      <w:szCs w:val="20"/>
      <w:lang w:val="en-US"/>
    </w:rPr>
  </w:style>
  <w:style w:type="character" w:customStyle="1" w:styleId="zlae0wtextbase">
    <w:name w:val="zlae0w_textbase"/>
    <w:basedOn w:val="DefaultParagraphFont"/>
    <w:rsid w:val="00E349B1"/>
  </w:style>
  <w:style w:type="paragraph" w:customStyle="1" w:styleId="isselectedend">
    <w:name w:val="isselectedend"/>
    <w:basedOn w:val="Normal"/>
    <w:rsid w:val="00C475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token-text-primary">
    <w:name w:val="text-token-text-primary"/>
    <w:basedOn w:val="DefaultParagraphFont"/>
    <w:rsid w:val="00353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26236">
      <w:bodyDiv w:val="1"/>
      <w:marLeft w:val="0"/>
      <w:marRight w:val="0"/>
      <w:marTop w:val="0"/>
      <w:marBottom w:val="0"/>
      <w:divBdr>
        <w:top w:val="none" w:sz="0" w:space="0" w:color="auto"/>
        <w:left w:val="none" w:sz="0" w:space="0" w:color="auto"/>
        <w:bottom w:val="none" w:sz="0" w:space="0" w:color="auto"/>
        <w:right w:val="none" w:sz="0" w:space="0" w:color="auto"/>
      </w:divBdr>
    </w:div>
    <w:div w:id="118652302">
      <w:bodyDiv w:val="1"/>
      <w:marLeft w:val="0"/>
      <w:marRight w:val="0"/>
      <w:marTop w:val="0"/>
      <w:marBottom w:val="0"/>
      <w:divBdr>
        <w:top w:val="none" w:sz="0" w:space="0" w:color="auto"/>
        <w:left w:val="none" w:sz="0" w:space="0" w:color="auto"/>
        <w:bottom w:val="none" w:sz="0" w:space="0" w:color="auto"/>
        <w:right w:val="none" w:sz="0" w:space="0" w:color="auto"/>
      </w:divBdr>
    </w:div>
    <w:div w:id="257836805">
      <w:bodyDiv w:val="1"/>
      <w:marLeft w:val="0"/>
      <w:marRight w:val="0"/>
      <w:marTop w:val="0"/>
      <w:marBottom w:val="0"/>
      <w:divBdr>
        <w:top w:val="none" w:sz="0" w:space="0" w:color="auto"/>
        <w:left w:val="none" w:sz="0" w:space="0" w:color="auto"/>
        <w:bottom w:val="none" w:sz="0" w:space="0" w:color="auto"/>
        <w:right w:val="none" w:sz="0" w:space="0" w:color="auto"/>
      </w:divBdr>
    </w:div>
    <w:div w:id="295725418">
      <w:bodyDiv w:val="1"/>
      <w:marLeft w:val="0"/>
      <w:marRight w:val="0"/>
      <w:marTop w:val="0"/>
      <w:marBottom w:val="0"/>
      <w:divBdr>
        <w:top w:val="none" w:sz="0" w:space="0" w:color="auto"/>
        <w:left w:val="none" w:sz="0" w:space="0" w:color="auto"/>
        <w:bottom w:val="none" w:sz="0" w:space="0" w:color="auto"/>
        <w:right w:val="none" w:sz="0" w:space="0" w:color="auto"/>
      </w:divBdr>
    </w:div>
    <w:div w:id="307823456">
      <w:bodyDiv w:val="1"/>
      <w:marLeft w:val="0"/>
      <w:marRight w:val="0"/>
      <w:marTop w:val="0"/>
      <w:marBottom w:val="0"/>
      <w:divBdr>
        <w:top w:val="none" w:sz="0" w:space="0" w:color="auto"/>
        <w:left w:val="none" w:sz="0" w:space="0" w:color="auto"/>
        <w:bottom w:val="none" w:sz="0" w:space="0" w:color="auto"/>
        <w:right w:val="none" w:sz="0" w:space="0" w:color="auto"/>
      </w:divBdr>
    </w:div>
    <w:div w:id="482819271">
      <w:bodyDiv w:val="1"/>
      <w:marLeft w:val="0"/>
      <w:marRight w:val="0"/>
      <w:marTop w:val="0"/>
      <w:marBottom w:val="0"/>
      <w:divBdr>
        <w:top w:val="none" w:sz="0" w:space="0" w:color="auto"/>
        <w:left w:val="none" w:sz="0" w:space="0" w:color="auto"/>
        <w:bottom w:val="none" w:sz="0" w:space="0" w:color="auto"/>
        <w:right w:val="none" w:sz="0" w:space="0" w:color="auto"/>
      </w:divBdr>
    </w:div>
    <w:div w:id="547184612">
      <w:bodyDiv w:val="1"/>
      <w:marLeft w:val="0"/>
      <w:marRight w:val="0"/>
      <w:marTop w:val="0"/>
      <w:marBottom w:val="0"/>
      <w:divBdr>
        <w:top w:val="none" w:sz="0" w:space="0" w:color="auto"/>
        <w:left w:val="none" w:sz="0" w:space="0" w:color="auto"/>
        <w:bottom w:val="none" w:sz="0" w:space="0" w:color="auto"/>
        <w:right w:val="none" w:sz="0" w:space="0" w:color="auto"/>
      </w:divBdr>
    </w:div>
    <w:div w:id="591817914">
      <w:bodyDiv w:val="1"/>
      <w:marLeft w:val="0"/>
      <w:marRight w:val="0"/>
      <w:marTop w:val="0"/>
      <w:marBottom w:val="0"/>
      <w:divBdr>
        <w:top w:val="none" w:sz="0" w:space="0" w:color="auto"/>
        <w:left w:val="none" w:sz="0" w:space="0" w:color="auto"/>
        <w:bottom w:val="none" w:sz="0" w:space="0" w:color="auto"/>
        <w:right w:val="none" w:sz="0" w:space="0" w:color="auto"/>
      </w:divBdr>
    </w:div>
    <w:div w:id="663705660">
      <w:bodyDiv w:val="1"/>
      <w:marLeft w:val="0"/>
      <w:marRight w:val="0"/>
      <w:marTop w:val="0"/>
      <w:marBottom w:val="0"/>
      <w:divBdr>
        <w:top w:val="none" w:sz="0" w:space="0" w:color="auto"/>
        <w:left w:val="none" w:sz="0" w:space="0" w:color="auto"/>
        <w:bottom w:val="none" w:sz="0" w:space="0" w:color="auto"/>
        <w:right w:val="none" w:sz="0" w:space="0" w:color="auto"/>
      </w:divBdr>
    </w:div>
    <w:div w:id="683632890">
      <w:bodyDiv w:val="1"/>
      <w:marLeft w:val="0"/>
      <w:marRight w:val="0"/>
      <w:marTop w:val="0"/>
      <w:marBottom w:val="0"/>
      <w:divBdr>
        <w:top w:val="none" w:sz="0" w:space="0" w:color="auto"/>
        <w:left w:val="none" w:sz="0" w:space="0" w:color="auto"/>
        <w:bottom w:val="none" w:sz="0" w:space="0" w:color="auto"/>
        <w:right w:val="none" w:sz="0" w:space="0" w:color="auto"/>
      </w:divBdr>
    </w:div>
    <w:div w:id="890310789">
      <w:bodyDiv w:val="1"/>
      <w:marLeft w:val="0"/>
      <w:marRight w:val="0"/>
      <w:marTop w:val="0"/>
      <w:marBottom w:val="0"/>
      <w:divBdr>
        <w:top w:val="none" w:sz="0" w:space="0" w:color="auto"/>
        <w:left w:val="none" w:sz="0" w:space="0" w:color="auto"/>
        <w:bottom w:val="none" w:sz="0" w:space="0" w:color="auto"/>
        <w:right w:val="none" w:sz="0" w:space="0" w:color="auto"/>
      </w:divBdr>
    </w:div>
    <w:div w:id="980230103">
      <w:bodyDiv w:val="1"/>
      <w:marLeft w:val="0"/>
      <w:marRight w:val="0"/>
      <w:marTop w:val="0"/>
      <w:marBottom w:val="0"/>
      <w:divBdr>
        <w:top w:val="none" w:sz="0" w:space="0" w:color="auto"/>
        <w:left w:val="none" w:sz="0" w:space="0" w:color="auto"/>
        <w:bottom w:val="none" w:sz="0" w:space="0" w:color="auto"/>
        <w:right w:val="none" w:sz="0" w:space="0" w:color="auto"/>
      </w:divBdr>
    </w:div>
    <w:div w:id="1177308426">
      <w:bodyDiv w:val="1"/>
      <w:marLeft w:val="0"/>
      <w:marRight w:val="0"/>
      <w:marTop w:val="0"/>
      <w:marBottom w:val="0"/>
      <w:divBdr>
        <w:top w:val="none" w:sz="0" w:space="0" w:color="auto"/>
        <w:left w:val="none" w:sz="0" w:space="0" w:color="auto"/>
        <w:bottom w:val="none" w:sz="0" w:space="0" w:color="auto"/>
        <w:right w:val="none" w:sz="0" w:space="0" w:color="auto"/>
      </w:divBdr>
    </w:div>
    <w:div w:id="1396971612">
      <w:bodyDiv w:val="1"/>
      <w:marLeft w:val="0"/>
      <w:marRight w:val="0"/>
      <w:marTop w:val="0"/>
      <w:marBottom w:val="0"/>
      <w:divBdr>
        <w:top w:val="none" w:sz="0" w:space="0" w:color="auto"/>
        <w:left w:val="none" w:sz="0" w:space="0" w:color="auto"/>
        <w:bottom w:val="none" w:sz="0" w:space="0" w:color="auto"/>
        <w:right w:val="none" w:sz="0" w:space="0" w:color="auto"/>
      </w:divBdr>
    </w:div>
    <w:div w:id="1489664728">
      <w:bodyDiv w:val="1"/>
      <w:marLeft w:val="0"/>
      <w:marRight w:val="0"/>
      <w:marTop w:val="0"/>
      <w:marBottom w:val="0"/>
      <w:divBdr>
        <w:top w:val="none" w:sz="0" w:space="0" w:color="auto"/>
        <w:left w:val="none" w:sz="0" w:space="0" w:color="auto"/>
        <w:bottom w:val="none" w:sz="0" w:space="0" w:color="auto"/>
        <w:right w:val="none" w:sz="0" w:space="0" w:color="auto"/>
      </w:divBdr>
    </w:div>
    <w:div w:id="1538738999">
      <w:bodyDiv w:val="1"/>
      <w:marLeft w:val="0"/>
      <w:marRight w:val="0"/>
      <w:marTop w:val="0"/>
      <w:marBottom w:val="0"/>
      <w:divBdr>
        <w:top w:val="none" w:sz="0" w:space="0" w:color="auto"/>
        <w:left w:val="none" w:sz="0" w:space="0" w:color="auto"/>
        <w:bottom w:val="none" w:sz="0" w:space="0" w:color="auto"/>
        <w:right w:val="none" w:sz="0" w:space="0" w:color="auto"/>
      </w:divBdr>
    </w:div>
    <w:div w:id="1584682252">
      <w:bodyDiv w:val="1"/>
      <w:marLeft w:val="0"/>
      <w:marRight w:val="0"/>
      <w:marTop w:val="0"/>
      <w:marBottom w:val="0"/>
      <w:divBdr>
        <w:top w:val="none" w:sz="0" w:space="0" w:color="auto"/>
        <w:left w:val="none" w:sz="0" w:space="0" w:color="auto"/>
        <w:bottom w:val="none" w:sz="0" w:space="0" w:color="auto"/>
        <w:right w:val="none" w:sz="0" w:space="0" w:color="auto"/>
      </w:divBdr>
    </w:div>
    <w:div w:id="1598322551">
      <w:bodyDiv w:val="1"/>
      <w:marLeft w:val="0"/>
      <w:marRight w:val="0"/>
      <w:marTop w:val="0"/>
      <w:marBottom w:val="0"/>
      <w:divBdr>
        <w:top w:val="none" w:sz="0" w:space="0" w:color="auto"/>
        <w:left w:val="none" w:sz="0" w:space="0" w:color="auto"/>
        <w:bottom w:val="none" w:sz="0" w:space="0" w:color="auto"/>
        <w:right w:val="none" w:sz="0" w:space="0" w:color="auto"/>
      </w:divBdr>
    </w:div>
    <w:div w:id="1604460968">
      <w:bodyDiv w:val="1"/>
      <w:marLeft w:val="0"/>
      <w:marRight w:val="0"/>
      <w:marTop w:val="0"/>
      <w:marBottom w:val="0"/>
      <w:divBdr>
        <w:top w:val="none" w:sz="0" w:space="0" w:color="auto"/>
        <w:left w:val="none" w:sz="0" w:space="0" w:color="auto"/>
        <w:bottom w:val="none" w:sz="0" w:space="0" w:color="auto"/>
        <w:right w:val="none" w:sz="0" w:space="0" w:color="auto"/>
      </w:divBdr>
    </w:div>
    <w:div w:id="1673871540">
      <w:bodyDiv w:val="1"/>
      <w:marLeft w:val="0"/>
      <w:marRight w:val="0"/>
      <w:marTop w:val="0"/>
      <w:marBottom w:val="0"/>
      <w:divBdr>
        <w:top w:val="none" w:sz="0" w:space="0" w:color="auto"/>
        <w:left w:val="none" w:sz="0" w:space="0" w:color="auto"/>
        <w:bottom w:val="none" w:sz="0" w:space="0" w:color="auto"/>
        <w:right w:val="none" w:sz="0" w:space="0" w:color="auto"/>
      </w:divBdr>
    </w:div>
    <w:div w:id="1691030591">
      <w:bodyDiv w:val="1"/>
      <w:marLeft w:val="0"/>
      <w:marRight w:val="0"/>
      <w:marTop w:val="0"/>
      <w:marBottom w:val="0"/>
      <w:divBdr>
        <w:top w:val="none" w:sz="0" w:space="0" w:color="auto"/>
        <w:left w:val="none" w:sz="0" w:space="0" w:color="auto"/>
        <w:bottom w:val="none" w:sz="0" w:space="0" w:color="auto"/>
        <w:right w:val="none" w:sz="0" w:space="0" w:color="auto"/>
      </w:divBdr>
    </w:div>
    <w:div w:id="1691099364">
      <w:bodyDiv w:val="1"/>
      <w:marLeft w:val="0"/>
      <w:marRight w:val="0"/>
      <w:marTop w:val="0"/>
      <w:marBottom w:val="0"/>
      <w:divBdr>
        <w:top w:val="none" w:sz="0" w:space="0" w:color="auto"/>
        <w:left w:val="none" w:sz="0" w:space="0" w:color="auto"/>
        <w:bottom w:val="none" w:sz="0" w:space="0" w:color="auto"/>
        <w:right w:val="none" w:sz="0" w:space="0" w:color="auto"/>
      </w:divBdr>
    </w:div>
    <w:div w:id="1714428060">
      <w:bodyDiv w:val="1"/>
      <w:marLeft w:val="0"/>
      <w:marRight w:val="0"/>
      <w:marTop w:val="0"/>
      <w:marBottom w:val="0"/>
      <w:divBdr>
        <w:top w:val="none" w:sz="0" w:space="0" w:color="auto"/>
        <w:left w:val="none" w:sz="0" w:space="0" w:color="auto"/>
        <w:bottom w:val="none" w:sz="0" w:space="0" w:color="auto"/>
        <w:right w:val="none" w:sz="0" w:space="0" w:color="auto"/>
      </w:divBdr>
    </w:div>
    <w:div w:id="1803452027">
      <w:bodyDiv w:val="1"/>
      <w:marLeft w:val="0"/>
      <w:marRight w:val="0"/>
      <w:marTop w:val="0"/>
      <w:marBottom w:val="0"/>
      <w:divBdr>
        <w:top w:val="none" w:sz="0" w:space="0" w:color="auto"/>
        <w:left w:val="none" w:sz="0" w:space="0" w:color="auto"/>
        <w:bottom w:val="none" w:sz="0" w:space="0" w:color="auto"/>
        <w:right w:val="none" w:sz="0" w:space="0" w:color="auto"/>
      </w:divBdr>
      <w:divsChild>
        <w:div w:id="1017121799">
          <w:marLeft w:val="0"/>
          <w:marRight w:val="0"/>
          <w:marTop w:val="0"/>
          <w:marBottom w:val="0"/>
          <w:divBdr>
            <w:top w:val="none" w:sz="0" w:space="0" w:color="auto"/>
            <w:left w:val="none" w:sz="0" w:space="0" w:color="auto"/>
            <w:bottom w:val="none" w:sz="0" w:space="0" w:color="auto"/>
            <w:right w:val="none" w:sz="0" w:space="0" w:color="auto"/>
          </w:divBdr>
          <w:divsChild>
            <w:div w:id="791022034">
              <w:marLeft w:val="0"/>
              <w:marRight w:val="0"/>
              <w:marTop w:val="0"/>
              <w:marBottom w:val="0"/>
              <w:divBdr>
                <w:top w:val="none" w:sz="0" w:space="0" w:color="auto"/>
                <w:left w:val="none" w:sz="0" w:space="0" w:color="auto"/>
                <w:bottom w:val="none" w:sz="0" w:space="0" w:color="auto"/>
                <w:right w:val="none" w:sz="0" w:space="0" w:color="auto"/>
              </w:divBdr>
              <w:divsChild>
                <w:div w:id="175968251">
                  <w:marLeft w:val="0"/>
                  <w:marRight w:val="0"/>
                  <w:marTop w:val="0"/>
                  <w:marBottom w:val="0"/>
                  <w:divBdr>
                    <w:top w:val="none" w:sz="0" w:space="0" w:color="auto"/>
                    <w:left w:val="none" w:sz="0" w:space="0" w:color="auto"/>
                    <w:bottom w:val="none" w:sz="0" w:space="0" w:color="auto"/>
                    <w:right w:val="none" w:sz="0" w:space="0" w:color="auto"/>
                  </w:divBdr>
                  <w:divsChild>
                    <w:div w:id="1545017019">
                      <w:marLeft w:val="0"/>
                      <w:marRight w:val="0"/>
                      <w:marTop w:val="0"/>
                      <w:marBottom w:val="0"/>
                      <w:divBdr>
                        <w:top w:val="none" w:sz="0" w:space="0" w:color="auto"/>
                        <w:left w:val="none" w:sz="0" w:space="0" w:color="auto"/>
                        <w:bottom w:val="none" w:sz="0" w:space="0" w:color="auto"/>
                        <w:right w:val="none" w:sz="0" w:space="0" w:color="auto"/>
                      </w:divBdr>
                      <w:divsChild>
                        <w:div w:id="1989088310">
                          <w:marLeft w:val="0"/>
                          <w:marRight w:val="0"/>
                          <w:marTop w:val="0"/>
                          <w:marBottom w:val="0"/>
                          <w:divBdr>
                            <w:top w:val="none" w:sz="0" w:space="0" w:color="auto"/>
                            <w:left w:val="none" w:sz="0" w:space="0" w:color="auto"/>
                            <w:bottom w:val="none" w:sz="0" w:space="0" w:color="auto"/>
                            <w:right w:val="none" w:sz="0" w:space="0" w:color="auto"/>
                          </w:divBdr>
                          <w:divsChild>
                            <w:div w:id="550968762">
                              <w:marLeft w:val="0"/>
                              <w:marRight w:val="0"/>
                              <w:marTop w:val="0"/>
                              <w:marBottom w:val="0"/>
                              <w:divBdr>
                                <w:top w:val="none" w:sz="0" w:space="0" w:color="auto"/>
                                <w:left w:val="none" w:sz="0" w:space="0" w:color="auto"/>
                                <w:bottom w:val="none" w:sz="0" w:space="0" w:color="auto"/>
                                <w:right w:val="none" w:sz="0" w:space="0" w:color="auto"/>
                              </w:divBdr>
                              <w:divsChild>
                                <w:div w:id="83121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929729">
      <w:bodyDiv w:val="1"/>
      <w:marLeft w:val="0"/>
      <w:marRight w:val="0"/>
      <w:marTop w:val="0"/>
      <w:marBottom w:val="0"/>
      <w:divBdr>
        <w:top w:val="none" w:sz="0" w:space="0" w:color="auto"/>
        <w:left w:val="none" w:sz="0" w:space="0" w:color="auto"/>
        <w:bottom w:val="none" w:sz="0" w:space="0" w:color="auto"/>
        <w:right w:val="none" w:sz="0" w:space="0" w:color="auto"/>
      </w:divBdr>
    </w:div>
    <w:div w:id="1937129964">
      <w:bodyDiv w:val="1"/>
      <w:marLeft w:val="0"/>
      <w:marRight w:val="0"/>
      <w:marTop w:val="0"/>
      <w:marBottom w:val="0"/>
      <w:divBdr>
        <w:top w:val="none" w:sz="0" w:space="0" w:color="auto"/>
        <w:left w:val="none" w:sz="0" w:space="0" w:color="auto"/>
        <w:bottom w:val="none" w:sz="0" w:space="0" w:color="auto"/>
        <w:right w:val="none" w:sz="0" w:space="0" w:color="auto"/>
      </w:divBdr>
    </w:div>
    <w:div w:id="1985507655">
      <w:bodyDiv w:val="1"/>
      <w:marLeft w:val="0"/>
      <w:marRight w:val="0"/>
      <w:marTop w:val="0"/>
      <w:marBottom w:val="0"/>
      <w:divBdr>
        <w:top w:val="none" w:sz="0" w:space="0" w:color="auto"/>
        <w:left w:val="none" w:sz="0" w:space="0" w:color="auto"/>
        <w:bottom w:val="none" w:sz="0" w:space="0" w:color="auto"/>
        <w:right w:val="none" w:sz="0" w:space="0" w:color="auto"/>
      </w:divBdr>
    </w:div>
    <w:div w:id="2089689248">
      <w:bodyDiv w:val="1"/>
      <w:marLeft w:val="0"/>
      <w:marRight w:val="0"/>
      <w:marTop w:val="0"/>
      <w:marBottom w:val="0"/>
      <w:divBdr>
        <w:top w:val="none" w:sz="0" w:space="0" w:color="auto"/>
        <w:left w:val="none" w:sz="0" w:space="0" w:color="auto"/>
        <w:bottom w:val="none" w:sz="0" w:space="0" w:color="auto"/>
        <w:right w:val="none" w:sz="0" w:space="0" w:color="auto"/>
      </w:divBdr>
    </w:div>
    <w:div w:id="210491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9461-8164" TargetMode="External"/><Relationship Id="rId13" Type="http://schemas.openxmlformats.org/officeDocument/2006/relationships/hyperlink" Target="https://doi.org/10.3126/sijssr.v2i2.3306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researchgate.net" TargetMode="Externa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nepjol.info/index.php/jori/article/view/879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42F75-BBCF-412A-BB1C-BD64C59EB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17</Pages>
  <Words>6746</Words>
  <Characters>38457</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48</cp:revision>
  <cp:lastPrinted>2025-12-31T03:51:00Z</cp:lastPrinted>
  <dcterms:created xsi:type="dcterms:W3CDTF">2026-06-10T10:48:00Z</dcterms:created>
  <dcterms:modified xsi:type="dcterms:W3CDTF">2026-06-10T11:37:00Z</dcterms:modified>
</cp:coreProperties>
</file>