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4F67" w14:textId="35A960CE" w:rsidR="00520E8E" w:rsidRDefault="00FF6791" w:rsidP="00DD1C9C">
      <w:pPr>
        <w:spacing w:after="120" w:line="240" w:lineRule="auto"/>
        <w:jc w:val="center"/>
        <w:rPr>
          <w:rFonts w:cs="Times New Roman"/>
          <w:b/>
          <w:bCs/>
          <w:sz w:val="22"/>
        </w:rPr>
      </w:pPr>
      <w:r w:rsidRPr="00FF6791">
        <w:rPr>
          <w:rFonts w:cs="Times New Roman"/>
          <w:b/>
          <w:bCs/>
          <w:sz w:val="22"/>
        </w:rPr>
        <w:t xml:space="preserve">BUILDING ESL COMPETENCE IN VIETNAM: VISIONS, CHALLENGES, AND REALITIES </w:t>
      </w:r>
      <w:r w:rsidR="00EB12DF">
        <w:rPr>
          <w:rFonts w:cs="Times New Roman"/>
          <w:b/>
          <w:bCs/>
          <w:sz w:val="22"/>
        </w:rPr>
        <w:t>-</w:t>
      </w:r>
      <w:r w:rsidRPr="00FF6791">
        <w:rPr>
          <w:rFonts w:cs="Times New Roman"/>
          <w:b/>
          <w:bCs/>
          <w:sz w:val="22"/>
        </w:rPr>
        <w:t xml:space="preserve"> A CASE STUDY AT PU AND HNMU</w:t>
      </w:r>
    </w:p>
    <w:p w14:paraId="725031AF" w14:textId="287CFF4B" w:rsidR="002709D0" w:rsidRPr="002709D0" w:rsidRDefault="002709D0" w:rsidP="002709D0">
      <w:pPr>
        <w:spacing w:after="0" w:line="240" w:lineRule="auto"/>
        <w:jc w:val="center"/>
        <w:rPr>
          <w:rFonts w:cs="Times New Roman"/>
          <w:b/>
          <w:bCs/>
          <w:i/>
          <w:iCs/>
          <w:sz w:val="22"/>
        </w:rPr>
      </w:pPr>
      <w:r w:rsidRPr="002709D0">
        <w:rPr>
          <w:rFonts w:cs="Times New Roman"/>
          <w:b/>
          <w:bCs/>
          <w:i/>
          <w:iCs/>
          <w:sz w:val="22"/>
        </w:rPr>
        <w:t>1</w:t>
      </w:r>
      <w:r w:rsidRPr="00FF170D">
        <w:rPr>
          <w:rFonts w:cs="Times New Roman"/>
          <w:b/>
          <w:bCs/>
          <w:i/>
          <w:iCs/>
          <w:sz w:val="22"/>
          <w:vertAlign w:val="superscript"/>
        </w:rPr>
        <w:t>st</w:t>
      </w:r>
      <w:r w:rsidRPr="002709D0">
        <w:rPr>
          <w:rFonts w:cs="Times New Roman"/>
          <w:b/>
          <w:bCs/>
          <w:i/>
          <w:iCs/>
          <w:sz w:val="22"/>
        </w:rPr>
        <w:t xml:space="preserve"> Nguyen Hung</w:t>
      </w:r>
      <w:r w:rsidR="00253730">
        <w:rPr>
          <w:rFonts w:cs="Times New Roman"/>
          <w:b/>
          <w:bCs/>
          <w:i/>
          <w:iCs/>
          <w:sz w:val="22"/>
        </w:rPr>
        <w:t xml:space="preserve"> Bình</w:t>
      </w:r>
      <w:r w:rsidRPr="002709D0">
        <w:rPr>
          <w:rFonts w:cs="Times New Roman"/>
          <w:b/>
          <w:bCs/>
          <w:i/>
          <w:iCs/>
          <w:sz w:val="22"/>
        </w:rPr>
        <w:t xml:space="preserve">. MA student. </w:t>
      </w:r>
    </w:p>
    <w:p w14:paraId="098EEB6E" w14:textId="006917AF" w:rsidR="002709D0" w:rsidRPr="002709D0" w:rsidRDefault="002709D0" w:rsidP="002709D0">
      <w:pPr>
        <w:spacing w:after="0" w:line="240" w:lineRule="auto"/>
        <w:jc w:val="center"/>
        <w:rPr>
          <w:rFonts w:cs="Times New Roman"/>
          <w:b/>
          <w:bCs/>
          <w:i/>
          <w:iCs/>
          <w:sz w:val="22"/>
        </w:rPr>
      </w:pPr>
      <w:r w:rsidRPr="002709D0">
        <w:rPr>
          <w:rFonts w:cs="Times New Roman"/>
          <w:b/>
          <w:bCs/>
          <w:i/>
          <w:iCs/>
          <w:sz w:val="22"/>
        </w:rPr>
        <w:t>Phenika University. Hanoi. Vietnam</w:t>
      </w:r>
    </w:p>
    <w:p w14:paraId="4320C509" w14:textId="1A1BBBF8" w:rsidR="00027B3D" w:rsidRPr="00FF6791" w:rsidRDefault="00EB12DF" w:rsidP="002709D0">
      <w:pPr>
        <w:spacing w:after="120" w:line="240" w:lineRule="auto"/>
        <w:jc w:val="center"/>
        <w:rPr>
          <w:rFonts w:cs="Times New Roman"/>
          <w:b/>
          <w:bCs/>
          <w:sz w:val="22"/>
        </w:rPr>
      </w:pPr>
      <w:r>
        <w:rPr>
          <w:rFonts w:cs="Times New Roman"/>
          <w:b/>
          <w:bCs/>
          <w:i/>
          <w:iCs/>
          <w:sz w:val="22"/>
        </w:rPr>
        <w:t xml:space="preserve">Email: </w:t>
      </w:r>
      <w:hyperlink r:id="rId4" w:history="1">
        <w:r w:rsidRPr="00B763A0">
          <w:rPr>
            <w:rStyle w:val="Hyperlink"/>
            <w:rFonts w:cs="Times New Roman"/>
            <w:b/>
            <w:bCs/>
            <w:i/>
            <w:iCs/>
            <w:sz w:val="22"/>
          </w:rPr>
          <w:t>thtam@apd.edu.vn</w:t>
        </w:r>
      </w:hyperlink>
      <w:r w:rsidR="00253730">
        <w:rPr>
          <w:rFonts w:cs="Times New Roman"/>
          <w:b/>
          <w:bCs/>
          <w:sz w:val="22"/>
        </w:rPr>
        <w:t xml:space="preserve"> Tel: +84 912664780</w:t>
      </w:r>
    </w:p>
    <w:p w14:paraId="25AE96A2" w14:textId="6F8362B9" w:rsidR="00DD1C9C" w:rsidRPr="00DD1C9C" w:rsidRDefault="00DD1C9C" w:rsidP="002709D0">
      <w:pPr>
        <w:pStyle w:val="NormalWeb"/>
        <w:spacing w:before="0" w:beforeAutospacing="0" w:after="120" w:afterAutospacing="0"/>
        <w:jc w:val="both"/>
        <w:rPr>
          <w:b/>
          <w:bCs/>
          <w:sz w:val="22"/>
          <w:szCs w:val="22"/>
        </w:rPr>
      </w:pPr>
      <w:r w:rsidRPr="00DD1C9C">
        <w:rPr>
          <w:b/>
          <w:bCs/>
          <w:sz w:val="22"/>
          <w:szCs w:val="22"/>
        </w:rPr>
        <w:t>Abstract</w:t>
      </w:r>
      <w:r>
        <w:rPr>
          <w:b/>
          <w:bCs/>
          <w:sz w:val="22"/>
          <w:szCs w:val="22"/>
        </w:rPr>
        <w:t xml:space="preserve">: </w:t>
      </w:r>
      <w:r w:rsidRPr="00DD1C9C">
        <w:rPr>
          <w:sz w:val="22"/>
          <w:szCs w:val="22"/>
        </w:rPr>
        <w:t>This study examines how institutional visions, policies, and pedagogical realities shape ESL competence development in Vietnamese higher education through a case study at Phenikaa University and Hanoi Metropolitan University. Amid national shifts from EFL toward functional ESL models driven by globalization and EMI expansion, persistent gaps remain between policy intentions and classroom practices. Employing a mixed-methods case study design, the research integrates policy analysis, surveys, and semi-structured interviews with administrators, lecturers, and undergraduates across EMI, EAP, and ESP programs. Findings indicate that clear institutional visions and explicit policy guidance support stronger alignment with communicative ESL outcomes, particularly within EAP contexts. However, large class sizes, assessment misalignment, heavy workloads, and limited English-rich environments constrain effective implementation, especially in EMI programs. The study contributes context-sensitive empirical evidence on how governance, pedagogy, and environment interact in ESL development, offering practical implications for institutional reform and sustainable language education policy in Vietnam.</w:t>
      </w:r>
    </w:p>
    <w:p w14:paraId="35D594BA" w14:textId="77777777" w:rsidR="00DD1C9C" w:rsidRDefault="00DD1C9C" w:rsidP="00DD1C9C">
      <w:pPr>
        <w:pStyle w:val="NormalWeb"/>
        <w:spacing w:before="0" w:beforeAutospacing="0" w:after="120" w:afterAutospacing="0"/>
        <w:jc w:val="both"/>
        <w:rPr>
          <w:i/>
          <w:iCs/>
          <w:sz w:val="22"/>
          <w:szCs w:val="22"/>
        </w:rPr>
      </w:pPr>
      <w:r w:rsidRPr="00DD1C9C">
        <w:rPr>
          <w:b/>
          <w:bCs/>
          <w:i/>
          <w:iCs/>
          <w:sz w:val="22"/>
          <w:szCs w:val="22"/>
        </w:rPr>
        <w:t>Keywords:</w:t>
      </w:r>
      <w:r w:rsidRPr="00DD1C9C">
        <w:rPr>
          <w:i/>
          <w:iCs/>
          <w:sz w:val="22"/>
          <w:szCs w:val="22"/>
        </w:rPr>
        <w:t xml:space="preserve"> Competence, ESL, Policy, Vietnam</w:t>
      </w:r>
    </w:p>
    <w:p w14:paraId="7B2F4B41" w14:textId="71EF2E02" w:rsidR="00DD1C9C" w:rsidRPr="00DD1C9C" w:rsidRDefault="00DD1C9C" w:rsidP="00DD1C9C">
      <w:pPr>
        <w:pStyle w:val="NormalWeb"/>
        <w:spacing w:before="0" w:beforeAutospacing="0" w:after="120" w:afterAutospacing="0"/>
        <w:jc w:val="center"/>
        <w:rPr>
          <w:b/>
          <w:bCs/>
          <w:sz w:val="22"/>
          <w:szCs w:val="22"/>
        </w:rPr>
      </w:pPr>
      <w:r w:rsidRPr="00DD1C9C">
        <w:rPr>
          <w:b/>
          <w:bCs/>
          <w:sz w:val="22"/>
          <w:szCs w:val="22"/>
        </w:rPr>
        <w:t>XÂY DỰNG NĂNG LỰC ESL TẠI VIỆT NAM: TẦM NHÌN, THÁCH THỨC VÀ THỰC TIỄN</w:t>
      </w:r>
      <w:r>
        <w:rPr>
          <w:b/>
          <w:bCs/>
          <w:sz w:val="22"/>
          <w:szCs w:val="22"/>
        </w:rPr>
        <w:t xml:space="preserve"> -</w:t>
      </w:r>
      <w:r w:rsidRPr="00DD1C9C">
        <w:rPr>
          <w:b/>
          <w:bCs/>
          <w:sz w:val="22"/>
          <w:szCs w:val="22"/>
        </w:rPr>
        <w:t xml:space="preserve"> NGHIÊN CỨU TÌNH HUỐNG TẠI TRƯỜNG ĐẠI HỌC PHENIKAA VÀ TRƯỜNG ĐẠI HỌC THỦ ĐÔ HÀ NỘI</w:t>
      </w:r>
    </w:p>
    <w:p w14:paraId="5BA43020" w14:textId="66836354" w:rsidR="00DD1C9C" w:rsidRPr="00DD1C9C" w:rsidRDefault="00DD1C9C" w:rsidP="00DD1C9C">
      <w:pPr>
        <w:pStyle w:val="NormalWeb"/>
        <w:spacing w:before="0" w:beforeAutospacing="0" w:after="120" w:afterAutospacing="0"/>
        <w:jc w:val="both"/>
        <w:rPr>
          <w:sz w:val="22"/>
          <w:szCs w:val="22"/>
        </w:rPr>
      </w:pPr>
      <w:r w:rsidRPr="00DD1C9C">
        <w:rPr>
          <w:b/>
          <w:bCs/>
          <w:sz w:val="22"/>
          <w:szCs w:val="22"/>
        </w:rPr>
        <w:t>Tóm tắt:</w:t>
      </w:r>
      <w:r>
        <w:rPr>
          <w:sz w:val="22"/>
          <w:szCs w:val="22"/>
        </w:rPr>
        <w:t xml:space="preserve"> </w:t>
      </w:r>
      <w:r w:rsidRPr="00DD1C9C">
        <w:rPr>
          <w:sz w:val="22"/>
          <w:szCs w:val="22"/>
        </w:rPr>
        <w:t>Nghiên cứu này phân tích cách tầm nhìn thể chế, chính sách và thực tiễn sư phạm tác động đến phát triển năng lực ESL trong giáo dục đại học Việt Nam thông qua nghiên cứu tình huống tại Trường Đại học Phenikaa và Trường Đại học Thủ đô Hà Nội. Trong bối cảnh chuyển dịch từ EFL sang ESL nhằm đáp ứng hội nhập và mở rộng EMI, vẫn tồn tại khoảng cách giữa định hướng chính sách và thực hành giảng dạy. Nghiên cứu sử dụng phương pháp nghiên cứu tình huống kết hợp, bao gồm phân tích văn bản, khảo sát và phỏng vấn giảng viên, cán bộ quản lý và sinh viên trong các chương trình EMI, EAP và ESP. Kết quả cho thấy tầm nhìn rõ ràng và hướng dẫn chính sách cụ thể thúc đẩy phát triển ESL hiệu quả hơn, đặc biệt trong EAP. Tuy nhiên, sĩ số lớp lớn, đánh giá chưa phù hợp, áp lực công việc và môi trường sử dụng tiếng Anh hạn chế vẫn là rào cản. Nghiên cứu đóng góp bằng chứng thực tiễn cho hoạch định chính sách và cải tiến đào tạo ESL bền vững.</w:t>
      </w:r>
    </w:p>
    <w:p w14:paraId="6A9E2FC4" w14:textId="0ACC82FE" w:rsidR="00DD1C9C" w:rsidRPr="00DD1C9C" w:rsidRDefault="00DD1C9C" w:rsidP="00DD1C9C">
      <w:pPr>
        <w:pStyle w:val="NormalWeb"/>
        <w:spacing w:before="0" w:beforeAutospacing="0" w:after="120" w:afterAutospacing="0"/>
        <w:jc w:val="both"/>
        <w:rPr>
          <w:i/>
          <w:iCs/>
          <w:sz w:val="22"/>
          <w:szCs w:val="22"/>
        </w:rPr>
      </w:pPr>
      <w:r w:rsidRPr="00DD1C9C">
        <w:rPr>
          <w:b/>
          <w:bCs/>
          <w:i/>
          <w:iCs/>
          <w:sz w:val="22"/>
          <w:szCs w:val="22"/>
        </w:rPr>
        <w:t>Từ khóa</w:t>
      </w:r>
      <w:r w:rsidRPr="00DD1C9C">
        <w:rPr>
          <w:i/>
          <w:iCs/>
          <w:sz w:val="22"/>
          <w:szCs w:val="22"/>
        </w:rPr>
        <w:t>: Chính sách, ESL, Năng lực, Việt Nam</w:t>
      </w:r>
    </w:p>
    <w:p w14:paraId="5A426921" w14:textId="77777777" w:rsidR="00455F09" w:rsidRPr="00455F09" w:rsidRDefault="00455F09" w:rsidP="00455F09">
      <w:pPr>
        <w:spacing w:after="120" w:line="240" w:lineRule="auto"/>
        <w:jc w:val="both"/>
        <w:rPr>
          <w:b/>
          <w:bCs/>
          <w:sz w:val="22"/>
        </w:rPr>
      </w:pPr>
      <w:bookmarkStart w:id="0" w:name="_Hlk215827075"/>
      <w:r w:rsidRPr="00455F09">
        <w:rPr>
          <w:b/>
          <w:bCs/>
          <w:sz w:val="22"/>
        </w:rPr>
        <w:t>1. Introduction</w:t>
      </w:r>
    </w:p>
    <w:p w14:paraId="50AB4F7B" w14:textId="3D11051B" w:rsidR="00455F09" w:rsidRPr="00455F09" w:rsidRDefault="00455F09" w:rsidP="00455F09">
      <w:pPr>
        <w:spacing w:after="120" w:line="240" w:lineRule="auto"/>
        <w:jc w:val="both"/>
        <w:rPr>
          <w:b/>
          <w:bCs/>
          <w:i/>
          <w:iCs/>
          <w:sz w:val="22"/>
        </w:rPr>
      </w:pPr>
      <w:r w:rsidRPr="00455F09">
        <w:rPr>
          <w:b/>
          <w:bCs/>
          <w:i/>
          <w:iCs/>
          <w:sz w:val="22"/>
        </w:rPr>
        <w:t>1.1. Background</w:t>
      </w:r>
      <w:r>
        <w:rPr>
          <w:b/>
          <w:bCs/>
          <w:i/>
          <w:iCs/>
          <w:sz w:val="22"/>
        </w:rPr>
        <w:t xml:space="preserve">: </w:t>
      </w:r>
      <w:r w:rsidRPr="00455F09">
        <w:rPr>
          <w:sz w:val="22"/>
        </w:rPr>
        <w:t xml:space="preserve">Across Asia, English education is increasingly framed as second language development rather than foreign language instruction, reflecting globalization, academic mobility, and workplace demands. In Vietnam, national higher education reforms and the expansion of </w:t>
      </w:r>
      <w:r w:rsidR="003C74A6" w:rsidRPr="003C74A6">
        <w:rPr>
          <w:sz w:val="22"/>
        </w:rPr>
        <w:t>EMI (English Medium Instruction), EAP (English for Academic Purposes), and ESP (English for Specific Purposes</w:t>
      </w:r>
      <w:r w:rsidR="003C74A6">
        <w:rPr>
          <w:sz w:val="22"/>
        </w:rPr>
        <w:t xml:space="preserve">) </w:t>
      </w:r>
      <w:r w:rsidRPr="00455F09">
        <w:rPr>
          <w:sz w:val="22"/>
        </w:rPr>
        <w:t>signal a strategic shift toward functional English use beyond classrooms. However, institutional interpretations of ESL competence remain uneven, shaped by policy visions, resources, and teaching cultures. This study is situated within that transition and focuses on Phenikaa University</w:t>
      </w:r>
      <w:r w:rsidR="00AE0F48">
        <w:rPr>
          <w:sz w:val="22"/>
        </w:rPr>
        <w:t xml:space="preserve"> (PU)</w:t>
      </w:r>
      <w:r w:rsidRPr="00455F09">
        <w:rPr>
          <w:sz w:val="22"/>
        </w:rPr>
        <w:t xml:space="preserve"> and Hanoi Metropolitan University</w:t>
      </w:r>
      <w:r w:rsidR="00AE0F48">
        <w:rPr>
          <w:sz w:val="22"/>
        </w:rPr>
        <w:t xml:space="preserve"> (HNMU)</w:t>
      </w:r>
      <w:r w:rsidRPr="00455F09">
        <w:rPr>
          <w:sz w:val="22"/>
        </w:rPr>
        <w:t>, two urban institutions representing contrasting governance models, curricular orientations, and learner populations. Their shared commitment to internationalization, coupled with distinct implementation pathways, provides a meaningful comparative context. Investigating these universities enables an examination of how national directives are localized, offering insight into the practical translation of ESL-oriented goals within Vietnamese higher education.</w:t>
      </w:r>
    </w:p>
    <w:p w14:paraId="5CB141F4" w14:textId="35498460" w:rsidR="00455F09" w:rsidRPr="00455F09" w:rsidRDefault="00455F09" w:rsidP="00455F09">
      <w:pPr>
        <w:spacing w:after="120" w:line="240" w:lineRule="auto"/>
        <w:jc w:val="both"/>
        <w:rPr>
          <w:b/>
          <w:bCs/>
          <w:i/>
          <w:iCs/>
          <w:sz w:val="22"/>
        </w:rPr>
      </w:pPr>
      <w:r w:rsidRPr="00455F09">
        <w:rPr>
          <w:b/>
          <w:bCs/>
          <w:i/>
          <w:iCs/>
          <w:sz w:val="22"/>
        </w:rPr>
        <w:t>1.2. Aims</w:t>
      </w:r>
      <w:r>
        <w:rPr>
          <w:b/>
          <w:bCs/>
          <w:i/>
          <w:iCs/>
          <w:sz w:val="22"/>
        </w:rPr>
        <w:t xml:space="preserve">: </w:t>
      </w:r>
      <w:r w:rsidRPr="00455F09">
        <w:rPr>
          <w:sz w:val="22"/>
        </w:rPr>
        <w:t xml:space="preserve">Despite these policy ambitions, limited empirical evidence explains how institutional visions materialize in classroom practices or why persistent gaps exist between policy and reality. This case study addresses that problem by examining how institutional policies shape ESL competence development and identifying pedagogical and contextual constraints affecting implementation. Specifically, the study aims to analyze policy alignment, instructional practices, and perceived challenges across programs and skill domains. </w:t>
      </w:r>
      <w:r w:rsidRPr="00455F09">
        <w:rPr>
          <w:sz w:val="22"/>
        </w:rPr>
        <w:lastRenderedPageBreak/>
        <w:t>Its significance lies in generating context-sensitive evidence for university leaders, curriculum designers, and educators seeking to strengthen ESL outcomes. By clarifying mismatches between vision and practice, the research supports informed decision-making and sustainable reform. Ultimately, the study is conducted to advance realistic, institutionally grounded pathways for building ESL competence in Vietnamese higher education contexts.</w:t>
      </w:r>
    </w:p>
    <w:p w14:paraId="743FD3A1" w14:textId="6637ECB4" w:rsidR="00455F09" w:rsidRPr="00F67A82" w:rsidRDefault="00455F09" w:rsidP="00F67A82">
      <w:pPr>
        <w:spacing w:after="120" w:line="240" w:lineRule="auto"/>
        <w:jc w:val="both"/>
        <w:rPr>
          <w:b/>
          <w:bCs/>
          <w:i/>
          <w:iCs/>
          <w:sz w:val="22"/>
        </w:rPr>
      </w:pPr>
      <w:r w:rsidRPr="00455F09">
        <w:rPr>
          <w:b/>
          <w:bCs/>
          <w:i/>
          <w:iCs/>
          <w:sz w:val="22"/>
        </w:rPr>
        <w:t>1.3. Method</w:t>
      </w:r>
      <w:r w:rsidR="00F67A82">
        <w:rPr>
          <w:b/>
          <w:bCs/>
          <w:i/>
          <w:iCs/>
          <w:sz w:val="22"/>
        </w:rPr>
        <w:t xml:space="preserve">: </w:t>
      </w:r>
      <w:r w:rsidR="00F67A82" w:rsidRPr="00F67A82">
        <w:rPr>
          <w:sz w:val="22"/>
        </w:rPr>
        <w:t xml:space="preserve">This study adopts a mixed-methods case study design to examine ESL competence development at </w:t>
      </w:r>
      <w:r w:rsidR="00F67A82">
        <w:rPr>
          <w:sz w:val="22"/>
        </w:rPr>
        <w:t>PU</w:t>
      </w:r>
      <w:r w:rsidR="00F67A82" w:rsidRPr="00F67A82">
        <w:rPr>
          <w:sz w:val="22"/>
        </w:rPr>
        <w:t xml:space="preserve"> and </w:t>
      </w:r>
      <w:r w:rsidR="00F67A82">
        <w:rPr>
          <w:sz w:val="22"/>
        </w:rPr>
        <w:t>HNMU</w:t>
      </w:r>
      <w:r w:rsidR="00F67A82" w:rsidRPr="00F67A82">
        <w:rPr>
          <w:sz w:val="22"/>
        </w:rPr>
        <w:t xml:space="preserve">. A convergent research framework integrates policy analysis, survey data, and interview evidence to address institutional visions and pedagogical realities. Data were collected online through widely used applications, ensuring accessibility and consistent participation. Participants included </w:t>
      </w:r>
      <w:r w:rsidR="00F67A82">
        <w:rPr>
          <w:sz w:val="22"/>
        </w:rPr>
        <w:t>2</w:t>
      </w:r>
      <w:r w:rsidR="00F67A82" w:rsidRPr="00F67A82">
        <w:rPr>
          <w:sz w:val="22"/>
        </w:rPr>
        <w:t>2 English lecturers, 8 administrators, and 312 undergraduate students selected via purposive sampling to represent EMI, EAP, and ESP programs.</w:t>
      </w:r>
      <w:r w:rsidR="00F67A82">
        <w:rPr>
          <w:sz w:val="22"/>
        </w:rPr>
        <w:t xml:space="preserve"> </w:t>
      </w:r>
      <w:r w:rsidR="00F67A82" w:rsidRPr="00F67A82">
        <w:rPr>
          <w:sz w:val="22"/>
        </w:rPr>
        <w:t>Quantitative data were gathered through structured questionnaires measuring perceptions of policy clarity, instructional practices, and learning environments. Qualitative data were obtained from semi-structured interviews and institutional document analysis to capture contextual challenges and implementation processes. Data collection occurred over twelve weeks during the 2025 academic year. Survey responses were analyzed using descriptive statistics, while interview transcripts and documents underwent thematic coding with cross-source triangulation. Reliability was strengthened through pilot testing, member checking, and inter-coder agreement. Validity was enhanced by aligning instruments with research questions and comparing multiple data sources. All participants voluntarily consented to participate. Personal identifiers and datasets were encrypted and securely stored, ensuring privacy, confidentiality, and ethical compliance throughout the study according to institutional ethics guidelines and internationally recognized research standards in Vietnam context.</w:t>
      </w:r>
    </w:p>
    <w:p w14:paraId="4FA6C272" w14:textId="77777777" w:rsidR="00455F09" w:rsidRPr="00455F09" w:rsidRDefault="00455F09" w:rsidP="00455F09">
      <w:pPr>
        <w:spacing w:after="120" w:line="240" w:lineRule="auto"/>
        <w:jc w:val="both"/>
        <w:rPr>
          <w:b/>
          <w:bCs/>
          <w:sz w:val="22"/>
        </w:rPr>
      </w:pPr>
      <w:r w:rsidRPr="00455F09">
        <w:rPr>
          <w:b/>
          <w:bCs/>
          <w:sz w:val="22"/>
        </w:rPr>
        <w:t>2. Literature review</w:t>
      </w:r>
    </w:p>
    <w:p w14:paraId="1E2071EC" w14:textId="77777777" w:rsidR="00220B1C" w:rsidRPr="00E60331" w:rsidRDefault="00220B1C" w:rsidP="00220B1C">
      <w:pPr>
        <w:spacing w:after="120" w:line="240" w:lineRule="auto"/>
        <w:jc w:val="both"/>
        <w:rPr>
          <w:sz w:val="22"/>
        </w:rPr>
      </w:pPr>
      <w:r w:rsidRPr="00E60331">
        <w:rPr>
          <w:sz w:val="22"/>
        </w:rPr>
        <w:t>This literature review is structured around the conceptual framework of institutional vision, policy enactment, and pedagogical reality shaping ESL competence. Sources were selected using relevance, recency, and alignment with ESL, policy, and higher education contexts. Both Vietnamese and international studies were included to enable comparative insight. Priority was given to peer-reviewed journals, official policy documents, and empirical case studies employing qualitative, quantitative, or mixed methods. Together, these works inform analytical lenses and justify the present institutional case study.</w:t>
      </w:r>
    </w:p>
    <w:p w14:paraId="5DBF3D9B" w14:textId="77777777" w:rsidR="00220B1C" w:rsidRPr="00E60331" w:rsidRDefault="00220B1C" w:rsidP="00220B1C">
      <w:pPr>
        <w:spacing w:after="120" w:line="240" w:lineRule="auto"/>
        <w:jc w:val="both"/>
        <w:rPr>
          <w:sz w:val="22"/>
        </w:rPr>
      </w:pPr>
      <w:r w:rsidRPr="00E60331">
        <w:rPr>
          <w:sz w:val="22"/>
        </w:rPr>
        <w:t>Le Thanh Long (2025) present</w:t>
      </w:r>
      <w:r>
        <w:rPr>
          <w:sz w:val="22"/>
        </w:rPr>
        <w:t>ed</w:t>
      </w:r>
      <w:r w:rsidRPr="00E60331">
        <w:rPr>
          <w:sz w:val="22"/>
        </w:rPr>
        <w:t xml:space="preserve"> Vietnam’s national policy framework approving English as a second language in schools between 2025 and 2035, with </w:t>
      </w:r>
      <w:r>
        <w:rPr>
          <w:sz w:val="22"/>
        </w:rPr>
        <w:t xml:space="preserve">a </w:t>
      </w:r>
      <w:r w:rsidRPr="00E60331">
        <w:rPr>
          <w:sz w:val="22"/>
        </w:rPr>
        <w:t>vision to 2045. The study adopts policy analysis to define ESL as functional language use across disciplines and social contexts. It emphasizes institutional responsibility, curriculum integration, and teacher development. It emphasizes functional English use for study, employment, and international integration rather than examination-driven learning. Key directions include curriculum reform, teacher capacity development, English-rich learning environments, and strengthened institutional accountability. Universities are assigned a pivotal role in translating national visions into operational practices through EMI, EAP, and ESP implementation. However, implementation pathways remain flexible and context dependent, calling for empirical research examining how institutional policies, pedagogical practices, and contextual constraints shape ESL competence development.</w:t>
      </w:r>
      <w:r>
        <w:rPr>
          <w:sz w:val="22"/>
        </w:rPr>
        <w:t xml:space="preserve"> More especially, </w:t>
      </w:r>
      <w:r w:rsidRPr="00E60331">
        <w:rPr>
          <w:sz w:val="22"/>
        </w:rPr>
        <w:t>Le Van Canh</w:t>
      </w:r>
      <w:r>
        <w:rPr>
          <w:sz w:val="22"/>
        </w:rPr>
        <w:t>.</w:t>
      </w:r>
      <w:r w:rsidRPr="00E60331">
        <w:rPr>
          <w:sz w:val="22"/>
        </w:rPr>
        <w:t xml:space="preserve"> et al. (2019) investigate</w:t>
      </w:r>
      <w:r>
        <w:rPr>
          <w:sz w:val="22"/>
        </w:rPr>
        <w:t>d</w:t>
      </w:r>
      <w:r w:rsidRPr="00E60331">
        <w:rPr>
          <w:sz w:val="22"/>
        </w:rPr>
        <w:t xml:space="preserve"> teacher capacity building for English language teaching in Vietnam through qualitative interviews and training program analysis. The study focuses on professional development, pedagogical beliefs, and institutional support mechanisms. Findings reveal that teacher competence depends heavily on organizational conditions and policy coherence. However, the research concentrates primarily on EFL contexts and teacher preparation, offering limited insight into ESL competence or university-level policy enactment. This gap supports examining ESL-oriented teaching realities within higher education institutions.</w:t>
      </w:r>
      <w:r>
        <w:rPr>
          <w:sz w:val="22"/>
        </w:rPr>
        <w:t xml:space="preserve"> Furthermore,  </w:t>
      </w:r>
      <w:r w:rsidRPr="00E60331">
        <w:rPr>
          <w:sz w:val="22"/>
        </w:rPr>
        <w:t>Trang Thi Doan Dao</w:t>
      </w:r>
      <w:r>
        <w:rPr>
          <w:sz w:val="22"/>
        </w:rPr>
        <w:t>.</w:t>
      </w:r>
      <w:r w:rsidRPr="00E60331">
        <w:rPr>
          <w:sz w:val="22"/>
        </w:rPr>
        <w:t xml:space="preserve"> et al. (2025) explore</w:t>
      </w:r>
      <w:r>
        <w:rPr>
          <w:sz w:val="22"/>
        </w:rPr>
        <w:t>d</w:t>
      </w:r>
      <w:r w:rsidRPr="00E60331">
        <w:rPr>
          <w:sz w:val="22"/>
        </w:rPr>
        <w:t xml:space="preserve"> teacher agency during curriculum reform through a qualitative case study of two English teachers implementing new textbooks in Vietnam. Using classroom observation and interviews, the study highlights tensions between policy mandates and instructional autonomy. Findings show that institutional constraints shape pedagogical choices. Nevertheless, the narrow sample and school-level focus limit generalizability. The study does not address ESL competence development or university settings, underscoring the need for broader institutional analysis in higher education contexts.</w:t>
      </w:r>
    </w:p>
    <w:p w14:paraId="0CAB391B" w14:textId="77777777" w:rsidR="00220B1C" w:rsidRPr="00E60331" w:rsidRDefault="00220B1C" w:rsidP="00220B1C">
      <w:pPr>
        <w:spacing w:after="120" w:line="240" w:lineRule="auto"/>
        <w:jc w:val="both"/>
        <w:rPr>
          <w:sz w:val="22"/>
        </w:rPr>
      </w:pPr>
      <w:r>
        <w:rPr>
          <w:sz w:val="22"/>
        </w:rPr>
        <w:lastRenderedPageBreak/>
        <w:t xml:space="preserve">In their study, </w:t>
      </w:r>
      <w:r w:rsidRPr="00E60331">
        <w:rPr>
          <w:sz w:val="22"/>
        </w:rPr>
        <w:t>Sajadllah</w:t>
      </w:r>
      <w:r>
        <w:rPr>
          <w:sz w:val="22"/>
        </w:rPr>
        <w:t>, Y.</w:t>
      </w:r>
      <w:r w:rsidRPr="00E60331">
        <w:rPr>
          <w:sz w:val="22"/>
        </w:rPr>
        <w:t xml:space="preserve"> et al. (2022) examine</w:t>
      </w:r>
      <w:r>
        <w:rPr>
          <w:sz w:val="22"/>
        </w:rPr>
        <w:t>d</w:t>
      </w:r>
      <w:r w:rsidRPr="00E60331">
        <w:rPr>
          <w:sz w:val="22"/>
        </w:rPr>
        <w:t xml:space="preserve"> institutional policy influence on English learning at a Saudi Arabian health sciences university using survey and interview data. The study frames policy as a determinant of learner motivation and instructional practice. Results demonstrate strong correlations between policy clarity and language outcomes. However, the research focuses on EFL and medical education, limiting contextual transferability. It does not examine ESL competence or Southeast Asian contexts, justifying comparative institutional studies within Vietnamese higher education environments.</w:t>
      </w:r>
      <w:r>
        <w:rPr>
          <w:sz w:val="22"/>
        </w:rPr>
        <w:t xml:space="preserve"> Similarly, </w:t>
      </w:r>
      <w:r w:rsidRPr="00E60331">
        <w:rPr>
          <w:sz w:val="22"/>
        </w:rPr>
        <w:t>Sidra</w:t>
      </w:r>
      <w:r>
        <w:rPr>
          <w:sz w:val="22"/>
        </w:rPr>
        <w:t>, N.</w:t>
      </w:r>
      <w:r w:rsidRPr="00E60331">
        <w:rPr>
          <w:sz w:val="22"/>
        </w:rPr>
        <w:t xml:space="preserve"> (2025) investigate</w:t>
      </w:r>
      <w:r>
        <w:rPr>
          <w:sz w:val="22"/>
        </w:rPr>
        <w:t>d</w:t>
      </w:r>
      <w:r w:rsidRPr="00E60331">
        <w:rPr>
          <w:sz w:val="22"/>
        </w:rPr>
        <w:t xml:space="preserve"> ESL lecturers’ digital competence and organizational support using quantitative analysis in Malaysian higher education. The study finds that institutional support significantly predicts pedagogical digital competence. ESL competence is framed through instructional delivery rather than policy alignment. While informative, the research emphasizes technology rather than curriculum or language environment. It does not examine policy vision or classroom interaction. This limitation highlights the need for integrated analysis of policy, pedagogy, and context in ESL development.</w:t>
      </w:r>
      <w:r>
        <w:rPr>
          <w:sz w:val="22"/>
        </w:rPr>
        <w:t xml:space="preserve"> </w:t>
      </w:r>
      <w:r w:rsidRPr="00220B1C">
        <w:rPr>
          <w:sz w:val="22"/>
        </w:rPr>
        <w:t>In line with previous findings,</w:t>
      </w:r>
      <w:r>
        <w:rPr>
          <w:sz w:val="22"/>
        </w:rPr>
        <w:t xml:space="preserve"> </w:t>
      </w:r>
      <w:r w:rsidRPr="00E60331">
        <w:rPr>
          <w:sz w:val="22"/>
        </w:rPr>
        <w:t>Hazri</w:t>
      </w:r>
      <w:r>
        <w:rPr>
          <w:sz w:val="22"/>
        </w:rPr>
        <w:t>, J.,</w:t>
      </w:r>
      <w:r w:rsidRPr="00E60331">
        <w:rPr>
          <w:sz w:val="22"/>
        </w:rPr>
        <w:t xml:space="preserve"> and Khadija</w:t>
      </w:r>
      <w:r>
        <w:rPr>
          <w:sz w:val="22"/>
        </w:rPr>
        <w:t>, J.</w:t>
      </w:r>
      <w:r w:rsidRPr="00E60331">
        <w:rPr>
          <w:sz w:val="22"/>
        </w:rPr>
        <w:t xml:space="preserve"> (2023) analyze</w:t>
      </w:r>
      <w:r>
        <w:rPr>
          <w:sz w:val="22"/>
        </w:rPr>
        <w:t>d</w:t>
      </w:r>
      <w:r w:rsidRPr="00E60331">
        <w:rPr>
          <w:sz w:val="22"/>
        </w:rPr>
        <w:t xml:space="preserve"> institutional policies supporting higher education internationalization across Southeast Asia and Pakistan through comparative policy review. The study emphasizes English as a strategic medium for global engagement. However, ESL competence is treated implicitly, without examining teaching practices or learner outcomes. The macro-policy orientation overlooks classroom realities. This limitation indicates a need for micro-level institutional case studies linking internationalization policies with actual ESL competence development.</w:t>
      </w:r>
    </w:p>
    <w:p w14:paraId="1FBA7376" w14:textId="77777777" w:rsidR="00220B1C" w:rsidRPr="00E60331" w:rsidRDefault="00220B1C" w:rsidP="00220B1C">
      <w:pPr>
        <w:spacing w:after="120" w:line="240" w:lineRule="auto"/>
        <w:jc w:val="both"/>
        <w:rPr>
          <w:sz w:val="22"/>
        </w:rPr>
      </w:pPr>
      <w:r>
        <w:rPr>
          <w:sz w:val="22"/>
        </w:rPr>
        <w:t xml:space="preserve">Findings from </w:t>
      </w:r>
      <w:r w:rsidRPr="00E60331">
        <w:rPr>
          <w:sz w:val="22"/>
        </w:rPr>
        <w:t>Philpo</w:t>
      </w:r>
      <w:r>
        <w:rPr>
          <w:sz w:val="22"/>
        </w:rPr>
        <w:t>, J.</w:t>
      </w:r>
      <w:r w:rsidRPr="00E60331">
        <w:rPr>
          <w:sz w:val="22"/>
        </w:rPr>
        <w:t xml:space="preserve"> et al. (2023) explore</w:t>
      </w:r>
      <w:r>
        <w:rPr>
          <w:sz w:val="22"/>
        </w:rPr>
        <w:t>d</w:t>
      </w:r>
      <w:r w:rsidRPr="00E60331">
        <w:rPr>
          <w:sz w:val="22"/>
        </w:rPr>
        <w:t xml:space="preserve"> contextual and pedagogical challenges in implementing Communicative Language Teaching in Tanzanian primary schools using mixed methods. Findings identify large class sizes, assessment pressure, and limited resources as key barriers. Although the study offers transferable insights on pedagogical constraints, it focuses on primary education and EFL contexts. ESL competence and higher education are not addressed, warranting further investigation within university-level ESL environments.</w:t>
      </w:r>
      <w:r>
        <w:rPr>
          <w:sz w:val="22"/>
        </w:rPr>
        <w:t xml:space="preserve"> Last but not least, </w:t>
      </w:r>
      <w:r w:rsidRPr="00E60331">
        <w:rPr>
          <w:sz w:val="22"/>
        </w:rPr>
        <w:t>Mui</w:t>
      </w:r>
      <w:r>
        <w:rPr>
          <w:sz w:val="22"/>
        </w:rPr>
        <w:t>, L.</w:t>
      </w:r>
      <w:r w:rsidRPr="00E60331">
        <w:rPr>
          <w:sz w:val="22"/>
        </w:rPr>
        <w:t>&amp; Nur</w:t>
      </w:r>
      <w:r>
        <w:rPr>
          <w:sz w:val="22"/>
        </w:rPr>
        <w:t>, Y.</w:t>
      </w:r>
      <w:r w:rsidRPr="00E60331">
        <w:rPr>
          <w:sz w:val="22"/>
        </w:rPr>
        <w:t>(2025) examine</w:t>
      </w:r>
      <w:r>
        <w:rPr>
          <w:sz w:val="22"/>
        </w:rPr>
        <w:t>d</w:t>
      </w:r>
      <w:r w:rsidRPr="00E60331">
        <w:rPr>
          <w:sz w:val="22"/>
        </w:rPr>
        <w:t xml:space="preserve"> challenges faced by ESL teachers integrating technology through survey-based analysis. The study identifies infrastructure limitations, workload, and insufficient training as major constraints. ESL competence is indirectly addressed through instructional tools rather than communicative outcomes. Institutional policy roles remain underexplored. The study’s focus on technology adoption limits its explanatory scope, supporting the need for broader analyses integrating policy vision, pedagogy, and contextual realities.</w:t>
      </w:r>
    </w:p>
    <w:p w14:paraId="4B7E6C1A" w14:textId="0F8C71AE" w:rsidR="00455F09" w:rsidRPr="00455F09" w:rsidRDefault="00220B1C" w:rsidP="00455F09">
      <w:pPr>
        <w:spacing w:after="120" w:line="240" w:lineRule="auto"/>
        <w:jc w:val="both"/>
        <w:rPr>
          <w:sz w:val="22"/>
        </w:rPr>
      </w:pPr>
      <w:r w:rsidRPr="00E60331">
        <w:rPr>
          <w:sz w:val="22"/>
        </w:rPr>
        <w:t>Collectively, these studies highlight the significance of policy, teacher capacity, and institutional conditions in English education. However, most focus on EFL, school-level settings, technology, or macro-policy perspectives, leaving ESL competence in Vietnamese higher education underexplored. Few studies integrate institutional vision, pedagogical practice, and contextual constraints within a single analytical framework. This gap justifies the present study, which examines how ESL competence is shaped and constrained within two Vietnamese universities. The study aims to connect policy intentions with classroom realities, providing context-sensitive evidence to inform sustainable ESL development in higher education.</w:t>
      </w:r>
    </w:p>
    <w:p w14:paraId="4C05EF5F" w14:textId="77777777" w:rsidR="00455F09" w:rsidRPr="00455F09" w:rsidRDefault="00455F09" w:rsidP="00455F09">
      <w:pPr>
        <w:spacing w:after="120" w:line="240" w:lineRule="auto"/>
        <w:jc w:val="both"/>
        <w:rPr>
          <w:b/>
          <w:bCs/>
          <w:sz w:val="22"/>
        </w:rPr>
      </w:pPr>
      <w:r w:rsidRPr="00455F09">
        <w:rPr>
          <w:b/>
          <w:bCs/>
          <w:sz w:val="22"/>
        </w:rPr>
        <w:t>3. Results and findings</w:t>
      </w:r>
    </w:p>
    <w:p w14:paraId="2CA5A51E" w14:textId="6706C53B" w:rsidR="00FF6791" w:rsidRPr="00FF6791" w:rsidRDefault="00FF6791" w:rsidP="00FF6791">
      <w:pPr>
        <w:spacing w:after="120" w:line="240" w:lineRule="auto"/>
        <w:jc w:val="both"/>
        <w:rPr>
          <w:sz w:val="22"/>
        </w:rPr>
      </w:pPr>
      <w:r w:rsidRPr="00FF6791">
        <w:rPr>
          <w:sz w:val="22"/>
        </w:rPr>
        <w:t>This section reports empirical findings from survey responses, institutional documents, and interview data collected at Phenikaa University (PU) and Hanoi Metropolitan University (HNMU). Results are presented descriptively to address how institutional visions shape ESL competence development and to identify pedagogical and contextual constraints influencing implementation across EMI, EAP, and ESP programs.</w:t>
      </w:r>
    </w:p>
    <w:p w14:paraId="69BC4829" w14:textId="2585CCF6" w:rsidR="00FF6791" w:rsidRPr="00CF558A" w:rsidRDefault="00FF6791" w:rsidP="00FF6791">
      <w:pPr>
        <w:spacing w:after="120" w:line="240" w:lineRule="auto"/>
        <w:jc w:val="both"/>
        <w:rPr>
          <w:b/>
          <w:bCs/>
          <w:i/>
          <w:iCs/>
          <w:sz w:val="22"/>
        </w:rPr>
      </w:pPr>
      <w:r w:rsidRPr="00CF558A">
        <w:rPr>
          <w:b/>
          <w:bCs/>
          <w:i/>
          <w:iCs/>
          <w:sz w:val="22"/>
        </w:rPr>
        <w:t xml:space="preserve">3.1 Institutional </w:t>
      </w:r>
      <w:r w:rsidR="00CF558A" w:rsidRPr="00CF558A">
        <w:rPr>
          <w:b/>
          <w:bCs/>
          <w:i/>
          <w:iCs/>
          <w:sz w:val="22"/>
        </w:rPr>
        <w:t xml:space="preserve">visions and policy influence </w:t>
      </w:r>
      <w:r w:rsidRPr="00CF558A">
        <w:rPr>
          <w:b/>
          <w:bCs/>
          <w:i/>
          <w:iCs/>
          <w:sz w:val="22"/>
        </w:rPr>
        <w:t xml:space="preserve">on ESL </w:t>
      </w:r>
      <w:r w:rsidR="00CF558A" w:rsidRPr="00CF558A">
        <w:rPr>
          <w:b/>
          <w:bCs/>
          <w:i/>
          <w:iCs/>
          <w:sz w:val="22"/>
        </w:rPr>
        <w:t>competence development</w:t>
      </w:r>
    </w:p>
    <w:p w14:paraId="5797AAC8" w14:textId="77777777" w:rsidR="00CF558A" w:rsidRDefault="00CF558A" w:rsidP="00CF558A">
      <w:pPr>
        <w:spacing w:after="120" w:line="240" w:lineRule="auto"/>
        <w:jc w:val="both"/>
        <w:rPr>
          <w:sz w:val="22"/>
        </w:rPr>
      </w:pPr>
      <w:r>
        <w:rPr>
          <w:sz w:val="22"/>
        </w:rPr>
        <w:t>a</w:t>
      </w:r>
    </w:p>
    <w:p w14:paraId="707F96BE" w14:textId="77777777" w:rsidR="00CF558A" w:rsidRDefault="00CF558A" w:rsidP="00CF558A">
      <w:pPr>
        <w:spacing w:after="120" w:line="240" w:lineRule="auto"/>
        <w:jc w:val="center"/>
        <w:rPr>
          <w:sz w:val="22"/>
        </w:rPr>
      </w:pPr>
      <w:r w:rsidRPr="00FF6791">
        <w:rPr>
          <w:noProof/>
          <w:sz w:val="22"/>
        </w:rPr>
        <w:lastRenderedPageBreak/>
        <w:drawing>
          <wp:inline distT="0" distB="0" distL="0" distR="0" wp14:anchorId="704CC029" wp14:editId="43590394">
            <wp:extent cx="2851027" cy="1992906"/>
            <wp:effectExtent l="0" t="0" r="6985" b="7620"/>
            <wp:docPr id="903686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27345" name=""/>
                    <pic:cNvPicPr/>
                  </pic:nvPicPr>
                  <pic:blipFill>
                    <a:blip r:embed="rId5"/>
                    <a:stretch>
                      <a:fillRect/>
                    </a:stretch>
                  </pic:blipFill>
                  <pic:spPr>
                    <a:xfrm>
                      <a:off x="0" y="0"/>
                      <a:ext cx="2863333" cy="2001508"/>
                    </a:xfrm>
                    <a:prstGeom prst="rect">
                      <a:avLst/>
                    </a:prstGeom>
                  </pic:spPr>
                </pic:pic>
              </a:graphicData>
            </a:graphic>
          </wp:inline>
        </w:drawing>
      </w:r>
    </w:p>
    <w:p w14:paraId="69C6D9ED" w14:textId="77777777" w:rsidR="00CF558A" w:rsidRDefault="00CF558A" w:rsidP="00CF558A">
      <w:pPr>
        <w:spacing w:after="120" w:line="240" w:lineRule="auto"/>
        <w:jc w:val="center"/>
        <w:rPr>
          <w:b/>
          <w:bCs/>
          <w:i/>
          <w:iCs/>
          <w:sz w:val="22"/>
        </w:rPr>
      </w:pPr>
      <w:r w:rsidRPr="00FF6791">
        <w:rPr>
          <w:b/>
          <w:bCs/>
          <w:i/>
          <w:iCs/>
          <w:sz w:val="22"/>
        </w:rPr>
        <w:t>Figure: Institution policy support for ESL development (Source: Author, 2025)</w:t>
      </w:r>
    </w:p>
    <w:p w14:paraId="5DFAC008" w14:textId="5A344F4D" w:rsidR="00FF6791" w:rsidRPr="00FF6791" w:rsidRDefault="00CF558A" w:rsidP="00FF6791">
      <w:pPr>
        <w:spacing w:after="120" w:line="240" w:lineRule="auto"/>
        <w:jc w:val="both"/>
        <w:rPr>
          <w:sz w:val="22"/>
        </w:rPr>
      </w:pPr>
      <w:r w:rsidRPr="003A1437">
        <w:rPr>
          <w:b/>
          <w:bCs/>
          <w:i/>
          <w:iCs/>
          <w:sz w:val="22"/>
        </w:rPr>
        <w:t>Figure 1</w:t>
      </w:r>
      <w:r w:rsidRPr="00FF6791">
        <w:rPr>
          <w:sz w:val="22"/>
        </w:rPr>
        <w:t xml:space="preserve"> illustrates differences in perceived institutional support for ESL development between PU and HNMU. PU consistently reports higher agreement across all indicators, particularly in policy clarity (78%) </w:t>
      </w:r>
      <w:r w:rsidRPr="00CF558A">
        <w:rPr>
          <w:sz w:val="22"/>
        </w:rPr>
        <w:t>compared with 65% at HNMU</w:t>
      </w:r>
      <w:r>
        <w:rPr>
          <w:sz w:val="22"/>
        </w:rPr>
        <w:t xml:space="preserve">, </w:t>
      </w:r>
      <w:r w:rsidRPr="00FF6791">
        <w:rPr>
          <w:sz w:val="22"/>
        </w:rPr>
        <w:t>and curriculum alignment (72%), indicating a more structured ESL-oriented vision</w:t>
      </w:r>
      <w:r>
        <w:rPr>
          <w:sz w:val="22"/>
        </w:rPr>
        <w:t xml:space="preserve">, </w:t>
      </w:r>
      <w:r w:rsidRPr="00CF558A">
        <w:rPr>
          <w:sz w:val="22"/>
        </w:rPr>
        <w:t>with ESL-oriented outcomes</w:t>
      </w:r>
      <w:r>
        <w:rPr>
          <w:sz w:val="22"/>
        </w:rPr>
        <w:t xml:space="preserve">, </w:t>
      </w:r>
      <w:r w:rsidRPr="00CF558A">
        <w:rPr>
          <w:sz w:val="22"/>
        </w:rPr>
        <w:t>suggesting moderate consistency across institutions</w:t>
      </w:r>
      <w:r w:rsidRPr="00FF6791">
        <w:rPr>
          <w:sz w:val="22"/>
        </w:rPr>
        <w:t>. HNMU shows lower levels, especially in teacher support (58%) and student exposure (60%), suggesting weaker operationalization. These findings demonstrate that clearer institutional visions and stronger policy frameworks are associated with more effective ESL competence development, directly addressing the first research question.</w:t>
      </w:r>
      <w:r>
        <w:rPr>
          <w:sz w:val="22"/>
        </w:rPr>
        <w:t xml:space="preserve"> </w:t>
      </w:r>
      <w:r w:rsidR="00FF6791" w:rsidRPr="00FF6791">
        <w:rPr>
          <w:sz w:val="22"/>
        </w:rPr>
        <w:t xml:space="preserve">Survey results indicate that institutional visions and policy frameworks exert a measurable influence on ESL competence development at both universities. As </w:t>
      </w:r>
      <w:r>
        <w:rPr>
          <w:sz w:val="22"/>
        </w:rPr>
        <w:t xml:space="preserve">an </w:t>
      </w:r>
      <w:r w:rsidR="00FF6791" w:rsidRPr="00FF6791">
        <w:rPr>
          <w:sz w:val="22"/>
        </w:rPr>
        <w:t>illustrat</w:t>
      </w:r>
      <w:r>
        <w:rPr>
          <w:sz w:val="22"/>
        </w:rPr>
        <w:t>ion</w:t>
      </w:r>
      <w:r w:rsidR="00FF6791" w:rsidRPr="00FF6791">
        <w:rPr>
          <w:sz w:val="22"/>
        </w:rPr>
        <w:t xml:space="preserve">, respondents at PU reported higher levels of agreement regarding policy clarity, curriculum alignment, and student exposure to English-rich environments than their counterparts at HNMU. </w:t>
      </w:r>
    </w:p>
    <w:p w14:paraId="77A5E23F" w14:textId="77777777" w:rsidR="00FF6791" w:rsidRPr="00FF6791" w:rsidRDefault="00FF6791" w:rsidP="00FF6791">
      <w:pPr>
        <w:spacing w:after="120" w:line="240" w:lineRule="auto"/>
        <w:jc w:val="both"/>
        <w:rPr>
          <w:sz w:val="22"/>
        </w:rPr>
      </w:pPr>
      <w:r w:rsidRPr="00FF6791">
        <w:rPr>
          <w:sz w:val="22"/>
        </w:rPr>
        <w:t>Administrative survey data further showed that both universities formally prioritize ESL competence through strategic plans, yet differ in operational emphasis. PU administrators highlighted structured policy dissemination and internal monitoring mechanisms, while HNMU administrators emphasized flexibility and departmental autonomy. These differences were reflected in teaching practices, particularly in EMI and EAP programs, where PU instructors reported more frequent use of interaction-based activities and extended English exposure beyond classroom hours.</w:t>
      </w:r>
    </w:p>
    <w:p w14:paraId="5BBAF02F" w14:textId="77777777" w:rsidR="00241F26" w:rsidRPr="00FF6791" w:rsidRDefault="00241F26" w:rsidP="00241F26">
      <w:pPr>
        <w:spacing w:after="120" w:line="240" w:lineRule="auto"/>
        <w:jc w:val="center"/>
        <w:outlineLvl w:val="1"/>
        <w:rPr>
          <w:rFonts w:eastAsia="Times New Roman" w:cs="Times New Roman"/>
          <w:b/>
          <w:bCs/>
          <w:i/>
          <w:iCs/>
          <w:kern w:val="0"/>
          <w:sz w:val="22"/>
          <w14:ligatures w14:val="none"/>
        </w:rPr>
      </w:pPr>
      <w:r w:rsidRPr="00FF6791">
        <w:rPr>
          <w:rFonts w:eastAsia="Times New Roman" w:cs="Times New Roman"/>
          <w:b/>
          <w:bCs/>
          <w:i/>
          <w:iCs/>
          <w:kern w:val="0"/>
          <w:sz w:val="22"/>
          <w14:ligatures w14:val="none"/>
        </w:rPr>
        <w:t>Table 1: Perceived ESL integration by program type</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407"/>
        <w:gridCol w:w="1496"/>
        <w:gridCol w:w="1914"/>
      </w:tblGrid>
      <w:tr w:rsidR="00241F26" w:rsidRPr="00FF6791" w14:paraId="253C5B20" w14:textId="77777777" w:rsidTr="000A5504">
        <w:trPr>
          <w:tblHeader/>
          <w:tblCellSpacing w:w="15" w:type="dxa"/>
          <w:jc w:val="center"/>
        </w:trPr>
        <w:tc>
          <w:tcPr>
            <w:tcW w:w="0" w:type="auto"/>
            <w:vAlign w:val="center"/>
            <w:hideMark/>
          </w:tcPr>
          <w:p w14:paraId="2D9D2938" w14:textId="77777777" w:rsidR="00241F26" w:rsidRPr="00FF6791" w:rsidRDefault="00241F26" w:rsidP="000A5504">
            <w:pPr>
              <w:spacing w:after="0" w:line="240" w:lineRule="auto"/>
              <w:jc w:val="center"/>
              <w:rPr>
                <w:rFonts w:eastAsia="Times New Roman" w:cs="Times New Roman"/>
                <w:b/>
                <w:bCs/>
                <w:kern w:val="0"/>
                <w:sz w:val="22"/>
                <w14:ligatures w14:val="none"/>
              </w:rPr>
            </w:pPr>
            <w:r w:rsidRPr="00FF6791">
              <w:rPr>
                <w:rFonts w:eastAsia="Times New Roman" w:cs="Times New Roman"/>
                <w:b/>
                <w:bCs/>
                <w:kern w:val="0"/>
                <w:sz w:val="22"/>
                <w14:ligatures w14:val="none"/>
              </w:rPr>
              <w:t xml:space="preserve">Program </w:t>
            </w:r>
            <w:r w:rsidRPr="003A1437">
              <w:rPr>
                <w:rFonts w:eastAsia="Times New Roman" w:cs="Times New Roman"/>
                <w:b/>
                <w:bCs/>
                <w:kern w:val="0"/>
                <w:sz w:val="22"/>
                <w14:ligatures w14:val="none"/>
              </w:rPr>
              <w:t>t</w:t>
            </w:r>
            <w:r w:rsidRPr="00FF6791">
              <w:rPr>
                <w:rFonts w:eastAsia="Times New Roman" w:cs="Times New Roman"/>
                <w:b/>
                <w:bCs/>
                <w:kern w:val="0"/>
                <w:sz w:val="22"/>
                <w14:ligatures w14:val="none"/>
              </w:rPr>
              <w:t>ype</w:t>
            </w:r>
          </w:p>
        </w:tc>
        <w:tc>
          <w:tcPr>
            <w:tcW w:w="0" w:type="auto"/>
            <w:vAlign w:val="center"/>
            <w:hideMark/>
          </w:tcPr>
          <w:p w14:paraId="014323A3" w14:textId="77777777" w:rsidR="00241F26" w:rsidRPr="00FF6791" w:rsidRDefault="00241F26" w:rsidP="000A5504">
            <w:pPr>
              <w:spacing w:after="0" w:line="240" w:lineRule="auto"/>
              <w:jc w:val="center"/>
              <w:rPr>
                <w:rFonts w:eastAsia="Times New Roman" w:cs="Times New Roman"/>
                <w:b/>
                <w:bCs/>
                <w:kern w:val="0"/>
                <w:sz w:val="22"/>
                <w14:ligatures w14:val="none"/>
              </w:rPr>
            </w:pPr>
            <w:r w:rsidRPr="00FF6791">
              <w:rPr>
                <w:rFonts w:eastAsia="Times New Roman" w:cs="Times New Roman"/>
                <w:b/>
                <w:bCs/>
                <w:kern w:val="0"/>
                <w:sz w:val="22"/>
                <w14:ligatures w14:val="none"/>
              </w:rPr>
              <w:t xml:space="preserve">PU </w:t>
            </w:r>
            <w:r w:rsidRPr="003A1437">
              <w:rPr>
                <w:rFonts w:eastAsia="Times New Roman" w:cs="Times New Roman"/>
                <w:b/>
                <w:bCs/>
                <w:kern w:val="0"/>
                <w:sz w:val="22"/>
                <w14:ligatures w14:val="none"/>
              </w:rPr>
              <w:t>m</w:t>
            </w:r>
            <w:r w:rsidRPr="00FF6791">
              <w:rPr>
                <w:rFonts w:eastAsia="Times New Roman" w:cs="Times New Roman"/>
                <w:b/>
                <w:bCs/>
                <w:kern w:val="0"/>
                <w:sz w:val="22"/>
                <w14:ligatures w14:val="none"/>
              </w:rPr>
              <w:t xml:space="preserve">ean </w:t>
            </w:r>
            <w:r w:rsidRPr="003A1437">
              <w:rPr>
                <w:rFonts w:eastAsia="Times New Roman" w:cs="Times New Roman"/>
                <w:b/>
                <w:bCs/>
                <w:kern w:val="0"/>
                <w:sz w:val="22"/>
                <w14:ligatures w14:val="none"/>
              </w:rPr>
              <w:t>s</w:t>
            </w:r>
            <w:r w:rsidRPr="00FF6791">
              <w:rPr>
                <w:rFonts w:eastAsia="Times New Roman" w:cs="Times New Roman"/>
                <w:b/>
                <w:bCs/>
                <w:kern w:val="0"/>
                <w:sz w:val="22"/>
                <w14:ligatures w14:val="none"/>
              </w:rPr>
              <w:t>core</w:t>
            </w:r>
          </w:p>
        </w:tc>
        <w:tc>
          <w:tcPr>
            <w:tcW w:w="0" w:type="auto"/>
            <w:vAlign w:val="center"/>
            <w:hideMark/>
          </w:tcPr>
          <w:p w14:paraId="07BAD2F9" w14:textId="77777777" w:rsidR="00241F26" w:rsidRPr="00FF6791" w:rsidRDefault="00241F26" w:rsidP="000A5504">
            <w:pPr>
              <w:spacing w:after="0" w:line="240" w:lineRule="auto"/>
              <w:jc w:val="center"/>
              <w:rPr>
                <w:rFonts w:eastAsia="Times New Roman" w:cs="Times New Roman"/>
                <w:b/>
                <w:bCs/>
                <w:kern w:val="0"/>
                <w:sz w:val="22"/>
                <w14:ligatures w14:val="none"/>
              </w:rPr>
            </w:pPr>
            <w:r w:rsidRPr="00FF6791">
              <w:rPr>
                <w:rFonts w:eastAsia="Times New Roman" w:cs="Times New Roman"/>
                <w:b/>
                <w:bCs/>
                <w:kern w:val="0"/>
                <w:sz w:val="22"/>
                <w14:ligatures w14:val="none"/>
              </w:rPr>
              <w:t xml:space="preserve">HNMU </w:t>
            </w:r>
            <w:r w:rsidRPr="003A1437">
              <w:rPr>
                <w:rFonts w:eastAsia="Times New Roman" w:cs="Times New Roman"/>
                <w:b/>
                <w:bCs/>
                <w:kern w:val="0"/>
                <w:sz w:val="22"/>
                <w14:ligatures w14:val="none"/>
              </w:rPr>
              <w:t>m</w:t>
            </w:r>
            <w:r w:rsidRPr="00FF6791">
              <w:rPr>
                <w:rFonts w:eastAsia="Times New Roman" w:cs="Times New Roman"/>
                <w:b/>
                <w:bCs/>
                <w:kern w:val="0"/>
                <w:sz w:val="22"/>
                <w14:ligatures w14:val="none"/>
              </w:rPr>
              <w:t xml:space="preserve">ean </w:t>
            </w:r>
            <w:r w:rsidRPr="003A1437">
              <w:rPr>
                <w:rFonts w:eastAsia="Times New Roman" w:cs="Times New Roman"/>
                <w:b/>
                <w:bCs/>
                <w:kern w:val="0"/>
                <w:sz w:val="22"/>
                <w14:ligatures w14:val="none"/>
              </w:rPr>
              <w:t>s</w:t>
            </w:r>
            <w:r w:rsidRPr="00FF6791">
              <w:rPr>
                <w:rFonts w:eastAsia="Times New Roman" w:cs="Times New Roman"/>
                <w:b/>
                <w:bCs/>
                <w:kern w:val="0"/>
                <w:sz w:val="22"/>
                <w14:ligatures w14:val="none"/>
              </w:rPr>
              <w:t>core</w:t>
            </w:r>
          </w:p>
        </w:tc>
      </w:tr>
      <w:tr w:rsidR="00241F26" w:rsidRPr="00FF6791" w14:paraId="30213FDA" w14:textId="77777777" w:rsidTr="000A5504">
        <w:trPr>
          <w:tblCellSpacing w:w="15" w:type="dxa"/>
          <w:jc w:val="center"/>
        </w:trPr>
        <w:tc>
          <w:tcPr>
            <w:tcW w:w="0" w:type="auto"/>
            <w:vAlign w:val="center"/>
            <w:hideMark/>
          </w:tcPr>
          <w:p w14:paraId="1780903D"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EMI</w:t>
            </w:r>
          </w:p>
        </w:tc>
        <w:tc>
          <w:tcPr>
            <w:tcW w:w="0" w:type="auto"/>
            <w:vAlign w:val="center"/>
            <w:hideMark/>
          </w:tcPr>
          <w:p w14:paraId="3A2A396F"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3.8</w:t>
            </w:r>
          </w:p>
        </w:tc>
        <w:tc>
          <w:tcPr>
            <w:tcW w:w="0" w:type="auto"/>
            <w:vAlign w:val="center"/>
            <w:hideMark/>
          </w:tcPr>
          <w:p w14:paraId="00EA1B2D"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3.5</w:t>
            </w:r>
          </w:p>
        </w:tc>
      </w:tr>
      <w:tr w:rsidR="00241F26" w:rsidRPr="00FF6791" w14:paraId="617CAE61" w14:textId="77777777" w:rsidTr="000A5504">
        <w:trPr>
          <w:tblCellSpacing w:w="15" w:type="dxa"/>
          <w:jc w:val="center"/>
        </w:trPr>
        <w:tc>
          <w:tcPr>
            <w:tcW w:w="0" w:type="auto"/>
            <w:vAlign w:val="center"/>
            <w:hideMark/>
          </w:tcPr>
          <w:p w14:paraId="069B5203"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EAP</w:t>
            </w:r>
          </w:p>
        </w:tc>
        <w:tc>
          <w:tcPr>
            <w:tcW w:w="0" w:type="auto"/>
            <w:vAlign w:val="center"/>
            <w:hideMark/>
          </w:tcPr>
          <w:p w14:paraId="0FA5E478"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4.1</w:t>
            </w:r>
          </w:p>
        </w:tc>
        <w:tc>
          <w:tcPr>
            <w:tcW w:w="0" w:type="auto"/>
            <w:vAlign w:val="center"/>
            <w:hideMark/>
          </w:tcPr>
          <w:p w14:paraId="6A3A813B"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3.9</w:t>
            </w:r>
          </w:p>
        </w:tc>
      </w:tr>
      <w:tr w:rsidR="00241F26" w:rsidRPr="00FF6791" w14:paraId="2694F583" w14:textId="77777777" w:rsidTr="000A5504">
        <w:trPr>
          <w:tblCellSpacing w:w="15" w:type="dxa"/>
          <w:jc w:val="center"/>
        </w:trPr>
        <w:tc>
          <w:tcPr>
            <w:tcW w:w="0" w:type="auto"/>
            <w:vAlign w:val="center"/>
            <w:hideMark/>
          </w:tcPr>
          <w:p w14:paraId="073A9DA7"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ESP</w:t>
            </w:r>
          </w:p>
        </w:tc>
        <w:tc>
          <w:tcPr>
            <w:tcW w:w="0" w:type="auto"/>
            <w:vAlign w:val="center"/>
            <w:hideMark/>
          </w:tcPr>
          <w:p w14:paraId="6EBEBE0C"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3.9</w:t>
            </w:r>
          </w:p>
        </w:tc>
        <w:tc>
          <w:tcPr>
            <w:tcW w:w="0" w:type="auto"/>
            <w:vAlign w:val="center"/>
            <w:hideMark/>
          </w:tcPr>
          <w:p w14:paraId="268DBCE9"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3.6</w:t>
            </w:r>
          </w:p>
        </w:tc>
      </w:tr>
    </w:tbl>
    <w:p w14:paraId="3B9B6547" w14:textId="77777777" w:rsidR="00241F26" w:rsidRPr="003A1437" w:rsidRDefault="00241F26" w:rsidP="00241F26">
      <w:pPr>
        <w:spacing w:after="120" w:line="240" w:lineRule="auto"/>
        <w:jc w:val="right"/>
        <w:rPr>
          <w:b/>
          <w:bCs/>
          <w:i/>
          <w:iCs/>
          <w:sz w:val="22"/>
        </w:rPr>
      </w:pPr>
      <w:r w:rsidRPr="003A1437">
        <w:rPr>
          <w:b/>
          <w:bCs/>
          <w:i/>
          <w:iCs/>
          <w:sz w:val="22"/>
        </w:rPr>
        <w:t>(Source: Author, 2025)</w:t>
      </w:r>
    </w:p>
    <w:p w14:paraId="4D9D0889" w14:textId="6B8354F4" w:rsidR="00FF6791" w:rsidRPr="00241F26" w:rsidRDefault="00241F26" w:rsidP="00241F26">
      <w:pPr>
        <w:spacing w:after="120" w:line="240" w:lineRule="auto"/>
        <w:jc w:val="both"/>
        <w:rPr>
          <w:rFonts w:eastAsia="Times New Roman" w:cs="Times New Roman"/>
          <w:kern w:val="0"/>
          <w:sz w:val="22"/>
          <w14:ligatures w14:val="none"/>
        </w:rPr>
      </w:pPr>
      <w:r w:rsidRPr="00FF6791">
        <w:rPr>
          <w:rFonts w:eastAsia="Times New Roman" w:cs="Times New Roman"/>
          <w:b/>
          <w:bCs/>
          <w:i/>
          <w:iCs/>
          <w:kern w:val="0"/>
          <w:sz w:val="22"/>
          <w14:ligatures w14:val="none"/>
        </w:rPr>
        <w:t>Table 1</w:t>
      </w:r>
      <w:r w:rsidRPr="00FF6791">
        <w:rPr>
          <w:rFonts w:eastAsia="Times New Roman" w:cs="Times New Roman"/>
          <w:kern w:val="0"/>
          <w:sz w:val="22"/>
          <w14:ligatures w14:val="none"/>
        </w:rPr>
        <w:t xml:space="preserve"> shows that EAP programs achieve the highest ESL integration at both universities, indicating strong alignment between academic language instruction and ESL competence. EMI programs receive the lowest scores, particularly at HNMU, reflecting challenges in embedding language support within content teaching. The consistent gap between PU and HNMU suggests that institutional policy clarity influences program effectiveness. These results highlight uneven realization of ESL goals across program types, answering both research questions.</w:t>
      </w:r>
      <w:r>
        <w:rPr>
          <w:rFonts w:eastAsia="Times New Roman" w:cs="Times New Roman"/>
          <w:kern w:val="0"/>
          <w:sz w:val="22"/>
          <w14:ligatures w14:val="none"/>
        </w:rPr>
        <w:t xml:space="preserve"> </w:t>
      </w:r>
      <w:r>
        <w:rPr>
          <w:sz w:val="22"/>
        </w:rPr>
        <w:t>The data</w:t>
      </w:r>
      <w:r w:rsidR="00FF6791" w:rsidRPr="00FF6791">
        <w:rPr>
          <w:sz w:val="22"/>
        </w:rPr>
        <w:t xml:space="preserve"> present mean scores measuring perceived effectiveness of ESL integration across program types. EAP programs received the highest ratings at both institutions, with mean scores of 4.1 at PU and 3.9 at HNMU, indicating stronger alignment between academic English instruction and ESL competence development. EMI programs showed lower mean scores, particularly at HNMU, suggesting uneven integration of language support within content courses.</w:t>
      </w:r>
    </w:p>
    <w:p w14:paraId="40092C6D" w14:textId="77777777" w:rsidR="00FF6791" w:rsidRPr="00FF6791" w:rsidRDefault="00FF6791" w:rsidP="00FF6791">
      <w:pPr>
        <w:spacing w:after="120" w:line="240" w:lineRule="auto"/>
        <w:jc w:val="both"/>
        <w:rPr>
          <w:sz w:val="22"/>
        </w:rPr>
      </w:pPr>
      <w:r w:rsidRPr="00FF6791">
        <w:rPr>
          <w:sz w:val="22"/>
        </w:rPr>
        <w:t xml:space="preserve">Document analysis confirmed that both universities articulate ESL-related goals in official policies; however, the depth of operational guidance varied. PU documents provided explicit references to communicative </w:t>
      </w:r>
      <w:r w:rsidRPr="00FF6791">
        <w:rPr>
          <w:sz w:val="22"/>
        </w:rPr>
        <w:lastRenderedPageBreak/>
        <w:t>competence, student interaction, and real-world language use, whereas HNMU policies remained broader and less prescriptive. These findings demonstrate that institutional vision shapes ESL development not only through stated goals but also through the specificity of implementation mechanisms.</w:t>
      </w:r>
    </w:p>
    <w:p w14:paraId="277E7A99" w14:textId="1D21998A" w:rsidR="00FF6791" w:rsidRPr="00241F26" w:rsidRDefault="00FF6791" w:rsidP="00FF6791">
      <w:pPr>
        <w:spacing w:after="120" w:line="240" w:lineRule="auto"/>
        <w:jc w:val="both"/>
        <w:rPr>
          <w:b/>
          <w:bCs/>
          <w:i/>
          <w:iCs/>
          <w:sz w:val="22"/>
        </w:rPr>
      </w:pPr>
      <w:r w:rsidRPr="00241F26">
        <w:rPr>
          <w:b/>
          <w:bCs/>
          <w:i/>
          <w:iCs/>
          <w:sz w:val="22"/>
        </w:rPr>
        <w:t xml:space="preserve">3.2 Distribution of </w:t>
      </w:r>
      <w:r w:rsidR="00241F26">
        <w:rPr>
          <w:b/>
          <w:bCs/>
          <w:i/>
          <w:iCs/>
          <w:sz w:val="22"/>
        </w:rPr>
        <w:t>p</w:t>
      </w:r>
      <w:r w:rsidRPr="00241F26">
        <w:rPr>
          <w:b/>
          <w:bCs/>
          <w:i/>
          <w:iCs/>
          <w:sz w:val="22"/>
        </w:rPr>
        <w:t xml:space="preserve">riority ESL </w:t>
      </w:r>
      <w:r w:rsidR="00241F26" w:rsidRPr="00241F26">
        <w:rPr>
          <w:b/>
          <w:bCs/>
          <w:i/>
          <w:iCs/>
          <w:sz w:val="22"/>
        </w:rPr>
        <w:t>skill areas</w:t>
      </w:r>
    </w:p>
    <w:p w14:paraId="2CA779CE" w14:textId="77777777" w:rsidR="00241F26" w:rsidRDefault="00241F26" w:rsidP="00241F26">
      <w:pPr>
        <w:spacing w:after="120" w:line="240" w:lineRule="auto"/>
        <w:jc w:val="center"/>
        <w:rPr>
          <w:b/>
          <w:bCs/>
          <w:i/>
          <w:iCs/>
          <w:sz w:val="22"/>
        </w:rPr>
      </w:pPr>
      <w:r w:rsidRPr="00FF6791">
        <w:rPr>
          <w:b/>
          <w:bCs/>
          <w:i/>
          <w:iCs/>
          <w:noProof/>
          <w:sz w:val="22"/>
        </w:rPr>
        <w:drawing>
          <wp:inline distT="0" distB="0" distL="0" distR="0" wp14:anchorId="219CAE6A" wp14:editId="12DBED41">
            <wp:extent cx="3523388" cy="2445646"/>
            <wp:effectExtent l="0" t="0" r="1270" b="0"/>
            <wp:docPr id="1651792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92779" name=""/>
                    <pic:cNvPicPr/>
                  </pic:nvPicPr>
                  <pic:blipFill>
                    <a:blip r:embed="rId6"/>
                    <a:stretch>
                      <a:fillRect/>
                    </a:stretch>
                  </pic:blipFill>
                  <pic:spPr>
                    <a:xfrm>
                      <a:off x="0" y="0"/>
                      <a:ext cx="3533233" cy="2452480"/>
                    </a:xfrm>
                    <a:prstGeom prst="rect">
                      <a:avLst/>
                    </a:prstGeom>
                  </pic:spPr>
                </pic:pic>
              </a:graphicData>
            </a:graphic>
          </wp:inline>
        </w:drawing>
      </w:r>
    </w:p>
    <w:p w14:paraId="2FF897F2" w14:textId="77777777" w:rsidR="00241F26" w:rsidRDefault="00241F26" w:rsidP="00241F26">
      <w:pPr>
        <w:spacing w:after="120" w:line="240" w:lineRule="auto"/>
        <w:jc w:val="center"/>
        <w:rPr>
          <w:b/>
          <w:bCs/>
          <w:i/>
          <w:iCs/>
          <w:sz w:val="22"/>
        </w:rPr>
      </w:pPr>
      <w:r>
        <w:rPr>
          <w:b/>
          <w:bCs/>
          <w:i/>
          <w:iCs/>
          <w:sz w:val="22"/>
        </w:rPr>
        <w:t>Figure: Perceived priority ESL skill area (Source: Author, 2025)</w:t>
      </w:r>
    </w:p>
    <w:p w14:paraId="3A3209E9" w14:textId="4069843F" w:rsidR="00FF6791" w:rsidRPr="00FF6791" w:rsidRDefault="00241F26" w:rsidP="00FF6791">
      <w:pPr>
        <w:spacing w:after="120" w:line="240" w:lineRule="auto"/>
        <w:jc w:val="both"/>
        <w:rPr>
          <w:sz w:val="22"/>
        </w:rPr>
      </w:pPr>
      <w:r w:rsidRPr="003A1437">
        <w:rPr>
          <w:b/>
          <w:bCs/>
          <w:i/>
          <w:iCs/>
          <w:sz w:val="22"/>
        </w:rPr>
        <w:t>Figure 2</w:t>
      </w:r>
      <w:r w:rsidRPr="00FF6791">
        <w:rPr>
          <w:sz w:val="22"/>
        </w:rPr>
        <w:t xml:space="preserve"> reveals that speaking and interaction dominate perceived ESL priorities</w:t>
      </w:r>
      <w:r>
        <w:rPr>
          <w:sz w:val="22"/>
        </w:rPr>
        <w:t>.</w:t>
      </w:r>
      <w:r w:rsidRPr="00FF6791">
        <w:rPr>
          <w:sz w:val="22"/>
        </w:rPr>
        <w:t xml:space="preserve"> </w:t>
      </w:r>
      <w:r w:rsidRPr="00241F26">
        <w:rPr>
          <w:sz w:val="22"/>
        </w:rPr>
        <w:t>Perceptions of priority ESL skills differed across respondent groups. As shown in Figure 2, speaking and interaction were identified as the most critical skill areas, accounting for 40% of total responses. Listening skills represented 25%, followed by academic writing at 20% and pronunciation at 15%. This distribution was consistent across both institutions and participant categories, indicating a shared recognition of oral communication as central to ESL competence</w:t>
      </w:r>
      <w:r w:rsidRPr="00FF6791">
        <w:rPr>
          <w:sz w:val="22"/>
        </w:rPr>
        <w:t xml:space="preserve">. This distribution indicates a strong orientation toward communicative competence and real-life language use. The findings reflect institutional recognition of ESL as functional language </w:t>
      </w:r>
      <w:r w:rsidRPr="003A1437">
        <w:rPr>
          <w:sz w:val="22"/>
        </w:rPr>
        <w:t>practice rather than formal accuracy, aligning with policy visions but also highlighting the need for balanced skill development in classroom implementation.</w:t>
      </w:r>
    </w:p>
    <w:p w14:paraId="765340BC" w14:textId="77777777" w:rsidR="00FF6791" w:rsidRPr="00FF6791" w:rsidRDefault="00FF6791" w:rsidP="00FF6791">
      <w:pPr>
        <w:spacing w:after="120" w:line="240" w:lineRule="auto"/>
        <w:jc w:val="both"/>
        <w:rPr>
          <w:sz w:val="22"/>
        </w:rPr>
      </w:pPr>
      <w:r w:rsidRPr="00FF6791">
        <w:rPr>
          <w:sz w:val="22"/>
        </w:rPr>
        <w:t>Lecturers reported allocating increased classroom time to discussion, presentation, and group interaction activities, particularly in EAP and ESP contexts. Students similarly reported greater confidence gains in speaking and listening compared with writing accuracy or phonological control. Despite this emphasis, interview data revealed that time constraints and assessment pressures limited sustained oral practice in large classes.</w:t>
      </w:r>
    </w:p>
    <w:p w14:paraId="3123944D" w14:textId="36E912FA" w:rsidR="00FF6791" w:rsidRPr="00241F26" w:rsidRDefault="00FF6791" w:rsidP="00FF6791">
      <w:pPr>
        <w:spacing w:after="120" w:line="240" w:lineRule="auto"/>
        <w:jc w:val="both"/>
        <w:rPr>
          <w:b/>
          <w:bCs/>
          <w:i/>
          <w:iCs/>
          <w:sz w:val="22"/>
        </w:rPr>
      </w:pPr>
      <w:r w:rsidRPr="00241F26">
        <w:rPr>
          <w:b/>
          <w:bCs/>
          <w:i/>
          <w:iCs/>
          <w:sz w:val="22"/>
        </w:rPr>
        <w:t xml:space="preserve">3.3 Pedagogical and </w:t>
      </w:r>
      <w:r w:rsidR="00241F26" w:rsidRPr="00241F26">
        <w:rPr>
          <w:b/>
          <w:bCs/>
          <w:i/>
          <w:iCs/>
          <w:sz w:val="22"/>
        </w:rPr>
        <w:t>contextual challenges affecting implementation</w:t>
      </w:r>
    </w:p>
    <w:p w14:paraId="11B03E48" w14:textId="77777777" w:rsidR="00241F26" w:rsidRPr="00FF6791" w:rsidRDefault="00241F26" w:rsidP="00241F26">
      <w:pPr>
        <w:spacing w:after="120" w:line="240" w:lineRule="auto"/>
        <w:jc w:val="center"/>
        <w:outlineLvl w:val="1"/>
        <w:rPr>
          <w:rFonts w:eastAsia="Times New Roman" w:cs="Times New Roman"/>
          <w:b/>
          <w:bCs/>
          <w:i/>
          <w:iCs/>
          <w:kern w:val="0"/>
          <w:sz w:val="22"/>
          <w14:ligatures w14:val="none"/>
        </w:rPr>
      </w:pPr>
      <w:r w:rsidRPr="00FF6791">
        <w:rPr>
          <w:rFonts w:eastAsia="Times New Roman" w:cs="Times New Roman"/>
          <w:b/>
          <w:bCs/>
          <w:i/>
          <w:iCs/>
          <w:kern w:val="0"/>
          <w:sz w:val="22"/>
          <w14:ligatures w14:val="none"/>
        </w:rPr>
        <w:t>Table 2: Reported pedagogical and contextual challenges</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696"/>
        <w:gridCol w:w="1529"/>
      </w:tblGrid>
      <w:tr w:rsidR="00241F26" w:rsidRPr="00FF6791" w14:paraId="6B4932AE" w14:textId="77777777" w:rsidTr="000A5504">
        <w:trPr>
          <w:tblHeader/>
          <w:tblCellSpacing w:w="15" w:type="dxa"/>
          <w:jc w:val="center"/>
        </w:trPr>
        <w:tc>
          <w:tcPr>
            <w:tcW w:w="0" w:type="auto"/>
            <w:vAlign w:val="center"/>
            <w:hideMark/>
          </w:tcPr>
          <w:p w14:paraId="31521731" w14:textId="77777777" w:rsidR="00241F26" w:rsidRPr="00FF6791" w:rsidRDefault="00241F26" w:rsidP="000A5504">
            <w:pPr>
              <w:spacing w:after="0" w:line="240" w:lineRule="auto"/>
              <w:jc w:val="center"/>
              <w:rPr>
                <w:rFonts w:eastAsia="Times New Roman" w:cs="Times New Roman"/>
                <w:b/>
                <w:bCs/>
                <w:kern w:val="0"/>
                <w:sz w:val="22"/>
                <w14:ligatures w14:val="none"/>
              </w:rPr>
            </w:pPr>
            <w:r w:rsidRPr="00FF6791">
              <w:rPr>
                <w:rFonts w:eastAsia="Times New Roman" w:cs="Times New Roman"/>
                <w:b/>
                <w:bCs/>
                <w:kern w:val="0"/>
                <w:sz w:val="22"/>
                <w14:ligatures w14:val="none"/>
              </w:rPr>
              <w:t>Challenge</w:t>
            </w:r>
          </w:p>
        </w:tc>
        <w:tc>
          <w:tcPr>
            <w:tcW w:w="0" w:type="auto"/>
            <w:vAlign w:val="center"/>
            <w:hideMark/>
          </w:tcPr>
          <w:p w14:paraId="35507946" w14:textId="77777777" w:rsidR="00241F26" w:rsidRPr="00FF6791" w:rsidRDefault="00241F26" w:rsidP="000A5504">
            <w:pPr>
              <w:spacing w:after="0" w:line="240" w:lineRule="auto"/>
              <w:jc w:val="center"/>
              <w:rPr>
                <w:rFonts w:eastAsia="Times New Roman" w:cs="Times New Roman"/>
                <w:b/>
                <w:bCs/>
                <w:kern w:val="0"/>
                <w:sz w:val="22"/>
                <w14:ligatures w14:val="none"/>
              </w:rPr>
            </w:pPr>
            <w:r w:rsidRPr="00FF6791">
              <w:rPr>
                <w:rFonts w:eastAsia="Times New Roman" w:cs="Times New Roman"/>
                <w:b/>
                <w:bCs/>
                <w:kern w:val="0"/>
                <w:sz w:val="22"/>
                <w14:ligatures w14:val="none"/>
              </w:rPr>
              <w:t>Frequency (%)</w:t>
            </w:r>
          </w:p>
        </w:tc>
      </w:tr>
      <w:tr w:rsidR="00241F26" w:rsidRPr="00FF6791" w14:paraId="24C7F396" w14:textId="77777777" w:rsidTr="000A5504">
        <w:trPr>
          <w:tblCellSpacing w:w="15" w:type="dxa"/>
          <w:jc w:val="center"/>
        </w:trPr>
        <w:tc>
          <w:tcPr>
            <w:tcW w:w="0" w:type="auto"/>
            <w:vAlign w:val="center"/>
            <w:hideMark/>
          </w:tcPr>
          <w:p w14:paraId="722A20E6" w14:textId="77777777" w:rsidR="00241F26" w:rsidRPr="00FF6791" w:rsidRDefault="00241F26" w:rsidP="000A5504">
            <w:pPr>
              <w:spacing w:after="0" w:line="240" w:lineRule="auto"/>
              <w:rPr>
                <w:rFonts w:eastAsia="Times New Roman" w:cs="Times New Roman"/>
                <w:kern w:val="0"/>
                <w:sz w:val="22"/>
                <w14:ligatures w14:val="none"/>
              </w:rPr>
            </w:pPr>
            <w:r w:rsidRPr="00FF6791">
              <w:rPr>
                <w:rFonts w:eastAsia="Times New Roman" w:cs="Times New Roman"/>
                <w:kern w:val="0"/>
                <w:sz w:val="22"/>
                <w14:ligatures w14:val="none"/>
              </w:rPr>
              <w:t>Limited English environment</w:t>
            </w:r>
          </w:p>
        </w:tc>
        <w:tc>
          <w:tcPr>
            <w:tcW w:w="0" w:type="auto"/>
            <w:vAlign w:val="center"/>
            <w:hideMark/>
          </w:tcPr>
          <w:p w14:paraId="553D1E80"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72</w:t>
            </w:r>
          </w:p>
        </w:tc>
      </w:tr>
      <w:tr w:rsidR="00241F26" w:rsidRPr="00FF6791" w14:paraId="2CDBC97F" w14:textId="77777777" w:rsidTr="000A5504">
        <w:trPr>
          <w:tblCellSpacing w:w="15" w:type="dxa"/>
          <w:jc w:val="center"/>
        </w:trPr>
        <w:tc>
          <w:tcPr>
            <w:tcW w:w="0" w:type="auto"/>
            <w:vAlign w:val="center"/>
            <w:hideMark/>
          </w:tcPr>
          <w:p w14:paraId="25D8883A" w14:textId="77777777" w:rsidR="00241F26" w:rsidRPr="00FF6791" w:rsidRDefault="00241F26" w:rsidP="000A5504">
            <w:pPr>
              <w:spacing w:after="0" w:line="240" w:lineRule="auto"/>
              <w:rPr>
                <w:rFonts w:eastAsia="Times New Roman" w:cs="Times New Roman"/>
                <w:kern w:val="0"/>
                <w:sz w:val="22"/>
                <w14:ligatures w14:val="none"/>
              </w:rPr>
            </w:pPr>
            <w:r w:rsidRPr="00FF6791">
              <w:rPr>
                <w:rFonts w:eastAsia="Times New Roman" w:cs="Times New Roman"/>
                <w:kern w:val="0"/>
                <w:sz w:val="22"/>
                <w14:ligatures w14:val="none"/>
              </w:rPr>
              <w:t>Large class size</w:t>
            </w:r>
          </w:p>
        </w:tc>
        <w:tc>
          <w:tcPr>
            <w:tcW w:w="0" w:type="auto"/>
            <w:vAlign w:val="center"/>
            <w:hideMark/>
          </w:tcPr>
          <w:p w14:paraId="7EEEDE86"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68</w:t>
            </w:r>
          </w:p>
        </w:tc>
      </w:tr>
      <w:tr w:rsidR="00241F26" w:rsidRPr="00FF6791" w14:paraId="606C5D55" w14:textId="77777777" w:rsidTr="000A5504">
        <w:trPr>
          <w:tblCellSpacing w:w="15" w:type="dxa"/>
          <w:jc w:val="center"/>
        </w:trPr>
        <w:tc>
          <w:tcPr>
            <w:tcW w:w="0" w:type="auto"/>
            <w:vAlign w:val="center"/>
            <w:hideMark/>
          </w:tcPr>
          <w:p w14:paraId="06CDC8B5" w14:textId="77777777" w:rsidR="00241F26" w:rsidRPr="00FF6791" w:rsidRDefault="00241F26" w:rsidP="000A5504">
            <w:pPr>
              <w:spacing w:after="0" w:line="240" w:lineRule="auto"/>
              <w:rPr>
                <w:rFonts w:eastAsia="Times New Roman" w:cs="Times New Roman"/>
                <w:kern w:val="0"/>
                <w:sz w:val="22"/>
                <w14:ligatures w14:val="none"/>
              </w:rPr>
            </w:pPr>
            <w:r w:rsidRPr="00FF6791">
              <w:rPr>
                <w:rFonts w:eastAsia="Times New Roman" w:cs="Times New Roman"/>
                <w:kern w:val="0"/>
                <w:sz w:val="22"/>
                <w14:ligatures w14:val="none"/>
              </w:rPr>
              <w:t>Teacher workload</w:t>
            </w:r>
          </w:p>
        </w:tc>
        <w:tc>
          <w:tcPr>
            <w:tcW w:w="0" w:type="auto"/>
            <w:vAlign w:val="center"/>
            <w:hideMark/>
          </w:tcPr>
          <w:p w14:paraId="1F998ABE"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61</w:t>
            </w:r>
          </w:p>
        </w:tc>
      </w:tr>
      <w:tr w:rsidR="00241F26" w:rsidRPr="00FF6791" w14:paraId="1624CC40" w14:textId="77777777" w:rsidTr="000A5504">
        <w:trPr>
          <w:tblCellSpacing w:w="15" w:type="dxa"/>
          <w:jc w:val="center"/>
        </w:trPr>
        <w:tc>
          <w:tcPr>
            <w:tcW w:w="0" w:type="auto"/>
            <w:vAlign w:val="center"/>
            <w:hideMark/>
          </w:tcPr>
          <w:p w14:paraId="38457C91" w14:textId="77777777" w:rsidR="00241F26" w:rsidRPr="00FF6791" w:rsidRDefault="00241F26" w:rsidP="000A5504">
            <w:pPr>
              <w:spacing w:after="0" w:line="240" w:lineRule="auto"/>
              <w:rPr>
                <w:rFonts w:eastAsia="Times New Roman" w:cs="Times New Roman"/>
                <w:kern w:val="0"/>
                <w:sz w:val="22"/>
                <w14:ligatures w14:val="none"/>
              </w:rPr>
            </w:pPr>
            <w:r w:rsidRPr="00FF6791">
              <w:rPr>
                <w:rFonts w:eastAsia="Times New Roman" w:cs="Times New Roman"/>
                <w:kern w:val="0"/>
                <w:sz w:val="22"/>
                <w14:ligatures w14:val="none"/>
              </w:rPr>
              <w:t>Assessment misalignment</w:t>
            </w:r>
          </w:p>
        </w:tc>
        <w:tc>
          <w:tcPr>
            <w:tcW w:w="0" w:type="auto"/>
            <w:vAlign w:val="center"/>
            <w:hideMark/>
          </w:tcPr>
          <w:p w14:paraId="5CC895B9" w14:textId="77777777" w:rsidR="00241F26" w:rsidRPr="00FF6791" w:rsidRDefault="00241F26" w:rsidP="000A5504">
            <w:pPr>
              <w:spacing w:after="0" w:line="240" w:lineRule="auto"/>
              <w:jc w:val="center"/>
              <w:rPr>
                <w:rFonts w:eastAsia="Times New Roman" w:cs="Times New Roman"/>
                <w:kern w:val="0"/>
                <w:sz w:val="22"/>
                <w14:ligatures w14:val="none"/>
              </w:rPr>
            </w:pPr>
            <w:r w:rsidRPr="00FF6791">
              <w:rPr>
                <w:rFonts w:eastAsia="Times New Roman" w:cs="Times New Roman"/>
                <w:kern w:val="0"/>
                <w:sz w:val="22"/>
                <w14:ligatures w14:val="none"/>
              </w:rPr>
              <w:t>55</w:t>
            </w:r>
          </w:p>
        </w:tc>
      </w:tr>
    </w:tbl>
    <w:p w14:paraId="1CBC7843" w14:textId="77777777" w:rsidR="00241F26" w:rsidRPr="003A1437" w:rsidRDefault="00241F26" w:rsidP="00241F26">
      <w:pPr>
        <w:spacing w:after="120" w:line="240" w:lineRule="auto"/>
        <w:jc w:val="right"/>
        <w:rPr>
          <w:b/>
          <w:bCs/>
          <w:i/>
          <w:iCs/>
          <w:sz w:val="22"/>
        </w:rPr>
      </w:pPr>
      <w:r w:rsidRPr="003A1437">
        <w:rPr>
          <w:b/>
          <w:bCs/>
          <w:i/>
          <w:iCs/>
          <w:sz w:val="22"/>
        </w:rPr>
        <w:t>(Source: Author, 2025)</w:t>
      </w:r>
    </w:p>
    <w:p w14:paraId="57CD5E25" w14:textId="4499CAB1" w:rsidR="00FF6791" w:rsidRPr="00241F26" w:rsidRDefault="00241F26" w:rsidP="00FF6791">
      <w:pPr>
        <w:spacing w:after="120" w:line="240" w:lineRule="auto"/>
        <w:jc w:val="both"/>
        <w:rPr>
          <w:b/>
          <w:bCs/>
          <w:i/>
          <w:iCs/>
          <w:sz w:val="22"/>
        </w:rPr>
      </w:pPr>
      <w:r w:rsidRPr="00FF6791">
        <w:rPr>
          <w:rFonts w:eastAsia="Times New Roman" w:cs="Times New Roman"/>
          <w:b/>
          <w:bCs/>
          <w:i/>
          <w:iCs/>
          <w:kern w:val="0"/>
          <w:sz w:val="22"/>
          <w14:ligatures w14:val="none"/>
        </w:rPr>
        <w:t>Table 2</w:t>
      </w:r>
      <w:r w:rsidRPr="00FF6791">
        <w:rPr>
          <w:rFonts w:eastAsia="Times New Roman" w:cs="Times New Roman"/>
          <w:kern w:val="0"/>
          <w:sz w:val="22"/>
          <w14:ligatures w14:val="none"/>
        </w:rPr>
        <w:t xml:space="preserve"> indicates that environmental and structural constraints pose significant barriers to ESL implementation. Limited English exposure beyond classrooms emerges as the most critical challenge, followed by large class sizes and heavy workloads. Over half of </w:t>
      </w:r>
      <w:r>
        <w:rPr>
          <w:rFonts w:eastAsia="Times New Roman" w:cs="Times New Roman"/>
          <w:kern w:val="0"/>
          <w:sz w:val="22"/>
          <w14:ligatures w14:val="none"/>
        </w:rPr>
        <w:t xml:space="preserve">the </w:t>
      </w:r>
      <w:r w:rsidRPr="00FF6791">
        <w:rPr>
          <w:rFonts w:eastAsia="Times New Roman" w:cs="Times New Roman"/>
          <w:kern w:val="0"/>
          <w:sz w:val="22"/>
          <w14:ligatures w14:val="none"/>
        </w:rPr>
        <w:t>respondents also report assessment misalignment with ESL objectives. These findings explain why institutional visions are not fully realized in practice, providing clear evidence for the second research question regarding pedagogical and contextual obstacles.</w:t>
      </w:r>
      <w:r>
        <w:rPr>
          <w:b/>
          <w:bCs/>
          <w:i/>
          <w:iCs/>
          <w:sz w:val="22"/>
        </w:rPr>
        <w:t xml:space="preserve"> </w:t>
      </w:r>
      <w:r w:rsidR="00FF6791" w:rsidRPr="00FF6791">
        <w:rPr>
          <w:sz w:val="22"/>
        </w:rPr>
        <w:t xml:space="preserve">Survey data </w:t>
      </w:r>
      <w:r w:rsidR="00FF6791" w:rsidRPr="00FF6791">
        <w:rPr>
          <w:sz w:val="22"/>
        </w:rPr>
        <w:lastRenderedPageBreak/>
        <w:t xml:space="preserve">identified multiple barriers hindering the realization of ESL competence in actual teaching practices. </w:t>
      </w:r>
      <w:r>
        <w:rPr>
          <w:sz w:val="22"/>
        </w:rPr>
        <w:t>The data are</w:t>
      </w:r>
      <w:r w:rsidR="00FF6791" w:rsidRPr="00FF6791">
        <w:rPr>
          <w:sz w:val="22"/>
        </w:rPr>
        <w:t xml:space="preserve"> summarize</w:t>
      </w:r>
      <w:r>
        <w:rPr>
          <w:sz w:val="22"/>
        </w:rPr>
        <w:t>d</w:t>
      </w:r>
      <w:r w:rsidR="00FF6791" w:rsidRPr="00FF6791">
        <w:rPr>
          <w:sz w:val="22"/>
        </w:rPr>
        <w:t xml:space="preserve"> </w:t>
      </w:r>
      <w:r>
        <w:rPr>
          <w:sz w:val="22"/>
        </w:rPr>
        <w:t xml:space="preserve">to show </w:t>
      </w:r>
      <w:r w:rsidR="00FF6791" w:rsidRPr="00FF6791">
        <w:rPr>
          <w:sz w:val="22"/>
        </w:rPr>
        <w:t>the frequency of reported challenges across the sample. Limited English-rich environments outside classrooms emerged as the most frequently cited constraint (72%), followed by large class sizes (68%) and teacher workload (61%). Assessment misalignment with ESL outcomes was reported by 55% of respondents.</w:t>
      </w:r>
    </w:p>
    <w:p w14:paraId="5FE9F27A" w14:textId="77777777" w:rsidR="00FF6791" w:rsidRPr="00FF6791" w:rsidRDefault="00FF6791" w:rsidP="00FF6791">
      <w:pPr>
        <w:spacing w:after="120" w:line="240" w:lineRule="auto"/>
        <w:jc w:val="both"/>
        <w:rPr>
          <w:sz w:val="22"/>
        </w:rPr>
      </w:pPr>
      <w:r w:rsidRPr="00FF6791">
        <w:rPr>
          <w:sz w:val="22"/>
        </w:rPr>
        <w:t>Lecturers at both institutions noted that summative assessments continued to prioritize written accuracy and content recall over communicative performance, reducing incentives for sustained ESL-focused instruction. Additionally, high teaching loads constrained opportunities for individualized feedback and interactive task design. Students reported limited exposure to English in non-academic contexts, particularly at HNMU, where fewer extracurricular English activities were available.</w:t>
      </w:r>
    </w:p>
    <w:p w14:paraId="1CD44B64" w14:textId="59B58C2A" w:rsidR="00FF6791" w:rsidRPr="00FF6791" w:rsidRDefault="00FF6791" w:rsidP="00FF6791">
      <w:pPr>
        <w:spacing w:after="120" w:line="240" w:lineRule="auto"/>
        <w:jc w:val="both"/>
        <w:rPr>
          <w:sz w:val="22"/>
        </w:rPr>
      </w:pPr>
      <w:r w:rsidRPr="00FF6791">
        <w:rPr>
          <w:sz w:val="22"/>
        </w:rPr>
        <w:t>Interview data further indicated that while EMI programs were intended to support ESL competence, inconsistent language proficiency among students and content lecturers created instructional challenges. Some lecturers reported reverting to Vietnamese to ensure content comprehension, thereby reducing English exposure. These challenges were more pronounced in first-year courses and large-enrollment classes.</w:t>
      </w:r>
    </w:p>
    <w:p w14:paraId="175CF1E1" w14:textId="34DCE895" w:rsidR="00FF6791" w:rsidRPr="00241F26" w:rsidRDefault="00FF6791" w:rsidP="00FF6791">
      <w:pPr>
        <w:spacing w:after="120" w:line="240" w:lineRule="auto"/>
        <w:jc w:val="both"/>
        <w:rPr>
          <w:b/>
          <w:bCs/>
          <w:i/>
          <w:iCs/>
          <w:sz w:val="22"/>
        </w:rPr>
      </w:pPr>
      <w:r w:rsidRPr="00241F26">
        <w:rPr>
          <w:b/>
          <w:bCs/>
          <w:i/>
          <w:iCs/>
          <w:sz w:val="22"/>
        </w:rPr>
        <w:t xml:space="preserve">3.4 Comparative </w:t>
      </w:r>
      <w:r w:rsidR="00241F26" w:rsidRPr="00241F26">
        <w:rPr>
          <w:b/>
          <w:bCs/>
          <w:i/>
          <w:iCs/>
          <w:sz w:val="22"/>
        </w:rPr>
        <w:t>patterns across institutions</w:t>
      </w:r>
    </w:p>
    <w:p w14:paraId="37CAA502" w14:textId="03DC874C" w:rsidR="00FF6791" w:rsidRPr="00FF6791" w:rsidRDefault="00FF6791" w:rsidP="00FF6791">
      <w:pPr>
        <w:spacing w:after="120" w:line="240" w:lineRule="auto"/>
        <w:jc w:val="both"/>
        <w:rPr>
          <w:sz w:val="22"/>
        </w:rPr>
      </w:pPr>
      <w:r w:rsidRPr="00FF6791">
        <w:rPr>
          <w:sz w:val="22"/>
        </w:rPr>
        <w:t>Comparative analysis revealed that PU demonstrated stronger alignment between institutional vision and classroom practice than HNMU. Higher agreement levels across policy-related indicators, combined with clearer curricular guidance, were associated with more consistent ESL-oriented teaching practices. However, both institutions exhibited similar structural constraints, suggesting that contextual factors extend beyond institutional policy alone.</w:t>
      </w:r>
      <w:r w:rsidR="007441B5">
        <w:rPr>
          <w:sz w:val="22"/>
        </w:rPr>
        <w:t xml:space="preserve"> </w:t>
      </w:r>
      <w:r w:rsidRPr="00FF6791">
        <w:rPr>
          <w:sz w:val="22"/>
        </w:rPr>
        <w:t>Across both cases, ESL competence development was most evident in EAP programs, moderately integrated in ESP contexts, and least consistent in EMI courses lacking embedded language support. These patterns were consistent across quantitative and qualitative data sources, reinforcing the robustness of findings through triangulation.</w:t>
      </w:r>
    </w:p>
    <w:p w14:paraId="6A005C70" w14:textId="3E3F3411" w:rsidR="00FF6791" w:rsidRPr="007441B5" w:rsidRDefault="00FF6791" w:rsidP="007441B5">
      <w:pPr>
        <w:spacing w:after="120" w:line="240" w:lineRule="auto"/>
        <w:jc w:val="both"/>
        <w:rPr>
          <w:sz w:val="22"/>
        </w:rPr>
      </w:pPr>
      <w:r w:rsidRPr="00FF6791">
        <w:rPr>
          <w:sz w:val="22"/>
        </w:rPr>
        <w:t>Overall, the results demonstrate that institutional visions and policies shape ESL competence development through clarity, alignment, and operational support, while pedagogical and contextual challenges continue to constrain implementation. These findings directly address the research questions by documenting both enabling mechanisms and persistent barriers within Vietnamese higher education ESL contexts.</w:t>
      </w:r>
    </w:p>
    <w:p w14:paraId="5BC6F993" w14:textId="77777777" w:rsidR="00455F09" w:rsidRPr="00455F09" w:rsidRDefault="00455F09" w:rsidP="00455F09">
      <w:pPr>
        <w:spacing w:after="120" w:line="240" w:lineRule="auto"/>
        <w:jc w:val="both"/>
        <w:rPr>
          <w:b/>
          <w:bCs/>
          <w:sz w:val="22"/>
        </w:rPr>
      </w:pPr>
      <w:r w:rsidRPr="00455F09">
        <w:rPr>
          <w:b/>
          <w:bCs/>
          <w:sz w:val="22"/>
        </w:rPr>
        <w:t>4. Conclusion</w:t>
      </w:r>
    </w:p>
    <w:p w14:paraId="25E06F4A" w14:textId="6D1A616C" w:rsidR="00DD1C9C" w:rsidRPr="00DD1C9C" w:rsidRDefault="00DD1C9C" w:rsidP="00DD1C9C">
      <w:pPr>
        <w:spacing w:after="120" w:line="240" w:lineRule="auto"/>
        <w:jc w:val="both"/>
        <w:rPr>
          <w:sz w:val="22"/>
        </w:rPr>
      </w:pPr>
      <w:r w:rsidRPr="00DD1C9C">
        <w:rPr>
          <w:sz w:val="22"/>
        </w:rPr>
        <w:t>This study demonstrates that institutional visions and policy frameworks play a decisive role in shaping ESL competence development within Vietnamese higher education. Clear articulation of ESL-oriented goals, coupled with concrete operational guidance, was associated with more consistent communicative practices and richer English exposure. The contrast between PU and HNMU indicates that policy specificity, rather than policy presence alone, influences instructional coherence across EMI, EAP, and ESP programs. At the pedagogical level, the prioritization of speaking and interaction reflects a shared shift toward functional language use, aligning with contemporary ESL theory that emphasizes communicative competence and situated learning. However, the persistence of assessment models privileging written accuracy constrains this shift. These findings extend existing literature by empirically linking institutional governance to classroom-level outcomes, highlighting how macro-level visions translate into micro-level practices. Practically, the results underscore the need for universities to integrate language objectives into curriculum design, assessment criteria, and staff development. Theoretically, the study reinforces the view of ESL competence as an ecosystem shaped by policy, pedagogy, and environment rather than isolated instruction. Collectively, the findings answer both research questions by clarifying how institutional intent enables ESL development while simultaneously revealing why implementation remains uneven across diverse institutional and instructional contexts.</w:t>
      </w:r>
    </w:p>
    <w:p w14:paraId="3FA7ED43" w14:textId="2818556F" w:rsidR="00DD1C9C" w:rsidRPr="00DD1C9C" w:rsidRDefault="00DD1C9C" w:rsidP="00DD1C9C">
      <w:pPr>
        <w:spacing w:after="120" w:line="240" w:lineRule="auto"/>
        <w:jc w:val="both"/>
        <w:rPr>
          <w:sz w:val="22"/>
        </w:rPr>
      </w:pPr>
      <w:r w:rsidRPr="00DD1C9C">
        <w:rPr>
          <w:sz w:val="22"/>
        </w:rPr>
        <w:t xml:space="preserve">Several limitations should be acknowledged when interpreting these conclusions. The case study design restricts generalizability beyond comparable urban universities. Data relied partly on self-reported perceptions, which may reflect social desirability or institutional loyalty. Although triangulation reduced bias, classroom observations were not conducted, limiting direct evidence of instructional behavior. The sample focused on English-related programs, excluding other disciplines where EMI is expanding. Temporal constraints also prevented longitudinal tracking of policy change. These limitations suggest caution when extrapolating findings </w:t>
      </w:r>
      <w:r w:rsidRPr="00DD1C9C">
        <w:rPr>
          <w:sz w:val="22"/>
        </w:rPr>
        <w:lastRenderedPageBreak/>
        <w:t>and indicate the need for broader, multi-site investigations using complementary data sources. Future research designs should address these methodological constraints systematically in practice.</w:t>
      </w:r>
    </w:p>
    <w:p w14:paraId="7B615BC8" w14:textId="2845E7C0" w:rsidR="00455F09" w:rsidRPr="00455F09" w:rsidRDefault="00DD1C9C" w:rsidP="00DD1C9C">
      <w:pPr>
        <w:spacing w:after="120" w:line="240" w:lineRule="auto"/>
        <w:jc w:val="both"/>
        <w:rPr>
          <w:sz w:val="22"/>
        </w:rPr>
      </w:pPr>
      <w:r w:rsidRPr="00DD1C9C">
        <w:rPr>
          <w:sz w:val="22"/>
        </w:rPr>
        <w:t>Future research should extend this work through longitudinal designs examining policy implementation over time. Comparative studies across public and private institutions would clarify structural influences on ESL outcomes. Practically, universities should embed ESL objectives into assessment frameworks, reduce class sizes where possible, and expand English-rich extracurricular spaces. Professional development for EMI lecturers remains essential to sustain language-integrated instruction. Policymakers should align national benchmarks with institutional evaluation mechanisms. Together, these recommendations support coherent, sustainable pathways for advancing ESL competence within Vietnamese higher education systems. Such actions may bridge persistent gaps between vision and classroom reality across varied institutional settings nationwide sustainably.</w:t>
      </w:r>
    </w:p>
    <w:p w14:paraId="610B10A0" w14:textId="77777777" w:rsidR="00455F09" w:rsidRDefault="00455F09" w:rsidP="00455F09">
      <w:pPr>
        <w:spacing w:after="120" w:line="240" w:lineRule="auto"/>
        <w:jc w:val="both"/>
        <w:rPr>
          <w:b/>
          <w:bCs/>
          <w:sz w:val="22"/>
        </w:rPr>
      </w:pPr>
      <w:r w:rsidRPr="00455F09">
        <w:rPr>
          <w:b/>
          <w:bCs/>
          <w:sz w:val="22"/>
        </w:rPr>
        <w:t>Reference</w:t>
      </w:r>
    </w:p>
    <w:p w14:paraId="7D632DBE" w14:textId="77777777"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Hazri, J., &amp; Khadija, J. (2023). </w:t>
      </w:r>
      <w:r w:rsidRPr="00220B1C">
        <w:rPr>
          <w:rStyle w:val="Emphasis"/>
          <w:rFonts w:eastAsiaTheme="majorEastAsia"/>
          <w:sz w:val="22"/>
          <w:szCs w:val="22"/>
        </w:rPr>
        <w:t>Institutional policies and initiatives for the internationalization of higher education: A case of Southeast Asia and Pakistan</w:t>
      </w:r>
      <w:r w:rsidRPr="00220B1C">
        <w:rPr>
          <w:sz w:val="22"/>
          <w:szCs w:val="22"/>
        </w:rPr>
        <w:t xml:space="preserve">. In </w:t>
      </w:r>
      <w:r w:rsidRPr="00220B1C">
        <w:rPr>
          <w:rStyle w:val="Strong"/>
          <w:rFonts w:eastAsiaTheme="majorEastAsia"/>
          <w:sz w:val="22"/>
          <w:szCs w:val="22"/>
        </w:rPr>
        <w:t>Higher Education – Reflections From the Field</w:t>
      </w:r>
      <w:r w:rsidRPr="00220B1C">
        <w:rPr>
          <w:sz w:val="22"/>
          <w:szCs w:val="22"/>
        </w:rPr>
        <w:t xml:space="preserve"> (Vol. 3). IntechOpen. https://doi.org/10.5772/intechopen.109659</w:t>
      </w:r>
    </w:p>
    <w:p w14:paraId="60DEBD78" w14:textId="1A650CC6"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Le, </w:t>
      </w:r>
      <w:r>
        <w:rPr>
          <w:sz w:val="22"/>
          <w:szCs w:val="22"/>
        </w:rPr>
        <w:t>Thanh Long</w:t>
      </w:r>
      <w:r w:rsidRPr="00220B1C">
        <w:rPr>
          <w:sz w:val="22"/>
          <w:szCs w:val="22"/>
        </w:rPr>
        <w:t xml:space="preserve">. (2025). </w:t>
      </w:r>
      <w:r w:rsidRPr="00220B1C">
        <w:rPr>
          <w:rStyle w:val="Emphasis"/>
          <w:rFonts w:eastAsiaTheme="majorEastAsia"/>
          <w:sz w:val="22"/>
          <w:szCs w:val="22"/>
        </w:rPr>
        <w:t>Quyết định số 2371/QĐ-TTg của Thủ tướng Chính phủ: Phê duyệt Đề án “Đưa tiếng Anh thành ngôn ngữ thứ hai trong trường học giai đoạn 2025–2035, tầm nhìn đến năm 2045”</w:t>
      </w:r>
      <w:r w:rsidRPr="00220B1C">
        <w:rPr>
          <w:sz w:val="22"/>
          <w:szCs w:val="22"/>
        </w:rPr>
        <w:t>. Chính phủ Việt Nam.</w:t>
      </w:r>
    </w:p>
    <w:p w14:paraId="5C1790B7" w14:textId="33C61375" w:rsidR="00220B1C" w:rsidRPr="00220B1C" w:rsidRDefault="00220B1C" w:rsidP="00220B1C">
      <w:pPr>
        <w:pStyle w:val="NormalWeb"/>
        <w:spacing w:before="0" w:beforeAutospacing="0" w:after="120" w:afterAutospacing="0"/>
        <w:jc w:val="both"/>
        <w:rPr>
          <w:sz w:val="22"/>
          <w:szCs w:val="22"/>
        </w:rPr>
      </w:pPr>
      <w:r w:rsidRPr="00220B1C">
        <w:rPr>
          <w:sz w:val="22"/>
          <w:szCs w:val="22"/>
        </w:rPr>
        <w:t>Le, V</w:t>
      </w:r>
      <w:r>
        <w:rPr>
          <w:sz w:val="22"/>
          <w:szCs w:val="22"/>
        </w:rPr>
        <w:t>an Canh</w:t>
      </w:r>
      <w:r w:rsidRPr="00220B1C">
        <w:rPr>
          <w:sz w:val="22"/>
          <w:szCs w:val="22"/>
        </w:rPr>
        <w:t xml:space="preserve">, et al. (2019). </w:t>
      </w:r>
      <w:r w:rsidRPr="00220B1C">
        <w:rPr>
          <w:rStyle w:val="Emphasis"/>
          <w:rFonts w:eastAsiaTheme="majorEastAsia"/>
          <w:sz w:val="22"/>
          <w:szCs w:val="22"/>
        </w:rPr>
        <w:t>Building teacher capacity for English language teaching in Vietnam</w:t>
      </w:r>
      <w:r w:rsidRPr="00220B1C">
        <w:rPr>
          <w:sz w:val="22"/>
          <w:szCs w:val="22"/>
        </w:rPr>
        <w:t>. Routledge.</w:t>
      </w:r>
    </w:p>
    <w:p w14:paraId="0F179A72" w14:textId="77777777"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Mui, L., &amp; Nur, Y. (2025). Challenges faced by ESL teachers in incorporating technology in ESL classrooms. </w:t>
      </w:r>
      <w:r w:rsidRPr="00220B1C">
        <w:rPr>
          <w:rStyle w:val="Emphasis"/>
          <w:rFonts w:eastAsiaTheme="majorEastAsia"/>
          <w:sz w:val="22"/>
          <w:szCs w:val="22"/>
        </w:rPr>
        <w:t>International Journal of Humanities, Philosophy and Language, 8</w:t>
      </w:r>
      <w:r w:rsidRPr="00220B1C">
        <w:rPr>
          <w:sz w:val="22"/>
          <w:szCs w:val="22"/>
        </w:rPr>
        <w:t>(30), 34–51. https://doi.org/10.35631/IJHPL.830003</w:t>
      </w:r>
    </w:p>
    <w:p w14:paraId="178CB25A" w14:textId="77777777"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Philpo, J., et al. (2023). Contextual and pedagogical challenges facing English language teachers in using the communicative language teaching approach in Tanzanian primary schools. </w:t>
      </w:r>
      <w:r w:rsidRPr="00220B1C">
        <w:rPr>
          <w:rStyle w:val="Emphasis"/>
          <w:rFonts w:eastAsiaTheme="majorEastAsia"/>
          <w:sz w:val="22"/>
          <w:szCs w:val="22"/>
        </w:rPr>
        <w:t>Papers in Education and Development, 38</w:t>
      </w:r>
      <w:r w:rsidRPr="00220B1C">
        <w:rPr>
          <w:sz w:val="22"/>
          <w:szCs w:val="22"/>
        </w:rPr>
        <w:t>(2).</w:t>
      </w:r>
    </w:p>
    <w:p w14:paraId="0BA2DD3F" w14:textId="77777777"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Sajadllah, Y., et al. (2022). The influence of institutional policy on learning English as a foreign language: A perspective from King Saud Abdulaziz University of Health Sciences in Saudi Arabia. </w:t>
      </w:r>
      <w:r w:rsidRPr="00220B1C">
        <w:rPr>
          <w:rStyle w:val="Emphasis"/>
          <w:rFonts w:eastAsiaTheme="majorEastAsia"/>
          <w:sz w:val="22"/>
          <w:szCs w:val="22"/>
        </w:rPr>
        <w:t>Journal of Research in Language &amp; Translation, 2</w:t>
      </w:r>
      <w:r w:rsidRPr="00220B1C">
        <w:rPr>
          <w:sz w:val="22"/>
          <w:szCs w:val="22"/>
        </w:rPr>
        <w:t>(2).</w:t>
      </w:r>
    </w:p>
    <w:p w14:paraId="020E765C" w14:textId="77777777" w:rsidR="00220B1C" w:rsidRPr="00220B1C" w:rsidRDefault="00220B1C" w:rsidP="00220B1C">
      <w:pPr>
        <w:pStyle w:val="NormalWeb"/>
        <w:spacing w:before="0" w:beforeAutospacing="0" w:after="120" w:afterAutospacing="0"/>
        <w:jc w:val="both"/>
        <w:rPr>
          <w:sz w:val="22"/>
          <w:szCs w:val="22"/>
        </w:rPr>
      </w:pPr>
      <w:r w:rsidRPr="00220B1C">
        <w:rPr>
          <w:sz w:val="22"/>
          <w:szCs w:val="22"/>
        </w:rPr>
        <w:t xml:space="preserve">Sidra, N. (2025). ESL lecturers’ digital competence and organizational support and their effect on pedagogical digital competence. </w:t>
      </w:r>
      <w:r w:rsidRPr="00220B1C">
        <w:rPr>
          <w:rStyle w:val="Emphasis"/>
          <w:rFonts w:eastAsiaTheme="majorEastAsia"/>
          <w:sz w:val="22"/>
          <w:szCs w:val="22"/>
        </w:rPr>
        <w:t>International Journal of Information and Education Technology, 15</w:t>
      </w:r>
      <w:r w:rsidRPr="00220B1C">
        <w:rPr>
          <w:sz w:val="22"/>
          <w:szCs w:val="22"/>
        </w:rPr>
        <w:t>(11).</w:t>
      </w:r>
    </w:p>
    <w:p w14:paraId="7FDF4AEF" w14:textId="215332D1" w:rsidR="00220B1C" w:rsidRPr="00220B1C" w:rsidRDefault="00220B1C" w:rsidP="00220B1C">
      <w:pPr>
        <w:pStyle w:val="NormalWeb"/>
        <w:spacing w:before="0" w:beforeAutospacing="0" w:after="120" w:afterAutospacing="0"/>
        <w:jc w:val="both"/>
        <w:rPr>
          <w:sz w:val="22"/>
          <w:szCs w:val="22"/>
        </w:rPr>
      </w:pPr>
      <w:r w:rsidRPr="00220B1C">
        <w:rPr>
          <w:sz w:val="22"/>
          <w:szCs w:val="22"/>
        </w:rPr>
        <w:t>Trang, T</w:t>
      </w:r>
      <w:r>
        <w:rPr>
          <w:sz w:val="22"/>
          <w:szCs w:val="22"/>
        </w:rPr>
        <w:t>hi Doan Dao</w:t>
      </w:r>
      <w:r w:rsidRPr="00220B1C">
        <w:rPr>
          <w:sz w:val="22"/>
          <w:szCs w:val="22"/>
        </w:rPr>
        <w:t xml:space="preserve">, et al. (2025). Teacher agency and curriculum changes: A case study of two English teachers in Vietnam and their implementation of the new textbooks policy at the classroom level. </w:t>
      </w:r>
      <w:r w:rsidRPr="00220B1C">
        <w:rPr>
          <w:rStyle w:val="Emphasis"/>
          <w:rFonts w:eastAsiaTheme="majorEastAsia"/>
          <w:sz w:val="22"/>
          <w:szCs w:val="22"/>
        </w:rPr>
        <w:t>TESOL Journal</w:t>
      </w:r>
      <w:r w:rsidRPr="00220B1C">
        <w:rPr>
          <w:sz w:val="22"/>
          <w:szCs w:val="22"/>
        </w:rPr>
        <w:t>. Special Issue: ASEAN English Language Teachers’ and Teacher Educators’ Situated Praxis During Times of Crises and Change.</w:t>
      </w:r>
    </w:p>
    <w:p w14:paraId="24C37D18" w14:textId="77777777" w:rsidR="00220B1C" w:rsidRDefault="00220B1C" w:rsidP="00455F09">
      <w:pPr>
        <w:spacing w:after="120" w:line="240" w:lineRule="auto"/>
        <w:jc w:val="both"/>
        <w:rPr>
          <w:b/>
          <w:bCs/>
          <w:sz w:val="22"/>
        </w:rPr>
      </w:pPr>
    </w:p>
    <w:bookmarkEnd w:id="0"/>
    <w:p w14:paraId="5B73C941" w14:textId="080E85E8" w:rsidR="00520E8E" w:rsidRPr="00903787" w:rsidRDefault="00520E8E" w:rsidP="00903787">
      <w:pPr>
        <w:spacing w:after="120" w:line="240" w:lineRule="auto"/>
        <w:jc w:val="both"/>
        <w:rPr>
          <w:rFonts w:cs="Times New Roman"/>
          <w:sz w:val="22"/>
        </w:rPr>
      </w:pPr>
    </w:p>
    <w:sectPr w:rsidR="00520E8E" w:rsidRPr="00903787" w:rsidSect="001064D4">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8E"/>
    <w:rsid w:val="00027B3D"/>
    <w:rsid w:val="001064D4"/>
    <w:rsid w:val="00116697"/>
    <w:rsid w:val="00132FC4"/>
    <w:rsid w:val="001452B4"/>
    <w:rsid w:val="001E03A7"/>
    <w:rsid w:val="00220B1C"/>
    <w:rsid w:val="00241F26"/>
    <w:rsid w:val="00253730"/>
    <w:rsid w:val="002709D0"/>
    <w:rsid w:val="002C3933"/>
    <w:rsid w:val="002D11EE"/>
    <w:rsid w:val="003A1437"/>
    <w:rsid w:val="003C74A6"/>
    <w:rsid w:val="00455F09"/>
    <w:rsid w:val="00520E8E"/>
    <w:rsid w:val="00683982"/>
    <w:rsid w:val="007441B5"/>
    <w:rsid w:val="00903787"/>
    <w:rsid w:val="00985A61"/>
    <w:rsid w:val="009A065C"/>
    <w:rsid w:val="009D4180"/>
    <w:rsid w:val="00AE0F48"/>
    <w:rsid w:val="00C83EDA"/>
    <w:rsid w:val="00CE24C1"/>
    <w:rsid w:val="00CF558A"/>
    <w:rsid w:val="00D879B4"/>
    <w:rsid w:val="00DD1C9C"/>
    <w:rsid w:val="00E60331"/>
    <w:rsid w:val="00EB12DF"/>
    <w:rsid w:val="00EB317A"/>
    <w:rsid w:val="00EE774C"/>
    <w:rsid w:val="00F67A82"/>
    <w:rsid w:val="00FF170D"/>
    <w:rsid w:val="00FF6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805B"/>
  <w15:chartTrackingRefBased/>
  <w15:docId w15:val="{46730E1F-9B95-4725-8E1C-E9F6CD9E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0E8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E8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0E8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20E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0E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0E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0E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E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E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0E8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E8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20E8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20E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0E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0E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0E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0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E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E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0E8E"/>
    <w:pPr>
      <w:spacing w:before="160"/>
      <w:jc w:val="center"/>
    </w:pPr>
    <w:rPr>
      <w:i/>
      <w:iCs/>
      <w:color w:val="404040" w:themeColor="text1" w:themeTint="BF"/>
    </w:rPr>
  </w:style>
  <w:style w:type="character" w:customStyle="1" w:styleId="QuoteChar">
    <w:name w:val="Quote Char"/>
    <w:basedOn w:val="DefaultParagraphFont"/>
    <w:link w:val="Quote"/>
    <w:uiPriority w:val="29"/>
    <w:rsid w:val="00520E8E"/>
    <w:rPr>
      <w:i/>
      <w:iCs/>
      <w:color w:val="404040" w:themeColor="text1" w:themeTint="BF"/>
    </w:rPr>
  </w:style>
  <w:style w:type="paragraph" w:styleId="ListParagraph">
    <w:name w:val="List Paragraph"/>
    <w:basedOn w:val="Normal"/>
    <w:uiPriority w:val="34"/>
    <w:qFormat/>
    <w:rsid w:val="00520E8E"/>
    <w:pPr>
      <w:ind w:left="720"/>
      <w:contextualSpacing/>
    </w:pPr>
  </w:style>
  <w:style w:type="character" w:styleId="IntenseEmphasis">
    <w:name w:val="Intense Emphasis"/>
    <w:basedOn w:val="DefaultParagraphFont"/>
    <w:uiPriority w:val="21"/>
    <w:qFormat/>
    <w:rsid w:val="00520E8E"/>
    <w:rPr>
      <w:i/>
      <w:iCs/>
      <w:color w:val="2F5496" w:themeColor="accent1" w:themeShade="BF"/>
    </w:rPr>
  </w:style>
  <w:style w:type="paragraph" w:styleId="IntenseQuote">
    <w:name w:val="Intense Quote"/>
    <w:basedOn w:val="Normal"/>
    <w:next w:val="Normal"/>
    <w:link w:val="IntenseQuoteChar"/>
    <w:uiPriority w:val="30"/>
    <w:qFormat/>
    <w:rsid w:val="00520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E8E"/>
    <w:rPr>
      <w:i/>
      <w:iCs/>
      <w:color w:val="2F5496" w:themeColor="accent1" w:themeShade="BF"/>
    </w:rPr>
  </w:style>
  <w:style w:type="character" w:styleId="IntenseReference">
    <w:name w:val="Intense Reference"/>
    <w:basedOn w:val="DefaultParagraphFont"/>
    <w:uiPriority w:val="32"/>
    <w:qFormat/>
    <w:rsid w:val="00520E8E"/>
    <w:rPr>
      <w:b/>
      <w:bCs/>
      <w:smallCaps/>
      <w:color w:val="2F5496" w:themeColor="accent1" w:themeShade="BF"/>
      <w:spacing w:val="5"/>
    </w:rPr>
  </w:style>
  <w:style w:type="paragraph" w:styleId="NormalWeb">
    <w:name w:val="Normal (Web)"/>
    <w:basedOn w:val="Normal"/>
    <w:uiPriority w:val="99"/>
    <w:semiHidden/>
    <w:unhideWhenUsed/>
    <w:rsid w:val="001E03A7"/>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1E03A7"/>
    <w:rPr>
      <w:b/>
      <w:bCs/>
    </w:rPr>
  </w:style>
  <w:style w:type="character" w:styleId="Emphasis">
    <w:name w:val="Emphasis"/>
    <w:basedOn w:val="DefaultParagraphFont"/>
    <w:uiPriority w:val="20"/>
    <w:qFormat/>
    <w:rsid w:val="00220B1C"/>
    <w:rPr>
      <w:i/>
      <w:iCs/>
    </w:rPr>
  </w:style>
  <w:style w:type="character" w:styleId="Hyperlink">
    <w:name w:val="Hyperlink"/>
    <w:basedOn w:val="DefaultParagraphFont"/>
    <w:uiPriority w:val="99"/>
    <w:unhideWhenUsed/>
    <w:rsid w:val="00253730"/>
    <w:rPr>
      <w:color w:val="0563C1" w:themeColor="hyperlink"/>
      <w:u w:val="single"/>
    </w:rPr>
  </w:style>
  <w:style w:type="character" w:styleId="UnresolvedMention">
    <w:name w:val="Unresolved Mention"/>
    <w:basedOn w:val="DefaultParagraphFont"/>
    <w:uiPriority w:val="99"/>
    <w:semiHidden/>
    <w:unhideWhenUsed/>
    <w:rsid w:val="00253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thtam@apd.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2026-02-04T11:29:00Z</dcterms:created>
  <dcterms:modified xsi:type="dcterms:W3CDTF">2026-02-05T13:39:00Z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3b742391-31cd-4c2a-ac8c-b2b7425ace41</vt:lpwstr>
  </property>
</Properties>
</file>