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83F4A1" w14:textId="77777777" w:rsidR="00507BB6" w:rsidRDefault="00507BB6" w:rsidP="005503C7">
      <w:pPr>
        <w:jc w:val="center"/>
        <w:rPr>
          <w:b/>
          <w:bCs/>
        </w:rPr>
      </w:pPr>
    </w:p>
    <w:p w14:paraId="54F45BC6" w14:textId="048AA5C0" w:rsidR="00DD45BB" w:rsidRPr="001717B5" w:rsidRDefault="005503C7" w:rsidP="005503C7">
      <w:pPr>
        <w:jc w:val="center"/>
        <w:rPr>
          <w:rFonts w:cs="Calibri"/>
          <w:b/>
          <w:bCs/>
          <w:szCs w:val="20"/>
        </w:rPr>
      </w:pPr>
      <w:r w:rsidRPr="001717B5">
        <w:rPr>
          <w:rFonts w:cs="Calibri"/>
          <w:b/>
          <w:bCs/>
          <w:szCs w:val="20"/>
        </w:rPr>
        <w:t>Semiotics and Translanguaging Approaches to Inclusion and Critical Thinking in Generative AI Adoption</w:t>
      </w:r>
    </w:p>
    <w:p w14:paraId="4C7E778B" w14:textId="77777777" w:rsidR="00DD45BB" w:rsidRDefault="00DD45BB" w:rsidP="00E65FBB"/>
    <w:p w14:paraId="328E0365" w14:textId="6256D904" w:rsidR="001717B5" w:rsidRPr="001717B5" w:rsidRDefault="001717B5" w:rsidP="001717B5">
      <w:pPr>
        <w:jc w:val="center"/>
        <w:rPr>
          <w:i/>
          <w:iCs/>
        </w:rPr>
      </w:pPr>
      <w:r w:rsidRPr="001717B5">
        <w:rPr>
          <w:i/>
          <w:iCs/>
        </w:rPr>
        <w:t>Fati Osuman</w:t>
      </w:r>
      <w:r>
        <w:rPr>
          <w:rStyle w:val="FootnoteReference"/>
          <w:i/>
          <w:iCs/>
        </w:rPr>
        <w:footnoteReference w:id="1"/>
      </w:r>
    </w:p>
    <w:p w14:paraId="2E44836A" w14:textId="6F543CB1" w:rsidR="00DD45BB" w:rsidRPr="004A0EB9" w:rsidRDefault="00DD45BB" w:rsidP="00E65FBB">
      <w:pPr>
        <w:rPr>
          <w:b/>
          <w:bCs/>
        </w:rPr>
      </w:pPr>
      <w:r w:rsidRPr="004A0EB9">
        <w:rPr>
          <w:b/>
          <w:bCs/>
        </w:rPr>
        <w:t>Abstract</w:t>
      </w:r>
    </w:p>
    <w:p w14:paraId="25A7F13B" w14:textId="4BA75C50" w:rsidR="00B664E8" w:rsidRDefault="00E65FBB" w:rsidP="00DD45BB">
      <w:r>
        <w:t>Generative Artificial Intelligence (Gen AI) in second language (L2) education offers new affordances for multilingual interaction, multimodal expression, and individualized feedback</w:t>
      </w:r>
      <w:r w:rsidR="004438B7">
        <w:t xml:space="preserve">. However, </w:t>
      </w:r>
      <w:r>
        <w:t xml:space="preserve">concerns around academic integrity, erosion of critical thinking, equity, and the reproduction of cultural and linguistic bias remain underexplored. Existing technology-integration frameworks have been criticized for prioritizing tools over learner agency (Blundell et al., 2022), while recent pedagogical approaches </w:t>
      </w:r>
      <w:r w:rsidR="004438B7">
        <w:t>incorporating</w:t>
      </w:r>
      <w:r>
        <w:t xml:space="preserve"> translanguaging have not fully addressed assessment, reflection, or multimodal task design in AI-supported learning (Donley, 2024). Responding to these gaps, this conceptual </w:t>
      </w:r>
      <w:r w:rsidR="00DD45BB">
        <w:t>paper</w:t>
      </w:r>
      <w:r>
        <w:t xml:space="preserve"> proposes an inclusive framework for Gen AI–mediated task design </w:t>
      </w:r>
      <w:r w:rsidR="004438B7">
        <w:t>grounded in</w:t>
      </w:r>
      <w:r>
        <w:t xml:space="preserve"> translanguaging pedagogy and social semiotic theory. Drawing on current literature, the paper examines how Gen AI tasks designed through this lens can support three interrelated dimensions of learning: (1) critical thinking; (2) translanguaging and multimodality; and (3) equity and representation</w:t>
      </w:r>
      <w:r w:rsidR="00DD45BB">
        <w:t xml:space="preserve">. The article concludes with implications </w:t>
      </w:r>
      <w:r w:rsidR="004438B7">
        <w:t xml:space="preserve">and future directions </w:t>
      </w:r>
      <w:r w:rsidR="00DD45BB">
        <w:t>for designing AI-supported language tasks that foster critical AI literacy, inclusion, and meaningful multilingual participation.</w:t>
      </w:r>
    </w:p>
    <w:p w14:paraId="6B429CF4" w14:textId="77777777" w:rsidR="00DD45BB" w:rsidRDefault="00DD45BB" w:rsidP="00DD45BB"/>
    <w:p w14:paraId="0B204982" w14:textId="62654205" w:rsidR="00DD45BB" w:rsidRPr="004438B7" w:rsidRDefault="00DD45BB" w:rsidP="001717B5">
      <w:pPr>
        <w:spacing w:before="100" w:beforeAutospacing="1" w:after="100" w:afterAutospacing="1"/>
        <w:ind w:firstLine="720"/>
        <w:rPr>
          <w:rFonts w:eastAsia="Times New Roman"/>
          <w:color w:val="000000"/>
        </w:rPr>
      </w:pPr>
      <w:r w:rsidRPr="001717B5">
        <w:rPr>
          <w:rFonts w:eastAsia="Times New Roman"/>
          <w:b/>
          <w:bCs/>
          <w:i/>
          <w:iCs/>
          <w:color w:val="000000"/>
        </w:rPr>
        <w:t>Keywords:</w:t>
      </w:r>
      <w:r w:rsidRPr="0072587F">
        <w:rPr>
          <w:rFonts w:eastAsia="Times New Roman"/>
          <w:color w:val="000000"/>
        </w:rPr>
        <w:t> </w:t>
      </w:r>
      <w:r w:rsidR="001717B5">
        <w:rPr>
          <w:rFonts w:eastAsia="Times New Roman"/>
          <w:color w:val="000000"/>
        </w:rPr>
        <w:t>g</w:t>
      </w:r>
      <w:r w:rsidR="004A0EB9">
        <w:rPr>
          <w:rFonts w:eastAsia="Times New Roman"/>
          <w:color w:val="000000"/>
        </w:rPr>
        <w:t>en</w:t>
      </w:r>
      <w:r w:rsidR="00565845">
        <w:rPr>
          <w:rFonts w:eastAsia="Times New Roman"/>
          <w:color w:val="000000"/>
        </w:rPr>
        <w:t>erative</w:t>
      </w:r>
      <w:r w:rsidR="004A0EB9">
        <w:rPr>
          <w:rFonts w:eastAsia="Times New Roman"/>
          <w:color w:val="000000"/>
        </w:rPr>
        <w:t xml:space="preserve"> AI</w:t>
      </w:r>
      <w:r w:rsidR="001717B5">
        <w:rPr>
          <w:rFonts w:eastAsia="Times New Roman"/>
          <w:color w:val="000000"/>
        </w:rPr>
        <w:t xml:space="preserve">, </w:t>
      </w:r>
      <w:r w:rsidRPr="0072587F">
        <w:rPr>
          <w:rFonts w:eastAsia="Times New Roman"/>
          <w:color w:val="000000"/>
        </w:rPr>
        <w:t>translanguaging</w:t>
      </w:r>
      <w:r w:rsidR="001717B5">
        <w:rPr>
          <w:rFonts w:eastAsia="Times New Roman"/>
          <w:color w:val="000000"/>
        </w:rPr>
        <w:t>,</w:t>
      </w:r>
      <w:r w:rsidRPr="0072587F">
        <w:rPr>
          <w:rFonts w:eastAsia="Times New Roman"/>
          <w:color w:val="000000"/>
        </w:rPr>
        <w:t xml:space="preserve"> social semiotics</w:t>
      </w:r>
      <w:r w:rsidR="001717B5">
        <w:rPr>
          <w:rFonts w:eastAsia="Times New Roman"/>
          <w:color w:val="000000"/>
        </w:rPr>
        <w:t xml:space="preserve">, </w:t>
      </w:r>
      <w:r w:rsidRPr="0072587F">
        <w:rPr>
          <w:rFonts w:eastAsia="Times New Roman"/>
          <w:color w:val="000000"/>
        </w:rPr>
        <w:t>critical thinking</w:t>
      </w:r>
      <w:r w:rsidR="001717B5">
        <w:rPr>
          <w:rFonts w:eastAsia="Times New Roman"/>
          <w:color w:val="000000"/>
        </w:rPr>
        <w:t>,</w:t>
      </w:r>
      <w:r w:rsidRPr="0072587F">
        <w:rPr>
          <w:rFonts w:eastAsia="Times New Roman"/>
          <w:color w:val="000000"/>
        </w:rPr>
        <w:t xml:space="preserve"> inclusive</w:t>
      </w:r>
      <w:r w:rsidR="00565845">
        <w:rPr>
          <w:rFonts w:eastAsia="Times New Roman"/>
          <w:color w:val="000000"/>
        </w:rPr>
        <w:t xml:space="preserve"> L2</w:t>
      </w:r>
      <w:r w:rsidRPr="0072587F">
        <w:rPr>
          <w:rFonts w:eastAsia="Times New Roman"/>
          <w:color w:val="000000"/>
        </w:rPr>
        <w:t xml:space="preserve"> pedagog</w:t>
      </w:r>
      <w:r w:rsidR="001717B5">
        <w:rPr>
          <w:rFonts w:eastAsia="Times New Roman"/>
          <w:color w:val="000000"/>
        </w:rPr>
        <w:t>y.</w:t>
      </w:r>
    </w:p>
    <w:p w14:paraId="4407E7CA" w14:textId="77777777" w:rsidR="00DD45BB" w:rsidRDefault="00DD45BB" w:rsidP="00DD45BB"/>
    <w:p w14:paraId="5B6FCAED" w14:textId="660A8458" w:rsidR="00DD45BB" w:rsidRPr="001717B5" w:rsidRDefault="00DD45BB" w:rsidP="001717B5">
      <w:pPr>
        <w:pStyle w:val="ListParagraph"/>
        <w:numPr>
          <w:ilvl w:val="0"/>
          <w:numId w:val="1"/>
        </w:numPr>
        <w:spacing w:line="480" w:lineRule="auto"/>
        <w:jc w:val="center"/>
        <w:rPr>
          <w:b/>
          <w:bCs/>
        </w:rPr>
      </w:pPr>
      <w:r w:rsidRPr="001717B5">
        <w:rPr>
          <w:b/>
          <w:bCs/>
        </w:rPr>
        <w:t>Introduction</w:t>
      </w:r>
    </w:p>
    <w:p w14:paraId="493E0667" w14:textId="573C5AFB" w:rsidR="004438B7" w:rsidRDefault="00DD45BB" w:rsidP="001717B5">
      <w:pPr>
        <w:spacing w:line="480" w:lineRule="auto"/>
        <w:ind w:firstLine="720"/>
      </w:pPr>
      <w:r>
        <w:t>Generative Artificial Intelligence (Gen AI), particularly tools like ChatGPT that generate new content through large-scale language model</w:t>
      </w:r>
      <w:r w:rsidR="001717B5">
        <w:t>l</w:t>
      </w:r>
      <w:r>
        <w:t>ing, has gained considerable attention in L2 for its potential to improve teaching and learning efficiency (</w:t>
      </w:r>
      <w:proofErr w:type="spellStart"/>
      <w:r>
        <w:t>Khonke</w:t>
      </w:r>
      <w:proofErr w:type="spellEnd"/>
      <w:r>
        <w:t xml:space="preserve"> &amp; Zou, 2025). Gen AI enables language instructors to rapidly customise learning tasks, scaffold instruction, create multimodal materials, provide instant individualised feedback, and facilitate multilingual interaction in the classroom (</w:t>
      </w:r>
      <w:proofErr w:type="spellStart"/>
      <w:r>
        <w:t>Evmenova</w:t>
      </w:r>
      <w:proofErr w:type="spellEnd"/>
      <w:r>
        <w:t xml:space="preserve"> et al., 2024; Tang &amp; Su, 2024). </w:t>
      </w:r>
      <w:r w:rsidRPr="003B753E">
        <w:t>These affordances are particularly relevant in increasingly multilingual and international educational contexts where learners engage with diverse languages, identities, and modes of communication.</w:t>
      </w:r>
      <w:r>
        <w:t xml:space="preserve"> While these opportunities open up </w:t>
      </w:r>
      <w:r>
        <w:lastRenderedPageBreak/>
        <w:t>new possibilities for language learning and feedback, concerns persist around academic integrity, data privacy, and the erosion of teacher autonomy (Crompton et al., 2024). Furthermore, overreliance on Gen AI risks undermining critical thinking development and exacerbating inequities for historically marginalised learners (</w:t>
      </w:r>
      <w:proofErr w:type="spellStart"/>
      <w:r>
        <w:t>Evmenova</w:t>
      </w:r>
      <w:proofErr w:type="spellEnd"/>
      <w:r>
        <w:t xml:space="preserve"> et al., 2024; Ahmed, 2025). </w:t>
      </w:r>
      <w:r w:rsidRPr="00DD45BB">
        <w:t xml:space="preserve">These challenges </w:t>
      </w:r>
      <w:r>
        <w:t xml:space="preserve">imply </w:t>
      </w:r>
      <w:r w:rsidRPr="00DD45BB">
        <w:t xml:space="preserve">that effective AI integration </w:t>
      </w:r>
      <w:r>
        <w:t>requires more than</w:t>
      </w:r>
      <w:r w:rsidRPr="00DD45BB">
        <w:t xml:space="preserve"> technological adoption</w:t>
      </w:r>
      <w:r>
        <w:t>. It thus requires</w:t>
      </w:r>
      <w:r w:rsidRPr="00DD45BB">
        <w:t xml:space="preserve"> pedagogical approaches that promote learner agency, critical engagement, and inclusion.</w:t>
      </w:r>
    </w:p>
    <w:p w14:paraId="0F4033A3" w14:textId="72E8E9BD" w:rsidR="00DD45BB" w:rsidRDefault="00DD45BB" w:rsidP="001717B5">
      <w:pPr>
        <w:spacing w:line="480" w:lineRule="auto"/>
        <w:ind w:firstLine="720"/>
      </w:pPr>
      <w:r>
        <w:t>In the post-pandemic boom of Gen AI, frameworks like Substitution Augmentation, Modification Redefinition (SAMR) (</w:t>
      </w:r>
      <w:proofErr w:type="spellStart"/>
      <w:r>
        <w:t>Puentedura</w:t>
      </w:r>
      <w:proofErr w:type="spellEnd"/>
      <w:r>
        <w:t xml:space="preserve">, 2013) guided technology integration but were </w:t>
      </w:r>
      <w:r w:rsidR="004438B7">
        <w:t>criticized</w:t>
      </w:r>
      <w:r>
        <w:t xml:space="preserve"> for prioritizing tool</w:t>
      </w:r>
      <w:r w:rsidR="001717B5">
        <w:t xml:space="preserve"> use classification </w:t>
      </w:r>
      <w:r>
        <w:t xml:space="preserve">over </w:t>
      </w:r>
      <w:r w:rsidR="001717B5">
        <w:t>learner experience and pedagogical context</w:t>
      </w:r>
      <w:r>
        <w:t xml:space="preserve"> (Blundell et al., 2022), leading scholars such as Donley (2024) to explore options such as translanguaging that centre inclusion and criticality. Donley (2024) used a teacher’s qualitative data to show how translanguaging pedagogy guide</w:t>
      </w:r>
      <w:r w:rsidR="001717B5">
        <w:t xml:space="preserve">d </w:t>
      </w:r>
      <w:r>
        <w:t>Gen AI use in language classrooms, focusing on three dimensions: affordances, production, and co-labour to promote inclusion and cultural competence. However, the study did</w:t>
      </w:r>
      <w:r w:rsidR="001717B5">
        <w:t xml:space="preserve"> not address</w:t>
      </w:r>
      <w:r>
        <w:t xml:space="preserve"> assessment, reflections and multimodal task design, which are essential to counter overreliance and erosion of critical thinking. </w:t>
      </w:r>
      <w:r w:rsidRPr="00DD45BB">
        <w:t>Consequently, there remains a need for conceptual frameworks that connect AI use with critical thinking, multilingual meaning-making, and equitable participation.</w:t>
      </w:r>
    </w:p>
    <w:p w14:paraId="7CA6C935" w14:textId="53E83B85" w:rsidR="00DD45BB" w:rsidRDefault="00DD45BB" w:rsidP="001717B5">
      <w:pPr>
        <w:spacing w:line="480" w:lineRule="auto"/>
        <w:ind w:firstLine="720"/>
      </w:pPr>
      <w:r>
        <w:rPr>
          <w:color w:val="000000"/>
        </w:rPr>
        <w:t>In response to the gaps identified, t</w:t>
      </w:r>
      <w:r w:rsidRPr="008569E3">
        <w:rPr>
          <w:color w:val="000000"/>
        </w:rPr>
        <w:t xml:space="preserve">his article </w:t>
      </w:r>
      <w:r>
        <w:rPr>
          <w:color w:val="000000"/>
        </w:rPr>
        <w:t>proposes</w:t>
      </w:r>
      <w:r w:rsidRPr="008569E3">
        <w:rPr>
          <w:color w:val="000000"/>
        </w:rPr>
        <w:t xml:space="preserve"> a conceptual framework </w:t>
      </w:r>
      <w:r>
        <w:rPr>
          <w:color w:val="000000"/>
        </w:rPr>
        <w:t>that applies</w:t>
      </w:r>
      <w:r w:rsidRPr="008569E3">
        <w:rPr>
          <w:color w:val="000000"/>
        </w:rPr>
        <w:t xml:space="preserve"> translanguaging pedagogy and </w:t>
      </w:r>
      <w:r>
        <w:rPr>
          <w:color w:val="000000"/>
        </w:rPr>
        <w:t xml:space="preserve">social </w:t>
      </w:r>
      <w:r w:rsidRPr="008569E3">
        <w:rPr>
          <w:color w:val="000000"/>
        </w:rPr>
        <w:t xml:space="preserve">semiotic theory to </w:t>
      </w:r>
      <w:r>
        <w:rPr>
          <w:color w:val="000000"/>
        </w:rPr>
        <w:t xml:space="preserve">guide inclusive Gen AI-supported language learning. </w:t>
      </w:r>
      <w:r w:rsidRPr="00DD45BB">
        <w:t>The framework positions learners as active meaning-makers who analyze, critique, and redesign AI-generated content while drawing on their full linguistic, cultural, and semiotic repertoires.</w:t>
      </w:r>
    </w:p>
    <w:p w14:paraId="404FCEDB" w14:textId="2581F7E2" w:rsidR="00DD45BB" w:rsidRPr="00162B04" w:rsidRDefault="00DD45BB" w:rsidP="00DD45BB">
      <w:pPr>
        <w:ind w:firstLine="720"/>
        <w:rPr>
          <w:color w:val="000000"/>
        </w:rPr>
      </w:pPr>
    </w:p>
    <w:p w14:paraId="6E013B60" w14:textId="6E33F09F" w:rsidR="00DD45BB" w:rsidRPr="001717B5" w:rsidRDefault="00DD45BB" w:rsidP="001717B5">
      <w:pPr>
        <w:pStyle w:val="ListParagraph"/>
        <w:numPr>
          <w:ilvl w:val="0"/>
          <w:numId w:val="1"/>
        </w:numPr>
        <w:jc w:val="center"/>
        <w:rPr>
          <w:b/>
          <w:bCs/>
        </w:rPr>
      </w:pPr>
      <w:r w:rsidRPr="001717B5">
        <w:rPr>
          <w:b/>
          <w:bCs/>
        </w:rPr>
        <w:t>Conceptual Foundations</w:t>
      </w:r>
    </w:p>
    <w:p w14:paraId="1DAF03B7" w14:textId="77777777" w:rsidR="00DD45BB" w:rsidRPr="00DD45BB" w:rsidRDefault="00DD45BB" w:rsidP="00DD45BB"/>
    <w:p w14:paraId="00E29349" w14:textId="5BEF955D" w:rsidR="00DD45BB" w:rsidRPr="001717B5" w:rsidRDefault="001717B5" w:rsidP="001717B5">
      <w:pPr>
        <w:pStyle w:val="ListParagraph"/>
        <w:numPr>
          <w:ilvl w:val="1"/>
          <w:numId w:val="1"/>
        </w:numPr>
        <w:spacing w:line="480" w:lineRule="auto"/>
        <w:rPr>
          <w:b/>
          <w:bCs/>
          <w:i/>
          <w:iCs/>
        </w:rPr>
      </w:pPr>
      <w:r>
        <w:rPr>
          <w:b/>
          <w:bCs/>
        </w:rPr>
        <w:t xml:space="preserve"> </w:t>
      </w:r>
      <w:r w:rsidR="00DD45BB" w:rsidRPr="001717B5">
        <w:rPr>
          <w:b/>
          <w:bCs/>
          <w:i/>
          <w:iCs/>
        </w:rPr>
        <w:t>Translanguaging Pedagogy</w:t>
      </w:r>
    </w:p>
    <w:p w14:paraId="41E432EC" w14:textId="68CBA948" w:rsidR="00DD45BB" w:rsidRDefault="00DD45BB" w:rsidP="001717B5">
      <w:pPr>
        <w:spacing w:line="480" w:lineRule="auto"/>
        <w:ind w:firstLine="720"/>
      </w:pPr>
      <w:r>
        <w:t>It is a pedagogical practice that draws on multilingual learners’ full linguistic and cultural resources to make sense of their world and communicate effectively (García, 2014). It fosters culturally responsive learning, reduces learner anxiety, and increases comprehension and participation (</w:t>
      </w:r>
      <w:proofErr w:type="spellStart"/>
      <w:r w:rsidR="004438B7">
        <w:t>Cioè</w:t>
      </w:r>
      <w:proofErr w:type="spellEnd"/>
      <w:r w:rsidR="004438B7">
        <w:t>-Peña, 2022</w:t>
      </w:r>
      <w:r>
        <w:t xml:space="preserve">). Beyond language switching, translanguaging includes multimodal practices such as reading, writing, and dialogue for meaning-making, emotional expression and identity development (Galante, 2020). García and Kleifgen (2019) propose five dimensions for implementing translanguaging pedagogy in instruction: affordances, production, co-labor, assessment, and reflection. In terms of affordances and production, Gen AI tools can be used to generate multimodal input and support content creation that reflects students’ cultural and linguistic identities. Co-labor can be fostered through collaborative, AI-supported learning that validates diverse knowledge systems. In assessment, educators adopt multimodal evaluation procedures that include translanguaging in formative and summative assessments. Reflection, on the other hand, involve examining cross-linguistic comparisons, language usage, and the sociocultural aspects of language to support deeper learning. These dimensions provide useful </w:t>
      </w:r>
      <w:r w:rsidR="004438B7">
        <w:t>foundation</w:t>
      </w:r>
      <w:r>
        <w:t xml:space="preserve"> for designing AI-supported language tasks.</w:t>
      </w:r>
    </w:p>
    <w:p w14:paraId="38C7DABB" w14:textId="77777777" w:rsidR="00DD45BB" w:rsidRDefault="00DD45BB" w:rsidP="00DD45BB"/>
    <w:p w14:paraId="2C9A43E9" w14:textId="226A89E2" w:rsidR="00DD45BB" w:rsidRPr="001717B5" w:rsidRDefault="001717B5" w:rsidP="001717B5">
      <w:pPr>
        <w:pStyle w:val="ListParagraph"/>
        <w:numPr>
          <w:ilvl w:val="1"/>
          <w:numId w:val="1"/>
        </w:numPr>
        <w:spacing w:line="480" w:lineRule="auto"/>
        <w:rPr>
          <w:b/>
          <w:bCs/>
          <w:i/>
          <w:iCs/>
        </w:rPr>
      </w:pPr>
      <w:r>
        <w:rPr>
          <w:b/>
          <w:bCs/>
        </w:rPr>
        <w:t xml:space="preserve">  </w:t>
      </w:r>
      <w:r w:rsidR="00DD45BB" w:rsidRPr="001717B5">
        <w:rPr>
          <w:b/>
          <w:bCs/>
          <w:i/>
          <w:iCs/>
        </w:rPr>
        <w:t>Social Semiotic Theory and Multimodality</w:t>
      </w:r>
    </w:p>
    <w:p w14:paraId="2F131A43" w14:textId="233A028A" w:rsidR="00DD45BB" w:rsidRDefault="00DD45BB" w:rsidP="001717B5">
      <w:pPr>
        <w:spacing w:line="480" w:lineRule="auto"/>
        <w:ind w:firstLine="720"/>
      </w:pPr>
      <w:r>
        <w:t>Semiotics is the study of signs and how meaning is created through them (Danesi, 2000). Social semiotics, introduced by Gunther Kress, shifts the focus from static sign systems to meaning-making as a dynamic, socially situated practice (Kress, 2010). Central to this approach is multimodality, which sees learning as designing meaning through selecting and reshaping semiotic resources such as images, language, sound, diagrams, and gestures (</w:t>
      </w:r>
      <w:r w:rsidR="004438B7">
        <w:t>Adami et al., 2022</w:t>
      </w:r>
      <w:r>
        <w:t xml:space="preserve">). </w:t>
      </w:r>
      <w:r>
        <w:lastRenderedPageBreak/>
        <w:t>These resources carry culturally and socially embedded meanings</w:t>
      </w:r>
      <w:r w:rsidR="004438B7">
        <w:t xml:space="preserve">, </w:t>
      </w:r>
      <w:r>
        <w:t>offering multiple entry points that make learning more accessible and inclusive. Wanselin et al. (2022) and Cheung et al. (2024) outline three key meaning-making layers relevant to Gen AI adoption in L2 tasks: presentational meaning (ideas, events, and participants), orientational meaning (attitudes, emotions, and perspectives), and organisational meaning (how elements connect to create coherence).</w:t>
      </w:r>
      <w:r w:rsidR="001717B5">
        <w:t xml:space="preserve"> </w:t>
      </w:r>
      <w:r>
        <w:t xml:space="preserve">Translanguaging and social semiotics combined position learners as analysts (critiquing Gen AI outputs for accuracy, representation, and bias), designers (revising, remixing or creating content), and advocates (producing work that reflects diverse identities). This approach fosters critical AI literacy while maintaining learner agency. </w:t>
      </w:r>
      <w:r w:rsidRPr="00DD45BB">
        <w:t>When combined with translanguaging pedagogy, it offers a framework for critically evaluating and redesigning AI-generated content while supporting multilingual and multimodal expression</w:t>
      </w:r>
      <w:r w:rsidR="001717B5">
        <w:t>.</w:t>
      </w:r>
    </w:p>
    <w:p w14:paraId="02A5CC6B" w14:textId="77777777" w:rsidR="00DD45BB" w:rsidRDefault="00DD45BB" w:rsidP="00DD45BB">
      <w:pPr>
        <w:ind w:firstLine="720"/>
      </w:pPr>
    </w:p>
    <w:p w14:paraId="68F95778" w14:textId="648422C9" w:rsidR="00DD45BB" w:rsidRDefault="00DD45BB" w:rsidP="00DD45BB">
      <w:pPr>
        <w:ind w:firstLine="720"/>
      </w:pPr>
    </w:p>
    <w:p w14:paraId="45E266BC" w14:textId="3EB5778C" w:rsidR="004A0EB9" w:rsidRPr="001717B5" w:rsidRDefault="004A0EB9" w:rsidP="001717B5">
      <w:pPr>
        <w:pStyle w:val="ListParagraph"/>
        <w:numPr>
          <w:ilvl w:val="0"/>
          <w:numId w:val="1"/>
        </w:numPr>
        <w:jc w:val="center"/>
        <w:rPr>
          <w:b/>
          <w:bCs/>
        </w:rPr>
      </w:pPr>
      <w:r w:rsidRPr="001717B5">
        <w:rPr>
          <w:b/>
          <w:bCs/>
        </w:rPr>
        <w:t>Proposed Framework: Translanguaging and Social Semiotics for Inclusive AI</w:t>
      </w:r>
      <w:r w:rsidR="005503C7" w:rsidRPr="001717B5">
        <w:rPr>
          <w:b/>
          <w:bCs/>
        </w:rPr>
        <w:t xml:space="preserve"> Pedagogy</w:t>
      </w:r>
    </w:p>
    <w:p w14:paraId="5181B896" w14:textId="77777777" w:rsidR="005503C7" w:rsidRDefault="005503C7" w:rsidP="001717B5">
      <w:pPr>
        <w:jc w:val="center"/>
        <w:rPr>
          <w:b/>
          <w:bCs/>
        </w:rPr>
      </w:pPr>
    </w:p>
    <w:p w14:paraId="1EB267CD" w14:textId="36CF55B6" w:rsidR="005078A6" w:rsidRPr="005078A6" w:rsidRDefault="005078A6" w:rsidP="001717B5">
      <w:pPr>
        <w:spacing w:line="480" w:lineRule="auto"/>
        <w:ind w:firstLine="720"/>
      </w:pPr>
      <w:r w:rsidRPr="005078A6">
        <w:t xml:space="preserve">The proposed </w:t>
      </w:r>
      <w:r>
        <w:t xml:space="preserve">Gen AI adoption </w:t>
      </w:r>
      <w:r w:rsidRPr="005078A6">
        <w:t xml:space="preserve">framework combines translanguaging pedagogy and social semiotic theory to guide inclusive and critical uses of </w:t>
      </w:r>
      <w:r>
        <w:t xml:space="preserve">Gen AI in L2 </w:t>
      </w:r>
      <w:r w:rsidRPr="005078A6">
        <w:t xml:space="preserve">education. It treats AI outputs as semiotic resources that can be examined, critiqued, and transformed through multilingual and multimodal meaning-making. Three </w:t>
      </w:r>
      <w:r>
        <w:t>core aspects of learning</w:t>
      </w:r>
      <w:r w:rsidRPr="005078A6">
        <w:t xml:space="preserve"> underpin the framework: critical thinking, translanguaging and multimodality, and equity and representation.</w:t>
      </w:r>
    </w:p>
    <w:p w14:paraId="44F14EC5" w14:textId="460E0A51" w:rsidR="005078A6" w:rsidRPr="001717B5" w:rsidRDefault="001717B5" w:rsidP="001717B5">
      <w:pPr>
        <w:pStyle w:val="ListParagraph"/>
        <w:numPr>
          <w:ilvl w:val="1"/>
          <w:numId w:val="1"/>
        </w:numPr>
        <w:spacing w:line="480" w:lineRule="auto"/>
        <w:rPr>
          <w:b/>
          <w:bCs/>
          <w:i/>
          <w:iCs/>
        </w:rPr>
      </w:pPr>
      <w:r>
        <w:rPr>
          <w:b/>
          <w:bCs/>
        </w:rPr>
        <w:t xml:space="preserve">  </w:t>
      </w:r>
      <w:r w:rsidR="005078A6" w:rsidRPr="001717B5">
        <w:rPr>
          <w:b/>
          <w:bCs/>
          <w:i/>
          <w:iCs/>
        </w:rPr>
        <w:t>Critical Thinking</w:t>
      </w:r>
    </w:p>
    <w:p w14:paraId="7867AF68" w14:textId="425BAA8F" w:rsidR="005078A6" w:rsidRDefault="005078A6" w:rsidP="001717B5">
      <w:pPr>
        <w:spacing w:line="480" w:lineRule="auto"/>
        <w:ind w:firstLine="720"/>
      </w:pPr>
      <w:r>
        <w:t xml:space="preserve">A key challenge surrounding Gen AI in education is the potential for learner overreliance on AI-generated responses and limited autonomy. When students accept AI outputs uncritically, they miss opportunities for independent reasoning, evaluation, and knowledge construction. The </w:t>
      </w:r>
      <w:r>
        <w:lastRenderedPageBreak/>
        <w:t>framework addresses this challenge by positioning learners as critics of AI-generated content rather than passive recipients.</w:t>
      </w:r>
    </w:p>
    <w:p w14:paraId="7B9FA799" w14:textId="2A5BC9CD" w:rsidR="005078A6" w:rsidRDefault="005078A6" w:rsidP="001717B5">
      <w:pPr>
        <w:spacing w:line="480" w:lineRule="auto"/>
        <w:ind w:firstLine="720"/>
      </w:pPr>
      <w:r>
        <w:t>Drawing on the assessment and reflection dimensions of translanguaging pedagogy, learners are encouraged to examine how meaning is constructed in AI-generated texts, images, and other multimodal outputs. Social semiotics provides an analytical lens through which students can evaluate how information is presented (presentational layer), whose perspectives are represented (orientational layer), and how ideas are organized (organizational layer). For example, students might compare AI-generated responses across languages, identify inconsistencies or omissions, and revise outputs to better reflect particular cultural or contextual perspectives. Through these activities, learners develop critical AI literacy while engaging in higher-order processes such as analysis, evaluation, and redesign.</w:t>
      </w:r>
    </w:p>
    <w:p w14:paraId="4F8254AE" w14:textId="3C70EACC" w:rsidR="00F5425B" w:rsidRPr="001717B5" w:rsidRDefault="001717B5" w:rsidP="001717B5">
      <w:pPr>
        <w:pStyle w:val="ListParagraph"/>
        <w:numPr>
          <w:ilvl w:val="1"/>
          <w:numId w:val="1"/>
        </w:numPr>
        <w:spacing w:line="480" w:lineRule="auto"/>
        <w:rPr>
          <w:b/>
          <w:bCs/>
          <w:i/>
          <w:iCs/>
        </w:rPr>
      </w:pPr>
      <w:r>
        <w:rPr>
          <w:b/>
          <w:bCs/>
        </w:rPr>
        <w:t xml:space="preserve"> </w:t>
      </w:r>
      <w:r w:rsidR="00F5425B" w:rsidRPr="001717B5">
        <w:rPr>
          <w:b/>
          <w:bCs/>
          <w:i/>
          <w:iCs/>
        </w:rPr>
        <w:t>Translanguaging and Multimodal Meaning-Making</w:t>
      </w:r>
    </w:p>
    <w:p w14:paraId="55F76583" w14:textId="77777777" w:rsidR="00F5425B" w:rsidRDefault="00F5425B" w:rsidP="001717B5">
      <w:pPr>
        <w:spacing w:line="480" w:lineRule="auto"/>
        <w:ind w:firstLine="720"/>
      </w:pPr>
      <w:r>
        <w:t>The framework also supports learner agency through multilingual and multimodal meaning-making. Translanguaging pedagogy encourages learners to mobilize their full linguistic and cultural repertoires when constructing knowledge, while social semiotics recognizes that meaning is communicated through multiple modes, including language, images, audio, and visual design.</w:t>
      </w:r>
    </w:p>
    <w:p w14:paraId="47E36D8A" w14:textId="676069DF" w:rsidR="00F5425B" w:rsidRDefault="00F5425B" w:rsidP="001717B5">
      <w:pPr>
        <w:spacing w:line="480" w:lineRule="auto"/>
        <w:ind w:firstLine="720"/>
      </w:pPr>
      <w:r>
        <w:t xml:space="preserve">Within AI-supported tasks, learners assume the role of designers who actively transform and remix content rather than simply consuming it. For example, </w:t>
      </w:r>
      <w:r w:rsidRPr="00D84DD3">
        <w:t xml:space="preserve">teachers can use Gen AI to create scaffolded examples </w:t>
      </w:r>
      <w:r>
        <w:t xml:space="preserve">that students may use as a starting point for creating multilingual narratives, presentations, podcasts, or digital stories that reflect their experiences and identities. In doing so, they move across languages and modes to communicate meaning in ways that are personally relevant and culturally situated. Such activities extend language learning beyond </w:t>
      </w:r>
      <w:r>
        <w:lastRenderedPageBreak/>
        <w:t>traditional text-based tasks and create opportunities for creativity, collaboration, and multimodal literacy development.</w:t>
      </w:r>
    </w:p>
    <w:p w14:paraId="7D98F120" w14:textId="642B85F4" w:rsidR="00F5425B" w:rsidRPr="001717B5" w:rsidRDefault="001717B5" w:rsidP="001717B5">
      <w:pPr>
        <w:pStyle w:val="ListParagraph"/>
        <w:numPr>
          <w:ilvl w:val="1"/>
          <w:numId w:val="1"/>
        </w:numPr>
        <w:spacing w:line="480" w:lineRule="auto"/>
        <w:rPr>
          <w:b/>
          <w:bCs/>
          <w:i/>
          <w:iCs/>
        </w:rPr>
      </w:pPr>
      <w:r>
        <w:rPr>
          <w:b/>
          <w:bCs/>
        </w:rPr>
        <w:t xml:space="preserve"> </w:t>
      </w:r>
      <w:r w:rsidR="00F5425B" w:rsidRPr="001717B5">
        <w:rPr>
          <w:b/>
          <w:bCs/>
          <w:i/>
          <w:iCs/>
        </w:rPr>
        <w:t>Equity and Representation</w:t>
      </w:r>
    </w:p>
    <w:p w14:paraId="4FAF0A0D" w14:textId="6C8144A4" w:rsidR="00F5425B" w:rsidRDefault="00F5425B" w:rsidP="001717B5">
      <w:pPr>
        <w:spacing w:line="480" w:lineRule="auto"/>
        <w:ind w:firstLine="720"/>
      </w:pPr>
      <w:r>
        <w:t xml:space="preserve">A third dimension of the framework addresses equity and representation. </w:t>
      </w:r>
      <w:r w:rsidR="004438B7">
        <w:t>As</w:t>
      </w:r>
      <w:r>
        <w:t xml:space="preserve"> Gen AI systems are trained on large datasets that may privilege dominant linguistic and cultural perspectives, AI-generated outputs can reproduce existing biases and marginalize underrepresented groups. </w:t>
      </w:r>
      <w:r w:rsidRPr="00063FF1">
        <w:t xml:space="preserve">To address this, </w:t>
      </w:r>
      <w:r>
        <w:t>task design</w:t>
      </w:r>
      <w:r w:rsidRPr="00063FF1">
        <w:t xml:space="preserve"> </w:t>
      </w:r>
      <w:r>
        <w:t>should</w:t>
      </w:r>
      <w:r w:rsidRPr="00063FF1">
        <w:t xml:space="preserve"> centre cultural representation, inclusivity and accessibility</w:t>
      </w:r>
      <w:r>
        <w:t xml:space="preserve">.  Through a translanguaging lens, </w:t>
      </w:r>
      <w:r w:rsidR="004438B7">
        <w:t xml:space="preserve">tasks should </w:t>
      </w:r>
      <w:r>
        <w:t xml:space="preserve">encouraged </w:t>
      </w:r>
      <w:r w:rsidR="004438B7">
        <w:t xml:space="preserve">students </w:t>
      </w:r>
      <w:r>
        <w:t>to draw on diverse linguistic and cultural resources to challenge dominant narratives and contribute alternative viewpoints. Learners may analyze AI-generated texts for cultural assumptions, identify missing perspectives, and redesign content to better reflect their communities and lived experiences. In this way, students become advocates who use AI not only to access information but also to question, reshape, and expand it.</w:t>
      </w:r>
      <w:r w:rsidR="00721387">
        <w:t xml:space="preserve"> </w:t>
      </w:r>
      <w:r>
        <w:t>Equity also involves ensuring meaningful participation in AI-supported learning. Educators must consider differences in digital access, technological familiarity, and language backgrounds when designing tasks. Providing multiple pathways for engagement and recognizing diverse forms of expression can help ensure that AI-enhanced learning environments remain accessible and inclusive for all learners.</w:t>
      </w:r>
    </w:p>
    <w:p w14:paraId="28C7BCBA" w14:textId="0B89C27C" w:rsidR="00721387" w:rsidRDefault="00721387" w:rsidP="00F5425B">
      <w:r>
        <w:t xml:space="preserve">                                  </w:t>
      </w:r>
    </w:p>
    <w:p w14:paraId="3CDD07E0" w14:textId="77777777" w:rsidR="005503C7" w:rsidRDefault="00F5425B" w:rsidP="00F5425B">
      <w:pPr>
        <w:rPr>
          <w:b/>
          <w:bCs/>
        </w:rPr>
      </w:pPr>
      <w:r w:rsidRPr="005503C7">
        <w:rPr>
          <w:b/>
          <w:bCs/>
        </w:rPr>
        <w:t>Table 1</w:t>
      </w:r>
    </w:p>
    <w:p w14:paraId="1A974B9B" w14:textId="77777777" w:rsidR="001717B5" w:rsidRDefault="001717B5" w:rsidP="00F5425B">
      <w:pPr>
        <w:rPr>
          <w:b/>
          <w:bCs/>
        </w:rPr>
      </w:pPr>
    </w:p>
    <w:p w14:paraId="1E035028" w14:textId="3B07FF61" w:rsidR="00F5425B" w:rsidRPr="005503C7" w:rsidRDefault="005503C7" w:rsidP="00F5425B">
      <w:pPr>
        <w:rPr>
          <w:i/>
          <w:iCs/>
        </w:rPr>
      </w:pPr>
      <w:r w:rsidRPr="005503C7">
        <w:rPr>
          <w:i/>
          <w:iCs/>
        </w:rPr>
        <w:t>Summary of h</w:t>
      </w:r>
      <w:r w:rsidR="00F5425B" w:rsidRPr="005503C7">
        <w:rPr>
          <w:i/>
          <w:iCs/>
        </w:rPr>
        <w:t xml:space="preserve">ow translanguaging pedagogy and social semiotics can inform AI-supported task design in </w:t>
      </w:r>
      <w:r w:rsidR="00721387" w:rsidRPr="005503C7">
        <w:rPr>
          <w:i/>
          <w:iCs/>
        </w:rPr>
        <w:t>L2</w:t>
      </w:r>
      <w:r w:rsidR="00F5425B" w:rsidRPr="005503C7">
        <w:rPr>
          <w:i/>
          <w:iCs/>
        </w:rPr>
        <w:t xml:space="preserve"> education.</w:t>
      </w:r>
    </w:p>
    <w:p w14:paraId="40382EE7" w14:textId="77777777" w:rsidR="00F5425B" w:rsidRPr="00F5425B" w:rsidRDefault="00F5425B" w:rsidP="00F5425B"/>
    <w:p w14:paraId="3C3BBEA5" w14:textId="77777777" w:rsidR="00F5425B" w:rsidRPr="00F5425B" w:rsidRDefault="00F5425B" w:rsidP="00F5425B"/>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7"/>
        <w:gridCol w:w="2337"/>
        <w:gridCol w:w="2338"/>
        <w:gridCol w:w="2338"/>
      </w:tblGrid>
      <w:tr w:rsidR="005503C7" w:rsidRPr="001717B5" w14:paraId="7978CB2D" w14:textId="77777777" w:rsidTr="005503C7">
        <w:tc>
          <w:tcPr>
            <w:tcW w:w="2337" w:type="dxa"/>
            <w:vAlign w:val="center"/>
          </w:tcPr>
          <w:p w14:paraId="19595E0F" w14:textId="1A808665" w:rsidR="005503C7" w:rsidRPr="001717B5" w:rsidRDefault="005503C7" w:rsidP="005503C7">
            <w:pPr>
              <w:rPr>
                <w:sz w:val="20"/>
                <w:szCs w:val="20"/>
              </w:rPr>
            </w:pPr>
            <w:r w:rsidRPr="001717B5">
              <w:rPr>
                <w:b/>
                <w:bCs/>
                <w:color w:val="000000"/>
                <w:sz w:val="20"/>
                <w:szCs w:val="20"/>
              </w:rPr>
              <w:t>Translanguaging Dimension</w:t>
            </w:r>
          </w:p>
        </w:tc>
        <w:tc>
          <w:tcPr>
            <w:tcW w:w="2337" w:type="dxa"/>
            <w:vAlign w:val="center"/>
          </w:tcPr>
          <w:p w14:paraId="147A1CF9" w14:textId="4FB09626" w:rsidR="005503C7" w:rsidRPr="001717B5" w:rsidRDefault="005503C7" w:rsidP="005503C7">
            <w:pPr>
              <w:rPr>
                <w:sz w:val="20"/>
                <w:szCs w:val="20"/>
              </w:rPr>
            </w:pPr>
            <w:r w:rsidRPr="001717B5">
              <w:rPr>
                <w:b/>
                <w:bCs/>
                <w:color w:val="000000"/>
                <w:sz w:val="20"/>
                <w:szCs w:val="20"/>
              </w:rPr>
              <w:t>Semiotic Focus</w:t>
            </w:r>
          </w:p>
        </w:tc>
        <w:tc>
          <w:tcPr>
            <w:tcW w:w="2338" w:type="dxa"/>
            <w:vAlign w:val="center"/>
          </w:tcPr>
          <w:p w14:paraId="2BB646CA" w14:textId="447D1841" w:rsidR="005503C7" w:rsidRPr="001717B5" w:rsidRDefault="005503C7" w:rsidP="005503C7">
            <w:pPr>
              <w:rPr>
                <w:sz w:val="20"/>
                <w:szCs w:val="20"/>
              </w:rPr>
            </w:pPr>
            <w:r w:rsidRPr="001717B5">
              <w:rPr>
                <w:b/>
                <w:bCs/>
                <w:color w:val="000000"/>
                <w:sz w:val="20"/>
                <w:szCs w:val="20"/>
              </w:rPr>
              <w:t>AI-Supported Strategy</w:t>
            </w:r>
          </w:p>
        </w:tc>
        <w:tc>
          <w:tcPr>
            <w:tcW w:w="2338" w:type="dxa"/>
            <w:vAlign w:val="center"/>
          </w:tcPr>
          <w:p w14:paraId="0AC66E0E" w14:textId="0E185766" w:rsidR="005503C7" w:rsidRPr="001717B5" w:rsidRDefault="005503C7" w:rsidP="005503C7">
            <w:pPr>
              <w:rPr>
                <w:sz w:val="20"/>
                <w:szCs w:val="20"/>
              </w:rPr>
            </w:pPr>
            <w:r w:rsidRPr="001717B5">
              <w:rPr>
                <w:b/>
                <w:bCs/>
                <w:color w:val="000000"/>
                <w:sz w:val="20"/>
                <w:szCs w:val="20"/>
              </w:rPr>
              <w:t>Illustrative Task</w:t>
            </w:r>
          </w:p>
        </w:tc>
      </w:tr>
      <w:tr w:rsidR="005503C7" w:rsidRPr="001717B5" w14:paraId="582632C2" w14:textId="77777777" w:rsidTr="005503C7">
        <w:tc>
          <w:tcPr>
            <w:tcW w:w="2337" w:type="dxa"/>
            <w:vAlign w:val="center"/>
          </w:tcPr>
          <w:p w14:paraId="2A17711D" w14:textId="56DD991A" w:rsidR="005503C7" w:rsidRPr="001717B5" w:rsidRDefault="005503C7" w:rsidP="005503C7">
            <w:pPr>
              <w:rPr>
                <w:sz w:val="20"/>
                <w:szCs w:val="20"/>
              </w:rPr>
            </w:pPr>
            <w:r w:rsidRPr="001717B5">
              <w:rPr>
                <w:color w:val="000000"/>
                <w:sz w:val="20"/>
                <w:szCs w:val="20"/>
              </w:rPr>
              <w:t>Affordances</w:t>
            </w:r>
          </w:p>
        </w:tc>
        <w:tc>
          <w:tcPr>
            <w:tcW w:w="2337" w:type="dxa"/>
            <w:vAlign w:val="center"/>
          </w:tcPr>
          <w:p w14:paraId="605B3170" w14:textId="0E476B5E" w:rsidR="005503C7" w:rsidRPr="001717B5" w:rsidRDefault="005503C7" w:rsidP="005503C7">
            <w:pPr>
              <w:rPr>
                <w:sz w:val="20"/>
                <w:szCs w:val="20"/>
              </w:rPr>
            </w:pPr>
            <w:r w:rsidRPr="001717B5">
              <w:rPr>
                <w:color w:val="000000"/>
                <w:sz w:val="20"/>
                <w:szCs w:val="20"/>
              </w:rPr>
              <w:t>Multimodal input</w:t>
            </w:r>
          </w:p>
        </w:tc>
        <w:tc>
          <w:tcPr>
            <w:tcW w:w="2338" w:type="dxa"/>
            <w:vAlign w:val="center"/>
          </w:tcPr>
          <w:p w14:paraId="25846F9A" w14:textId="64EE9E5B" w:rsidR="005503C7" w:rsidRPr="001717B5" w:rsidRDefault="005503C7" w:rsidP="005503C7">
            <w:pPr>
              <w:rPr>
                <w:sz w:val="20"/>
                <w:szCs w:val="20"/>
              </w:rPr>
            </w:pPr>
            <w:r w:rsidRPr="001717B5">
              <w:rPr>
                <w:color w:val="000000"/>
                <w:sz w:val="20"/>
                <w:szCs w:val="20"/>
              </w:rPr>
              <w:t>Generate multilingual and multimodal content</w:t>
            </w:r>
          </w:p>
        </w:tc>
        <w:tc>
          <w:tcPr>
            <w:tcW w:w="2338" w:type="dxa"/>
            <w:vAlign w:val="center"/>
          </w:tcPr>
          <w:p w14:paraId="64BA3F95" w14:textId="313E0584" w:rsidR="005503C7" w:rsidRPr="001717B5" w:rsidRDefault="005503C7" w:rsidP="005503C7">
            <w:pPr>
              <w:rPr>
                <w:sz w:val="20"/>
                <w:szCs w:val="20"/>
              </w:rPr>
            </w:pPr>
            <w:r w:rsidRPr="001717B5">
              <w:rPr>
                <w:color w:val="000000"/>
                <w:sz w:val="20"/>
                <w:szCs w:val="20"/>
              </w:rPr>
              <w:t>Analyze AI-generated bilingual dialogue for tone and cultural meaning</w:t>
            </w:r>
          </w:p>
        </w:tc>
      </w:tr>
      <w:tr w:rsidR="005503C7" w:rsidRPr="001717B5" w14:paraId="79CA8945" w14:textId="77777777" w:rsidTr="005503C7">
        <w:tc>
          <w:tcPr>
            <w:tcW w:w="2337" w:type="dxa"/>
            <w:vAlign w:val="center"/>
          </w:tcPr>
          <w:p w14:paraId="4C763170" w14:textId="3366677B" w:rsidR="005503C7" w:rsidRPr="001717B5" w:rsidRDefault="005503C7" w:rsidP="005503C7">
            <w:pPr>
              <w:rPr>
                <w:sz w:val="20"/>
                <w:szCs w:val="20"/>
              </w:rPr>
            </w:pPr>
            <w:r w:rsidRPr="001717B5">
              <w:rPr>
                <w:color w:val="000000"/>
                <w:sz w:val="20"/>
                <w:szCs w:val="20"/>
              </w:rPr>
              <w:lastRenderedPageBreak/>
              <w:t>Production</w:t>
            </w:r>
          </w:p>
        </w:tc>
        <w:tc>
          <w:tcPr>
            <w:tcW w:w="2337" w:type="dxa"/>
            <w:vAlign w:val="center"/>
          </w:tcPr>
          <w:p w14:paraId="6D538447" w14:textId="7A9C9AF1" w:rsidR="005503C7" w:rsidRPr="001717B5" w:rsidRDefault="005503C7" w:rsidP="005503C7">
            <w:pPr>
              <w:rPr>
                <w:sz w:val="20"/>
                <w:szCs w:val="20"/>
              </w:rPr>
            </w:pPr>
            <w:r w:rsidRPr="001717B5">
              <w:rPr>
                <w:color w:val="000000"/>
                <w:sz w:val="20"/>
                <w:szCs w:val="20"/>
              </w:rPr>
              <w:t>Presentational meaning</w:t>
            </w:r>
          </w:p>
        </w:tc>
        <w:tc>
          <w:tcPr>
            <w:tcW w:w="2338" w:type="dxa"/>
            <w:vAlign w:val="center"/>
          </w:tcPr>
          <w:p w14:paraId="38069BE4" w14:textId="64F117C5" w:rsidR="005503C7" w:rsidRPr="001717B5" w:rsidRDefault="005503C7" w:rsidP="005503C7">
            <w:pPr>
              <w:rPr>
                <w:sz w:val="20"/>
                <w:szCs w:val="20"/>
              </w:rPr>
            </w:pPr>
            <w:r w:rsidRPr="001717B5">
              <w:rPr>
                <w:color w:val="000000"/>
                <w:sz w:val="20"/>
                <w:szCs w:val="20"/>
              </w:rPr>
              <w:t>Co-create and adapt content using multiple languages and modes</w:t>
            </w:r>
          </w:p>
        </w:tc>
        <w:tc>
          <w:tcPr>
            <w:tcW w:w="2338" w:type="dxa"/>
            <w:vAlign w:val="center"/>
          </w:tcPr>
          <w:p w14:paraId="70975CA8" w14:textId="1029C31A" w:rsidR="005503C7" w:rsidRPr="001717B5" w:rsidRDefault="005503C7" w:rsidP="005503C7">
            <w:pPr>
              <w:rPr>
                <w:sz w:val="20"/>
                <w:szCs w:val="20"/>
              </w:rPr>
            </w:pPr>
            <w:r w:rsidRPr="001717B5">
              <w:rPr>
                <w:color w:val="000000"/>
                <w:sz w:val="20"/>
                <w:szCs w:val="20"/>
              </w:rPr>
              <w:t>Develop a multilingual travel blog incorporating visuals and local expressions</w:t>
            </w:r>
          </w:p>
        </w:tc>
      </w:tr>
      <w:tr w:rsidR="005503C7" w:rsidRPr="001717B5" w14:paraId="1CB4356C" w14:textId="77777777" w:rsidTr="005503C7">
        <w:tc>
          <w:tcPr>
            <w:tcW w:w="2337" w:type="dxa"/>
            <w:vAlign w:val="center"/>
          </w:tcPr>
          <w:p w14:paraId="6A01202A" w14:textId="2D2E6A74" w:rsidR="005503C7" w:rsidRPr="001717B5" w:rsidRDefault="005503C7" w:rsidP="005503C7">
            <w:pPr>
              <w:rPr>
                <w:sz w:val="20"/>
                <w:szCs w:val="20"/>
              </w:rPr>
            </w:pPr>
            <w:r w:rsidRPr="001717B5">
              <w:rPr>
                <w:color w:val="000000"/>
                <w:sz w:val="20"/>
                <w:szCs w:val="20"/>
              </w:rPr>
              <w:t>Co-labor</w:t>
            </w:r>
          </w:p>
        </w:tc>
        <w:tc>
          <w:tcPr>
            <w:tcW w:w="2337" w:type="dxa"/>
            <w:vAlign w:val="center"/>
          </w:tcPr>
          <w:p w14:paraId="483BCE17" w14:textId="68B6ABD8" w:rsidR="005503C7" w:rsidRPr="001717B5" w:rsidRDefault="005503C7" w:rsidP="005503C7">
            <w:pPr>
              <w:rPr>
                <w:sz w:val="20"/>
                <w:szCs w:val="20"/>
              </w:rPr>
            </w:pPr>
            <w:r w:rsidRPr="001717B5">
              <w:rPr>
                <w:color w:val="000000"/>
                <w:sz w:val="20"/>
                <w:szCs w:val="20"/>
              </w:rPr>
              <w:t>Organizational meaning</w:t>
            </w:r>
          </w:p>
        </w:tc>
        <w:tc>
          <w:tcPr>
            <w:tcW w:w="2338" w:type="dxa"/>
            <w:vAlign w:val="center"/>
          </w:tcPr>
          <w:p w14:paraId="395E123C" w14:textId="42EB7727" w:rsidR="005503C7" w:rsidRPr="001717B5" w:rsidRDefault="005503C7" w:rsidP="005503C7">
            <w:pPr>
              <w:rPr>
                <w:sz w:val="20"/>
                <w:szCs w:val="20"/>
              </w:rPr>
            </w:pPr>
            <w:r w:rsidRPr="001717B5">
              <w:rPr>
                <w:color w:val="000000"/>
                <w:sz w:val="20"/>
                <w:szCs w:val="20"/>
              </w:rPr>
              <w:t>Support collaborative writing and revision</w:t>
            </w:r>
          </w:p>
        </w:tc>
        <w:tc>
          <w:tcPr>
            <w:tcW w:w="2338" w:type="dxa"/>
            <w:vAlign w:val="center"/>
          </w:tcPr>
          <w:p w14:paraId="68EE6561" w14:textId="5E46EC68" w:rsidR="005503C7" w:rsidRPr="001717B5" w:rsidRDefault="005503C7" w:rsidP="005503C7">
            <w:pPr>
              <w:rPr>
                <w:sz w:val="20"/>
                <w:szCs w:val="20"/>
              </w:rPr>
            </w:pPr>
            <w:r w:rsidRPr="001717B5">
              <w:rPr>
                <w:color w:val="000000"/>
                <w:sz w:val="20"/>
                <w:szCs w:val="20"/>
              </w:rPr>
              <w:t>Co-author a digital story using AI-generated prompts</w:t>
            </w:r>
          </w:p>
        </w:tc>
      </w:tr>
      <w:tr w:rsidR="005503C7" w:rsidRPr="001717B5" w14:paraId="422B88E3" w14:textId="77777777" w:rsidTr="005503C7">
        <w:tc>
          <w:tcPr>
            <w:tcW w:w="2337" w:type="dxa"/>
            <w:vAlign w:val="center"/>
          </w:tcPr>
          <w:p w14:paraId="48723B63" w14:textId="61E8386E" w:rsidR="005503C7" w:rsidRPr="001717B5" w:rsidRDefault="005503C7" w:rsidP="005503C7">
            <w:pPr>
              <w:rPr>
                <w:sz w:val="20"/>
                <w:szCs w:val="20"/>
              </w:rPr>
            </w:pPr>
            <w:r w:rsidRPr="001717B5">
              <w:rPr>
                <w:color w:val="000000"/>
                <w:sz w:val="20"/>
                <w:szCs w:val="20"/>
              </w:rPr>
              <w:t>Assessment</w:t>
            </w:r>
          </w:p>
        </w:tc>
        <w:tc>
          <w:tcPr>
            <w:tcW w:w="2337" w:type="dxa"/>
            <w:vAlign w:val="center"/>
          </w:tcPr>
          <w:p w14:paraId="615D25EC" w14:textId="24C9CE52" w:rsidR="005503C7" w:rsidRPr="001717B5" w:rsidRDefault="005503C7" w:rsidP="005503C7">
            <w:pPr>
              <w:rPr>
                <w:sz w:val="20"/>
                <w:szCs w:val="20"/>
              </w:rPr>
            </w:pPr>
            <w:r w:rsidRPr="001717B5">
              <w:rPr>
                <w:color w:val="000000"/>
                <w:sz w:val="20"/>
                <w:szCs w:val="20"/>
              </w:rPr>
              <w:t>Orientational meaning</w:t>
            </w:r>
          </w:p>
        </w:tc>
        <w:tc>
          <w:tcPr>
            <w:tcW w:w="2338" w:type="dxa"/>
            <w:vAlign w:val="center"/>
          </w:tcPr>
          <w:p w14:paraId="4D84AA39" w14:textId="6CFCEB04" w:rsidR="005503C7" w:rsidRPr="001717B5" w:rsidRDefault="005503C7" w:rsidP="005503C7">
            <w:pPr>
              <w:rPr>
                <w:sz w:val="20"/>
                <w:szCs w:val="20"/>
              </w:rPr>
            </w:pPr>
            <w:r w:rsidRPr="001717B5">
              <w:rPr>
                <w:color w:val="000000"/>
                <w:sz w:val="20"/>
                <w:szCs w:val="20"/>
              </w:rPr>
              <w:t>Provide formative feedback on multimodal work</w:t>
            </w:r>
          </w:p>
        </w:tc>
        <w:tc>
          <w:tcPr>
            <w:tcW w:w="2338" w:type="dxa"/>
            <w:vAlign w:val="center"/>
          </w:tcPr>
          <w:p w14:paraId="75831E3A" w14:textId="6F25B7D0" w:rsidR="005503C7" w:rsidRPr="001717B5" w:rsidRDefault="005503C7" w:rsidP="005503C7">
            <w:pPr>
              <w:rPr>
                <w:sz w:val="20"/>
                <w:szCs w:val="20"/>
              </w:rPr>
            </w:pPr>
            <w:r w:rsidRPr="001717B5">
              <w:rPr>
                <w:color w:val="000000"/>
                <w:sz w:val="20"/>
                <w:szCs w:val="20"/>
              </w:rPr>
              <w:t>Revise an audio-visual reflection using AI feedback and self</w:t>
            </w:r>
            <w:r w:rsidR="004438B7" w:rsidRPr="001717B5">
              <w:rPr>
                <w:color w:val="000000"/>
                <w:sz w:val="20"/>
                <w:szCs w:val="20"/>
              </w:rPr>
              <w:t>/peer</w:t>
            </w:r>
            <w:r w:rsidRPr="001717B5">
              <w:rPr>
                <w:color w:val="000000"/>
                <w:sz w:val="20"/>
                <w:szCs w:val="20"/>
              </w:rPr>
              <w:t>-assessment</w:t>
            </w:r>
            <w:r w:rsidR="004438B7" w:rsidRPr="001717B5">
              <w:rPr>
                <w:color w:val="000000"/>
                <w:sz w:val="20"/>
                <w:szCs w:val="20"/>
              </w:rPr>
              <w:t>s</w:t>
            </w:r>
          </w:p>
        </w:tc>
      </w:tr>
      <w:tr w:rsidR="005503C7" w:rsidRPr="001717B5" w14:paraId="7453F202" w14:textId="77777777" w:rsidTr="005503C7">
        <w:tc>
          <w:tcPr>
            <w:tcW w:w="2337" w:type="dxa"/>
            <w:vAlign w:val="center"/>
          </w:tcPr>
          <w:p w14:paraId="1B2F4302" w14:textId="113CC0AF" w:rsidR="005503C7" w:rsidRPr="001717B5" w:rsidRDefault="005503C7" w:rsidP="005503C7">
            <w:pPr>
              <w:rPr>
                <w:sz w:val="20"/>
                <w:szCs w:val="20"/>
              </w:rPr>
            </w:pPr>
            <w:r w:rsidRPr="001717B5">
              <w:rPr>
                <w:color w:val="000000"/>
                <w:sz w:val="20"/>
                <w:szCs w:val="20"/>
              </w:rPr>
              <w:t>Reflection</w:t>
            </w:r>
          </w:p>
        </w:tc>
        <w:tc>
          <w:tcPr>
            <w:tcW w:w="2337" w:type="dxa"/>
            <w:vAlign w:val="center"/>
          </w:tcPr>
          <w:p w14:paraId="7F2A75B2" w14:textId="62B8AC13" w:rsidR="005503C7" w:rsidRPr="001717B5" w:rsidRDefault="005503C7" w:rsidP="005503C7">
            <w:pPr>
              <w:rPr>
                <w:sz w:val="20"/>
                <w:szCs w:val="20"/>
              </w:rPr>
            </w:pPr>
            <w:r w:rsidRPr="001717B5">
              <w:rPr>
                <w:color w:val="000000"/>
                <w:sz w:val="20"/>
                <w:szCs w:val="20"/>
              </w:rPr>
              <w:t>Critical meaning-making</w:t>
            </w:r>
          </w:p>
        </w:tc>
        <w:tc>
          <w:tcPr>
            <w:tcW w:w="2338" w:type="dxa"/>
            <w:vAlign w:val="center"/>
          </w:tcPr>
          <w:p w14:paraId="1AF222EE" w14:textId="61AE3F13" w:rsidR="005503C7" w:rsidRPr="001717B5" w:rsidRDefault="005503C7" w:rsidP="005503C7">
            <w:pPr>
              <w:rPr>
                <w:sz w:val="20"/>
                <w:szCs w:val="20"/>
              </w:rPr>
            </w:pPr>
            <w:r w:rsidRPr="001717B5">
              <w:rPr>
                <w:color w:val="000000"/>
                <w:sz w:val="20"/>
                <w:szCs w:val="20"/>
              </w:rPr>
              <w:t>Critique and redesign AI-generated content</w:t>
            </w:r>
          </w:p>
        </w:tc>
        <w:tc>
          <w:tcPr>
            <w:tcW w:w="2338" w:type="dxa"/>
            <w:vAlign w:val="center"/>
          </w:tcPr>
          <w:p w14:paraId="5632C247" w14:textId="74B6A480" w:rsidR="005503C7" w:rsidRPr="001717B5" w:rsidRDefault="005503C7" w:rsidP="005503C7">
            <w:pPr>
              <w:rPr>
                <w:sz w:val="20"/>
                <w:szCs w:val="20"/>
              </w:rPr>
            </w:pPr>
            <w:r w:rsidRPr="001717B5">
              <w:rPr>
                <w:color w:val="000000"/>
                <w:sz w:val="20"/>
                <w:szCs w:val="20"/>
              </w:rPr>
              <w:t>Rewrite an AI-generated text to address bias or missing perspectives</w:t>
            </w:r>
          </w:p>
        </w:tc>
      </w:tr>
    </w:tbl>
    <w:p w14:paraId="1D8318D7" w14:textId="77777777" w:rsidR="00F5425B" w:rsidRDefault="00F5425B" w:rsidP="00F5425B"/>
    <w:p w14:paraId="0722525B" w14:textId="77777777" w:rsidR="005503C7" w:rsidRDefault="005503C7" w:rsidP="00F5425B"/>
    <w:p w14:paraId="1B834EF6" w14:textId="0093B558" w:rsidR="005503C7" w:rsidRPr="001717B5" w:rsidRDefault="005503C7" w:rsidP="001717B5">
      <w:pPr>
        <w:pStyle w:val="ListParagraph"/>
        <w:numPr>
          <w:ilvl w:val="0"/>
          <w:numId w:val="1"/>
        </w:numPr>
        <w:jc w:val="center"/>
        <w:rPr>
          <w:b/>
          <w:bCs/>
        </w:rPr>
      </w:pPr>
      <w:r w:rsidRPr="001717B5">
        <w:rPr>
          <w:b/>
          <w:bCs/>
        </w:rPr>
        <w:t>Implications and Conclusion</w:t>
      </w:r>
    </w:p>
    <w:p w14:paraId="15C82895" w14:textId="77777777" w:rsidR="005503C7" w:rsidRPr="005503C7" w:rsidRDefault="005503C7" w:rsidP="005503C7">
      <w:pPr>
        <w:rPr>
          <w:b/>
          <w:bCs/>
        </w:rPr>
      </w:pPr>
    </w:p>
    <w:p w14:paraId="1778E832" w14:textId="20AEF106" w:rsidR="005503C7" w:rsidRDefault="005503C7" w:rsidP="001717B5">
      <w:pPr>
        <w:spacing w:line="480" w:lineRule="auto"/>
        <w:ind w:firstLine="720"/>
      </w:pPr>
      <w:r>
        <w:t>As Gen AI becomes increasingly adopted in language education, there is a growing call for pedagogical approaches that move beyond technological integration toward critical and inclusive learning. The framework proposed in this article responds to this need by integrating translanguaging pedagogy and social semiotic theory to support critical engagement, multilingual meaning-making, and equitable participation in AI-supported learning environments.</w:t>
      </w:r>
    </w:p>
    <w:p w14:paraId="14707BD1" w14:textId="77777777" w:rsidR="005503C7" w:rsidRDefault="005503C7" w:rsidP="001717B5">
      <w:pPr>
        <w:spacing w:line="480" w:lineRule="auto"/>
        <w:ind w:firstLine="720"/>
      </w:pPr>
      <w:r>
        <w:t>For language educators, the framework offers a practical approach to task design that positions learners as critics, designers, and advocates rather than passive consumers of AI-generated content. By encouraging learners to analyze, revise, and transform AI outputs through multiple languages and modes of communication, educators can promote learner agency, critical AI literacy, and deeper engagement with language and culture. Such an approach is particularly relevant in multilingual and international educational contexts where learners bring diverse linguistic, cultural, and experiential resources to the classroom.</w:t>
      </w:r>
    </w:p>
    <w:p w14:paraId="3A4AB680" w14:textId="1643FA7D" w:rsidR="005503C7" w:rsidRDefault="005503C7" w:rsidP="001717B5">
      <w:pPr>
        <w:spacing w:line="480" w:lineRule="auto"/>
        <w:ind w:firstLine="720"/>
      </w:pPr>
      <w:r>
        <w:t xml:space="preserve">The framework also highlights the importance of addressing issues of equity and representation in AI-supported learning. Educators should critically examine how AI-generated content reflects particular cultural perspectives and create opportunities for learners to challenge, </w:t>
      </w:r>
      <w:r>
        <w:lastRenderedPageBreak/>
        <w:t>expand, and reinterpret these representations. In doing so, AI can become a tool for inclusion rather than the reproduction of existing inequalities.</w:t>
      </w:r>
    </w:p>
    <w:p w14:paraId="5F482178" w14:textId="77777777" w:rsidR="005503C7" w:rsidRDefault="005503C7" w:rsidP="001717B5">
      <w:pPr>
        <w:spacing w:line="480" w:lineRule="auto"/>
        <w:ind w:firstLine="720"/>
      </w:pPr>
      <w:r>
        <w:t>Future research should examine the implementation of this framework in classroom settings and explore its impact on critical thinking, multilingual participation, and learner engagement. Additional research is needed to investigate how learners at different proficiency levels interact with AI-supported translanguaging and multimodal tasks, as well as how such approaches may support diverse and historically marginalized learner populations.</w:t>
      </w:r>
    </w:p>
    <w:p w14:paraId="7D266017" w14:textId="41C6CFF6" w:rsidR="005503C7" w:rsidRDefault="005503C7" w:rsidP="001717B5">
      <w:pPr>
        <w:spacing w:line="480" w:lineRule="auto"/>
        <w:ind w:firstLine="720"/>
      </w:pPr>
      <w:r>
        <w:t>In positioning AI as a resource for critical inquiry, multilingual expression, and inclusive participation, this framework contributes a theoretically grounded approach to responsible AI integration in language education.</w:t>
      </w:r>
    </w:p>
    <w:p w14:paraId="25CDC949" w14:textId="77777777" w:rsidR="005008A8" w:rsidRDefault="005008A8" w:rsidP="005503C7">
      <w:pPr>
        <w:ind w:firstLine="720"/>
      </w:pPr>
    </w:p>
    <w:p w14:paraId="516E6BC0" w14:textId="77777777" w:rsidR="001717B5" w:rsidRDefault="001717B5" w:rsidP="005503C7">
      <w:pPr>
        <w:ind w:firstLine="720"/>
      </w:pPr>
    </w:p>
    <w:p w14:paraId="728FC160" w14:textId="77777777" w:rsidR="001717B5" w:rsidRDefault="001717B5" w:rsidP="005503C7">
      <w:pPr>
        <w:ind w:firstLine="720"/>
      </w:pPr>
    </w:p>
    <w:p w14:paraId="16AEC0D9" w14:textId="77777777" w:rsidR="001717B5" w:rsidRDefault="001717B5" w:rsidP="005503C7">
      <w:pPr>
        <w:ind w:firstLine="720"/>
      </w:pPr>
    </w:p>
    <w:p w14:paraId="44F2D30D" w14:textId="77777777" w:rsidR="001717B5" w:rsidRDefault="001717B5" w:rsidP="005503C7">
      <w:pPr>
        <w:ind w:firstLine="720"/>
      </w:pPr>
    </w:p>
    <w:p w14:paraId="76C91206" w14:textId="77777777" w:rsidR="001717B5" w:rsidRDefault="001717B5" w:rsidP="005503C7">
      <w:pPr>
        <w:ind w:firstLine="720"/>
      </w:pPr>
    </w:p>
    <w:p w14:paraId="247AC5A8" w14:textId="77777777" w:rsidR="001717B5" w:rsidRDefault="001717B5" w:rsidP="005503C7">
      <w:pPr>
        <w:ind w:firstLine="720"/>
      </w:pPr>
    </w:p>
    <w:p w14:paraId="5D4853BF" w14:textId="77777777" w:rsidR="001717B5" w:rsidRDefault="001717B5" w:rsidP="005503C7">
      <w:pPr>
        <w:ind w:firstLine="720"/>
      </w:pPr>
    </w:p>
    <w:p w14:paraId="32E46EF5" w14:textId="77777777" w:rsidR="001717B5" w:rsidRDefault="001717B5" w:rsidP="005503C7">
      <w:pPr>
        <w:ind w:firstLine="720"/>
      </w:pPr>
    </w:p>
    <w:p w14:paraId="018C9BC3" w14:textId="77777777" w:rsidR="001717B5" w:rsidRDefault="001717B5" w:rsidP="005503C7">
      <w:pPr>
        <w:ind w:firstLine="720"/>
      </w:pPr>
    </w:p>
    <w:p w14:paraId="5AD1EAE2" w14:textId="77777777" w:rsidR="001717B5" w:rsidRDefault="001717B5" w:rsidP="005503C7">
      <w:pPr>
        <w:ind w:firstLine="720"/>
      </w:pPr>
    </w:p>
    <w:p w14:paraId="4B68F34B" w14:textId="77777777" w:rsidR="001717B5" w:rsidRDefault="001717B5" w:rsidP="005503C7">
      <w:pPr>
        <w:ind w:firstLine="720"/>
      </w:pPr>
    </w:p>
    <w:p w14:paraId="03B4E76B" w14:textId="77777777" w:rsidR="001717B5" w:rsidRDefault="001717B5" w:rsidP="005503C7">
      <w:pPr>
        <w:ind w:firstLine="720"/>
      </w:pPr>
    </w:p>
    <w:p w14:paraId="099F2C27" w14:textId="77777777" w:rsidR="001717B5" w:rsidRDefault="001717B5" w:rsidP="005503C7">
      <w:pPr>
        <w:ind w:firstLine="720"/>
      </w:pPr>
    </w:p>
    <w:p w14:paraId="18ABA316" w14:textId="77777777" w:rsidR="001717B5" w:rsidRDefault="001717B5" w:rsidP="005503C7">
      <w:pPr>
        <w:ind w:firstLine="720"/>
      </w:pPr>
    </w:p>
    <w:p w14:paraId="074C1872" w14:textId="77777777" w:rsidR="001717B5" w:rsidRDefault="001717B5" w:rsidP="005503C7">
      <w:pPr>
        <w:ind w:firstLine="720"/>
      </w:pPr>
    </w:p>
    <w:p w14:paraId="2FD72BA2" w14:textId="77777777" w:rsidR="001717B5" w:rsidRDefault="001717B5" w:rsidP="005503C7">
      <w:pPr>
        <w:ind w:firstLine="720"/>
      </w:pPr>
    </w:p>
    <w:p w14:paraId="77873854" w14:textId="77777777" w:rsidR="001717B5" w:rsidRDefault="001717B5" w:rsidP="005503C7">
      <w:pPr>
        <w:ind w:firstLine="720"/>
      </w:pPr>
    </w:p>
    <w:p w14:paraId="31A303FA" w14:textId="77777777" w:rsidR="001717B5" w:rsidRDefault="001717B5" w:rsidP="005503C7">
      <w:pPr>
        <w:ind w:firstLine="720"/>
      </w:pPr>
    </w:p>
    <w:p w14:paraId="00E3CE34" w14:textId="77777777" w:rsidR="001717B5" w:rsidRDefault="001717B5" w:rsidP="005503C7">
      <w:pPr>
        <w:ind w:firstLine="720"/>
      </w:pPr>
    </w:p>
    <w:p w14:paraId="104D4AA9" w14:textId="77777777" w:rsidR="001717B5" w:rsidRDefault="001717B5" w:rsidP="005503C7">
      <w:pPr>
        <w:ind w:firstLine="720"/>
      </w:pPr>
    </w:p>
    <w:p w14:paraId="310AEF7A" w14:textId="77777777" w:rsidR="001717B5" w:rsidRDefault="001717B5" w:rsidP="005503C7">
      <w:pPr>
        <w:ind w:firstLine="720"/>
      </w:pPr>
    </w:p>
    <w:p w14:paraId="75D96F98" w14:textId="77777777" w:rsidR="001717B5" w:rsidRDefault="001717B5" w:rsidP="005503C7">
      <w:pPr>
        <w:ind w:firstLine="720"/>
      </w:pPr>
    </w:p>
    <w:p w14:paraId="232C9732" w14:textId="77777777" w:rsidR="001717B5" w:rsidRDefault="001717B5" w:rsidP="005503C7">
      <w:pPr>
        <w:ind w:firstLine="720"/>
      </w:pPr>
    </w:p>
    <w:p w14:paraId="24ABD0D4" w14:textId="77777777" w:rsidR="001717B5" w:rsidRDefault="001717B5" w:rsidP="005503C7">
      <w:pPr>
        <w:ind w:firstLine="720"/>
      </w:pPr>
    </w:p>
    <w:p w14:paraId="1C8CF748" w14:textId="77777777" w:rsidR="001717B5" w:rsidRDefault="001717B5" w:rsidP="005503C7">
      <w:pPr>
        <w:ind w:firstLine="720"/>
      </w:pPr>
    </w:p>
    <w:p w14:paraId="0B73E7F6" w14:textId="1A4347E6" w:rsidR="005008A8" w:rsidRDefault="005008A8" w:rsidP="005008A8">
      <w:pPr>
        <w:rPr>
          <w:b/>
          <w:bCs/>
        </w:rPr>
      </w:pPr>
      <w:r w:rsidRPr="005008A8">
        <w:rPr>
          <w:b/>
          <w:bCs/>
        </w:rPr>
        <w:lastRenderedPageBreak/>
        <w:t>References</w:t>
      </w:r>
    </w:p>
    <w:p w14:paraId="1E69341C" w14:textId="77777777" w:rsidR="004438B7" w:rsidRDefault="005008A8" w:rsidP="004438B7">
      <w:pPr>
        <w:pStyle w:val="NormalWeb"/>
        <w:ind w:left="851" w:hanging="851"/>
        <w:rPr>
          <w:color w:val="000000"/>
        </w:rPr>
      </w:pPr>
      <w:r>
        <w:rPr>
          <w:color w:val="000000"/>
        </w:rPr>
        <w:t>Ahmed, A. R. (2025).</w:t>
      </w:r>
      <w:r>
        <w:rPr>
          <w:rStyle w:val="apple-converted-space"/>
          <w:color w:val="000000"/>
        </w:rPr>
        <w:t> </w:t>
      </w:r>
      <w:r w:rsidRPr="004438B7">
        <w:rPr>
          <w:rStyle w:val="Emphasis"/>
          <w:i w:val="0"/>
          <w:iCs w:val="0"/>
          <w:color w:val="000000"/>
        </w:rPr>
        <w:t>Navigating the integration of generative artificial intelligence in higher education: Opportunities, challenges, and strategies for fostering ethical learning</w:t>
      </w:r>
      <w:r>
        <w:rPr>
          <w:color w:val="000000"/>
        </w:rPr>
        <w:t>.</w:t>
      </w:r>
      <w:r>
        <w:rPr>
          <w:rStyle w:val="apple-converted-space"/>
          <w:color w:val="000000"/>
        </w:rPr>
        <w:t> </w:t>
      </w:r>
      <w:r w:rsidRPr="004438B7">
        <w:rPr>
          <w:rStyle w:val="Strong"/>
          <w:b w:val="0"/>
          <w:bCs w:val="0"/>
          <w:i/>
          <w:iCs/>
          <w:color w:val="000000"/>
        </w:rPr>
        <w:t>Advances in Biomedical and Health Sciences, 4</w:t>
      </w:r>
      <w:r>
        <w:rPr>
          <w:color w:val="000000"/>
        </w:rPr>
        <w:t>(1), 1–2.</w:t>
      </w:r>
    </w:p>
    <w:p w14:paraId="52326E1A" w14:textId="77777777" w:rsidR="004438B7" w:rsidRPr="001717B5" w:rsidRDefault="005008A8" w:rsidP="004438B7">
      <w:pPr>
        <w:pStyle w:val="NormalWeb"/>
        <w:ind w:left="851" w:hanging="851"/>
        <w:rPr>
          <w:color w:val="000000"/>
        </w:rPr>
      </w:pPr>
      <w:r>
        <w:rPr>
          <w:color w:val="000000"/>
        </w:rPr>
        <w:t>Adami, E., Diamantopoulou, S., &amp; Lim, F. V. (2022). Design in Gunther Kress’s social semiotics.</w:t>
      </w:r>
      <w:r>
        <w:rPr>
          <w:rStyle w:val="apple-converted-space"/>
          <w:color w:val="000000"/>
        </w:rPr>
        <w:t> </w:t>
      </w:r>
      <w:r>
        <w:rPr>
          <w:rStyle w:val="Emphasis"/>
          <w:color w:val="000000"/>
        </w:rPr>
        <w:t>London Review of Education, 20</w:t>
      </w:r>
      <w:r>
        <w:rPr>
          <w:color w:val="000000"/>
        </w:rPr>
        <w:t>(1), 41.</w:t>
      </w:r>
      <w:r>
        <w:rPr>
          <w:rStyle w:val="apple-converted-space"/>
          <w:color w:val="000000"/>
        </w:rPr>
        <w:t> </w:t>
      </w:r>
      <w:hyperlink r:id="rId8" w:tgtFrame="_new" w:history="1">
        <w:r w:rsidRPr="001717B5">
          <w:rPr>
            <w:rStyle w:val="Hyperlink"/>
          </w:rPr>
          <w:t>https://doi.org/10.14324/LRE.20.1.41</w:t>
        </w:r>
      </w:hyperlink>
    </w:p>
    <w:p w14:paraId="2C585435" w14:textId="77777777" w:rsidR="001717B5" w:rsidRDefault="001717B5" w:rsidP="004438B7">
      <w:pPr>
        <w:pStyle w:val="NormalWeb"/>
        <w:ind w:left="851" w:hanging="851"/>
        <w:rPr>
          <w:color w:val="000000"/>
        </w:rPr>
      </w:pPr>
      <w:r w:rsidRPr="001717B5">
        <w:rPr>
          <w:color w:val="000000"/>
        </w:rPr>
        <w:t>Blundell, C. N., Mukherjee, M., &amp; Nykvist, S. (2022). </w:t>
      </w:r>
      <w:r w:rsidRPr="001717B5">
        <w:rPr>
          <w:i/>
          <w:iCs/>
          <w:color w:val="000000"/>
        </w:rPr>
        <w:t>A scoping review of the application of the SAMR model in research.</w:t>
      </w:r>
      <w:r w:rsidRPr="001717B5">
        <w:rPr>
          <w:color w:val="000000"/>
        </w:rPr>
        <w:t> Computers and Education Open, 3, 100093.</w:t>
      </w:r>
    </w:p>
    <w:p w14:paraId="79891CD5" w14:textId="196AAC15" w:rsidR="004438B7" w:rsidRDefault="005008A8" w:rsidP="004438B7">
      <w:pPr>
        <w:pStyle w:val="NormalWeb"/>
        <w:ind w:left="851" w:hanging="851"/>
        <w:rPr>
          <w:color w:val="000000"/>
        </w:rPr>
      </w:pPr>
      <w:r>
        <w:rPr>
          <w:color w:val="000000"/>
        </w:rPr>
        <w:t>Cheung, K. K. C., Pun, J., Kenneth-Li, W., &amp; Mai, J. (2025). Exploring students’ multimodal representations of ideas about epistemic reading of scientific texts in generative AI tools.</w:t>
      </w:r>
      <w:r>
        <w:rPr>
          <w:rStyle w:val="apple-converted-space"/>
          <w:color w:val="000000"/>
        </w:rPr>
        <w:t> </w:t>
      </w:r>
      <w:r>
        <w:rPr>
          <w:rStyle w:val="Emphasis"/>
          <w:color w:val="000000"/>
        </w:rPr>
        <w:t>Journal of Science Education and Technology, 34</w:t>
      </w:r>
      <w:r>
        <w:rPr>
          <w:color w:val="000000"/>
        </w:rPr>
        <w:t>(1), 284–297.</w:t>
      </w:r>
      <w:r>
        <w:rPr>
          <w:rStyle w:val="apple-converted-space"/>
          <w:color w:val="000000"/>
        </w:rPr>
        <w:t> </w:t>
      </w:r>
      <w:hyperlink r:id="rId9" w:tgtFrame="_new" w:history="1">
        <w:r>
          <w:rPr>
            <w:rStyle w:val="Hyperlink"/>
          </w:rPr>
          <w:t>https://doi.org/10.1007/s10956-024-10182-0</w:t>
        </w:r>
      </w:hyperlink>
    </w:p>
    <w:p w14:paraId="11709E09" w14:textId="77777777" w:rsidR="004438B7" w:rsidRDefault="005008A8" w:rsidP="004438B7">
      <w:pPr>
        <w:pStyle w:val="NormalWeb"/>
        <w:ind w:left="851" w:hanging="851"/>
        <w:rPr>
          <w:color w:val="000000"/>
        </w:rPr>
      </w:pPr>
      <w:proofErr w:type="spellStart"/>
      <w:r>
        <w:rPr>
          <w:color w:val="000000"/>
        </w:rPr>
        <w:t>Cioè</w:t>
      </w:r>
      <w:proofErr w:type="spellEnd"/>
      <w:r>
        <w:rPr>
          <w:color w:val="000000"/>
        </w:rPr>
        <w:t>-Peña, M. (2022). TrUDL, a path to full inclusion: The intersectional possibilities of translanguaging and Universal Design for Learning.</w:t>
      </w:r>
      <w:r>
        <w:rPr>
          <w:rStyle w:val="apple-converted-space"/>
          <w:color w:val="000000"/>
        </w:rPr>
        <w:t> </w:t>
      </w:r>
      <w:r>
        <w:rPr>
          <w:rStyle w:val="Emphasis"/>
          <w:color w:val="000000"/>
        </w:rPr>
        <w:t>TESOL Quarterly, 56</w:t>
      </w:r>
      <w:r>
        <w:rPr>
          <w:color w:val="000000"/>
        </w:rPr>
        <w:t>(2), 799–812.</w:t>
      </w:r>
      <w:r>
        <w:rPr>
          <w:rStyle w:val="apple-converted-space"/>
          <w:color w:val="000000"/>
        </w:rPr>
        <w:t> </w:t>
      </w:r>
      <w:hyperlink r:id="rId10" w:tgtFrame="_new" w:history="1">
        <w:r>
          <w:rPr>
            <w:rStyle w:val="Hyperlink"/>
          </w:rPr>
          <w:t>https://doi.org/10.1002/tesq.074</w:t>
        </w:r>
      </w:hyperlink>
    </w:p>
    <w:p w14:paraId="6A5F4860" w14:textId="77777777" w:rsidR="004438B7" w:rsidRDefault="005008A8" w:rsidP="004438B7">
      <w:pPr>
        <w:pStyle w:val="NormalWeb"/>
        <w:ind w:left="851" w:hanging="851"/>
        <w:rPr>
          <w:color w:val="000000"/>
        </w:rPr>
      </w:pPr>
      <w:r>
        <w:rPr>
          <w:color w:val="000000"/>
        </w:rPr>
        <w:t xml:space="preserve">Crompton, H., Edmett, A., </w:t>
      </w:r>
      <w:proofErr w:type="spellStart"/>
      <w:r>
        <w:rPr>
          <w:color w:val="000000"/>
        </w:rPr>
        <w:t>Ichaporia</w:t>
      </w:r>
      <w:proofErr w:type="spellEnd"/>
      <w:r>
        <w:rPr>
          <w:color w:val="000000"/>
        </w:rPr>
        <w:t>, N., &amp; Burke, D. (2024). AI and English language teaching: Affordances and challenges.</w:t>
      </w:r>
      <w:r>
        <w:rPr>
          <w:rStyle w:val="apple-converted-space"/>
          <w:color w:val="000000"/>
        </w:rPr>
        <w:t> </w:t>
      </w:r>
      <w:r>
        <w:rPr>
          <w:rStyle w:val="Emphasis"/>
          <w:color w:val="000000"/>
        </w:rPr>
        <w:t>British Journal of Educational Technology, 55</w:t>
      </w:r>
      <w:r>
        <w:rPr>
          <w:color w:val="000000"/>
        </w:rPr>
        <w:t>(6), 2503–2529.</w:t>
      </w:r>
      <w:r>
        <w:rPr>
          <w:rStyle w:val="apple-converted-space"/>
          <w:color w:val="000000"/>
        </w:rPr>
        <w:t> </w:t>
      </w:r>
      <w:hyperlink r:id="rId11" w:tgtFrame="_new" w:history="1">
        <w:r>
          <w:rPr>
            <w:rStyle w:val="Hyperlink"/>
          </w:rPr>
          <w:t>https://doi.org/10.1111/bjet.13460</w:t>
        </w:r>
      </w:hyperlink>
    </w:p>
    <w:p w14:paraId="7A8FC462" w14:textId="77777777" w:rsidR="004438B7" w:rsidRPr="001717B5" w:rsidRDefault="005008A8" w:rsidP="004438B7">
      <w:pPr>
        <w:pStyle w:val="NormalWeb"/>
        <w:ind w:left="851" w:hanging="851"/>
        <w:rPr>
          <w:color w:val="000000"/>
          <w:lang w:val="es-ES"/>
        </w:rPr>
      </w:pPr>
      <w:r>
        <w:rPr>
          <w:color w:val="000000"/>
        </w:rPr>
        <w:t>Danesi, M. (2000).</w:t>
      </w:r>
      <w:r>
        <w:rPr>
          <w:rStyle w:val="apple-converted-space"/>
          <w:color w:val="000000"/>
        </w:rPr>
        <w:t> </w:t>
      </w:r>
      <w:r>
        <w:rPr>
          <w:rStyle w:val="Emphasis"/>
          <w:color w:val="000000"/>
        </w:rPr>
        <w:t>Semiotics in language education</w:t>
      </w:r>
      <w:r>
        <w:rPr>
          <w:rStyle w:val="apple-converted-space"/>
          <w:color w:val="000000"/>
        </w:rPr>
        <w:t> </w:t>
      </w:r>
      <w:r>
        <w:rPr>
          <w:color w:val="000000"/>
        </w:rPr>
        <w:t xml:space="preserve">(Vol. 2). </w:t>
      </w:r>
      <w:r w:rsidRPr="005008A8">
        <w:rPr>
          <w:color w:val="000000"/>
          <w:lang w:val="es-ES"/>
        </w:rPr>
        <w:t>Walter de Gruyter.</w:t>
      </w:r>
      <w:r w:rsidRPr="005008A8">
        <w:rPr>
          <w:rStyle w:val="apple-converted-space"/>
          <w:color w:val="000000"/>
          <w:lang w:val="es-ES"/>
        </w:rPr>
        <w:t> </w:t>
      </w:r>
      <w:hyperlink r:id="rId12" w:tgtFrame="_new" w:history="1">
        <w:r w:rsidRPr="005008A8">
          <w:rPr>
            <w:rStyle w:val="Hyperlink"/>
            <w:lang w:val="es-ES"/>
          </w:rPr>
          <w:t>https://doi.org/10.1515/9783110823080</w:t>
        </w:r>
      </w:hyperlink>
    </w:p>
    <w:p w14:paraId="5ABF6B37" w14:textId="77777777" w:rsidR="004438B7" w:rsidRDefault="004438B7" w:rsidP="004438B7">
      <w:pPr>
        <w:pStyle w:val="NormalWeb"/>
        <w:ind w:left="851" w:hanging="851"/>
        <w:rPr>
          <w:color w:val="000000"/>
        </w:rPr>
      </w:pPr>
      <w:r>
        <w:rPr>
          <w:color w:val="000000"/>
        </w:rPr>
        <w:t>D</w:t>
      </w:r>
      <w:r w:rsidR="005008A8">
        <w:rPr>
          <w:color w:val="000000"/>
        </w:rPr>
        <w:t>onley, K. (2024). Teaching with ChatGPT as a linguistically responsive tool for multilingual learners.</w:t>
      </w:r>
      <w:r w:rsidR="005008A8">
        <w:rPr>
          <w:rStyle w:val="apple-converted-space"/>
          <w:color w:val="000000"/>
        </w:rPr>
        <w:t> </w:t>
      </w:r>
      <w:r w:rsidR="005008A8">
        <w:rPr>
          <w:rStyle w:val="Emphasis"/>
          <w:color w:val="000000"/>
        </w:rPr>
        <w:t>Technology in Language Teaching &amp; Learning, 6</w:t>
      </w:r>
      <w:r w:rsidR="005008A8">
        <w:rPr>
          <w:color w:val="000000"/>
        </w:rPr>
        <w:t>(3), 1719–1719.</w:t>
      </w:r>
      <w:r w:rsidR="005008A8">
        <w:rPr>
          <w:rStyle w:val="apple-converted-space"/>
          <w:color w:val="000000"/>
        </w:rPr>
        <w:t> </w:t>
      </w:r>
      <w:hyperlink r:id="rId13" w:tgtFrame="_new" w:history="1">
        <w:r w:rsidR="005008A8">
          <w:rPr>
            <w:rStyle w:val="Hyperlink"/>
          </w:rPr>
          <w:t>https://doi.org/10.29140/tltl.v6n3.1719</w:t>
        </w:r>
      </w:hyperlink>
    </w:p>
    <w:p w14:paraId="705DFEE9" w14:textId="77777777" w:rsidR="004438B7" w:rsidRDefault="005008A8" w:rsidP="004438B7">
      <w:pPr>
        <w:pStyle w:val="NormalWeb"/>
        <w:ind w:left="851" w:hanging="851"/>
        <w:rPr>
          <w:color w:val="000000"/>
        </w:rPr>
      </w:pPr>
      <w:proofErr w:type="spellStart"/>
      <w:r w:rsidRPr="001717B5">
        <w:rPr>
          <w:color w:val="000000"/>
          <w:lang w:val="es-ES"/>
        </w:rPr>
        <w:t>Evmenova</w:t>
      </w:r>
      <w:proofErr w:type="spellEnd"/>
      <w:r w:rsidRPr="001717B5">
        <w:rPr>
          <w:color w:val="000000"/>
          <w:lang w:val="es-ES"/>
        </w:rPr>
        <w:t xml:space="preserve">, A. S., Borup, J., &amp; Shin, J. K. (2024). </w:t>
      </w:r>
      <w:r>
        <w:rPr>
          <w:color w:val="000000"/>
        </w:rPr>
        <w:t>Harnessing the power of generative AI to support all learners.</w:t>
      </w:r>
      <w:r>
        <w:rPr>
          <w:rStyle w:val="apple-converted-space"/>
          <w:color w:val="000000"/>
        </w:rPr>
        <w:t> </w:t>
      </w:r>
      <w:proofErr w:type="spellStart"/>
      <w:r>
        <w:rPr>
          <w:rStyle w:val="Emphasis"/>
          <w:color w:val="000000"/>
        </w:rPr>
        <w:t>TechTrends</w:t>
      </w:r>
      <w:proofErr w:type="spellEnd"/>
      <w:r>
        <w:rPr>
          <w:rStyle w:val="Emphasis"/>
          <w:color w:val="000000"/>
        </w:rPr>
        <w:t>, 68</w:t>
      </w:r>
      <w:r>
        <w:rPr>
          <w:color w:val="000000"/>
        </w:rPr>
        <w:t>(4), 820–831.</w:t>
      </w:r>
    </w:p>
    <w:p w14:paraId="164E0A2D" w14:textId="77777777" w:rsidR="004438B7" w:rsidRDefault="005008A8" w:rsidP="004438B7">
      <w:pPr>
        <w:pStyle w:val="NormalWeb"/>
        <w:ind w:left="851" w:hanging="851"/>
        <w:rPr>
          <w:color w:val="000000"/>
        </w:rPr>
      </w:pPr>
      <w:r>
        <w:rPr>
          <w:color w:val="000000"/>
        </w:rPr>
        <w:t>Galante, A. (2020). Pedagogical translanguaging in a multilingual English program in Canada: Student and teacher perspectives of challenges.</w:t>
      </w:r>
      <w:r>
        <w:rPr>
          <w:rStyle w:val="apple-converted-space"/>
          <w:color w:val="000000"/>
        </w:rPr>
        <w:t> </w:t>
      </w:r>
      <w:r>
        <w:rPr>
          <w:rStyle w:val="Emphasis"/>
          <w:color w:val="000000"/>
        </w:rPr>
        <w:t>System, 92</w:t>
      </w:r>
      <w:r>
        <w:rPr>
          <w:color w:val="000000"/>
        </w:rPr>
        <w:t>, 102274.</w:t>
      </w:r>
      <w:r>
        <w:rPr>
          <w:rStyle w:val="apple-converted-space"/>
          <w:color w:val="000000"/>
        </w:rPr>
        <w:t> </w:t>
      </w:r>
      <w:hyperlink r:id="rId14" w:tgtFrame="_new" w:history="1">
        <w:r>
          <w:rPr>
            <w:rStyle w:val="Hyperlink"/>
          </w:rPr>
          <w:t>https://doi.org/10.1016/j.system.2020.102274</w:t>
        </w:r>
      </w:hyperlink>
    </w:p>
    <w:p w14:paraId="7601D5E9" w14:textId="77777777" w:rsidR="004438B7" w:rsidRDefault="005008A8" w:rsidP="004438B7">
      <w:pPr>
        <w:pStyle w:val="NormalWeb"/>
        <w:ind w:left="851" w:hanging="851"/>
      </w:pPr>
      <w:r w:rsidRPr="004438B7">
        <w:rPr>
          <w:color w:val="000000"/>
        </w:rPr>
        <w:t xml:space="preserve">García, O., &amp; Kleifgen, J. A. (2019). </w:t>
      </w:r>
      <w:r>
        <w:rPr>
          <w:color w:val="000000"/>
        </w:rPr>
        <w:t>Translanguaging and literacies.</w:t>
      </w:r>
      <w:r>
        <w:rPr>
          <w:rStyle w:val="apple-converted-space"/>
          <w:color w:val="000000"/>
        </w:rPr>
        <w:t> </w:t>
      </w:r>
      <w:r>
        <w:rPr>
          <w:rStyle w:val="Emphasis"/>
          <w:color w:val="000000"/>
        </w:rPr>
        <w:t>Reading Research Quarterly, 55</w:t>
      </w:r>
      <w:r>
        <w:rPr>
          <w:color w:val="000000"/>
        </w:rPr>
        <w:t>(4), 553–571.</w:t>
      </w:r>
      <w:r>
        <w:rPr>
          <w:rStyle w:val="apple-converted-space"/>
          <w:color w:val="000000"/>
        </w:rPr>
        <w:t> </w:t>
      </w:r>
      <w:hyperlink r:id="rId15" w:tgtFrame="_new" w:history="1">
        <w:r>
          <w:rPr>
            <w:rStyle w:val="Hyperlink"/>
          </w:rPr>
          <w:t>https://doi.org/10.1002/rrq.286</w:t>
        </w:r>
      </w:hyperlink>
    </w:p>
    <w:p w14:paraId="0257F049" w14:textId="77777777" w:rsidR="004438B7" w:rsidRDefault="004438B7" w:rsidP="004438B7">
      <w:pPr>
        <w:pStyle w:val="NormalWeb"/>
        <w:ind w:left="851" w:hanging="851"/>
        <w:rPr>
          <w:color w:val="000000"/>
        </w:rPr>
      </w:pPr>
      <w:r w:rsidRPr="002A0209">
        <w:t xml:space="preserve">Kress, G. (2010) Multimodality: </w:t>
      </w:r>
      <w:r w:rsidRPr="002A0209">
        <w:rPr>
          <w:i/>
          <w:iCs/>
        </w:rPr>
        <w:t>A social semiotic approach to contemporary communication</w:t>
      </w:r>
      <w:r w:rsidRPr="002A0209">
        <w:t>. London: Routledge.</w:t>
      </w:r>
    </w:p>
    <w:p w14:paraId="061D2207" w14:textId="16B008A4" w:rsidR="004438B7" w:rsidRPr="004438B7" w:rsidRDefault="004438B7" w:rsidP="004438B7">
      <w:proofErr w:type="spellStart"/>
      <w:r>
        <w:lastRenderedPageBreak/>
        <w:t>P</w:t>
      </w:r>
      <w:r w:rsidRPr="002A0209">
        <w:t>entedura</w:t>
      </w:r>
      <w:proofErr w:type="spellEnd"/>
      <w:r w:rsidRPr="002A0209">
        <w:t xml:space="preserve">, R. R. (2013). </w:t>
      </w:r>
      <w:r w:rsidRPr="002A0209">
        <w:rPr>
          <w:lang w:val="en-US"/>
        </w:rPr>
        <w:t>SAMR: Getting to transformation. Retrieved from http://</w:t>
      </w:r>
    </w:p>
    <w:p w14:paraId="161ECF10" w14:textId="77777777" w:rsidR="004438B7" w:rsidRDefault="004438B7" w:rsidP="004438B7">
      <w:pPr>
        <w:rPr>
          <w:lang w:val="en-US"/>
        </w:rPr>
      </w:pPr>
      <w:r w:rsidRPr="002A0209">
        <w:rPr>
          <w:lang w:val="en-US"/>
        </w:rPr>
        <w:t xml:space="preserve">            </w:t>
      </w:r>
      <w:hyperlink r:id="rId16" w:history="1">
        <w:r w:rsidRPr="001B7B0F">
          <w:rPr>
            <w:rStyle w:val="Hyperlink"/>
            <w:lang w:val="en-US"/>
          </w:rPr>
          <w:t>www.hippasus.com/rrpweblog/archives/2013/04/16/SAMRGettingToTransformation.pdf</w:t>
        </w:r>
      </w:hyperlink>
    </w:p>
    <w:p w14:paraId="63318695" w14:textId="77777777" w:rsidR="004438B7" w:rsidRDefault="004438B7" w:rsidP="004438B7">
      <w:pPr>
        <w:rPr>
          <w:lang w:val="en-US"/>
        </w:rPr>
      </w:pPr>
    </w:p>
    <w:p w14:paraId="26697757" w14:textId="77777777" w:rsidR="004438B7" w:rsidRDefault="005008A8" w:rsidP="004438B7">
      <w:pPr>
        <w:ind w:left="851" w:hanging="851"/>
      </w:pPr>
      <w:r>
        <w:rPr>
          <w:color w:val="000000"/>
        </w:rPr>
        <w:t>Tang, L., &amp; Su, Y. S. (2024). Ethical implications and principles of using artificial intelligence models in the classroom: A systematic literature review.</w:t>
      </w:r>
      <w:r>
        <w:rPr>
          <w:rStyle w:val="apple-converted-space"/>
          <w:color w:val="000000"/>
        </w:rPr>
        <w:t> </w:t>
      </w:r>
      <w:r>
        <w:rPr>
          <w:rStyle w:val="Emphasis"/>
          <w:color w:val="000000"/>
        </w:rPr>
        <w:t>International Journal of Interactive Multimedia and Artificial Intelligence, 8</w:t>
      </w:r>
      <w:r>
        <w:rPr>
          <w:color w:val="000000"/>
        </w:rPr>
        <w:t>, 25.</w:t>
      </w:r>
      <w:r>
        <w:rPr>
          <w:rStyle w:val="apple-converted-space"/>
          <w:color w:val="000000"/>
        </w:rPr>
        <w:t> </w:t>
      </w:r>
      <w:hyperlink r:id="rId17" w:tgtFrame="_new" w:history="1">
        <w:r w:rsidRPr="001717B5">
          <w:rPr>
            <w:rStyle w:val="Hyperlink"/>
          </w:rPr>
          <w:t>https://doi.org/10.9781/ijimai.2024.02.010</w:t>
        </w:r>
      </w:hyperlink>
    </w:p>
    <w:p w14:paraId="1F4E9E8A" w14:textId="77777777" w:rsidR="004438B7" w:rsidRPr="001717B5" w:rsidRDefault="004438B7" w:rsidP="004438B7">
      <w:pPr>
        <w:ind w:left="851" w:hanging="851"/>
      </w:pPr>
    </w:p>
    <w:p w14:paraId="123FFE81" w14:textId="1900AE2E" w:rsidR="005008A8" w:rsidRPr="004438B7" w:rsidRDefault="005008A8" w:rsidP="004438B7">
      <w:pPr>
        <w:ind w:left="851" w:hanging="851"/>
        <w:rPr>
          <w:lang w:val="en-US"/>
        </w:rPr>
      </w:pPr>
      <w:r>
        <w:rPr>
          <w:color w:val="000000"/>
        </w:rPr>
        <w:t>Wanselin, H., Danielsson, K., &amp; Wikman, S. (2022). Analysing multimodal texts in science—A social semiotic perspective.</w:t>
      </w:r>
      <w:r>
        <w:rPr>
          <w:rStyle w:val="apple-converted-space"/>
          <w:color w:val="000000"/>
        </w:rPr>
        <w:t> </w:t>
      </w:r>
      <w:r>
        <w:rPr>
          <w:rStyle w:val="Emphasis"/>
          <w:color w:val="000000"/>
        </w:rPr>
        <w:t>Journal of Science Education and Technology, 31</w:t>
      </w:r>
      <w:r>
        <w:rPr>
          <w:color w:val="000000"/>
        </w:rPr>
        <w:t>, 284–297.</w:t>
      </w:r>
      <w:r>
        <w:rPr>
          <w:rStyle w:val="apple-converted-space"/>
          <w:color w:val="000000"/>
        </w:rPr>
        <w:t> </w:t>
      </w:r>
      <w:hyperlink r:id="rId18" w:tgtFrame="_new" w:history="1">
        <w:r>
          <w:rPr>
            <w:rStyle w:val="Hyperlink"/>
          </w:rPr>
          <w:t>https://doi.org/10.1007/s10956-021-09930-6</w:t>
        </w:r>
      </w:hyperlink>
    </w:p>
    <w:p w14:paraId="53C8069B" w14:textId="77777777" w:rsidR="005008A8" w:rsidRDefault="005008A8" w:rsidP="005008A8"/>
    <w:p w14:paraId="384C8D9B" w14:textId="77777777" w:rsidR="001717B5" w:rsidRDefault="001717B5" w:rsidP="005008A8"/>
    <w:p w14:paraId="3D427D83" w14:textId="7F4CAB3F" w:rsidR="001717B5" w:rsidRDefault="001717B5" w:rsidP="005008A8">
      <w:pPr>
        <w:rPr>
          <w:b/>
          <w:bCs/>
        </w:rPr>
      </w:pPr>
      <w:r w:rsidRPr="001717B5">
        <w:rPr>
          <w:b/>
          <w:bCs/>
        </w:rPr>
        <w:t>Bionote</w:t>
      </w:r>
    </w:p>
    <w:p w14:paraId="2643F97D" w14:textId="77777777" w:rsidR="001717B5" w:rsidRDefault="001717B5" w:rsidP="005008A8"/>
    <w:p w14:paraId="3D1D1C18" w14:textId="6980D0C6" w:rsidR="001717B5" w:rsidRDefault="001717B5" w:rsidP="001717B5">
      <w:r w:rsidRPr="004455A9">
        <w:t xml:space="preserve">Fati Osuman </w:t>
      </w:r>
      <w:r>
        <w:t xml:space="preserve">obtained her </w:t>
      </w:r>
      <w:r>
        <w:t xml:space="preserve">PhD in Spanish </w:t>
      </w:r>
      <w:r>
        <w:t>(</w:t>
      </w:r>
      <w:r>
        <w:t xml:space="preserve">Linguistics) </w:t>
      </w:r>
      <w:r w:rsidRPr="004455A9">
        <w:t>from the University of Ottawa, Canada</w:t>
      </w:r>
      <w:r>
        <w:t>. She is a l</w:t>
      </w:r>
      <w:r w:rsidRPr="004455A9">
        <w:t xml:space="preserve">anguage educator and researcher </w:t>
      </w:r>
      <w:r>
        <w:t>with</w:t>
      </w:r>
      <w:r w:rsidRPr="004455A9">
        <w:t xml:space="preserve"> over seven years of experience teaching Spanish </w:t>
      </w:r>
      <w:r>
        <w:t xml:space="preserve">and English </w:t>
      </w:r>
      <w:r w:rsidRPr="004455A9">
        <w:t xml:space="preserve">across diverse levels and settings in Canada, the United States, and Ghana. Her research explores second language education and assessment, particularly where they intersect with inclusive technology and AI. Her dissertation examined student engagement in different Spanish learning </w:t>
      </w:r>
      <w:r>
        <w:t>formats</w:t>
      </w:r>
      <w:r w:rsidRPr="004455A9">
        <w:t>, and her recent work investigates how generative AI can support language learning through translanguaging</w:t>
      </w:r>
      <w:r>
        <w:t xml:space="preserve"> and plurilingual</w:t>
      </w:r>
      <w:r w:rsidRPr="004455A9">
        <w:t xml:space="preserve"> approaches. </w:t>
      </w:r>
    </w:p>
    <w:p w14:paraId="77C0DE4D" w14:textId="77777777" w:rsidR="001717B5" w:rsidRPr="001717B5" w:rsidRDefault="001717B5" w:rsidP="005008A8"/>
    <w:p w14:paraId="67F604F8" w14:textId="77777777" w:rsidR="001717B5" w:rsidRPr="001717B5" w:rsidRDefault="001717B5" w:rsidP="005008A8"/>
    <w:sectPr w:rsidR="001717B5" w:rsidRPr="001717B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620B83" w14:textId="77777777" w:rsidR="00B66FCA" w:rsidRDefault="00B66FCA" w:rsidP="001717B5">
      <w:r>
        <w:separator/>
      </w:r>
    </w:p>
  </w:endnote>
  <w:endnote w:type="continuationSeparator" w:id="0">
    <w:p w14:paraId="7FC0B78A" w14:textId="77777777" w:rsidR="00B66FCA" w:rsidRDefault="00B66FCA" w:rsidP="0017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49A8CE" w14:textId="77777777" w:rsidR="00B66FCA" w:rsidRDefault="00B66FCA" w:rsidP="001717B5">
      <w:r>
        <w:separator/>
      </w:r>
    </w:p>
  </w:footnote>
  <w:footnote w:type="continuationSeparator" w:id="0">
    <w:p w14:paraId="3C0112CF" w14:textId="77777777" w:rsidR="00B66FCA" w:rsidRDefault="00B66FCA" w:rsidP="001717B5">
      <w:r>
        <w:continuationSeparator/>
      </w:r>
    </w:p>
  </w:footnote>
  <w:footnote w:id="1">
    <w:p w14:paraId="38D0509C" w14:textId="53118213" w:rsidR="001717B5" w:rsidRDefault="001717B5">
      <w:pPr>
        <w:pStyle w:val="FootnoteText"/>
      </w:pPr>
      <w:r>
        <w:rPr>
          <w:rStyle w:val="FootnoteReference"/>
        </w:rPr>
        <w:footnoteRef/>
      </w:r>
      <w:r>
        <w:t xml:space="preserve"> Corresponding author, University of Ottawa, Canada, Email: fatymaosuman@gmail.com.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833258"/>
    <w:multiLevelType w:val="multilevel"/>
    <w:tmpl w:val="D35888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044626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FBB"/>
    <w:rsid w:val="001717B5"/>
    <w:rsid w:val="001776D6"/>
    <w:rsid w:val="002354D0"/>
    <w:rsid w:val="004438B7"/>
    <w:rsid w:val="00462C38"/>
    <w:rsid w:val="004A0EB9"/>
    <w:rsid w:val="004E148E"/>
    <w:rsid w:val="005008A8"/>
    <w:rsid w:val="005078A6"/>
    <w:rsid w:val="00507BB6"/>
    <w:rsid w:val="005503C7"/>
    <w:rsid w:val="00565845"/>
    <w:rsid w:val="005E5192"/>
    <w:rsid w:val="00696F83"/>
    <w:rsid w:val="00712B37"/>
    <w:rsid w:val="00721387"/>
    <w:rsid w:val="007C4CE6"/>
    <w:rsid w:val="00AC1247"/>
    <w:rsid w:val="00B664E8"/>
    <w:rsid w:val="00B66FCA"/>
    <w:rsid w:val="00CE6404"/>
    <w:rsid w:val="00D4332C"/>
    <w:rsid w:val="00DD45BB"/>
    <w:rsid w:val="00E65FBB"/>
    <w:rsid w:val="00F5425B"/>
    <w:rsid w:val="00F810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ED7AFE8"/>
  <w15:chartTrackingRefBased/>
  <w15:docId w15:val="{4015BF2C-DF67-C04F-A86D-EB6EE611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FB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FB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5FB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5FB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5FB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5FB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5FB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FB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FB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5FB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5FB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5FB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5FB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5FB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5F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FB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FB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5F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5FBB"/>
    <w:rPr>
      <w:i/>
      <w:iCs/>
      <w:color w:val="404040" w:themeColor="text1" w:themeTint="BF"/>
    </w:rPr>
  </w:style>
  <w:style w:type="paragraph" w:styleId="ListParagraph">
    <w:name w:val="List Paragraph"/>
    <w:basedOn w:val="Normal"/>
    <w:uiPriority w:val="34"/>
    <w:qFormat/>
    <w:rsid w:val="00E65FBB"/>
    <w:pPr>
      <w:ind w:left="720"/>
      <w:contextualSpacing/>
    </w:pPr>
  </w:style>
  <w:style w:type="character" w:styleId="IntenseEmphasis">
    <w:name w:val="Intense Emphasis"/>
    <w:basedOn w:val="DefaultParagraphFont"/>
    <w:uiPriority w:val="21"/>
    <w:qFormat/>
    <w:rsid w:val="00E65FBB"/>
    <w:rPr>
      <w:i/>
      <w:iCs/>
      <w:color w:val="0F4761" w:themeColor="accent1" w:themeShade="BF"/>
    </w:rPr>
  </w:style>
  <w:style w:type="paragraph" w:styleId="IntenseQuote">
    <w:name w:val="Intense Quote"/>
    <w:basedOn w:val="Normal"/>
    <w:next w:val="Normal"/>
    <w:link w:val="IntenseQuoteChar"/>
    <w:uiPriority w:val="30"/>
    <w:qFormat/>
    <w:rsid w:val="00E65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FBB"/>
    <w:rPr>
      <w:i/>
      <w:iCs/>
      <w:color w:val="0F4761" w:themeColor="accent1" w:themeShade="BF"/>
    </w:rPr>
  </w:style>
  <w:style w:type="character" w:styleId="IntenseReference">
    <w:name w:val="Intense Reference"/>
    <w:basedOn w:val="DefaultParagraphFont"/>
    <w:uiPriority w:val="32"/>
    <w:qFormat/>
    <w:rsid w:val="00E65FBB"/>
    <w:rPr>
      <w:b/>
      <w:bCs/>
      <w:smallCaps/>
      <w:color w:val="0F4761" w:themeColor="accent1" w:themeShade="BF"/>
      <w:spacing w:val="5"/>
    </w:rPr>
  </w:style>
  <w:style w:type="character" w:styleId="Strong">
    <w:name w:val="Strong"/>
    <w:basedOn w:val="DefaultParagraphFont"/>
    <w:uiPriority w:val="22"/>
    <w:qFormat/>
    <w:rsid w:val="00F5425B"/>
    <w:rPr>
      <w:b/>
      <w:bCs/>
    </w:rPr>
  </w:style>
  <w:style w:type="table" w:styleId="TableGrid">
    <w:name w:val="Table Grid"/>
    <w:basedOn w:val="TableNormal"/>
    <w:uiPriority w:val="39"/>
    <w:rsid w:val="00550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08A8"/>
    <w:pPr>
      <w:spacing w:before="100" w:beforeAutospacing="1" w:after="100" w:afterAutospacing="1"/>
    </w:pPr>
    <w:rPr>
      <w:rFonts w:eastAsia="Times New Roman"/>
    </w:rPr>
  </w:style>
  <w:style w:type="character" w:customStyle="1" w:styleId="apple-converted-space">
    <w:name w:val="apple-converted-space"/>
    <w:basedOn w:val="DefaultParagraphFont"/>
    <w:rsid w:val="005008A8"/>
  </w:style>
  <w:style w:type="character" w:styleId="Emphasis">
    <w:name w:val="Emphasis"/>
    <w:basedOn w:val="DefaultParagraphFont"/>
    <w:uiPriority w:val="20"/>
    <w:qFormat/>
    <w:rsid w:val="005008A8"/>
    <w:rPr>
      <w:i/>
      <w:iCs/>
    </w:rPr>
  </w:style>
  <w:style w:type="character" w:styleId="Hyperlink">
    <w:name w:val="Hyperlink"/>
    <w:basedOn w:val="DefaultParagraphFont"/>
    <w:uiPriority w:val="99"/>
    <w:unhideWhenUsed/>
    <w:rsid w:val="005008A8"/>
    <w:rPr>
      <w:color w:val="0000FF"/>
      <w:u w:val="single"/>
    </w:rPr>
  </w:style>
  <w:style w:type="character" w:styleId="UnresolvedMention">
    <w:name w:val="Unresolved Mention"/>
    <w:basedOn w:val="DefaultParagraphFont"/>
    <w:uiPriority w:val="99"/>
    <w:semiHidden/>
    <w:unhideWhenUsed/>
    <w:rsid w:val="004438B7"/>
    <w:rPr>
      <w:color w:val="605E5C"/>
      <w:shd w:val="clear" w:color="auto" w:fill="E1DFDD"/>
    </w:rPr>
  </w:style>
  <w:style w:type="character" w:styleId="FollowedHyperlink">
    <w:name w:val="FollowedHyperlink"/>
    <w:basedOn w:val="DefaultParagraphFont"/>
    <w:uiPriority w:val="99"/>
    <w:semiHidden/>
    <w:unhideWhenUsed/>
    <w:rsid w:val="004438B7"/>
    <w:rPr>
      <w:color w:val="96607D" w:themeColor="followedHyperlink"/>
      <w:u w:val="single"/>
    </w:rPr>
  </w:style>
  <w:style w:type="paragraph" w:styleId="Header">
    <w:name w:val="header"/>
    <w:basedOn w:val="Normal"/>
    <w:link w:val="HeaderChar"/>
    <w:uiPriority w:val="99"/>
    <w:unhideWhenUsed/>
    <w:rsid w:val="001717B5"/>
    <w:pPr>
      <w:tabs>
        <w:tab w:val="center" w:pos="4680"/>
        <w:tab w:val="right" w:pos="9360"/>
      </w:tabs>
    </w:pPr>
  </w:style>
  <w:style w:type="character" w:customStyle="1" w:styleId="HeaderChar">
    <w:name w:val="Header Char"/>
    <w:basedOn w:val="DefaultParagraphFont"/>
    <w:link w:val="Header"/>
    <w:uiPriority w:val="99"/>
    <w:rsid w:val="001717B5"/>
  </w:style>
  <w:style w:type="paragraph" w:styleId="Footer">
    <w:name w:val="footer"/>
    <w:basedOn w:val="Normal"/>
    <w:link w:val="FooterChar"/>
    <w:uiPriority w:val="99"/>
    <w:unhideWhenUsed/>
    <w:rsid w:val="001717B5"/>
    <w:pPr>
      <w:tabs>
        <w:tab w:val="center" w:pos="4680"/>
        <w:tab w:val="right" w:pos="9360"/>
      </w:tabs>
    </w:pPr>
  </w:style>
  <w:style w:type="character" w:customStyle="1" w:styleId="FooterChar">
    <w:name w:val="Footer Char"/>
    <w:basedOn w:val="DefaultParagraphFont"/>
    <w:link w:val="Footer"/>
    <w:uiPriority w:val="99"/>
    <w:rsid w:val="001717B5"/>
  </w:style>
  <w:style w:type="paragraph" w:styleId="FootnoteText">
    <w:name w:val="footnote text"/>
    <w:basedOn w:val="Normal"/>
    <w:link w:val="FootnoteTextChar"/>
    <w:uiPriority w:val="99"/>
    <w:semiHidden/>
    <w:unhideWhenUsed/>
    <w:rsid w:val="001717B5"/>
    <w:rPr>
      <w:sz w:val="20"/>
      <w:szCs w:val="20"/>
    </w:rPr>
  </w:style>
  <w:style w:type="character" w:customStyle="1" w:styleId="FootnoteTextChar">
    <w:name w:val="Footnote Text Char"/>
    <w:basedOn w:val="DefaultParagraphFont"/>
    <w:link w:val="FootnoteText"/>
    <w:uiPriority w:val="99"/>
    <w:semiHidden/>
    <w:rsid w:val="001717B5"/>
    <w:rPr>
      <w:sz w:val="20"/>
      <w:szCs w:val="20"/>
    </w:rPr>
  </w:style>
  <w:style w:type="character" w:styleId="FootnoteReference">
    <w:name w:val="footnote reference"/>
    <w:basedOn w:val="DefaultParagraphFont"/>
    <w:uiPriority w:val="99"/>
    <w:semiHidden/>
    <w:unhideWhenUsed/>
    <w:rsid w:val="001717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324/LRE.20.1.41" TargetMode="External"/><Relationship Id="rId13" Type="http://schemas.openxmlformats.org/officeDocument/2006/relationships/hyperlink" Target="https://doi.org/10.29140/tltl.v6n3.1719" TargetMode="External"/><Relationship Id="rId18" Type="http://schemas.openxmlformats.org/officeDocument/2006/relationships/hyperlink" Target="https://doi.org/10.1007/s10956-021-0993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15/9783110823080" TargetMode="External"/><Relationship Id="rId17" Type="http://schemas.openxmlformats.org/officeDocument/2006/relationships/hyperlink" Target="https://doi.org/10.9781/ijimai.2024.02.010" TargetMode="External"/><Relationship Id="rId2" Type="http://schemas.openxmlformats.org/officeDocument/2006/relationships/numbering" Target="numbering.xml"/><Relationship Id="rId16" Type="http://schemas.openxmlformats.org/officeDocument/2006/relationships/hyperlink" Target="http://www.hippasus.com/rrpweblog/archives/2013/04/16/SAMRGettingToTransformation.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bjet.13460" TargetMode="External"/><Relationship Id="rId5" Type="http://schemas.openxmlformats.org/officeDocument/2006/relationships/webSettings" Target="webSettings.xml"/><Relationship Id="rId15" Type="http://schemas.openxmlformats.org/officeDocument/2006/relationships/hyperlink" Target="https://doi.org/10.1002/rrq.286" TargetMode="External"/><Relationship Id="rId10" Type="http://schemas.openxmlformats.org/officeDocument/2006/relationships/hyperlink" Target="https://doi.org/10.1002/tesq.07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7/s10956-024-10182-0" TargetMode="External"/><Relationship Id="rId14" Type="http://schemas.openxmlformats.org/officeDocument/2006/relationships/hyperlink" Target="https://doi.org/10.1016/j.system.2020.102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E30F4-F6E2-8B43-B84C-FAECD1C2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10</Pages>
  <Words>2803</Words>
  <Characters>15982</Characters>
  <Application>Microsoft Office Word</Application>
  <DocSecurity>0</DocSecurity>
  <Lines>133</Lines>
  <Paragraphs>37</Paragraphs>
  <ScaleCrop>false</ScaleCrop>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 Osuman</dc:creator>
  <cp:keywords/>
  <dc:description/>
  <cp:lastModifiedBy>Fati Osuman</cp:lastModifiedBy>
  <cp:revision>53</cp:revision>
  <dcterms:created xsi:type="dcterms:W3CDTF">2026-05-30T17:19:00Z</dcterms:created>
  <dcterms:modified xsi:type="dcterms:W3CDTF">2026-07-30T03:44:00Z</dcterms:modified>
</cp:coreProperties>
</file>