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036A2" w14:textId="77777777" w:rsidR="00FF2513" w:rsidRPr="00A2236E" w:rsidRDefault="00FF2513" w:rsidP="00207C24">
      <w:pPr>
        <w:spacing w:line="360" w:lineRule="auto"/>
        <w:ind w:firstLine="567"/>
        <w:jc w:val="center"/>
        <w:rPr>
          <w:rFonts w:ascii="Times New Roman" w:hAnsi="Times New Roman" w:cs="Times New Roman"/>
          <w:b/>
          <w:bCs/>
        </w:rPr>
      </w:pPr>
      <w:r w:rsidRPr="00A2236E">
        <w:rPr>
          <w:rFonts w:ascii="Times New Roman" w:hAnsi="Times New Roman" w:cs="Times New Roman"/>
          <w:b/>
          <w:bCs/>
        </w:rPr>
        <w:t>Activity Theory as a Lens for Examining Teachers’ Enactment of the Competency-Based English Teaching Curriculum</w:t>
      </w:r>
    </w:p>
    <w:p w14:paraId="28E2A751" w14:textId="2FF04755" w:rsidR="00767DA4" w:rsidRPr="00A2236E" w:rsidRDefault="00767DA4" w:rsidP="00207C24">
      <w:pPr>
        <w:spacing w:line="360" w:lineRule="auto"/>
        <w:ind w:firstLine="567"/>
        <w:jc w:val="center"/>
        <w:rPr>
          <w:rFonts w:ascii="Times New Roman" w:hAnsi="Times New Roman" w:cs="Times New Roman"/>
          <w:b/>
          <w:bCs/>
          <w:vertAlign w:val="superscript"/>
        </w:rPr>
      </w:pPr>
      <w:r w:rsidRPr="00A2236E">
        <w:rPr>
          <w:rFonts w:ascii="Times New Roman" w:hAnsi="Times New Roman" w:cs="Times New Roman"/>
          <w:b/>
          <w:bCs/>
        </w:rPr>
        <w:t xml:space="preserve">Thanh </w:t>
      </w:r>
      <w:r w:rsidR="00FF2513" w:rsidRPr="00A2236E">
        <w:rPr>
          <w:rFonts w:ascii="Times New Roman" w:hAnsi="Times New Roman" w:cs="Times New Roman"/>
          <w:b/>
          <w:bCs/>
        </w:rPr>
        <w:t xml:space="preserve">Vinh </w:t>
      </w:r>
      <w:r w:rsidRPr="00A2236E">
        <w:rPr>
          <w:rFonts w:ascii="Times New Roman" w:hAnsi="Times New Roman" w:cs="Times New Roman"/>
          <w:b/>
          <w:bCs/>
        </w:rPr>
        <w:t xml:space="preserve">Chau </w:t>
      </w:r>
      <w:r w:rsidRPr="00A2236E">
        <w:rPr>
          <w:rFonts w:ascii="Times New Roman" w:hAnsi="Times New Roman" w:cs="Times New Roman"/>
          <w:b/>
          <w:bCs/>
          <w:vertAlign w:val="superscript"/>
        </w:rPr>
        <w:t>1*</w:t>
      </w:r>
      <w:r w:rsidRPr="00A2236E">
        <w:rPr>
          <w:rFonts w:ascii="Times New Roman" w:hAnsi="Times New Roman" w:cs="Times New Roman"/>
          <w:b/>
          <w:bCs/>
        </w:rPr>
        <w:t>, Thao Quoc Tran</w:t>
      </w:r>
      <w:r w:rsidRPr="00A2236E">
        <w:rPr>
          <w:rFonts w:ascii="Times New Roman" w:hAnsi="Times New Roman" w:cs="Times New Roman"/>
          <w:b/>
          <w:bCs/>
          <w:vertAlign w:val="superscript"/>
        </w:rPr>
        <w:t>2</w:t>
      </w:r>
    </w:p>
    <w:p w14:paraId="1A39A3B2" w14:textId="2B936EF8" w:rsidR="00767DA4" w:rsidRPr="00A2236E" w:rsidRDefault="00767DA4" w:rsidP="00207C24">
      <w:pPr>
        <w:spacing w:line="360" w:lineRule="auto"/>
        <w:ind w:firstLine="567"/>
        <w:jc w:val="center"/>
        <w:rPr>
          <w:rFonts w:ascii="Times New Roman" w:hAnsi="Times New Roman" w:cs="Times New Roman"/>
        </w:rPr>
      </w:pPr>
      <w:r w:rsidRPr="00A2236E">
        <w:rPr>
          <w:rFonts w:ascii="Times New Roman" w:hAnsi="Times New Roman" w:cs="Times New Roman"/>
          <w:vertAlign w:val="superscript"/>
        </w:rPr>
        <w:t>1,2</w:t>
      </w:r>
      <w:r w:rsidRPr="00A2236E">
        <w:rPr>
          <w:rFonts w:ascii="Times New Roman" w:hAnsi="Times New Roman" w:cs="Times New Roman"/>
        </w:rPr>
        <w:t xml:space="preserve"> Ho Chi Minh City Open University, Vietnam</w:t>
      </w:r>
    </w:p>
    <w:p w14:paraId="3049B244" w14:textId="77777777" w:rsidR="00767DA4" w:rsidRPr="00A2236E" w:rsidRDefault="00767DA4" w:rsidP="00207C24">
      <w:pPr>
        <w:spacing w:line="360" w:lineRule="auto"/>
        <w:ind w:firstLine="567"/>
        <w:jc w:val="center"/>
        <w:rPr>
          <w:rStyle w:val="Hyperlink"/>
          <w:rFonts w:ascii="Times New Roman" w:hAnsi="Times New Roman" w:cs="Times New Roman"/>
          <w:color w:val="000000" w:themeColor="text1"/>
          <w:u w:val="none"/>
        </w:rPr>
      </w:pPr>
      <w:r w:rsidRPr="00A2236E">
        <w:rPr>
          <w:rFonts w:ascii="Times New Roman" w:hAnsi="Times New Roman" w:cs="Times New Roman"/>
          <w:vertAlign w:val="superscript"/>
        </w:rPr>
        <w:t>*</w:t>
      </w:r>
      <w:r w:rsidR="00EA37DF" w:rsidRPr="00A2236E">
        <w:rPr>
          <w:rFonts w:ascii="Times New Roman" w:hAnsi="Times New Roman" w:cs="Times New Roman"/>
        </w:rPr>
        <w:t xml:space="preserve">Coresponding </w:t>
      </w:r>
      <w:r w:rsidRPr="00A2236E">
        <w:rPr>
          <w:rFonts w:ascii="Times New Roman" w:hAnsi="Times New Roman" w:cs="Times New Roman"/>
        </w:rPr>
        <w:t xml:space="preserve">Email: </w:t>
      </w:r>
      <w:hyperlink r:id="rId7" w:history="1">
        <w:r w:rsidRPr="00A2236E">
          <w:rPr>
            <w:rStyle w:val="Hyperlink"/>
            <w:rFonts w:ascii="Times New Roman" w:hAnsi="Times New Roman" w:cs="Times New Roman"/>
            <w:color w:val="000000" w:themeColor="text1"/>
            <w:u w:val="none"/>
          </w:rPr>
          <w:t>thanhcv.24at@ou.edu.vn</w:t>
        </w:r>
      </w:hyperlink>
    </w:p>
    <w:p w14:paraId="6292D1B4" w14:textId="30A9D081" w:rsidR="006C0B56" w:rsidRPr="00A2236E" w:rsidRDefault="007F0D68" w:rsidP="00207C24">
      <w:pPr>
        <w:spacing w:line="360" w:lineRule="auto"/>
        <w:jc w:val="both"/>
        <w:rPr>
          <w:rFonts w:ascii="Times New Roman" w:hAnsi="Times New Roman" w:cs="Times New Roman"/>
          <w:b/>
          <w:bCs/>
          <w:color w:val="000000" w:themeColor="text1"/>
        </w:rPr>
      </w:pPr>
      <w:r w:rsidRPr="00A2236E">
        <w:rPr>
          <w:rStyle w:val="Hyperlink"/>
          <w:rFonts w:ascii="Times New Roman" w:hAnsi="Times New Roman" w:cs="Times New Roman"/>
          <w:b/>
          <w:bCs/>
          <w:color w:val="000000" w:themeColor="text1"/>
          <w:u w:val="none"/>
        </w:rPr>
        <w:t>Abstract</w:t>
      </w:r>
    </w:p>
    <w:p w14:paraId="4A93DD39" w14:textId="77777777" w:rsidR="00875770" w:rsidRDefault="00875770" w:rsidP="00207C24">
      <w:pPr>
        <w:spacing w:line="360" w:lineRule="auto"/>
        <w:ind w:firstLine="567"/>
        <w:jc w:val="both"/>
        <w:rPr>
          <w:rStyle w:val="Hyperlink"/>
          <w:rFonts w:ascii="Times New Roman" w:hAnsi="Times New Roman" w:cs="Times New Roman"/>
          <w:color w:val="000000" w:themeColor="text1"/>
          <w:u w:val="none"/>
        </w:rPr>
      </w:pPr>
      <w:r w:rsidRPr="00875770">
        <w:rPr>
          <w:rStyle w:val="Hyperlink"/>
          <w:rFonts w:ascii="Times New Roman" w:hAnsi="Times New Roman" w:cs="Times New Roman"/>
          <w:color w:val="000000" w:themeColor="text1"/>
          <w:u w:val="none"/>
        </w:rPr>
        <w:t>Competency-based reform has increasingly influenced language education, placing communicative competence at the center of curriculum development. In Vietnam, this orientation is reflected in the Competency-Based English Teaching Curriculum (CBETC). Despite growing interest in curriculum reform, limited attention has been paid to how CBETC enactment can be understood theoretically. Drawing on curriculum enactment scholarship, which conceptualizes curriculum as something interpreted, negotiated, and reconstructed in practice, this paper contends that existing accounts have tended to emphasize either procedural implementation or teachers’ individual beliefs while paying insufficient attention to the wider social and institutional conditions surrounding classroom practice. In response, Activity Theory (AT) is advanced as a framework for examining the enactment of CBETC. Informed by Vygotsky’s (1987) sociocultural perspective and Engeström’s (2009) third-generation activity theory, the paper conceptualizes curriculum enactment as a socially mediated activity system shaped by the relationships among subject, object, tools, rules, community, and division of labor. The analysis illustrates how tensions and contradictions, particularly those arising from the coexistence of competency-based aspirations and examination-oriented traditions, influence teachers’ pedagogical decisions and opportunities for professional action. By bringing AT into dialogue with scholarship on curriculum enactment, the paper offers a more comprehensive account of how curriculum reform is enacted in practice and contributes to ongoing discussions of competency-based English language education. The proposed framework also opens avenues for future empirical investigations of curriculum enactment in diverse educational settings.</w:t>
      </w:r>
    </w:p>
    <w:p w14:paraId="6066D161" w14:textId="585B8897" w:rsidR="00D03DEB" w:rsidRDefault="00D03DEB" w:rsidP="00207C24">
      <w:pPr>
        <w:spacing w:line="360" w:lineRule="auto"/>
        <w:ind w:firstLine="567"/>
        <w:jc w:val="both"/>
        <w:rPr>
          <w:rStyle w:val="Hyperlink"/>
          <w:rFonts w:ascii="Times New Roman" w:hAnsi="Times New Roman" w:cs="Times New Roman"/>
          <w:color w:val="000000" w:themeColor="text1"/>
          <w:u w:val="none"/>
        </w:rPr>
      </w:pPr>
      <w:r w:rsidRPr="00A2236E">
        <w:rPr>
          <w:rStyle w:val="Hyperlink"/>
          <w:rFonts w:ascii="Times New Roman" w:hAnsi="Times New Roman" w:cs="Times New Roman"/>
          <w:b/>
          <w:bCs/>
          <w:i/>
          <w:iCs/>
          <w:color w:val="000000" w:themeColor="text1"/>
          <w:u w:val="none"/>
        </w:rPr>
        <w:t>Keywords:</w:t>
      </w:r>
      <w:r w:rsidRPr="00A2236E">
        <w:rPr>
          <w:rStyle w:val="Hyperlink"/>
          <w:rFonts w:ascii="Times New Roman" w:hAnsi="Times New Roman" w:cs="Times New Roman"/>
          <w:color w:val="000000" w:themeColor="text1"/>
          <w:u w:val="none"/>
        </w:rPr>
        <w:t xml:space="preserve"> Activity Theory; curriculum enactment; competency-based education; English language teaching</w:t>
      </w:r>
    </w:p>
    <w:p w14:paraId="7B87642E" w14:textId="77777777" w:rsidR="00875770" w:rsidRPr="00A2236E" w:rsidRDefault="00875770" w:rsidP="00207C24">
      <w:pPr>
        <w:spacing w:line="360" w:lineRule="auto"/>
        <w:ind w:firstLine="567"/>
        <w:jc w:val="both"/>
        <w:rPr>
          <w:rFonts w:ascii="Times New Roman" w:hAnsi="Times New Roman" w:cs="Times New Roman"/>
        </w:rPr>
      </w:pPr>
    </w:p>
    <w:p w14:paraId="232F07C4" w14:textId="77777777" w:rsidR="00042713" w:rsidRPr="00A2236E" w:rsidRDefault="00042713" w:rsidP="00207C24">
      <w:pPr>
        <w:spacing w:line="360" w:lineRule="auto"/>
        <w:jc w:val="both"/>
        <w:rPr>
          <w:rFonts w:ascii="Times New Roman" w:hAnsi="Times New Roman" w:cs="Times New Roman"/>
          <w:b/>
          <w:bCs/>
        </w:rPr>
      </w:pPr>
    </w:p>
    <w:p w14:paraId="4BCAFE20" w14:textId="77777777" w:rsidR="00474881" w:rsidRPr="00A2236E" w:rsidRDefault="00474881" w:rsidP="00560A90">
      <w:pPr>
        <w:spacing w:line="360" w:lineRule="auto"/>
        <w:jc w:val="center"/>
        <w:rPr>
          <w:rFonts w:ascii="Times New Roman" w:hAnsi="Times New Roman" w:cs="Times New Roman"/>
          <w:b/>
          <w:bCs/>
        </w:rPr>
      </w:pPr>
    </w:p>
    <w:p w14:paraId="5EBFEE08" w14:textId="6437CD47" w:rsidR="001211AF" w:rsidRPr="00A2236E" w:rsidRDefault="001211AF" w:rsidP="00560A90">
      <w:pPr>
        <w:spacing w:line="360" w:lineRule="auto"/>
        <w:jc w:val="center"/>
        <w:rPr>
          <w:rFonts w:ascii="Times New Roman" w:hAnsi="Times New Roman" w:cs="Times New Roman"/>
          <w:b/>
          <w:bCs/>
        </w:rPr>
      </w:pPr>
      <w:r w:rsidRPr="00A2236E">
        <w:rPr>
          <w:rFonts w:ascii="Times New Roman" w:hAnsi="Times New Roman" w:cs="Times New Roman"/>
          <w:b/>
          <w:bCs/>
        </w:rPr>
        <w:lastRenderedPageBreak/>
        <w:t>1. Introduction</w:t>
      </w:r>
    </w:p>
    <w:p w14:paraId="041BA43E" w14:textId="77777777" w:rsidR="001211AF" w:rsidRPr="00A2236E" w:rsidRDefault="001211AF"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1.1. Global shift toward competency-based education</w:t>
      </w:r>
    </w:p>
    <w:p w14:paraId="33789140" w14:textId="77777777" w:rsidR="001211AF" w:rsidRPr="00A2236E" w:rsidRDefault="001211AF" w:rsidP="00207C24">
      <w:pPr>
        <w:spacing w:line="360" w:lineRule="auto"/>
        <w:ind w:firstLine="567"/>
        <w:jc w:val="both"/>
        <w:rPr>
          <w:rFonts w:ascii="Times New Roman" w:hAnsi="Times New Roman" w:cs="Times New Roman"/>
        </w:rPr>
      </w:pPr>
      <w:r w:rsidRPr="00A2236E">
        <w:rPr>
          <w:rFonts w:ascii="Times New Roman" w:hAnsi="Times New Roman" w:cs="Times New Roman"/>
        </w:rPr>
        <w:t>In the context of globalization and the rapid expansion of the knowledge-based economy, general education systems have been witnessing a marked shift from content-oriented models to competency-based approaches. International organizations such as the Organisation for Economic Co-operation and Development (OECD) emphasize that contemporary education should prioritize the development of learners’ capacity to apply knowledge in practical situations rather than merely accumulate academic content (OECD, 2018). This global trend has significantly influenced curriculum reforms in many countries, including Vietnam.</w:t>
      </w:r>
    </w:p>
    <w:p w14:paraId="33691CF7" w14:textId="6A329FDC" w:rsidR="001211AF" w:rsidRPr="00A2236E" w:rsidRDefault="001211AF" w:rsidP="00207C24">
      <w:pPr>
        <w:spacing w:line="360" w:lineRule="auto"/>
        <w:ind w:firstLine="567"/>
        <w:jc w:val="both"/>
        <w:rPr>
          <w:rFonts w:ascii="Times New Roman" w:hAnsi="Times New Roman" w:cs="Times New Roman"/>
        </w:rPr>
      </w:pPr>
      <w:r w:rsidRPr="00A2236E">
        <w:rPr>
          <w:rFonts w:ascii="Times New Roman" w:hAnsi="Times New Roman" w:cs="Times New Roman"/>
        </w:rPr>
        <w:t>Vietnam’s 2018 General Education Curriculum represents a pivotal milestone by formally establishing the development of learners’ qualities and competencies as its central orientation. Within this framework, English is designed according to communicative competence principles (Ministry of Education and Training [MOET], 2018). The introduction of the CBETC, therefore, constitutes not simply an adjustment of content but a fundamental transformation in pedagogical orientation—shifting the focus from the transmission of linguistic knowledge to the development of learners’ ability to use language effectively in authentic contexts.</w:t>
      </w:r>
    </w:p>
    <w:p w14:paraId="62890BF7" w14:textId="77777777" w:rsidR="001211AF" w:rsidRPr="00A2236E" w:rsidRDefault="001211AF"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1.2. The complexity of curriculum enactment</w:t>
      </w:r>
    </w:p>
    <w:p w14:paraId="3E9CF393" w14:textId="656CB483" w:rsidR="001211AF" w:rsidRPr="00A2236E" w:rsidRDefault="001211AF" w:rsidP="00207C24">
      <w:pPr>
        <w:spacing w:line="360" w:lineRule="auto"/>
        <w:ind w:firstLine="567"/>
        <w:jc w:val="both"/>
        <w:rPr>
          <w:rFonts w:ascii="Times New Roman" w:hAnsi="Times New Roman" w:cs="Times New Roman"/>
        </w:rPr>
      </w:pPr>
      <w:r w:rsidRPr="00A2236E">
        <w:rPr>
          <w:rFonts w:ascii="Times New Roman" w:hAnsi="Times New Roman" w:cs="Times New Roman"/>
        </w:rPr>
        <w:t>However, translating CBETC into classroom practice is not a linear process. Research on curriculum enactment suggests that teachers do not merely “implement” policy documents as written; instead, they interpret, adapt, and reconstruct the curriculum through their everyday instructional practices (Spillane, Reiser, &amp; Reimer, 2002). The notion of enactment thus more accurately captures the dynamic and interactive nature of this process.</w:t>
      </w:r>
    </w:p>
    <w:p w14:paraId="26391702" w14:textId="760ED3B4" w:rsidR="001211AF" w:rsidRPr="00A2236E" w:rsidRDefault="001211AF" w:rsidP="00207C24">
      <w:pPr>
        <w:spacing w:line="360" w:lineRule="auto"/>
        <w:ind w:firstLine="567"/>
        <w:jc w:val="both"/>
        <w:rPr>
          <w:rFonts w:ascii="Times New Roman" w:hAnsi="Times New Roman" w:cs="Times New Roman"/>
        </w:rPr>
      </w:pPr>
      <w:r w:rsidRPr="00A2236E">
        <w:rPr>
          <w:rFonts w:ascii="Times New Roman" w:hAnsi="Times New Roman" w:cs="Times New Roman"/>
        </w:rPr>
        <w:t>Teachers play a central role in transforming competency goals into concrete teaching activities while being influenced by multiple factors, such as professional beliefs, school culture, examination pressures, material conditions, and assessment policies (Priestley, Biesta, &amp; Robinson, 2015). The interweaving of individual and contextual factors renders the enactment of CBETC a complex professional undertaking rather than a straightforward act of policy compliance.</w:t>
      </w:r>
    </w:p>
    <w:p w14:paraId="773481F0" w14:textId="77777777" w:rsidR="001211AF" w:rsidRPr="00A2236E" w:rsidRDefault="001211AF"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1.3. The need for a comprehensive analytical lens</w:t>
      </w:r>
    </w:p>
    <w:p w14:paraId="3469C8B4" w14:textId="2C62D5B9" w:rsidR="001211AF" w:rsidRPr="00A2236E" w:rsidRDefault="001211AF" w:rsidP="00207C24">
      <w:pPr>
        <w:spacing w:line="360" w:lineRule="auto"/>
        <w:ind w:firstLine="567"/>
        <w:jc w:val="both"/>
        <w:rPr>
          <w:rFonts w:ascii="Times New Roman" w:hAnsi="Times New Roman" w:cs="Times New Roman"/>
        </w:rPr>
      </w:pPr>
      <w:r w:rsidRPr="00A2236E">
        <w:rPr>
          <w:rFonts w:ascii="Times New Roman" w:hAnsi="Times New Roman" w:cs="Times New Roman"/>
        </w:rPr>
        <w:t xml:space="preserve">Linear approaches or those that focus solely on teachers’ individual cognition often struggle to capture the systemic and evolving nature of curriculum enactment. A more comprehensive </w:t>
      </w:r>
      <w:r w:rsidRPr="00A2236E">
        <w:rPr>
          <w:rFonts w:ascii="Times New Roman" w:hAnsi="Times New Roman" w:cs="Times New Roman"/>
        </w:rPr>
        <w:lastRenderedPageBreak/>
        <w:t>analytical framework is therefore required—one capable of examining the subject, mediating tools, rules, community, and the broader social relations that shape practice. In this regard, Activity Theory (AT), rooted in the socio-cultural tradition of Vygotsky (1987) and further elaborated in its third generation by Engeström (2009), provides such an approach. AT conceptualizes teaching practice as an activity system in which internal contradictions drive change and development.</w:t>
      </w:r>
    </w:p>
    <w:p w14:paraId="59456640" w14:textId="572F575C" w:rsidR="001211AF" w:rsidRPr="00A2236E" w:rsidRDefault="001211AF"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1.4. Purpose of the paper</w:t>
      </w:r>
    </w:p>
    <w:p w14:paraId="51D04AD0" w14:textId="5A77989D" w:rsidR="00744623" w:rsidRPr="00A2236E" w:rsidRDefault="001211AF" w:rsidP="00207C24">
      <w:pPr>
        <w:spacing w:line="360" w:lineRule="auto"/>
        <w:ind w:firstLine="567"/>
        <w:jc w:val="both"/>
        <w:rPr>
          <w:rFonts w:ascii="Times New Roman" w:hAnsi="Times New Roman" w:cs="Times New Roman"/>
        </w:rPr>
      </w:pPr>
      <w:r w:rsidRPr="00A2236E">
        <w:rPr>
          <w:rFonts w:ascii="Times New Roman" w:hAnsi="Times New Roman" w:cs="Times New Roman"/>
        </w:rPr>
        <w:t xml:space="preserve">Building on the above arguments, this paper aims to examine the theoretical foundations of </w:t>
      </w:r>
      <w:r w:rsidR="00207C24" w:rsidRPr="00A2236E">
        <w:rPr>
          <w:rFonts w:ascii="Times New Roman" w:hAnsi="Times New Roman" w:cs="Times New Roman"/>
        </w:rPr>
        <w:t>a</w:t>
      </w:r>
      <w:r w:rsidRPr="00A2236E">
        <w:rPr>
          <w:rFonts w:ascii="Times New Roman" w:hAnsi="Times New Roman" w:cs="Times New Roman"/>
        </w:rPr>
        <w:t xml:space="preserve">ctivity </w:t>
      </w:r>
      <w:r w:rsidR="00207C24" w:rsidRPr="00A2236E">
        <w:rPr>
          <w:rFonts w:ascii="Times New Roman" w:hAnsi="Times New Roman" w:cs="Times New Roman"/>
        </w:rPr>
        <w:t>t</w:t>
      </w:r>
      <w:r w:rsidRPr="00A2236E">
        <w:rPr>
          <w:rFonts w:ascii="Times New Roman" w:hAnsi="Times New Roman" w:cs="Times New Roman"/>
        </w:rPr>
        <w:t>heory, analyze its role as an analytical lens for investigating teachers’ enactment of CBETC, and discuss its theoretical and practical implications for curriculum development and teacher professional development.</w:t>
      </w:r>
    </w:p>
    <w:p w14:paraId="71C66C5B" w14:textId="77777777" w:rsidR="00474881" w:rsidRPr="00A2236E" w:rsidRDefault="00474881" w:rsidP="00560A90">
      <w:pPr>
        <w:spacing w:line="360" w:lineRule="auto"/>
        <w:jc w:val="center"/>
        <w:rPr>
          <w:rFonts w:ascii="Times New Roman" w:hAnsi="Times New Roman" w:cs="Times New Roman"/>
          <w:b/>
          <w:bCs/>
        </w:rPr>
      </w:pPr>
    </w:p>
    <w:p w14:paraId="72C7812A" w14:textId="1A84BFFF" w:rsidR="00576758" w:rsidRPr="00A2236E" w:rsidRDefault="00576758" w:rsidP="00560A90">
      <w:pPr>
        <w:spacing w:line="360" w:lineRule="auto"/>
        <w:jc w:val="center"/>
        <w:rPr>
          <w:rFonts w:ascii="Times New Roman" w:hAnsi="Times New Roman" w:cs="Times New Roman"/>
          <w:b/>
          <w:bCs/>
        </w:rPr>
      </w:pPr>
      <w:r w:rsidRPr="00A2236E">
        <w:rPr>
          <w:rFonts w:ascii="Times New Roman" w:hAnsi="Times New Roman" w:cs="Times New Roman"/>
          <w:b/>
          <w:bCs/>
        </w:rPr>
        <w:t>2. Theoretical Background</w:t>
      </w:r>
    </w:p>
    <w:p w14:paraId="139BA2FD" w14:textId="2B0E65E0" w:rsidR="00061135" w:rsidRPr="00A2236E" w:rsidRDefault="00061135"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 xml:space="preserve">2.1. </w:t>
      </w:r>
      <w:r w:rsidR="00F80C5F" w:rsidRPr="00F80C5F">
        <w:rPr>
          <w:rFonts w:ascii="Times New Roman" w:hAnsi="Times New Roman" w:cs="Times New Roman"/>
          <w:b/>
          <w:bCs/>
          <w:i/>
          <w:iCs/>
        </w:rPr>
        <w:t>CBETC and the motivation for its implementation</w:t>
      </w:r>
    </w:p>
    <w:p w14:paraId="37943DBC" w14:textId="0A8634F5" w:rsidR="00061135" w:rsidRPr="00A2236E" w:rsidRDefault="00061135" w:rsidP="00061135">
      <w:pPr>
        <w:spacing w:line="360" w:lineRule="auto"/>
        <w:ind w:firstLine="567"/>
        <w:jc w:val="both"/>
        <w:rPr>
          <w:rFonts w:ascii="Times New Roman" w:hAnsi="Times New Roman" w:cs="Times New Roman"/>
        </w:rPr>
      </w:pPr>
      <w:r w:rsidRPr="00A2236E">
        <w:rPr>
          <w:rFonts w:ascii="Times New Roman" w:hAnsi="Times New Roman" w:cs="Times New Roman"/>
        </w:rPr>
        <w:t>A</w:t>
      </w:r>
      <w:r w:rsidR="004B61C6" w:rsidRPr="00A2236E">
        <w:rPr>
          <w:rFonts w:ascii="Times New Roman" w:hAnsi="Times New Roman" w:cs="Times New Roman"/>
        </w:rPr>
        <w:t xml:space="preserve"> </w:t>
      </w:r>
      <w:r w:rsidRPr="00A2236E">
        <w:rPr>
          <w:rFonts w:ascii="Times New Roman" w:hAnsi="Times New Roman" w:cs="Times New Roman"/>
        </w:rPr>
        <w:t>CBETC can be understood as a curriculum approach in which the goal of instruction extends beyond the transmission of linguistic knowledge to the development of learners’ ability to use English in specific communicative situations. From a competency-based perspective, learners are expected to mobilize knowledge, skills, and attitudes to accomplish learning tasks and address practical problems. This approach is consistent with global educational trends, as the OECD emphasizes that contemporary education should prepare learners with the capacity to act, adapt, and participate effectively in future social life (OECD, 2018).</w:t>
      </w:r>
    </w:p>
    <w:p w14:paraId="4D112B17" w14:textId="6F9FBA6F" w:rsidR="00061135" w:rsidRPr="00A2236E" w:rsidRDefault="00061135" w:rsidP="00061135">
      <w:pPr>
        <w:spacing w:line="360" w:lineRule="auto"/>
        <w:ind w:firstLine="567"/>
        <w:jc w:val="both"/>
        <w:rPr>
          <w:rFonts w:ascii="Times New Roman" w:hAnsi="Times New Roman" w:cs="Times New Roman"/>
        </w:rPr>
      </w:pPr>
      <w:r w:rsidRPr="00A2236E">
        <w:rPr>
          <w:rFonts w:ascii="Times New Roman" w:hAnsi="Times New Roman" w:cs="Times New Roman"/>
        </w:rPr>
        <w:t>In the Vietnamese context, CBETC is clearly reflected in the 2018 General Education Curriculum for English, issued together with Circular No. 32/2018/TT-BGDĐT. The curriculum states that English contributes to the formation and development of communicative competence through the four skills of listening, speaking, reading, and writing, while also supporting the development of learners’ qualities, general competencies, and capacity for lifelong learning (MOET, 2018). Accordingly, the focus of English language teaching has shifted from memorizing vocabulary, grammar, and test-taking techniques to organizing learning activities that enable students to use language purposefully, contextually, and meaningfully</w:t>
      </w:r>
      <w:r w:rsidR="001B3DBA">
        <w:rPr>
          <w:rFonts w:ascii="Times New Roman" w:hAnsi="Times New Roman" w:cs="Times New Roman"/>
        </w:rPr>
        <w:t xml:space="preserve">. </w:t>
      </w:r>
      <w:r w:rsidR="001B3DBA" w:rsidRPr="001B3DBA">
        <w:rPr>
          <w:rFonts w:ascii="Times New Roman" w:hAnsi="Times New Roman" w:cs="Times New Roman"/>
        </w:rPr>
        <w:t>Recent reviews of CBETC literature in Vietnam further indicate that this shift requires substantial changes in teachers’ professional roles, moving from knowledge transmitters to facilitators of communicative learning, learning designers, and assessment mediators (Chau &amp; Tran, 2026)</w:t>
      </w:r>
      <w:r w:rsidRPr="00A2236E">
        <w:rPr>
          <w:rFonts w:ascii="Times New Roman" w:hAnsi="Times New Roman" w:cs="Times New Roman"/>
        </w:rPr>
        <w:t xml:space="preserve">. This orientation is also aligned </w:t>
      </w:r>
      <w:r w:rsidRPr="00A2236E">
        <w:rPr>
          <w:rFonts w:ascii="Times New Roman" w:hAnsi="Times New Roman" w:cs="Times New Roman"/>
        </w:rPr>
        <w:lastRenderedPageBreak/>
        <w:t>with the spirit of the Common European Framework of Reference for Languages, which emphasizes descriptions of language proficiency based on what learners are able to do in communication (Council of Europe, 2020).</w:t>
      </w:r>
    </w:p>
    <w:p w14:paraId="4E9DD8DE" w14:textId="7F3DEFC7" w:rsidR="00061135" w:rsidRPr="00A2236E" w:rsidRDefault="00061135" w:rsidP="00061135">
      <w:pPr>
        <w:spacing w:line="360" w:lineRule="auto"/>
        <w:ind w:firstLine="567"/>
        <w:jc w:val="both"/>
        <w:rPr>
          <w:rFonts w:ascii="Times New Roman" w:hAnsi="Times New Roman" w:cs="Times New Roman"/>
        </w:rPr>
      </w:pPr>
      <w:r w:rsidRPr="00A2236E">
        <w:rPr>
          <w:rFonts w:ascii="Times New Roman" w:hAnsi="Times New Roman" w:cs="Times New Roman"/>
        </w:rPr>
        <w:t>However, CBETC does not automatically translate into classroom practice. Teachers are required to interpret competency-based objectives, select appropriate teaching materials, design communicative tasks, organize classroom interaction, and assess students’ progress. Therefore, the enactment of CBETC should be viewed as a process of professional construction shaped by teachers’ beliefs, school conditions, assessment pressures, and learning culture.</w:t>
      </w:r>
    </w:p>
    <w:p w14:paraId="49EFFB03" w14:textId="07BA3522" w:rsidR="004B61C6" w:rsidRPr="00A2236E" w:rsidRDefault="004B61C6" w:rsidP="004B61C6">
      <w:pPr>
        <w:spacing w:line="360" w:lineRule="auto"/>
        <w:ind w:firstLine="567"/>
        <w:jc w:val="both"/>
        <w:rPr>
          <w:rFonts w:ascii="Times New Roman" w:hAnsi="Times New Roman" w:cs="Times New Roman"/>
        </w:rPr>
      </w:pPr>
      <w:r w:rsidRPr="00A2236E">
        <w:rPr>
          <w:rFonts w:ascii="Times New Roman" w:hAnsi="Times New Roman" w:cs="Times New Roman"/>
        </w:rPr>
        <w:t>In contemporary educational research, curriculum is no longer understood as a static document or a fixed body of content to be transmitted directly from policy to classroom practice. Rather, it is increasingly viewed as a social and situated practice constructed, interpreted, and reconstructed through the interaction among teachers, students, and contextual conditions. From the perspective of “curriculum as practice,” curriculum comes into being only when it is enacted in specific educational settings (Priestley, Biesta, &amp; Robinson, 2015). In this sense, teachers are not passive implementers of prescribed policy documents; they are professional agents who interpret curricular intentions, select appropriate content, adapt pedagogical strategies, and respond to learners’ actual needs</w:t>
      </w:r>
      <w:r w:rsidR="004B7787" w:rsidRPr="00A2236E">
        <w:rPr>
          <w:rFonts w:ascii="Times New Roman" w:hAnsi="Times New Roman" w:cs="Times New Roman"/>
        </w:rPr>
        <w:t xml:space="preserve"> (Chau &amp; Tran, 2026)</w:t>
      </w:r>
      <w:r w:rsidRPr="00A2236E">
        <w:rPr>
          <w:rFonts w:ascii="Times New Roman" w:hAnsi="Times New Roman" w:cs="Times New Roman"/>
        </w:rPr>
        <w:t>.</w:t>
      </w:r>
    </w:p>
    <w:p w14:paraId="167D7EEE" w14:textId="30D8EFEE" w:rsidR="004B61C6" w:rsidRPr="00A2236E" w:rsidRDefault="004B61C6" w:rsidP="004B61C6">
      <w:pPr>
        <w:spacing w:line="360" w:lineRule="auto"/>
        <w:ind w:firstLine="567"/>
        <w:jc w:val="both"/>
        <w:rPr>
          <w:rFonts w:ascii="Times New Roman" w:hAnsi="Times New Roman" w:cs="Times New Roman"/>
        </w:rPr>
      </w:pPr>
      <w:r w:rsidRPr="00A2236E">
        <w:rPr>
          <w:rFonts w:ascii="Times New Roman" w:hAnsi="Times New Roman" w:cs="Times New Roman"/>
        </w:rPr>
        <w:t>The enactment of a CBETC should therefore be understood as a dynamic process through which teachers transform competency-oriented goals into concrete classroom practices</w:t>
      </w:r>
      <w:r w:rsidR="001B3DBA">
        <w:rPr>
          <w:rFonts w:ascii="Times New Roman" w:hAnsi="Times New Roman" w:cs="Times New Roman"/>
        </w:rPr>
        <w:t xml:space="preserve">. </w:t>
      </w:r>
      <w:r w:rsidR="001B3DBA" w:rsidRPr="001B3DBA">
        <w:rPr>
          <w:rFonts w:ascii="Times New Roman" w:hAnsi="Times New Roman" w:cs="Times New Roman"/>
        </w:rPr>
        <w:t>This understanding is also reflected in recent studies on CBETC enactment, which identify teachers’ beliefs, classroom practices, and contextual conditions as interconnected dimensions shaping curriculum enactment processes (Chau &amp; Tran, 2025b)</w:t>
      </w:r>
      <w:r w:rsidRPr="00A2236E">
        <w:rPr>
          <w:rFonts w:ascii="Times New Roman" w:hAnsi="Times New Roman" w:cs="Times New Roman"/>
        </w:rPr>
        <w:t>. Unlike traditional content-based approaches that mainly emphasize the transmission of grammar, vocabulary, and linguistic knowledge, CBETC requires teachers to organize learning activities that develop students’ ability to use English meaningfully in communicative contexts. This means that teachers must translate broad curricular objectives, such as communicative competence, learner autonomy, collaboration, and problem-solving, into instructional tasks, classroom interaction, assessment practices, and learning support.</w:t>
      </w:r>
    </w:p>
    <w:p w14:paraId="677B25F5" w14:textId="77777777" w:rsidR="004B61C6" w:rsidRPr="00A2236E" w:rsidRDefault="004B61C6" w:rsidP="004B61C6">
      <w:pPr>
        <w:spacing w:line="360" w:lineRule="auto"/>
        <w:ind w:firstLine="567"/>
        <w:jc w:val="both"/>
        <w:rPr>
          <w:rFonts w:ascii="Times New Roman" w:hAnsi="Times New Roman" w:cs="Times New Roman"/>
        </w:rPr>
      </w:pPr>
      <w:r w:rsidRPr="00A2236E">
        <w:rPr>
          <w:rFonts w:ascii="Times New Roman" w:hAnsi="Times New Roman" w:cs="Times New Roman"/>
        </w:rPr>
        <w:t xml:space="preserve">The notion of enactment is particularly useful because it moves beyond the linear idea of implementation. While implementation often suggests a direct movement from curriculum policy to classroom application, enactment emphasizes interpretation, negotiation, adaptation, and </w:t>
      </w:r>
      <w:r w:rsidRPr="00A2236E">
        <w:rPr>
          <w:rFonts w:ascii="Times New Roman" w:hAnsi="Times New Roman" w:cs="Times New Roman"/>
        </w:rPr>
        <w:lastRenderedPageBreak/>
        <w:t>reconstruction (Spillane, Reiser, &amp; Reimer, 2002). In the context of CBETC, teachers are simultaneously shaped by official curriculum documents and actively involved in re-creating them through their beliefs, pedagogical experience, professional knowledge, school culture, examination pressure, available resources, and students’ learning characteristics.</w:t>
      </w:r>
    </w:p>
    <w:p w14:paraId="7A6C1C5D" w14:textId="4637302D" w:rsidR="004B61C6" w:rsidRPr="00A2236E" w:rsidRDefault="004B61C6" w:rsidP="004B61C6">
      <w:pPr>
        <w:spacing w:line="360" w:lineRule="auto"/>
        <w:ind w:firstLine="567"/>
        <w:jc w:val="both"/>
        <w:rPr>
          <w:rFonts w:ascii="Times New Roman" w:hAnsi="Times New Roman" w:cs="Times New Roman"/>
        </w:rPr>
      </w:pPr>
      <w:r w:rsidRPr="00A2236E">
        <w:rPr>
          <w:rFonts w:ascii="Times New Roman" w:hAnsi="Times New Roman" w:cs="Times New Roman"/>
        </w:rPr>
        <w:t>Therefore, the enactment of CBETC is not merely a technical matter of following curriculum guidelines. It is a complex professional activity situated at the intersection of individual agency and broader institutional structures. Teachers must balance competency-oriented expectations with contextual realities, including large class sizes, limited teaching time, traditional assessment practices, and learners’ varying levels of English proficiency. To understand this multidimensional process, a theoretical framework is needed that connects teachers’ classroom actions to the social, cultural, and institutional conditions that shape them. Activity Theory provides a particularly relevant foundation for examining the enactment of CBETC as a socially mediated, contextually situated activity system.</w:t>
      </w:r>
    </w:p>
    <w:p w14:paraId="13F7F85D" w14:textId="2889FD77" w:rsidR="00576758" w:rsidRPr="00A2236E" w:rsidRDefault="00576758" w:rsidP="004B61C6">
      <w:pPr>
        <w:spacing w:line="360" w:lineRule="auto"/>
        <w:jc w:val="both"/>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2</w:t>
      </w:r>
      <w:r w:rsidRPr="00A2236E">
        <w:rPr>
          <w:rFonts w:ascii="Times New Roman" w:hAnsi="Times New Roman" w:cs="Times New Roman"/>
          <w:b/>
          <w:bCs/>
          <w:i/>
          <w:iCs/>
        </w:rPr>
        <w:t xml:space="preserve">. Overview of </w:t>
      </w:r>
      <w:r w:rsidR="00E420C2" w:rsidRPr="00A2236E">
        <w:rPr>
          <w:rFonts w:ascii="Times New Roman" w:hAnsi="Times New Roman" w:cs="Times New Roman"/>
          <w:b/>
          <w:bCs/>
          <w:i/>
          <w:iCs/>
        </w:rPr>
        <w:t>a</w:t>
      </w:r>
      <w:r w:rsidRPr="00A2236E">
        <w:rPr>
          <w:rFonts w:ascii="Times New Roman" w:hAnsi="Times New Roman" w:cs="Times New Roman"/>
          <w:b/>
          <w:bCs/>
          <w:i/>
          <w:iCs/>
        </w:rPr>
        <w:t xml:space="preserve">ctivity </w:t>
      </w:r>
      <w:r w:rsidR="00E420C2" w:rsidRPr="00A2236E">
        <w:rPr>
          <w:rFonts w:ascii="Times New Roman" w:hAnsi="Times New Roman" w:cs="Times New Roman"/>
          <w:b/>
          <w:bCs/>
          <w:i/>
          <w:iCs/>
        </w:rPr>
        <w:t>t</w:t>
      </w:r>
      <w:r w:rsidRPr="00A2236E">
        <w:rPr>
          <w:rFonts w:ascii="Times New Roman" w:hAnsi="Times New Roman" w:cs="Times New Roman"/>
          <w:b/>
          <w:bCs/>
          <w:i/>
          <w:iCs/>
        </w:rPr>
        <w:t>heory</w:t>
      </w:r>
    </w:p>
    <w:p w14:paraId="2AFFB56B" w14:textId="77645DD5" w:rsidR="00576758" w:rsidRPr="00A2236E" w:rsidRDefault="00576758"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2</w:t>
      </w:r>
      <w:r w:rsidRPr="00A2236E">
        <w:rPr>
          <w:rFonts w:ascii="Times New Roman" w:hAnsi="Times New Roman" w:cs="Times New Roman"/>
          <w:b/>
          <w:bCs/>
          <w:i/>
          <w:iCs/>
        </w:rPr>
        <w:t>.1. Sociocultural foundations (Vygotskian roots)</w:t>
      </w:r>
    </w:p>
    <w:p w14:paraId="2EDF951A" w14:textId="1A48ECEA" w:rsidR="00576758" w:rsidRPr="00A2236E" w:rsidRDefault="00576758" w:rsidP="00207C24">
      <w:pPr>
        <w:spacing w:line="360" w:lineRule="auto"/>
        <w:ind w:firstLine="567"/>
        <w:jc w:val="both"/>
        <w:rPr>
          <w:rFonts w:ascii="Times New Roman" w:hAnsi="Times New Roman" w:cs="Times New Roman"/>
        </w:rPr>
      </w:pPr>
      <w:r w:rsidRPr="00A2236E">
        <w:rPr>
          <w:rFonts w:ascii="Times New Roman" w:hAnsi="Times New Roman" w:cs="Times New Roman"/>
        </w:rPr>
        <w:t>Activity Theory originates from the sociocultural tradition of Vygotsky, who argued that higher mental functions are mediated by cultural tools and signs within social contexts (Vygotsky, 1978). Rather than conceptualizing cognition as a purely internal process, Vygotsky maintained that human action is always shaped by culturally constructed means such as language, symbols, documents, and material artifacts. The concept of mediation thus becomes foundational to AT, underscoring the idea that individuals do not interact directly with the world but do so through mediating tools.</w:t>
      </w:r>
    </w:p>
    <w:p w14:paraId="5267C802" w14:textId="77777777" w:rsidR="00576758" w:rsidRPr="00A2236E" w:rsidRDefault="00576758" w:rsidP="00207C24">
      <w:pPr>
        <w:spacing w:line="360" w:lineRule="auto"/>
        <w:ind w:firstLine="567"/>
        <w:jc w:val="both"/>
        <w:rPr>
          <w:rFonts w:ascii="Times New Roman" w:hAnsi="Times New Roman" w:cs="Times New Roman"/>
        </w:rPr>
      </w:pPr>
      <w:r w:rsidRPr="00A2236E">
        <w:rPr>
          <w:rFonts w:ascii="Times New Roman" w:hAnsi="Times New Roman" w:cs="Times New Roman"/>
        </w:rPr>
        <w:t>Moreover, tool use does not merely facilitate action; it also transforms the subject who acts. Tools are simultaneously products of cultural-historical development and instruments that shape how individuals think and behave. This insight is particularly significant in educational settings, where curricula, textbooks, instructional materials, and assessment policies function as mediating tools within teaching practice.</w:t>
      </w:r>
    </w:p>
    <w:p w14:paraId="7699ECCF" w14:textId="5C8D1368" w:rsidR="00744623" w:rsidRPr="00A2236E" w:rsidRDefault="00576758" w:rsidP="00207C24">
      <w:pPr>
        <w:spacing w:line="360" w:lineRule="auto"/>
        <w:ind w:firstLine="567"/>
        <w:jc w:val="both"/>
        <w:rPr>
          <w:rFonts w:ascii="Times New Roman" w:hAnsi="Times New Roman" w:cs="Times New Roman"/>
        </w:rPr>
      </w:pPr>
      <w:r w:rsidRPr="00A2236E">
        <w:rPr>
          <w:rFonts w:ascii="Times New Roman" w:hAnsi="Times New Roman" w:cs="Times New Roman"/>
        </w:rPr>
        <w:t>In addition, learning is conceptualized as a socially situated process. Knowledge is constructed through interaction within communities of practice rather than existing independently within individuals. This perspective provides a basis for analyzing the classroom as a social activity system in which teachers and students collaboratively construct meaning.</w:t>
      </w:r>
    </w:p>
    <w:p w14:paraId="0A1EAED3" w14:textId="5E53CF4E" w:rsidR="00744623" w:rsidRPr="00A2236E" w:rsidRDefault="00744623"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lastRenderedPageBreak/>
        <w:t>2.</w:t>
      </w:r>
      <w:r w:rsidR="00F80C5F">
        <w:rPr>
          <w:rFonts w:ascii="Times New Roman" w:hAnsi="Times New Roman" w:cs="Times New Roman"/>
          <w:b/>
          <w:bCs/>
          <w:i/>
          <w:iCs/>
        </w:rPr>
        <w:t>2</w:t>
      </w:r>
      <w:r w:rsidRPr="00A2236E">
        <w:rPr>
          <w:rFonts w:ascii="Times New Roman" w:hAnsi="Times New Roman" w:cs="Times New Roman"/>
          <w:b/>
          <w:bCs/>
          <w:i/>
          <w:iCs/>
        </w:rPr>
        <w:t xml:space="preserve">.2. First and second generations of </w:t>
      </w:r>
      <w:r w:rsidR="00207C24" w:rsidRPr="00A2236E">
        <w:rPr>
          <w:rFonts w:ascii="Times New Roman" w:hAnsi="Times New Roman" w:cs="Times New Roman"/>
          <w:b/>
          <w:bCs/>
          <w:i/>
          <w:iCs/>
        </w:rPr>
        <w:t>a</w:t>
      </w:r>
      <w:r w:rsidRPr="00A2236E">
        <w:rPr>
          <w:rFonts w:ascii="Times New Roman" w:hAnsi="Times New Roman" w:cs="Times New Roman"/>
          <w:b/>
          <w:bCs/>
          <w:i/>
          <w:iCs/>
        </w:rPr>
        <w:t xml:space="preserve">ctivity </w:t>
      </w:r>
      <w:r w:rsidR="00207C24" w:rsidRPr="00A2236E">
        <w:rPr>
          <w:rFonts w:ascii="Times New Roman" w:hAnsi="Times New Roman" w:cs="Times New Roman"/>
          <w:b/>
          <w:bCs/>
          <w:i/>
          <w:iCs/>
        </w:rPr>
        <w:t>t</w:t>
      </w:r>
      <w:r w:rsidRPr="00A2236E">
        <w:rPr>
          <w:rFonts w:ascii="Times New Roman" w:hAnsi="Times New Roman" w:cs="Times New Roman"/>
          <w:b/>
          <w:bCs/>
          <w:i/>
          <w:iCs/>
        </w:rPr>
        <w:t>heory</w:t>
      </w:r>
    </w:p>
    <w:p w14:paraId="7F83C559" w14:textId="77777777" w:rsidR="00833813" w:rsidRPr="00A2236E" w:rsidRDefault="00833813" w:rsidP="00207C24">
      <w:pPr>
        <w:spacing w:line="360" w:lineRule="auto"/>
        <w:ind w:firstLine="567"/>
        <w:jc w:val="both"/>
        <w:rPr>
          <w:rFonts w:ascii="Times New Roman" w:hAnsi="Times New Roman" w:cs="Times New Roman"/>
        </w:rPr>
      </w:pPr>
      <w:r w:rsidRPr="00A2236E">
        <w:rPr>
          <w:rFonts w:ascii="Times New Roman" w:hAnsi="Times New Roman" w:cs="Times New Roman"/>
        </w:rPr>
        <w:t>Building on Vygotsky’s foundational principles, Leontiev extended AT by distinguishing between activity, action, and operation, thereby emphasizing the goal-directed nature of human activity (Leontiev, 1978). This distinction suggests that activity is always oriented toward an object, an element that generates both motivation and meaning for human action.</w:t>
      </w:r>
    </w:p>
    <w:p w14:paraId="7D36D267" w14:textId="77777777" w:rsidR="00833813" w:rsidRPr="00A2236E" w:rsidRDefault="00833813" w:rsidP="00207C24">
      <w:pPr>
        <w:spacing w:line="360" w:lineRule="auto"/>
        <w:jc w:val="both"/>
        <w:rPr>
          <w:rFonts w:ascii="Times New Roman" w:hAnsi="Times New Roman" w:cs="Times New Roman"/>
        </w:rPr>
      </w:pPr>
      <w:r w:rsidRPr="00A2236E">
        <w:rPr>
          <w:rFonts w:ascii="Times New Roman" w:hAnsi="Times New Roman" w:cs="Times New Roman"/>
        </w:rPr>
        <w:t>Subsequently, on this theoretical foundation, Yrjö Engeström developed the second generation of AT by constructing the well-known expanded triangular model of the activity system (Engeström, 1987). This model comprises the following core components:</w:t>
      </w:r>
    </w:p>
    <w:p w14:paraId="3B32BFEA" w14:textId="77777777" w:rsidR="00833813" w:rsidRPr="00A2236E" w:rsidRDefault="00833813" w:rsidP="00207C24">
      <w:pPr>
        <w:numPr>
          <w:ilvl w:val="0"/>
          <w:numId w:val="4"/>
        </w:numPr>
        <w:tabs>
          <w:tab w:val="clear" w:pos="720"/>
        </w:tabs>
        <w:spacing w:line="360" w:lineRule="auto"/>
        <w:ind w:hanging="153"/>
        <w:jc w:val="both"/>
        <w:rPr>
          <w:rFonts w:ascii="Times New Roman" w:hAnsi="Times New Roman" w:cs="Times New Roman"/>
        </w:rPr>
      </w:pPr>
      <w:r w:rsidRPr="00A2236E">
        <w:rPr>
          <w:rFonts w:ascii="Times New Roman" w:hAnsi="Times New Roman" w:cs="Times New Roman"/>
        </w:rPr>
        <w:t>Subject</w:t>
      </w:r>
    </w:p>
    <w:p w14:paraId="24F94FA6" w14:textId="77777777" w:rsidR="00833813" w:rsidRPr="00A2236E" w:rsidRDefault="00833813" w:rsidP="00207C24">
      <w:pPr>
        <w:numPr>
          <w:ilvl w:val="0"/>
          <w:numId w:val="4"/>
        </w:numPr>
        <w:tabs>
          <w:tab w:val="clear" w:pos="720"/>
        </w:tabs>
        <w:spacing w:line="360" w:lineRule="auto"/>
        <w:ind w:hanging="153"/>
        <w:jc w:val="both"/>
        <w:rPr>
          <w:rFonts w:ascii="Times New Roman" w:hAnsi="Times New Roman" w:cs="Times New Roman"/>
        </w:rPr>
      </w:pPr>
      <w:r w:rsidRPr="00A2236E">
        <w:rPr>
          <w:rFonts w:ascii="Times New Roman" w:hAnsi="Times New Roman" w:cs="Times New Roman"/>
        </w:rPr>
        <w:t>Object</w:t>
      </w:r>
    </w:p>
    <w:p w14:paraId="0B714C67" w14:textId="77777777" w:rsidR="00833813" w:rsidRPr="00A2236E" w:rsidRDefault="00833813" w:rsidP="00207C24">
      <w:pPr>
        <w:numPr>
          <w:ilvl w:val="0"/>
          <w:numId w:val="4"/>
        </w:numPr>
        <w:tabs>
          <w:tab w:val="clear" w:pos="720"/>
        </w:tabs>
        <w:spacing w:line="360" w:lineRule="auto"/>
        <w:ind w:hanging="153"/>
        <w:jc w:val="both"/>
        <w:rPr>
          <w:rFonts w:ascii="Times New Roman" w:hAnsi="Times New Roman" w:cs="Times New Roman"/>
        </w:rPr>
      </w:pPr>
      <w:r w:rsidRPr="00A2236E">
        <w:rPr>
          <w:rFonts w:ascii="Times New Roman" w:hAnsi="Times New Roman" w:cs="Times New Roman"/>
        </w:rPr>
        <w:t>Tools (mediating artifacts)</w:t>
      </w:r>
    </w:p>
    <w:p w14:paraId="148CCEA2" w14:textId="77777777" w:rsidR="00833813" w:rsidRPr="00A2236E" w:rsidRDefault="00833813" w:rsidP="00207C24">
      <w:pPr>
        <w:numPr>
          <w:ilvl w:val="0"/>
          <w:numId w:val="4"/>
        </w:numPr>
        <w:tabs>
          <w:tab w:val="clear" w:pos="720"/>
        </w:tabs>
        <w:spacing w:line="360" w:lineRule="auto"/>
        <w:ind w:hanging="153"/>
        <w:jc w:val="both"/>
        <w:rPr>
          <w:rFonts w:ascii="Times New Roman" w:hAnsi="Times New Roman" w:cs="Times New Roman"/>
        </w:rPr>
      </w:pPr>
      <w:r w:rsidRPr="00A2236E">
        <w:rPr>
          <w:rFonts w:ascii="Times New Roman" w:hAnsi="Times New Roman" w:cs="Times New Roman"/>
        </w:rPr>
        <w:t>Rules</w:t>
      </w:r>
    </w:p>
    <w:p w14:paraId="78DFCDB4" w14:textId="77777777" w:rsidR="00833813" w:rsidRPr="00A2236E" w:rsidRDefault="00833813" w:rsidP="00207C24">
      <w:pPr>
        <w:numPr>
          <w:ilvl w:val="0"/>
          <w:numId w:val="4"/>
        </w:numPr>
        <w:tabs>
          <w:tab w:val="clear" w:pos="720"/>
        </w:tabs>
        <w:spacing w:line="360" w:lineRule="auto"/>
        <w:ind w:hanging="153"/>
        <w:jc w:val="both"/>
        <w:rPr>
          <w:rFonts w:ascii="Times New Roman" w:hAnsi="Times New Roman" w:cs="Times New Roman"/>
        </w:rPr>
      </w:pPr>
      <w:r w:rsidRPr="00A2236E">
        <w:rPr>
          <w:rFonts w:ascii="Times New Roman" w:hAnsi="Times New Roman" w:cs="Times New Roman"/>
        </w:rPr>
        <w:t>Community</w:t>
      </w:r>
    </w:p>
    <w:p w14:paraId="3CE35CB7" w14:textId="77777777" w:rsidR="00833813" w:rsidRPr="00A2236E" w:rsidRDefault="00833813" w:rsidP="00207C24">
      <w:pPr>
        <w:numPr>
          <w:ilvl w:val="0"/>
          <w:numId w:val="4"/>
        </w:numPr>
        <w:tabs>
          <w:tab w:val="clear" w:pos="720"/>
        </w:tabs>
        <w:spacing w:line="360" w:lineRule="auto"/>
        <w:ind w:hanging="153"/>
        <w:jc w:val="both"/>
        <w:rPr>
          <w:rFonts w:ascii="Times New Roman" w:hAnsi="Times New Roman" w:cs="Times New Roman"/>
        </w:rPr>
      </w:pPr>
      <w:r w:rsidRPr="00A2236E">
        <w:rPr>
          <w:rFonts w:ascii="Times New Roman" w:hAnsi="Times New Roman" w:cs="Times New Roman"/>
        </w:rPr>
        <w:t>Division of labor</w:t>
      </w:r>
    </w:p>
    <w:p w14:paraId="7968A8BA" w14:textId="77777777" w:rsidR="00833813" w:rsidRPr="00A2236E" w:rsidRDefault="00833813" w:rsidP="00207C24">
      <w:pPr>
        <w:spacing w:line="360" w:lineRule="auto"/>
        <w:ind w:firstLine="567"/>
        <w:jc w:val="both"/>
        <w:rPr>
          <w:rFonts w:ascii="Times New Roman" w:hAnsi="Times New Roman" w:cs="Times New Roman"/>
        </w:rPr>
      </w:pPr>
      <w:r w:rsidRPr="00A2236E">
        <w:rPr>
          <w:rFonts w:ascii="Times New Roman" w:hAnsi="Times New Roman" w:cs="Times New Roman"/>
        </w:rPr>
        <w:t>By incorporating social dimensions such as rules, community, and division of labor, AT moves beyond individual, level analysis and enables the examination of action in relation to institutional and cultural structures. In educational research, this model is particularly valuable for analyzing teaching practice as a complex system in which teachers do not act independently but are influenced by multiple interacting forces.</w:t>
      </w:r>
    </w:p>
    <w:p w14:paraId="3F1DD604" w14:textId="7C056BE2" w:rsidR="00833813" w:rsidRPr="00A2236E" w:rsidRDefault="00833813"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2</w:t>
      </w:r>
      <w:r w:rsidRPr="00A2236E">
        <w:rPr>
          <w:rFonts w:ascii="Times New Roman" w:hAnsi="Times New Roman" w:cs="Times New Roman"/>
          <w:b/>
          <w:bCs/>
          <w:i/>
          <w:iCs/>
        </w:rPr>
        <w:t xml:space="preserve">.3. Engeström’s </w:t>
      </w:r>
      <w:r w:rsidR="0077196B" w:rsidRPr="00A2236E">
        <w:rPr>
          <w:rFonts w:ascii="Times New Roman" w:hAnsi="Times New Roman" w:cs="Times New Roman"/>
          <w:b/>
          <w:bCs/>
          <w:i/>
          <w:iCs/>
        </w:rPr>
        <w:t>t</w:t>
      </w:r>
      <w:r w:rsidRPr="00A2236E">
        <w:rPr>
          <w:rFonts w:ascii="Times New Roman" w:hAnsi="Times New Roman" w:cs="Times New Roman"/>
          <w:b/>
          <w:bCs/>
          <w:i/>
          <w:iCs/>
        </w:rPr>
        <w:t>hird-</w:t>
      </w:r>
      <w:r w:rsidR="0077196B" w:rsidRPr="00A2236E">
        <w:rPr>
          <w:rFonts w:ascii="Times New Roman" w:hAnsi="Times New Roman" w:cs="Times New Roman"/>
          <w:b/>
          <w:bCs/>
          <w:i/>
          <w:iCs/>
        </w:rPr>
        <w:t>g</w:t>
      </w:r>
      <w:r w:rsidRPr="00A2236E">
        <w:rPr>
          <w:rFonts w:ascii="Times New Roman" w:hAnsi="Times New Roman" w:cs="Times New Roman"/>
          <w:b/>
          <w:bCs/>
          <w:i/>
          <w:iCs/>
        </w:rPr>
        <w:t xml:space="preserve">eneration </w:t>
      </w:r>
      <w:r w:rsidR="0077196B" w:rsidRPr="00A2236E">
        <w:rPr>
          <w:rFonts w:ascii="Times New Roman" w:hAnsi="Times New Roman" w:cs="Times New Roman"/>
          <w:b/>
          <w:bCs/>
          <w:i/>
          <w:iCs/>
        </w:rPr>
        <w:t>a</w:t>
      </w:r>
      <w:r w:rsidRPr="00A2236E">
        <w:rPr>
          <w:rFonts w:ascii="Times New Roman" w:hAnsi="Times New Roman" w:cs="Times New Roman"/>
          <w:b/>
          <w:bCs/>
          <w:i/>
          <w:iCs/>
        </w:rPr>
        <w:t xml:space="preserve">ctivity </w:t>
      </w:r>
      <w:r w:rsidR="0077196B" w:rsidRPr="00A2236E">
        <w:rPr>
          <w:rFonts w:ascii="Times New Roman" w:hAnsi="Times New Roman" w:cs="Times New Roman"/>
          <w:b/>
          <w:bCs/>
          <w:i/>
          <w:iCs/>
        </w:rPr>
        <w:t>t</w:t>
      </w:r>
      <w:r w:rsidRPr="00A2236E">
        <w:rPr>
          <w:rFonts w:ascii="Times New Roman" w:hAnsi="Times New Roman" w:cs="Times New Roman"/>
          <w:b/>
          <w:bCs/>
          <w:i/>
          <w:iCs/>
        </w:rPr>
        <w:t>heory</w:t>
      </w:r>
    </w:p>
    <w:p w14:paraId="76A82766" w14:textId="77777777" w:rsidR="00833813" w:rsidRPr="00A2236E" w:rsidRDefault="00833813" w:rsidP="00207C24">
      <w:pPr>
        <w:spacing w:line="360" w:lineRule="auto"/>
        <w:ind w:firstLine="567"/>
        <w:jc w:val="both"/>
        <w:rPr>
          <w:rFonts w:ascii="Times New Roman" w:hAnsi="Times New Roman" w:cs="Times New Roman"/>
        </w:rPr>
      </w:pPr>
      <w:r w:rsidRPr="00A2236E">
        <w:rPr>
          <w:rFonts w:ascii="Times New Roman" w:hAnsi="Times New Roman" w:cs="Times New Roman"/>
        </w:rPr>
        <w:t>In the third generation, Engeström (2009) further expanded AT to analyze interactions among multiple activity systems. Rather than focusing on a single activity system, as in earlier versions, Engeström proposed a model of interacting activity systems, which is especially suitable for contexts of educational reform, where policy, school, and classroom can be conceptualized as interconnected systems.</w:t>
      </w:r>
    </w:p>
    <w:p w14:paraId="2BFC6CFE" w14:textId="77777777" w:rsidR="00833813" w:rsidRPr="00A2236E" w:rsidRDefault="00833813" w:rsidP="00207C24">
      <w:pPr>
        <w:spacing w:line="360" w:lineRule="auto"/>
        <w:ind w:firstLine="567"/>
        <w:jc w:val="both"/>
        <w:rPr>
          <w:rFonts w:ascii="Times New Roman" w:hAnsi="Times New Roman" w:cs="Times New Roman"/>
        </w:rPr>
      </w:pPr>
      <w:r w:rsidRPr="00A2236E">
        <w:rPr>
          <w:rFonts w:ascii="Times New Roman" w:hAnsi="Times New Roman" w:cs="Times New Roman"/>
        </w:rPr>
        <w:t xml:space="preserve">In addition, a significant contribution of the third generation is the concept of expansive learning. According to this perspective, learning is not merely the acquisition of existing knowledge but a process of reconstructing the object of activity through the resolution of internal contradictions. Contradictions are viewed as the driving force for change and development within activity systems. For example, in the context of the CBETC, the contradiction between the goal of </w:t>
      </w:r>
      <w:r w:rsidRPr="00A2236E">
        <w:rPr>
          <w:rFonts w:ascii="Times New Roman" w:hAnsi="Times New Roman" w:cs="Times New Roman"/>
        </w:rPr>
        <w:lastRenderedPageBreak/>
        <w:t>developing communicative competence and grammar-oriented assessment practices may create tension while simultaneously opening up opportunities for innovation in teaching practice.</w:t>
      </w:r>
    </w:p>
    <w:p w14:paraId="0DEE0659" w14:textId="77777777" w:rsidR="00833813" w:rsidRPr="00A2236E" w:rsidRDefault="00833813" w:rsidP="00207C24">
      <w:pPr>
        <w:spacing w:line="360" w:lineRule="auto"/>
        <w:ind w:firstLine="567"/>
        <w:jc w:val="both"/>
        <w:rPr>
          <w:rFonts w:ascii="Times New Roman" w:hAnsi="Times New Roman" w:cs="Times New Roman"/>
        </w:rPr>
      </w:pPr>
      <w:r w:rsidRPr="00A2236E">
        <w:rPr>
          <w:rFonts w:ascii="Times New Roman" w:hAnsi="Times New Roman" w:cs="Times New Roman"/>
        </w:rPr>
        <w:t>By emphasizing the role of contradictions and transformation, third-generation AT provides a dynamic analytical lens through which curriculum enactment can be understood not as passive adaptation but as a developmental process of reconstruction. This perspective is particularly relevant to research on the enactment of CBETC, where teachers continuously adjust their practices to respond to policy demands and contextual constraints.</w:t>
      </w:r>
    </w:p>
    <w:p w14:paraId="42BD1591" w14:textId="1FAF08B7" w:rsidR="00744623" w:rsidRPr="00A2236E" w:rsidRDefault="00833813" w:rsidP="00207C24">
      <w:pPr>
        <w:spacing w:line="360" w:lineRule="auto"/>
        <w:ind w:firstLine="567"/>
        <w:jc w:val="both"/>
        <w:rPr>
          <w:rFonts w:ascii="Times New Roman" w:hAnsi="Times New Roman" w:cs="Times New Roman"/>
        </w:rPr>
      </w:pPr>
      <w:r w:rsidRPr="00A2236E">
        <w:rPr>
          <w:rFonts w:ascii="Times New Roman" w:hAnsi="Times New Roman" w:cs="Times New Roman"/>
        </w:rPr>
        <w:t>In sum, Activity Theory offers a comprehensive theoretical framework for analyzing teachers’ curriculum enactment as a socially situated activity system, highlighting the roles of mediation, context, and contradiction in professional development and educational change.</w:t>
      </w:r>
    </w:p>
    <w:p w14:paraId="6A6D81D0" w14:textId="22706C66" w:rsidR="00042713" w:rsidRPr="00A2236E" w:rsidRDefault="00560A90" w:rsidP="00560A90">
      <w:pPr>
        <w:spacing w:line="360" w:lineRule="auto"/>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3</w:t>
      </w:r>
      <w:r w:rsidR="00042713" w:rsidRPr="00A2236E">
        <w:rPr>
          <w:rFonts w:ascii="Times New Roman" w:hAnsi="Times New Roman" w:cs="Times New Roman"/>
          <w:b/>
          <w:bCs/>
          <w:i/>
          <w:iCs/>
        </w:rPr>
        <w:t xml:space="preserve">. Applying </w:t>
      </w:r>
      <w:r w:rsidRPr="00A2236E">
        <w:rPr>
          <w:rFonts w:ascii="Times New Roman" w:hAnsi="Times New Roman" w:cs="Times New Roman"/>
          <w:b/>
          <w:bCs/>
          <w:i/>
          <w:iCs/>
        </w:rPr>
        <w:t>a</w:t>
      </w:r>
      <w:r w:rsidR="00042713" w:rsidRPr="00A2236E">
        <w:rPr>
          <w:rFonts w:ascii="Times New Roman" w:hAnsi="Times New Roman" w:cs="Times New Roman"/>
          <w:b/>
          <w:bCs/>
          <w:i/>
          <w:iCs/>
        </w:rPr>
        <w:t xml:space="preserve">ctivity </w:t>
      </w:r>
      <w:r w:rsidRPr="00A2236E">
        <w:rPr>
          <w:rFonts w:ascii="Times New Roman" w:hAnsi="Times New Roman" w:cs="Times New Roman"/>
          <w:b/>
          <w:bCs/>
          <w:i/>
          <w:iCs/>
        </w:rPr>
        <w:t>t</w:t>
      </w:r>
      <w:r w:rsidR="00042713" w:rsidRPr="00A2236E">
        <w:rPr>
          <w:rFonts w:ascii="Times New Roman" w:hAnsi="Times New Roman" w:cs="Times New Roman"/>
          <w:b/>
          <w:bCs/>
          <w:i/>
          <w:iCs/>
        </w:rPr>
        <w:t xml:space="preserve">heory to </w:t>
      </w:r>
      <w:r w:rsidRPr="00A2236E">
        <w:rPr>
          <w:rFonts w:ascii="Times New Roman" w:hAnsi="Times New Roman" w:cs="Times New Roman"/>
          <w:b/>
          <w:bCs/>
          <w:i/>
          <w:iCs/>
        </w:rPr>
        <w:t>t</w:t>
      </w:r>
      <w:r w:rsidR="00042713" w:rsidRPr="00A2236E">
        <w:rPr>
          <w:rFonts w:ascii="Times New Roman" w:hAnsi="Times New Roman" w:cs="Times New Roman"/>
          <w:b/>
          <w:bCs/>
          <w:i/>
          <w:iCs/>
        </w:rPr>
        <w:t xml:space="preserve">eachers’ </w:t>
      </w:r>
      <w:r w:rsidRPr="00A2236E">
        <w:rPr>
          <w:rFonts w:ascii="Times New Roman" w:hAnsi="Times New Roman" w:cs="Times New Roman"/>
          <w:b/>
          <w:bCs/>
          <w:i/>
          <w:iCs/>
        </w:rPr>
        <w:t>e</w:t>
      </w:r>
      <w:r w:rsidR="00042713" w:rsidRPr="00A2236E">
        <w:rPr>
          <w:rFonts w:ascii="Times New Roman" w:hAnsi="Times New Roman" w:cs="Times New Roman"/>
          <w:b/>
          <w:bCs/>
          <w:i/>
          <w:iCs/>
        </w:rPr>
        <w:t>nactment of CBETC</w:t>
      </w:r>
    </w:p>
    <w:p w14:paraId="0619F0A4" w14:textId="397B0DAA" w:rsidR="00042713"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3</w:t>
      </w:r>
      <w:r w:rsidR="00042713" w:rsidRPr="00A2236E">
        <w:rPr>
          <w:rFonts w:ascii="Times New Roman" w:hAnsi="Times New Roman" w:cs="Times New Roman"/>
          <w:b/>
          <w:bCs/>
          <w:i/>
          <w:iCs/>
        </w:rPr>
        <w:t>.1. Conceptualizing CBETC enactment as an activity system</w:t>
      </w:r>
    </w:p>
    <w:p w14:paraId="01C7DB68" w14:textId="77777777"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Based on Engeström’s (2009) analytical framework, the process of teachers enacting the CBETC can be conceptualized as an activity system in which its components interact dynamically.</w:t>
      </w:r>
    </w:p>
    <w:p w14:paraId="6B38D329" w14:textId="1379B608"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First, the subject of the system is English language teachers—the professional agents who directly interpret and actualize the curriculum in classroom practice. They do not merely transmit content; instead, they make pedagogical decisions grounded in their experience, beliefs, and contextual conditions. Second, the object of the activity is the development of students’ English communicative competence in alignment with the orientation of the new general education curriculum. This object is dynamic and may be reconstructed in practice, for instance, when teachers shift their focus from communicative competence development to ensuring examination performance. Third, the tools include textbooks, curriculum guidelines, policy documents, instructional technologies, and pedagogical strategies. From Vygotsky’s (1978) perspective, these tools function as mediating artifacts that shape how teachers organize learning activities.</w:t>
      </w:r>
    </w:p>
    <w:p w14:paraId="7E09B671" w14:textId="77777777"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 xml:space="preserve">In addition, rules encompass assessment regulations, school culture, professional standards, and societal expectations. These rules either support or constrain the enactment of competency-oriented activities. The community consists of students, colleagues, school leaders, and parents—stakeholders who participate in or influence the enactment process. Finally, the division of labor reflects the allocation of roles among teachers, subject departments, and school leadership in organizing and supervising instructional activities. Conceptualizing CBETC enactment as an </w:t>
      </w:r>
      <w:r w:rsidRPr="00A2236E">
        <w:rPr>
          <w:rFonts w:ascii="Times New Roman" w:hAnsi="Times New Roman" w:cs="Times New Roman"/>
        </w:rPr>
        <w:lastRenderedPageBreak/>
        <w:t>activity system allows for the simultaneous analysis of individual and structural factors, rather than reducing the issue to teachers’ personal competence alone.</w:t>
      </w:r>
    </w:p>
    <w:p w14:paraId="55A90935" w14:textId="56615233" w:rsidR="00A30B91"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3</w:t>
      </w:r>
      <w:r w:rsidR="00A30B91" w:rsidRPr="00A2236E">
        <w:rPr>
          <w:rFonts w:ascii="Times New Roman" w:hAnsi="Times New Roman" w:cs="Times New Roman"/>
          <w:b/>
          <w:bCs/>
          <w:i/>
          <w:iCs/>
        </w:rPr>
        <w:t xml:space="preserve">.2. Mediations and </w:t>
      </w:r>
      <w:r w:rsidR="00E420C2" w:rsidRPr="00A2236E">
        <w:rPr>
          <w:rFonts w:ascii="Times New Roman" w:hAnsi="Times New Roman" w:cs="Times New Roman"/>
          <w:b/>
          <w:bCs/>
          <w:i/>
          <w:iCs/>
        </w:rPr>
        <w:t>i</w:t>
      </w:r>
      <w:r w:rsidR="00A30B91" w:rsidRPr="00A2236E">
        <w:rPr>
          <w:rFonts w:ascii="Times New Roman" w:hAnsi="Times New Roman" w:cs="Times New Roman"/>
          <w:b/>
          <w:bCs/>
          <w:i/>
          <w:iCs/>
        </w:rPr>
        <w:t xml:space="preserve">nteractions within the </w:t>
      </w:r>
      <w:r w:rsidR="00D44D23" w:rsidRPr="00A2236E">
        <w:rPr>
          <w:rFonts w:ascii="Times New Roman" w:hAnsi="Times New Roman" w:cs="Times New Roman"/>
          <w:b/>
          <w:bCs/>
          <w:i/>
          <w:iCs/>
        </w:rPr>
        <w:t>a</w:t>
      </w:r>
      <w:r w:rsidR="00A30B91" w:rsidRPr="00A2236E">
        <w:rPr>
          <w:rFonts w:ascii="Times New Roman" w:hAnsi="Times New Roman" w:cs="Times New Roman"/>
          <w:b/>
          <w:bCs/>
          <w:i/>
          <w:iCs/>
        </w:rPr>
        <w:t xml:space="preserve">ctivity </w:t>
      </w:r>
      <w:r w:rsidR="00D44D23" w:rsidRPr="00A2236E">
        <w:rPr>
          <w:rFonts w:ascii="Times New Roman" w:hAnsi="Times New Roman" w:cs="Times New Roman"/>
          <w:b/>
          <w:bCs/>
          <w:i/>
          <w:iCs/>
        </w:rPr>
        <w:t>s</w:t>
      </w:r>
      <w:r w:rsidR="00A30B91" w:rsidRPr="00A2236E">
        <w:rPr>
          <w:rFonts w:ascii="Times New Roman" w:hAnsi="Times New Roman" w:cs="Times New Roman"/>
          <w:b/>
          <w:bCs/>
          <w:i/>
          <w:iCs/>
        </w:rPr>
        <w:t>ystem</w:t>
      </w:r>
    </w:p>
    <w:p w14:paraId="50D30F58" w14:textId="77777777"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Within this system, components do not exist in isolation but continuously interact and mediate one another. Instructional tools, such as competency-oriented textbooks, may encourage teachers to organize communicative activities, project-based learning, or formative assessment. However, tool use is not mechanical; teachers may reinterpret materials in light of their own experience and beliefs. According to Spillane et al. (2002), policy implementation is inherently a process of “sense-making,” in which teachers interpret and adapt policy messages within specific contexts.</w:t>
      </w:r>
    </w:p>
    <w:p w14:paraId="4C007BAF" w14:textId="3064B06F"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Rules also function as critical mediating elements. In educational contexts strongly influenced by high-stakes examinations, the pressure to achieve high scores on standardized tests may lead teachers to prioritize grammatical structures over the development of communicative competence</w:t>
      </w:r>
      <w:r w:rsidR="00D40D04" w:rsidRPr="00A2236E">
        <w:rPr>
          <w:rFonts w:ascii="Times New Roman" w:hAnsi="Times New Roman" w:cs="Times New Roman"/>
        </w:rPr>
        <w:t xml:space="preserve"> (Chau &amp; Tran, 2025</w:t>
      </w:r>
      <w:r w:rsidR="00056AD1" w:rsidRPr="00A2236E">
        <w:rPr>
          <w:rFonts w:ascii="Times New Roman" w:hAnsi="Times New Roman" w:cs="Times New Roman"/>
        </w:rPr>
        <w:t>a</w:t>
      </w:r>
      <w:r w:rsidR="00D40D04" w:rsidRPr="00A2236E">
        <w:rPr>
          <w:rFonts w:ascii="Times New Roman" w:hAnsi="Times New Roman" w:cs="Times New Roman"/>
        </w:rPr>
        <w:t>)</w:t>
      </w:r>
      <w:r w:rsidRPr="00A2236E">
        <w:rPr>
          <w:rFonts w:ascii="Times New Roman" w:hAnsi="Times New Roman" w:cs="Times New Roman"/>
        </w:rPr>
        <w:t>. This illustrates how the interaction between the object (competency development) and rules (knowledge-oriented assessment) can transform the orientation of activity.</w:t>
      </w:r>
    </w:p>
    <w:p w14:paraId="4995C4D0" w14:textId="77777777"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Moreover, community and division of labor shape how teachers enact the curriculum. Professional support from subject departments, structured professional meetings, and leadership direction may create enabling conditions for methodological innovation. Conversely, a lack of coordination or unclear role allocation may undermine the effectiveness of enactment. As argued by Priestley et al. (2015), teacher agency is always formed within an ecological relationship between individuals and their contexts.</w:t>
      </w:r>
    </w:p>
    <w:p w14:paraId="11AC2A0B" w14:textId="58E5F0C8" w:rsidR="00A30B91"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3</w:t>
      </w:r>
      <w:r w:rsidR="00A30B91" w:rsidRPr="00A2236E">
        <w:rPr>
          <w:rFonts w:ascii="Times New Roman" w:hAnsi="Times New Roman" w:cs="Times New Roman"/>
          <w:b/>
          <w:bCs/>
          <w:i/>
          <w:iCs/>
        </w:rPr>
        <w:t xml:space="preserve">.3. Contradictions and </w:t>
      </w:r>
      <w:r w:rsidR="00E420C2" w:rsidRPr="00A2236E">
        <w:rPr>
          <w:rFonts w:ascii="Times New Roman" w:hAnsi="Times New Roman" w:cs="Times New Roman"/>
          <w:b/>
          <w:bCs/>
          <w:i/>
          <w:iCs/>
        </w:rPr>
        <w:t>t</w:t>
      </w:r>
      <w:r w:rsidR="00A30B91" w:rsidRPr="00A2236E">
        <w:rPr>
          <w:rFonts w:ascii="Times New Roman" w:hAnsi="Times New Roman" w:cs="Times New Roman"/>
          <w:b/>
          <w:bCs/>
          <w:i/>
          <w:iCs/>
        </w:rPr>
        <w:t xml:space="preserve">ensions in CBETC </w:t>
      </w:r>
      <w:r w:rsidRPr="00A2236E">
        <w:rPr>
          <w:rFonts w:ascii="Times New Roman" w:hAnsi="Times New Roman" w:cs="Times New Roman"/>
          <w:b/>
          <w:bCs/>
          <w:i/>
          <w:iCs/>
        </w:rPr>
        <w:t>e</w:t>
      </w:r>
      <w:r w:rsidR="00A30B91" w:rsidRPr="00A2236E">
        <w:rPr>
          <w:rFonts w:ascii="Times New Roman" w:hAnsi="Times New Roman" w:cs="Times New Roman"/>
          <w:b/>
          <w:bCs/>
          <w:i/>
          <w:iCs/>
        </w:rPr>
        <w:t>nactment</w:t>
      </w:r>
    </w:p>
    <w:p w14:paraId="14D5B09B" w14:textId="77777777"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One of the key contributions of AT is its conceptualization of contradictions as drivers of change (Engeström, 2009). In the context of CBETC, the following three typical contradictions can be identified.</w:t>
      </w:r>
    </w:p>
    <w:p w14:paraId="64E4DE28" w14:textId="21D16E1D"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 xml:space="preserve">The first concerns the tension between the goal of communicative competence development and an assessment system oriented toward grammatical knowledge. Within the AT framework, this represents a contradiction between the object and rules of the activity system. In practice, when examinations continue to emphasize linguistic structures, teachers may adjust their instructional </w:t>
      </w:r>
      <w:r w:rsidRPr="00A2236E">
        <w:rPr>
          <w:rFonts w:ascii="Times New Roman" w:hAnsi="Times New Roman" w:cs="Times New Roman"/>
        </w:rPr>
        <w:lastRenderedPageBreak/>
        <w:t>activities to meet assessment demands, thereby weakening the coherence of the competency-based curriculum</w:t>
      </w:r>
      <w:r w:rsidR="00D40D04" w:rsidRPr="00A2236E">
        <w:rPr>
          <w:rFonts w:ascii="Times New Roman" w:hAnsi="Times New Roman" w:cs="Times New Roman"/>
        </w:rPr>
        <w:t xml:space="preserve"> (Chau &amp; Tran, 2025</w:t>
      </w:r>
      <w:r w:rsidR="00056AD1" w:rsidRPr="00A2236E">
        <w:rPr>
          <w:rFonts w:ascii="Times New Roman" w:hAnsi="Times New Roman" w:cs="Times New Roman"/>
        </w:rPr>
        <w:t>a</w:t>
      </w:r>
      <w:r w:rsidR="00D40D04" w:rsidRPr="00A2236E">
        <w:rPr>
          <w:rFonts w:ascii="Times New Roman" w:hAnsi="Times New Roman" w:cs="Times New Roman"/>
        </w:rPr>
        <w:t>)</w:t>
      </w:r>
      <w:r w:rsidRPr="00A2236E">
        <w:rPr>
          <w:rFonts w:ascii="Times New Roman" w:hAnsi="Times New Roman" w:cs="Times New Roman"/>
        </w:rPr>
        <w:t>.</w:t>
      </w:r>
    </w:p>
    <w:p w14:paraId="3B2B990C" w14:textId="77777777"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The second contradiction lies between innovative pedagogical approaches (e.g., project-based learning, group work, formative assessment) and contextual constraints such as large class sizes, limited instructional time, or insufficient technological resources. This reflects tensions among tools, rules, and the material conditions embedded within the community.</w:t>
      </w:r>
    </w:p>
    <w:p w14:paraId="6513298A" w14:textId="226FA53E"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The third is an internal contradiction among teachers, specifically between beliefs in communicative language teaching and entrenched traditional teaching habits. According to Leontiev (1978), the motive of activity may shift when the object is reconstructed; thus, the tension between long-term professional goals and short-term performance pressures may lead to adjustments in pedagogical action.</w:t>
      </w:r>
      <w:r w:rsidR="00D44D23" w:rsidRPr="00A2236E">
        <w:rPr>
          <w:rFonts w:ascii="Times New Roman" w:hAnsi="Times New Roman" w:cs="Times New Roman"/>
        </w:rPr>
        <w:t xml:space="preserve"> </w:t>
      </w:r>
      <w:r w:rsidRPr="00A2236E">
        <w:rPr>
          <w:rFonts w:ascii="Times New Roman" w:hAnsi="Times New Roman" w:cs="Times New Roman"/>
        </w:rPr>
        <w:t>These contradictions should not be viewed solely as barriers but as potential sources for restructuring the activity system.</w:t>
      </w:r>
    </w:p>
    <w:p w14:paraId="2B2D73A4" w14:textId="74CA05D7" w:rsidR="00A30B91"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3</w:t>
      </w:r>
      <w:r w:rsidR="00A30B91" w:rsidRPr="00A2236E">
        <w:rPr>
          <w:rFonts w:ascii="Times New Roman" w:hAnsi="Times New Roman" w:cs="Times New Roman"/>
          <w:b/>
          <w:bCs/>
          <w:i/>
          <w:iCs/>
        </w:rPr>
        <w:t xml:space="preserve">.4. Expansive </w:t>
      </w:r>
      <w:r w:rsidR="00E420C2" w:rsidRPr="00A2236E">
        <w:rPr>
          <w:rFonts w:ascii="Times New Roman" w:hAnsi="Times New Roman" w:cs="Times New Roman"/>
          <w:b/>
          <w:bCs/>
          <w:i/>
          <w:iCs/>
        </w:rPr>
        <w:t>p</w:t>
      </w:r>
      <w:r w:rsidR="00A30B91" w:rsidRPr="00A2236E">
        <w:rPr>
          <w:rFonts w:ascii="Times New Roman" w:hAnsi="Times New Roman" w:cs="Times New Roman"/>
          <w:b/>
          <w:bCs/>
          <w:i/>
          <w:iCs/>
        </w:rPr>
        <w:t xml:space="preserve">ossibilities and </w:t>
      </w:r>
      <w:r w:rsidR="00E420C2" w:rsidRPr="00A2236E">
        <w:rPr>
          <w:rFonts w:ascii="Times New Roman" w:hAnsi="Times New Roman" w:cs="Times New Roman"/>
          <w:b/>
          <w:bCs/>
          <w:i/>
          <w:iCs/>
        </w:rPr>
        <w:t>t</w:t>
      </w:r>
      <w:r w:rsidR="00A30B91" w:rsidRPr="00A2236E">
        <w:rPr>
          <w:rFonts w:ascii="Times New Roman" w:hAnsi="Times New Roman" w:cs="Times New Roman"/>
          <w:b/>
          <w:bCs/>
          <w:i/>
          <w:iCs/>
        </w:rPr>
        <w:t>ransformation</w:t>
      </w:r>
    </w:p>
    <w:p w14:paraId="09BA329F" w14:textId="77777777"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From the perspective of expansive learning proposed by Engeström (2009), when contradictions are identified and critically reflected upon, they may become resources for innovation. For example, pressure arising from misalignment between competency goals and assessment formats may motivate teachers to seek alternative assessment approaches, such as task-based or portfolio assessment. However, such transformation requires specific enabling conditions, including: professional spaces for teachers to discuss and reflect; more flexible assessment policies; school leadership that encourages pedagogical experimentation; and the development of professional learning communities.</w:t>
      </w:r>
    </w:p>
    <w:p w14:paraId="4734C1A6" w14:textId="77777777"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Accordingly, only when the components of the activity system are more harmoniously aligned, for instance, when rules are consistent with the object and tools genuinely support competency goals, CBETC enactment achieves greater sustainability. Therefore, Activity Theory not only facilitates the description of practice but also provides an analytical foundation for guiding systemic change.</w:t>
      </w:r>
    </w:p>
    <w:p w14:paraId="4DF5C682" w14:textId="77777777" w:rsidR="00A30B91" w:rsidRPr="00A2236E" w:rsidRDefault="00A30B91" w:rsidP="00207C24">
      <w:pPr>
        <w:spacing w:line="360" w:lineRule="auto"/>
        <w:ind w:firstLine="567"/>
        <w:jc w:val="both"/>
        <w:rPr>
          <w:rFonts w:ascii="Times New Roman" w:hAnsi="Times New Roman" w:cs="Times New Roman"/>
        </w:rPr>
      </w:pPr>
      <w:r w:rsidRPr="00A2236E">
        <w:rPr>
          <w:rFonts w:ascii="Times New Roman" w:hAnsi="Times New Roman" w:cs="Times New Roman"/>
        </w:rPr>
        <w:t>In sum, applying Activity Theory enables the conceptualization of teachers’ enactment of CBETC as a complex activity system in which mediating factors, contradictions, and social interactions jointly shape instructional practice. This approach clarifies the dynamic, contextualized, and developmental nature of curriculum enactment within the broader context of educational reform.</w:t>
      </w:r>
    </w:p>
    <w:p w14:paraId="4F43283C" w14:textId="409E560E" w:rsidR="00042713"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lastRenderedPageBreak/>
        <w:t>2.</w:t>
      </w:r>
      <w:r w:rsidR="00F80C5F">
        <w:rPr>
          <w:rFonts w:ascii="Times New Roman" w:hAnsi="Times New Roman" w:cs="Times New Roman"/>
          <w:b/>
          <w:bCs/>
          <w:i/>
          <w:iCs/>
        </w:rPr>
        <w:t>4</w:t>
      </w:r>
      <w:r w:rsidR="00042713" w:rsidRPr="00A2236E">
        <w:rPr>
          <w:rFonts w:ascii="Times New Roman" w:hAnsi="Times New Roman" w:cs="Times New Roman"/>
          <w:b/>
          <w:bCs/>
          <w:i/>
          <w:iCs/>
        </w:rPr>
        <w:t>. Roles of Activity Theory in Understanding CBETC Enactment</w:t>
      </w:r>
    </w:p>
    <w:p w14:paraId="5E6B7224" w14:textId="72C72C5D" w:rsidR="00042713"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4</w:t>
      </w:r>
      <w:r w:rsidR="00042713" w:rsidRPr="00A2236E">
        <w:rPr>
          <w:rFonts w:ascii="Times New Roman" w:hAnsi="Times New Roman" w:cs="Times New Roman"/>
          <w:b/>
          <w:bCs/>
          <w:i/>
          <w:iCs/>
        </w:rPr>
        <w:t>.1. Providing a holistic analytical framework</w:t>
      </w:r>
    </w:p>
    <w:p w14:paraId="45AB2841"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One of the significant contributions of AT to research on CBETC enactment lies in its capacity to provide a comprehensive analytical framework. Rather than focusing solely on teachers’ cognition or individual beliefs, AT situates teaching practice within a broader activity system, where the subject’s actions are always mediated by tools, rules, community, and the division of labour (Engeström, 1987).</w:t>
      </w:r>
    </w:p>
    <w:p w14:paraId="52342166"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In many studies on curriculum reform, cognitively oriented approaches tend to explain variations in practice primarily through “teacher beliefs” (Borg, 2003; Fives &amp; Gill, 2015; Spillane, Reiser, &amp; Reimer, 2002). However, as Spillane, Reiser, and Reimer (2002) argue, policy implementation is not merely a matter of understanding or misunderstanding policy texts; it is a process of interpretation situated within specific social contexts. AT enables researchers to move beyond this reductionist view by conceptualizing teachers as acting subjects embedded in institutional and cultural ecosystems.</w:t>
      </w:r>
    </w:p>
    <w:p w14:paraId="34F23373"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When applied to CBETC, Engeström’s (1987) analytical framework facilitates the simultaneous integration of structural factors—such as assessment regulations, professional standards, and examination pressures—with cultural elements, including established teaching traditions, parental expectations, and students’ learning habits. Consequently, enactment is not reduced to a question of the degree of compliance with curricular prescriptions; rather, it is understoodas a socially negotiated and continuously restructured practice.</w:t>
      </w:r>
    </w:p>
    <w:p w14:paraId="4AACA41C"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This holistic approach is particularly well-suited to the context of educational reform in Vietnam, where CBETC is implemented within a system long shaped by an examination-oriented model of teaching and learning. AT makes it possible to analyse the relationship between competency-oriented goals and existing assessment structures as components of a single activity system, rather than as isolated factors.</w:t>
      </w:r>
    </w:p>
    <w:p w14:paraId="5C209E23" w14:textId="6E425E09" w:rsidR="009C189E"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4</w:t>
      </w:r>
      <w:r w:rsidR="009C189E" w:rsidRPr="00A2236E">
        <w:rPr>
          <w:rFonts w:ascii="Times New Roman" w:hAnsi="Times New Roman" w:cs="Times New Roman"/>
          <w:b/>
          <w:bCs/>
          <w:i/>
          <w:iCs/>
        </w:rPr>
        <w:t>.2. Capturing complexity and non-linearity</w:t>
      </w:r>
    </w:p>
    <w:p w14:paraId="6A5F87FE"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A second contribution of AT lies in its capacity to capture the complexity and non-linearity of curriculum enactment. In practice, enactment does not unfold according to a simple cause–and–effect sequence. Instead, it is shaped through dynamic interactions among multiple components within the activity system.</w:t>
      </w:r>
    </w:p>
    <w:p w14:paraId="6DF10EF6"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lastRenderedPageBreak/>
        <w:t>Grounded in Vygotsky’s (1978) sociocultural theory, AT posits that human action is always mediated by tools and social context. This implies that changes in one component (e.g., modifications in assessment formats) may lead to adjustments in other components (e.g., instructional strategies). The expanded triangular structure of the activity system provides a means of representing these multidirectional interactions.</w:t>
      </w:r>
    </w:p>
    <w:p w14:paraId="53D7DE97"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Moreover, third-generation AT emphasizes interactions among multiple activity systems (Engeström, 2009). In the case of CBETC, at least three interrelated systems can be identified: the policy system (ministerial level), the school system, and the classroom system. These systems do not operate independently; instead, they continuously influence one another. For example, changes in national assessment policy may reshape teachers’ objectives of activity at theclassroom level.</w:t>
      </w:r>
    </w:p>
    <w:p w14:paraId="1B831E00"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AT thus helps avoid a linear conception in which policy is “transmitted” from the top and implemented intact at lower levels. Instead, enactment is understood as the outcome of ongoing negotiations between structural forces and individual agency. This perspective is critical in the study of CBETC, a reform that requires coordinated changes in objectives, content, pedagogy, and assessment.</w:t>
      </w:r>
    </w:p>
    <w:p w14:paraId="1022A2FF" w14:textId="4232CC1E" w:rsidR="009C189E"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2.</w:t>
      </w:r>
      <w:r w:rsidR="00F80C5F">
        <w:rPr>
          <w:rFonts w:ascii="Times New Roman" w:hAnsi="Times New Roman" w:cs="Times New Roman"/>
          <w:b/>
          <w:bCs/>
          <w:i/>
          <w:iCs/>
        </w:rPr>
        <w:t>4</w:t>
      </w:r>
      <w:r w:rsidR="009C189E" w:rsidRPr="00A2236E">
        <w:rPr>
          <w:rFonts w:ascii="Times New Roman" w:hAnsi="Times New Roman" w:cs="Times New Roman"/>
          <w:b/>
          <w:bCs/>
          <w:i/>
          <w:iCs/>
        </w:rPr>
        <w:t>.3. Identifying sources of change and development</w:t>
      </w:r>
    </w:p>
    <w:p w14:paraId="1BD3BE92"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Another notable contribution of AT is its ability to identify sources of change and development through the concept of contradictions. According to Engeström (2009), internal contradictions within an activity system are not merely obstacles but also drivers of expansive learning.</w:t>
      </w:r>
    </w:p>
    <w:p w14:paraId="2542A7C7"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In the context of CBETC, contradictions—such as the misalignment between competency-oriented goals and knowledge-focused testing practices—can serve as productive points of analysis. Rather than interpreting such tensions as evidence of teachers’ failure, AT encourages their recognition as indicators of systemic imbalance. Analysing contradictions between the object (competency development) and the rules (traditional assessment practices) makes it possible to illuminate structural constraints that must be addressed for the curriculum to function effectively.</w:t>
      </w:r>
    </w:p>
    <w:p w14:paraId="092B54BD"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 xml:space="preserve">This perspective carries important implications for teacher professional development. When teachers engage in reflective examination of contradictions in their practice—for instance, through professional learning communities or lesson study—they may reconstruct the object of their activity and develop new forms of practice. Professional growth, therefore, is not simply the </w:t>
      </w:r>
      <w:r w:rsidRPr="00A2236E">
        <w:rPr>
          <w:rFonts w:ascii="Times New Roman" w:hAnsi="Times New Roman" w:cs="Times New Roman"/>
        </w:rPr>
        <w:lastRenderedPageBreak/>
        <w:t>accumulation of instructional techniques; it is a transformative process that reconfigures the activity system in alignment with curricular goals.</w:t>
      </w:r>
    </w:p>
    <w:p w14:paraId="5E5E8929"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AT thus offers an analytical lens that is both diagnostic and developmental. It enables the identification of bottlenecks in CBETC enactment while also pointing toward conditions for sustainable change, including adjustments to assessment regulations, strengthened professional support, and the cultivation of collaborative learning communities within schools.</w:t>
      </w:r>
    </w:p>
    <w:p w14:paraId="6BC0D411" w14:textId="77777777" w:rsidR="009C189E" w:rsidRPr="00A2236E" w:rsidRDefault="009C189E" w:rsidP="00207C24">
      <w:pPr>
        <w:spacing w:line="360" w:lineRule="auto"/>
        <w:ind w:firstLine="567"/>
        <w:jc w:val="both"/>
        <w:rPr>
          <w:rFonts w:ascii="Times New Roman" w:hAnsi="Times New Roman" w:cs="Times New Roman"/>
        </w:rPr>
      </w:pPr>
      <w:r w:rsidRPr="00A2236E">
        <w:rPr>
          <w:rFonts w:ascii="Times New Roman" w:hAnsi="Times New Roman" w:cs="Times New Roman"/>
        </w:rPr>
        <w:t>In summery, activity theory functions as a robust theoretical framework for understanding CBETC enactment in three respects: it provides a holistic perspective that moves beyond individual cognition; it captures the complexity and non-linearity of the enactment process; and it identifies sources of change through the analysis of systemic contradictions. In doing so, AT not only clarifies the nature of teaching practice in reform contexts but also informs strategies for curriculum development and teacher professional learning.</w:t>
      </w:r>
    </w:p>
    <w:p w14:paraId="7BF2887D" w14:textId="0D746DE6" w:rsidR="00A7517A" w:rsidRPr="00A2236E" w:rsidRDefault="00A7517A" w:rsidP="00041256">
      <w:pPr>
        <w:pStyle w:val="RALs-Heading1"/>
        <w:spacing w:line="360" w:lineRule="auto"/>
        <w:rPr>
          <w:rFonts w:cs="Times New Roman"/>
          <w:sz w:val="24"/>
          <w:szCs w:val="24"/>
        </w:rPr>
      </w:pPr>
      <w:r w:rsidRPr="00A2236E">
        <w:rPr>
          <w:rFonts w:cs="Times New Roman"/>
          <w:sz w:val="24"/>
          <w:szCs w:val="24"/>
        </w:rPr>
        <w:t>3. Methodology</w:t>
      </w:r>
    </w:p>
    <w:p w14:paraId="61319737" w14:textId="77777777" w:rsidR="00041256" w:rsidRPr="00A2236E" w:rsidRDefault="00041256" w:rsidP="00041256">
      <w:pPr>
        <w:spacing w:line="360" w:lineRule="auto"/>
        <w:ind w:firstLine="567"/>
        <w:jc w:val="both"/>
        <w:rPr>
          <w:rFonts w:ascii="Times New Roman" w:hAnsi="Times New Roman" w:cs="Times New Roman"/>
          <w:lang w:val="en-US"/>
        </w:rPr>
      </w:pPr>
      <w:r w:rsidRPr="00A2236E">
        <w:rPr>
          <w:rFonts w:ascii="Times New Roman" w:hAnsi="Times New Roman" w:cs="Times New Roman"/>
          <w:lang w:val="en-US"/>
        </w:rPr>
        <w:t>This study was conducted as a theoretical analysis to clarify the role of Activity Theory in examining teachers’ enactment of the competency-based English teaching curriculum. Instead of collecting empirical data from classroom settings, the paper focuses on analyzing, synthesizing, and interpreting research studies and theoretical papers related to competency-based curriculum, curriculum enactment, communicative competence in English language teaching, and Activity Theory. This approach is appropriate to the paper's purpose because the main focus of the study is not to measure the extent of curriculum implementation but to develop an analytical perspective capable of explaining the complex, socially situated, and context-dependent nature of CBETC enactment.</w:t>
      </w:r>
    </w:p>
    <w:p w14:paraId="46830C12" w14:textId="77777777" w:rsidR="00041256" w:rsidRPr="00A2236E" w:rsidRDefault="00041256" w:rsidP="00041256">
      <w:pPr>
        <w:spacing w:line="360" w:lineRule="auto"/>
        <w:ind w:firstLine="567"/>
        <w:jc w:val="both"/>
        <w:rPr>
          <w:rFonts w:ascii="Times New Roman" w:hAnsi="Times New Roman" w:cs="Times New Roman"/>
          <w:lang w:val="en-US"/>
        </w:rPr>
      </w:pPr>
      <w:r w:rsidRPr="00A2236E">
        <w:rPr>
          <w:rFonts w:ascii="Times New Roman" w:hAnsi="Times New Roman" w:cs="Times New Roman"/>
          <w:lang w:val="en-US"/>
        </w:rPr>
        <w:t xml:space="preserve">The main sources selected for analysis include foundational works on Vygotsky’s sociocultural theory and </w:t>
      </w:r>
      <w:proofErr w:type="spellStart"/>
      <w:r w:rsidRPr="00A2236E">
        <w:rPr>
          <w:rFonts w:ascii="Times New Roman" w:hAnsi="Times New Roman" w:cs="Times New Roman"/>
          <w:lang w:val="en-US"/>
        </w:rPr>
        <w:t>Engeström’s</w:t>
      </w:r>
      <w:proofErr w:type="spellEnd"/>
      <w:r w:rsidRPr="00A2236E">
        <w:rPr>
          <w:rFonts w:ascii="Times New Roman" w:hAnsi="Times New Roman" w:cs="Times New Roman"/>
          <w:lang w:val="en-US"/>
        </w:rPr>
        <w:t xml:space="preserve"> activity system model, studies on curriculum enactment by Spillane and colleagues, and documents related to Vietnam’s 2018 General Education Curriculum for English. These materials were read and analyzed with a focus on identifying key concepts, including subject, object, tools, rules, community, division of labor, contradiction, and expansive learning. On this basis, the paper examines how these components can be applied to understand English teachers’ instructional activity in the context of the shift from content-oriented to competency-based teaching.</w:t>
      </w:r>
    </w:p>
    <w:p w14:paraId="2A3417AF" w14:textId="31326685" w:rsidR="00A7517A" w:rsidRPr="00A2236E" w:rsidRDefault="00041256" w:rsidP="00041256">
      <w:pPr>
        <w:spacing w:line="360" w:lineRule="auto"/>
        <w:ind w:firstLine="567"/>
        <w:jc w:val="both"/>
        <w:rPr>
          <w:rFonts w:ascii="Times New Roman" w:hAnsi="Times New Roman" w:cs="Times New Roman"/>
          <w:lang w:val="en-US"/>
        </w:rPr>
      </w:pPr>
      <w:r w:rsidRPr="00A2236E">
        <w:rPr>
          <w:rFonts w:ascii="Times New Roman" w:hAnsi="Times New Roman" w:cs="Times New Roman"/>
          <w:lang w:val="en-US"/>
        </w:rPr>
        <w:lastRenderedPageBreak/>
        <w:t>The analytical procedure was carried out in three main steps. First, the paper clarifies the conceptual foundations of CBETC and the issue of curriculum enactment. Second, the components of Activity Theory are systematized and connected to the context of English language teaching in Vietnamese high schools. Third, the paper analyzes typical contradictions in the enactment of CBETC, particularly the misalignment between the goal of developing communicative competence and the pressure to test and examine linguistic knowledge. In doing so, the study proposes Activity Theory as an analytical lens that connects teachers’ individual actions to broader institutional, cultural, and social conditions.</w:t>
      </w:r>
    </w:p>
    <w:p w14:paraId="425ADBE9" w14:textId="77777777" w:rsidR="00041256" w:rsidRPr="00A2236E" w:rsidRDefault="00041256" w:rsidP="00041256">
      <w:pPr>
        <w:spacing w:line="360" w:lineRule="auto"/>
        <w:ind w:firstLine="567"/>
        <w:jc w:val="both"/>
        <w:rPr>
          <w:rFonts w:ascii="Times New Roman" w:hAnsi="Times New Roman" w:cs="Times New Roman"/>
          <w:lang w:val="en-US"/>
        </w:rPr>
      </w:pPr>
    </w:p>
    <w:p w14:paraId="3CDC9CF3" w14:textId="24D9A58B" w:rsidR="00560A90" w:rsidRPr="00A2236E" w:rsidRDefault="00560A90" w:rsidP="00560A90">
      <w:pPr>
        <w:spacing w:line="360" w:lineRule="auto"/>
        <w:jc w:val="center"/>
        <w:rPr>
          <w:rFonts w:ascii="Times New Roman" w:hAnsi="Times New Roman" w:cs="Times New Roman"/>
          <w:b/>
          <w:bCs/>
        </w:rPr>
      </w:pPr>
      <w:r w:rsidRPr="00A2236E">
        <w:rPr>
          <w:rFonts w:ascii="Times New Roman" w:hAnsi="Times New Roman" w:cs="Times New Roman"/>
          <w:b/>
          <w:bCs/>
        </w:rPr>
        <w:t>4. Results</w:t>
      </w:r>
    </w:p>
    <w:p w14:paraId="311A9010" w14:textId="3CC06B2E" w:rsidR="00042713"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4.1</w:t>
      </w:r>
      <w:r w:rsidR="00042713" w:rsidRPr="00A2236E">
        <w:rPr>
          <w:rFonts w:ascii="Times New Roman" w:hAnsi="Times New Roman" w:cs="Times New Roman"/>
          <w:b/>
          <w:bCs/>
          <w:i/>
          <w:iCs/>
        </w:rPr>
        <w:t>. Implications</w:t>
      </w:r>
    </w:p>
    <w:p w14:paraId="631583A9" w14:textId="742B509C" w:rsidR="00042713"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4.1</w:t>
      </w:r>
      <w:r w:rsidR="00042713" w:rsidRPr="00A2236E">
        <w:rPr>
          <w:rFonts w:ascii="Times New Roman" w:hAnsi="Times New Roman" w:cs="Times New Roman"/>
          <w:b/>
          <w:bCs/>
          <w:i/>
          <w:iCs/>
        </w:rPr>
        <w:t>.1. Theoretical implications</w:t>
      </w:r>
    </w:p>
    <w:p w14:paraId="0A9AC99E" w14:textId="77777777" w:rsidR="0077196B" w:rsidRPr="00A2236E" w:rsidRDefault="0077196B" w:rsidP="00207C24">
      <w:pPr>
        <w:spacing w:line="360" w:lineRule="auto"/>
        <w:ind w:firstLine="567"/>
        <w:jc w:val="both"/>
        <w:rPr>
          <w:rFonts w:ascii="Times New Roman" w:hAnsi="Times New Roman" w:cs="Times New Roman"/>
        </w:rPr>
      </w:pPr>
      <w:r w:rsidRPr="00A2236E">
        <w:rPr>
          <w:rFonts w:ascii="Times New Roman" w:hAnsi="Times New Roman" w:cs="Times New Roman"/>
        </w:rPr>
        <w:t>The application of AT to the study of teachers’ enactment of CBETC generates significant theoretical implications for the field of curriculum studies. First, AT reinforces the view of curriculum enactment as a structured social activity rather than a series of discrete individual actions. Drawing on Yrjö Engeström’s (2009) model of the activity system, curriculum research can simultaneously analyse the subject, object, tools, rules, and community as elements of an integrated whole. This perspective broadens traditional approaches that have tended to focus primarily on content analysis or teachers’ beliefs.</w:t>
      </w:r>
    </w:p>
    <w:p w14:paraId="6F35602D" w14:textId="77777777" w:rsidR="0077196B" w:rsidRPr="00A2236E" w:rsidRDefault="0077196B" w:rsidP="00207C24">
      <w:pPr>
        <w:spacing w:line="360" w:lineRule="auto"/>
        <w:ind w:firstLine="567"/>
        <w:jc w:val="both"/>
        <w:rPr>
          <w:rFonts w:ascii="Times New Roman" w:hAnsi="Times New Roman" w:cs="Times New Roman"/>
        </w:rPr>
      </w:pPr>
      <w:r w:rsidRPr="00A2236E">
        <w:rPr>
          <w:rFonts w:ascii="Times New Roman" w:hAnsi="Times New Roman" w:cs="Times New Roman"/>
        </w:rPr>
        <w:t>Second, AT contributes to research on competency-based education by offering a lens through which to interpret the discrepancy between policy intentions and classroom practice. In reform contexts, the shift from a knowledge-based model to a competency-based model frequently encounters an “implementation gap.” Through the concepts of contradictions and expansive learning, AT enables the identification of internal systemic tensions as drivers of development rather than merely as indicators of policy failure (Engeström, 2009).</w:t>
      </w:r>
    </w:p>
    <w:p w14:paraId="6DB79DE0" w14:textId="77777777" w:rsidR="0077196B" w:rsidRPr="00A2236E" w:rsidRDefault="0077196B" w:rsidP="00207C24">
      <w:pPr>
        <w:spacing w:line="360" w:lineRule="auto"/>
        <w:ind w:firstLine="567"/>
        <w:jc w:val="both"/>
        <w:rPr>
          <w:rFonts w:ascii="Times New Roman" w:hAnsi="Times New Roman" w:cs="Times New Roman"/>
        </w:rPr>
      </w:pPr>
      <w:r w:rsidRPr="00A2236E">
        <w:rPr>
          <w:rFonts w:ascii="Times New Roman" w:hAnsi="Times New Roman" w:cs="Times New Roman"/>
        </w:rPr>
        <w:t>Furthermore, Vygotsky’s (1978) sociocultural foundation underscores the role of mediation and context in the construction of practice. This reinforces the argument that research on CBETC must move beyond a purely technical perspective and instead examine the relationship between pedagogical action and institutional structures. In this sense, AT functions not only as a descriptive tool but also as a theoretical foundation that orients curriculum studies toward a systemic and developmental approach.</w:t>
      </w:r>
    </w:p>
    <w:p w14:paraId="38307A36" w14:textId="0354E5B0" w:rsidR="0077196B"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lastRenderedPageBreak/>
        <w:t>4.1</w:t>
      </w:r>
      <w:r w:rsidR="0077196B" w:rsidRPr="00A2236E">
        <w:rPr>
          <w:rFonts w:ascii="Times New Roman" w:hAnsi="Times New Roman" w:cs="Times New Roman"/>
          <w:b/>
          <w:bCs/>
          <w:i/>
          <w:iCs/>
        </w:rPr>
        <w:t>.2. Practical implications</w:t>
      </w:r>
    </w:p>
    <w:p w14:paraId="36CD2962" w14:textId="77777777" w:rsidR="0077196B" w:rsidRPr="00A2236E" w:rsidRDefault="0077196B" w:rsidP="00207C24">
      <w:pPr>
        <w:spacing w:line="360" w:lineRule="auto"/>
        <w:ind w:firstLine="567"/>
        <w:jc w:val="both"/>
        <w:rPr>
          <w:rFonts w:ascii="Times New Roman" w:hAnsi="Times New Roman" w:cs="Times New Roman"/>
        </w:rPr>
      </w:pPr>
      <w:r w:rsidRPr="00A2236E">
        <w:rPr>
          <w:rFonts w:ascii="Times New Roman" w:hAnsi="Times New Roman" w:cs="Times New Roman"/>
        </w:rPr>
        <w:t>In addition to its theoretical contributions, the application of AT yields several practical implications for stakeholders involved in CBETC implementation.</w:t>
      </w:r>
    </w:p>
    <w:p w14:paraId="77B95E2E" w14:textId="7A7A1590" w:rsidR="0077196B" w:rsidRPr="00A2236E" w:rsidRDefault="0077196B" w:rsidP="00207C24">
      <w:pPr>
        <w:spacing w:line="360" w:lineRule="auto"/>
        <w:ind w:firstLine="567"/>
        <w:jc w:val="both"/>
        <w:rPr>
          <w:rFonts w:ascii="Times New Roman" w:hAnsi="Times New Roman" w:cs="Times New Roman"/>
        </w:rPr>
      </w:pPr>
      <w:r w:rsidRPr="00A2236E">
        <w:rPr>
          <w:rFonts w:ascii="Times New Roman" w:hAnsi="Times New Roman" w:cs="Times New Roman"/>
        </w:rPr>
        <w:t>For curriculum developers, AT suggests that curriculum design cannot be separated from the conditions of enactment. Consistency between competency-oriented goals (object) and the assessment system (rules) is essential to minimizing contradictions within the activity system</w:t>
      </w:r>
      <w:r w:rsidR="00D40D04" w:rsidRPr="00A2236E">
        <w:rPr>
          <w:rFonts w:ascii="Times New Roman" w:hAnsi="Times New Roman" w:cs="Times New Roman"/>
        </w:rPr>
        <w:t xml:space="preserve"> (Chau &amp; Tran, 2025</w:t>
      </w:r>
      <w:r w:rsidR="00056AD1" w:rsidRPr="00A2236E">
        <w:rPr>
          <w:rFonts w:ascii="Times New Roman" w:hAnsi="Times New Roman" w:cs="Times New Roman"/>
        </w:rPr>
        <w:t>a</w:t>
      </w:r>
      <w:r w:rsidR="00D40D04" w:rsidRPr="00A2236E">
        <w:rPr>
          <w:rFonts w:ascii="Times New Roman" w:hAnsi="Times New Roman" w:cs="Times New Roman"/>
        </w:rPr>
        <w:t>)</w:t>
      </w:r>
      <w:r w:rsidRPr="00A2236E">
        <w:rPr>
          <w:rFonts w:ascii="Times New Roman" w:hAnsi="Times New Roman" w:cs="Times New Roman"/>
        </w:rPr>
        <w:t>. This requires coherent alignment among content, pedagogy, and assessment, rather than reform limited to policy documents alone.</w:t>
      </w:r>
    </w:p>
    <w:p w14:paraId="1D5EF2CA" w14:textId="77777777" w:rsidR="0077196B" w:rsidRPr="00A2236E" w:rsidRDefault="0077196B" w:rsidP="00207C24">
      <w:pPr>
        <w:spacing w:line="360" w:lineRule="auto"/>
        <w:ind w:firstLine="567"/>
        <w:jc w:val="both"/>
        <w:rPr>
          <w:rFonts w:ascii="Times New Roman" w:hAnsi="Times New Roman" w:cs="Times New Roman"/>
        </w:rPr>
      </w:pPr>
      <w:r w:rsidRPr="00A2236E">
        <w:rPr>
          <w:rFonts w:ascii="Times New Roman" w:hAnsi="Times New Roman" w:cs="Times New Roman"/>
        </w:rPr>
        <w:t>For school leaders, AT highlights the significance of community and division of labour in supporting teachers. Establishing professional learning communities, creating spaces for reflection, and encouraging pedagogical experimentation can assist teachers in addressing contradictions in practice. As Priestley, Biesta, and Robinson (2015) argue, teacher agency is formed within an ecological relationship between individuals and their contexts; consequently, the organizational environment plays a decisive role in the success of CBETC enactment.</w:t>
      </w:r>
    </w:p>
    <w:p w14:paraId="5E94EE65" w14:textId="77777777" w:rsidR="0077196B" w:rsidRPr="00A2236E" w:rsidRDefault="0077196B" w:rsidP="00207C24">
      <w:pPr>
        <w:spacing w:line="360" w:lineRule="auto"/>
        <w:ind w:firstLine="567"/>
        <w:jc w:val="both"/>
        <w:rPr>
          <w:rFonts w:ascii="Times New Roman" w:hAnsi="Times New Roman" w:cs="Times New Roman"/>
        </w:rPr>
      </w:pPr>
      <w:r w:rsidRPr="00A2236E">
        <w:rPr>
          <w:rFonts w:ascii="Times New Roman" w:hAnsi="Times New Roman" w:cs="Times New Roman"/>
        </w:rPr>
        <w:t>Regarding teacher professional development, AT advocates a system-oriented, reflective approach rather than merely providing instructional techniques. By analysing contradictions between curricular goals and classroom realities, teachers can engage in expansive learning, reconstruct the object of their activity, and adjust pedagogical strategies. Professional development thus becomes a process of transforming the activity system, rather than simply enhancing individual skills.</w:t>
      </w:r>
    </w:p>
    <w:p w14:paraId="128A8FAE" w14:textId="581A4694" w:rsidR="0077196B" w:rsidRPr="00A2236E" w:rsidRDefault="00560A90" w:rsidP="00207C24">
      <w:pPr>
        <w:spacing w:line="360" w:lineRule="auto"/>
        <w:jc w:val="both"/>
        <w:rPr>
          <w:rFonts w:ascii="Times New Roman" w:hAnsi="Times New Roman" w:cs="Times New Roman"/>
          <w:b/>
          <w:bCs/>
          <w:i/>
          <w:iCs/>
        </w:rPr>
      </w:pPr>
      <w:r w:rsidRPr="00A2236E">
        <w:rPr>
          <w:rFonts w:ascii="Times New Roman" w:hAnsi="Times New Roman" w:cs="Times New Roman"/>
          <w:b/>
          <w:bCs/>
          <w:i/>
          <w:iCs/>
        </w:rPr>
        <w:t>4.1</w:t>
      </w:r>
      <w:r w:rsidR="0077196B" w:rsidRPr="00A2236E">
        <w:rPr>
          <w:rFonts w:ascii="Times New Roman" w:hAnsi="Times New Roman" w:cs="Times New Roman"/>
          <w:b/>
          <w:bCs/>
          <w:i/>
          <w:iCs/>
        </w:rPr>
        <w:t>.3. Directions for future research</w:t>
      </w:r>
    </w:p>
    <w:p w14:paraId="25699722" w14:textId="10234DC5" w:rsidR="0077196B" w:rsidRPr="00A2236E" w:rsidRDefault="00724571" w:rsidP="00207C24">
      <w:pPr>
        <w:spacing w:line="360" w:lineRule="auto"/>
        <w:ind w:firstLine="567"/>
        <w:jc w:val="both"/>
        <w:rPr>
          <w:rFonts w:ascii="Times New Roman" w:hAnsi="Times New Roman" w:cs="Times New Roman"/>
        </w:rPr>
      </w:pPr>
      <w:r w:rsidRPr="00A2236E">
        <w:rPr>
          <w:rFonts w:ascii="Times New Roman" w:hAnsi="Times New Roman" w:cs="Times New Roman"/>
        </w:rPr>
        <w:t>Although AT provides a robust theoretical foundation, further empirical validation is needed in specific contexts. The use of mixed-methods designs or in-depth case studies may clarify how components of the activity system interact and evolve over time. In addition, the development and validation of questionnaire instruments could provide a quantitative basis for examining factors affecting teachers’ enactment of CBETC (Chau &amp; Tran, 2025</w:t>
      </w:r>
      <w:r w:rsidR="00056AD1" w:rsidRPr="00A2236E">
        <w:rPr>
          <w:rFonts w:ascii="Times New Roman" w:hAnsi="Times New Roman" w:cs="Times New Roman"/>
        </w:rPr>
        <w:t>b</w:t>
      </w:r>
      <w:r w:rsidRPr="00A2236E">
        <w:rPr>
          <w:rFonts w:ascii="Times New Roman" w:hAnsi="Times New Roman" w:cs="Times New Roman"/>
        </w:rPr>
        <w:t>)</w:t>
      </w:r>
      <w:r w:rsidR="0077196B" w:rsidRPr="00A2236E">
        <w:rPr>
          <w:rFonts w:ascii="Times New Roman" w:hAnsi="Times New Roman" w:cs="Times New Roman"/>
        </w:rPr>
        <w:t xml:space="preserve">. This is particularly important in the Vietnamese context, where disparities in infrastructure, learning culture, and local policy conditions remain substantial. </w:t>
      </w:r>
      <w:r w:rsidRPr="00A2236E">
        <w:rPr>
          <w:rFonts w:ascii="Times New Roman" w:hAnsi="Times New Roman" w:cs="Times New Roman"/>
        </w:rPr>
        <w:t xml:space="preserve">Moreover, integrating AT with other theoretical frameworks—such as teacher agency or ecological approaches, may enrich the analysis and deepen understanding of teachers’ roles within reform systems. Future empirical studies may also employ validated </w:t>
      </w:r>
      <w:r w:rsidRPr="00A2236E">
        <w:rPr>
          <w:rFonts w:ascii="Times New Roman" w:hAnsi="Times New Roman" w:cs="Times New Roman"/>
        </w:rPr>
        <w:lastRenderedPageBreak/>
        <w:t>questionnaires to measure the extent to which beliefs, practices, impetus, and hindrances influence CBETC enactment (Chau &amp; Tran, 2025</w:t>
      </w:r>
      <w:r w:rsidR="00056AD1" w:rsidRPr="00A2236E">
        <w:rPr>
          <w:rFonts w:ascii="Times New Roman" w:hAnsi="Times New Roman" w:cs="Times New Roman"/>
        </w:rPr>
        <w:t>b</w:t>
      </w:r>
      <w:r w:rsidRPr="00A2236E">
        <w:rPr>
          <w:rFonts w:ascii="Times New Roman" w:hAnsi="Times New Roman" w:cs="Times New Roman"/>
        </w:rPr>
        <w:t>)</w:t>
      </w:r>
      <w:r w:rsidR="0077196B" w:rsidRPr="00A2236E">
        <w:rPr>
          <w:rFonts w:ascii="Times New Roman" w:hAnsi="Times New Roman" w:cs="Times New Roman"/>
        </w:rPr>
        <w:t>.</w:t>
      </w:r>
    </w:p>
    <w:p w14:paraId="2CE2F95A" w14:textId="77777777" w:rsidR="00474881" w:rsidRPr="00A2236E" w:rsidRDefault="00474881" w:rsidP="00560A90">
      <w:pPr>
        <w:spacing w:line="360" w:lineRule="auto"/>
        <w:jc w:val="center"/>
        <w:rPr>
          <w:rFonts w:ascii="Times New Roman" w:hAnsi="Times New Roman" w:cs="Times New Roman"/>
          <w:b/>
          <w:bCs/>
        </w:rPr>
      </w:pPr>
    </w:p>
    <w:p w14:paraId="770583AA" w14:textId="67E3E55C" w:rsidR="00560A90" w:rsidRPr="00A2236E" w:rsidRDefault="00560A90" w:rsidP="00560A90">
      <w:pPr>
        <w:spacing w:line="360" w:lineRule="auto"/>
        <w:jc w:val="center"/>
        <w:rPr>
          <w:rFonts w:ascii="Times New Roman" w:hAnsi="Times New Roman" w:cs="Times New Roman"/>
          <w:b/>
          <w:bCs/>
        </w:rPr>
      </w:pPr>
      <w:r w:rsidRPr="00A2236E">
        <w:rPr>
          <w:rFonts w:ascii="Times New Roman" w:hAnsi="Times New Roman" w:cs="Times New Roman"/>
          <w:b/>
          <w:bCs/>
        </w:rPr>
        <w:t>5. Discussion</w:t>
      </w:r>
    </w:p>
    <w:p w14:paraId="41261534" w14:textId="77777777" w:rsidR="00632383" w:rsidRPr="00632383" w:rsidRDefault="00632383" w:rsidP="00632383">
      <w:pPr>
        <w:spacing w:line="360" w:lineRule="auto"/>
        <w:ind w:firstLine="567"/>
        <w:jc w:val="both"/>
        <w:rPr>
          <w:rFonts w:ascii="Times New Roman" w:hAnsi="Times New Roman" w:cs="Times New Roman"/>
        </w:rPr>
      </w:pPr>
      <w:r w:rsidRPr="00632383">
        <w:rPr>
          <w:rFonts w:ascii="Times New Roman" w:hAnsi="Times New Roman" w:cs="Times New Roman"/>
        </w:rPr>
        <w:t>A further contribution of this paper lies in highlighting the analytical value of contradictions in understanding CBETC enactment. Within Engeström’s (2009) framework, contradictions are viewed as historically accumulated tensions that emerge among elements of an activity system and create possibilities for transformation. In the Vietnamese context, one of the most visible tensions concerns the coexistence of competency-oriented curricular goals and examination practices that continue to reward the reproduction of linguistic knowledge. Such tensions suggest that difficulties in curriculum enactment cannot be reduced to teachers’ individual limitations or resistance to change. Instead, they arise from the interaction between policy aspirations and institutional conditions.</w:t>
      </w:r>
    </w:p>
    <w:p w14:paraId="6D083638" w14:textId="77777777" w:rsidR="00632383" w:rsidRPr="00632383" w:rsidRDefault="00632383" w:rsidP="00632383">
      <w:pPr>
        <w:spacing w:line="360" w:lineRule="auto"/>
        <w:ind w:firstLine="567"/>
        <w:jc w:val="both"/>
        <w:rPr>
          <w:rFonts w:ascii="Times New Roman" w:hAnsi="Times New Roman" w:cs="Times New Roman"/>
        </w:rPr>
      </w:pPr>
      <w:r w:rsidRPr="00632383">
        <w:rPr>
          <w:rFonts w:ascii="Times New Roman" w:hAnsi="Times New Roman" w:cs="Times New Roman"/>
        </w:rPr>
        <w:t>This interpretation is consistent with a growing body of research in language education that has applied Activity Theory to investigate educational innovation and change. For example, Blin and Appel (2011) demonstrated that tensions among technological tools, institutional expectations, and established pedagogical routines significantly influence how language teachers respond to innovation. Their work illustrates how pedagogical change is shaped not only by teachers’ intentions but also by the relationships among multiple elements within an activity system. Viewed from this perspective, the challenges associated with CBETC enactment reflect broader patterns identified in Activity Theory research, where curriculum innovation is frequently mediated by contextual constraints, competing priorities, and institutional arrangements.</w:t>
      </w:r>
    </w:p>
    <w:p w14:paraId="6F14E360" w14:textId="3087136F" w:rsidR="00632383" w:rsidRPr="00632383" w:rsidRDefault="00632383" w:rsidP="00632383">
      <w:pPr>
        <w:spacing w:line="360" w:lineRule="auto"/>
        <w:ind w:firstLine="567"/>
        <w:jc w:val="both"/>
        <w:rPr>
          <w:rFonts w:ascii="Times New Roman" w:hAnsi="Times New Roman" w:cs="Times New Roman"/>
        </w:rPr>
      </w:pPr>
      <w:r w:rsidRPr="00632383">
        <w:rPr>
          <w:rFonts w:ascii="Times New Roman" w:hAnsi="Times New Roman" w:cs="Times New Roman"/>
        </w:rPr>
        <w:t xml:space="preserve">The discussion also suggests that Activity Theory offers a broader explanatory framework than approaches centered primarily on teacher beliefs or cognition. While studies such as Borg (2003) and Fives and Gill (2015) have generated valuable insights into teachers’ thinking, </w:t>
      </w:r>
      <w:r>
        <w:rPr>
          <w:rFonts w:ascii="Times New Roman" w:hAnsi="Times New Roman" w:cs="Times New Roman"/>
        </w:rPr>
        <w:t>AT</w:t>
      </w:r>
      <w:r w:rsidRPr="00632383">
        <w:rPr>
          <w:rFonts w:ascii="Times New Roman" w:hAnsi="Times New Roman" w:cs="Times New Roman"/>
        </w:rPr>
        <w:t xml:space="preserve"> highlights the social, cultural, and organizational conditions in which those beliefs are formed and enacted. Rather than treating beliefs as isolated determinants of practice, Activity Theory positions them within a network of mediating influences, including institutional regulations, professional communities, material resources, and assessment systems. This perspective allows curriculum enactment to be understood as a socially situated process rather than solely an individual cognitive endeavor.</w:t>
      </w:r>
    </w:p>
    <w:p w14:paraId="0F63BC69" w14:textId="77777777" w:rsidR="00632383" w:rsidRPr="00632383" w:rsidRDefault="00632383" w:rsidP="00632383">
      <w:pPr>
        <w:spacing w:line="360" w:lineRule="auto"/>
        <w:ind w:firstLine="567"/>
        <w:jc w:val="both"/>
        <w:rPr>
          <w:rFonts w:ascii="Times New Roman" w:hAnsi="Times New Roman" w:cs="Times New Roman"/>
        </w:rPr>
      </w:pPr>
      <w:r w:rsidRPr="00632383">
        <w:rPr>
          <w:rFonts w:ascii="Times New Roman" w:hAnsi="Times New Roman" w:cs="Times New Roman"/>
        </w:rPr>
        <w:lastRenderedPageBreak/>
        <w:t>Consequently, supporting the enactment of CBETC requires more than methodological training. Sustainable curriculum reform depends on stronger coherence among curriculum objectives, assessment systems, school leadership, professional collaboration, and classroom realities. This view is also compatible with Priestley, Biesta, and Robinson’s (2015) ecological understanding of teacher agency, as well as Chau and Tran’s (2025b, 2026) argument that curriculum enactment should be examined through the relationship between teachers and the broader environments in which they work. Taken together, these perspectives reinforce the argument that teachers should be viewed as active participants in interconnected activity systems whose practices evolve through ongoing engagement with contextual opportunities and constraints. Effective enactment of CBETC, therefore, depends not only on teachers’ professional capacities but also on the alignment of the wider conditions that support curriculum reform.</w:t>
      </w:r>
    </w:p>
    <w:p w14:paraId="64994B20" w14:textId="77777777" w:rsidR="00474881" w:rsidRPr="00A2236E" w:rsidRDefault="00474881" w:rsidP="00560A90">
      <w:pPr>
        <w:spacing w:line="360" w:lineRule="auto"/>
        <w:jc w:val="center"/>
        <w:rPr>
          <w:rFonts w:ascii="Times New Roman" w:hAnsi="Times New Roman" w:cs="Times New Roman"/>
          <w:b/>
          <w:bCs/>
        </w:rPr>
      </w:pPr>
    </w:p>
    <w:p w14:paraId="5ED7CA44" w14:textId="7C3050D1" w:rsidR="0077196B" w:rsidRPr="00A2236E" w:rsidRDefault="0077196B" w:rsidP="00560A90">
      <w:pPr>
        <w:spacing w:line="360" w:lineRule="auto"/>
        <w:jc w:val="center"/>
        <w:rPr>
          <w:rFonts w:ascii="Times New Roman" w:hAnsi="Times New Roman" w:cs="Times New Roman"/>
          <w:b/>
          <w:bCs/>
        </w:rPr>
      </w:pPr>
      <w:r w:rsidRPr="00A2236E">
        <w:rPr>
          <w:rFonts w:ascii="Times New Roman" w:hAnsi="Times New Roman" w:cs="Times New Roman"/>
          <w:b/>
          <w:bCs/>
        </w:rPr>
        <w:t>6. Conclusion</w:t>
      </w:r>
    </w:p>
    <w:p w14:paraId="17778785" w14:textId="77777777" w:rsidR="0077196B" w:rsidRPr="00A2236E" w:rsidRDefault="0077196B" w:rsidP="00207C24">
      <w:pPr>
        <w:spacing w:line="360" w:lineRule="auto"/>
        <w:ind w:firstLine="567"/>
        <w:jc w:val="both"/>
        <w:rPr>
          <w:rFonts w:ascii="Times New Roman" w:hAnsi="Times New Roman" w:cs="Times New Roman"/>
        </w:rPr>
      </w:pPr>
      <w:r w:rsidRPr="00A2236E">
        <w:rPr>
          <w:rFonts w:ascii="Times New Roman" w:hAnsi="Times New Roman" w:cs="Times New Roman"/>
        </w:rPr>
        <w:t>This article has argued that Activity Theory provides a productive analytical lens for examining teachers’ enactment of CBETC. Through the activity system model, AT conceptualizes enactment as a complex social practice in which elements such as subject, tools, rules, and community continuously interact.</w:t>
      </w:r>
    </w:p>
    <w:p w14:paraId="5F96B39C" w14:textId="77777777" w:rsidR="0077196B" w:rsidRPr="00A2236E" w:rsidRDefault="0077196B" w:rsidP="00207C24">
      <w:pPr>
        <w:spacing w:line="360" w:lineRule="auto"/>
        <w:ind w:firstLine="567"/>
        <w:jc w:val="both"/>
        <w:rPr>
          <w:rFonts w:ascii="Times New Roman" w:hAnsi="Times New Roman" w:cs="Times New Roman"/>
        </w:rPr>
      </w:pPr>
      <w:r w:rsidRPr="00A2236E">
        <w:rPr>
          <w:rFonts w:ascii="Times New Roman" w:hAnsi="Times New Roman" w:cs="Times New Roman"/>
        </w:rPr>
        <w:t>This systemic perspective moves beyond linear views of implementation by emphasizing the dynamic, non-linear, and contextually situated nature of teaching practice. At the same time, the concepts of contradictions and expansive learning open possibilities for identifying and guiding change within reform processes.</w:t>
      </w:r>
    </w:p>
    <w:p w14:paraId="33754DA6" w14:textId="77777777" w:rsidR="0077196B" w:rsidRPr="00A2236E" w:rsidRDefault="0077196B" w:rsidP="00207C24">
      <w:pPr>
        <w:spacing w:line="360" w:lineRule="auto"/>
        <w:ind w:firstLine="567"/>
        <w:jc w:val="both"/>
        <w:rPr>
          <w:rFonts w:ascii="Times New Roman" w:hAnsi="Times New Roman" w:cs="Times New Roman"/>
        </w:rPr>
      </w:pPr>
      <w:r w:rsidRPr="00A2236E">
        <w:rPr>
          <w:rFonts w:ascii="Times New Roman" w:hAnsi="Times New Roman" w:cs="Times New Roman"/>
        </w:rPr>
        <w:t>In the context of CBETC implementation, careful analysis of contextual factors—from assessment policy and school culture to classroom conditions—is a prerequisite for achieving competency-development goals. The application of activity theory, therefore, not only facilitates a deeper understanding of practice but also informs strategies for sustainable improvement in general education.</w:t>
      </w:r>
    </w:p>
    <w:p w14:paraId="472437D5" w14:textId="77777777" w:rsidR="00560A90" w:rsidRPr="00A2236E" w:rsidRDefault="00560A90" w:rsidP="00560A90">
      <w:pPr>
        <w:pStyle w:val="RALs-HeadingsNoIndent"/>
        <w:rPr>
          <w:rFonts w:cs="Times New Roman"/>
          <w:sz w:val="24"/>
          <w:szCs w:val="24"/>
        </w:rPr>
      </w:pPr>
      <w:r w:rsidRPr="00A2236E">
        <w:rPr>
          <w:rFonts w:cs="Times New Roman"/>
          <w:sz w:val="24"/>
          <w:szCs w:val="24"/>
        </w:rPr>
        <w:t xml:space="preserve">Acknowledgments </w:t>
      </w:r>
    </w:p>
    <w:p w14:paraId="40603D63" w14:textId="5DB5FD8A" w:rsidR="00107A0B" w:rsidRPr="00A2236E" w:rsidRDefault="00107A0B" w:rsidP="00107A0B">
      <w:pPr>
        <w:spacing w:line="360" w:lineRule="auto"/>
        <w:ind w:firstLine="567"/>
        <w:jc w:val="both"/>
        <w:rPr>
          <w:rFonts w:ascii="Times New Roman" w:hAnsi="Times New Roman" w:cs="Times New Roman"/>
          <w:lang w:val="en-US"/>
        </w:rPr>
      </w:pPr>
      <w:r w:rsidRPr="00A2236E">
        <w:rPr>
          <w:rFonts w:ascii="Times New Roman" w:hAnsi="Times New Roman" w:cs="Times New Roman"/>
          <w:lang w:val="en-US"/>
        </w:rPr>
        <w:t xml:space="preserve">The authors would like to express their sincere gratitude to Ho Chi Minh City Open University for providing academic support and a research environment that enabled the development of this paper. The authors are also grateful to colleagues and scholars in the field of English language education whose discussions and academic insights helped shape the theoretical </w:t>
      </w:r>
      <w:r w:rsidRPr="00A2236E">
        <w:rPr>
          <w:rFonts w:ascii="Times New Roman" w:hAnsi="Times New Roman" w:cs="Times New Roman"/>
          <w:lang w:val="en-US"/>
        </w:rPr>
        <w:lastRenderedPageBreak/>
        <w:t>orientation of this study. Special thanks are extended to those whose work on competency-based education, curriculum enactment, and Activity Theory provided an important foundation for the arguments presented in this article. Any remaining limitations or shortcomings are solely the responsibility of the authors.</w:t>
      </w:r>
    </w:p>
    <w:p w14:paraId="47D203AC" w14:textId="77777777" w:rsidR="0077196B" w:rsidRPr="00A2236E" w:rsidRDefault="0077196B" w:rsidP="00207C24">
      <w:pPr>
        <w:spacing w:line="360" w:lineRule="auto"/>
        <w:jc w:val="both"/>
        <w:rPr>
          <w:rFonts w:ascii="Times New Roman" w:hAnsi="Times New Roman" w:cs="Times New Roman"/>
        </w:rPr>
      </w:pPr>
    </w:p>
    <w:p w14:paraId="636C80C2" w14:textId="5E7A175C" w:rsidR="0077196B" w:rsidRPr="00A2236E" w:rsidRDefault="0077196B" w:rsidP="00207C24">
      <w:pPr>
        <w:spacing w:line="360" w:lineRule="auto"/>
        <w:jc w:val="both"/>
        <w:rPr>
          <w:rFonts w:ascii="Times New Roman" w:hAnsi="Times New Roman" w:cs="Times New Roman"/>
          <w:b/>
          <w:bCs/>
        </w:rPr>
      </w:pPr>
      <w:r w:rsidRPr="00A2236E">
        <w:rPr>
          <w:rFonts w:ascii="Times New Roman" w:hAnsi="Times New Roman" w:cs="Times New Roman"/>
          <w:b/>
          <w:bCs/>
        </w:rPr>
        <w:t>Reference</w:t>
      </w:r>
    </w:p>
    <w:p w14:paraId="2A54A293" w14:textId="77777777" w:rsidR="0077196B" w:rsidRDefault="0077196B" w:rsidP="00207C24">
      <w:pPr>
        <w:spacing w:line="360" w:lineRule="auto"/>
        <w:ind w:left="567" w:hanging="567"/>
        <w:jc w:val="both"/>
        <w:rPr>
          <w:rStyle w:val="Hyperlink"/>
          <w:rFonts w:ascii="Times New Roman" w:hAnsi="Times New Roman" w:cs="Times New Roman"/>
        </w:rPr>
      </w:pPr>
      <w:r w:rsidRPr="00A2236E">
        <w:rPr>
          <w:rFonts w:ascii="Times New Roman" w:hAnsi="Times New Roman" w:cs="Times New Roman"/>
        </w:rPr>
        <w:t>Borg, M. (2003). Teacher cognition in language teaching: A review of research on what language teachers think, know, believe, and do. </w:t>
      </w:r>
      <w:r w:rsidRPr="00A2236E">
        <w:rPr>
          <w:rFonts w:ascii="Times New Roman" w:hAnsi="Times New Roman" w:cs="Times New Roman"/>
          <w:i/>
          <w:iCs/>
        </w:rPr>
        <w:t>Language Teaching, 36</w:t>
      </w:r>
      <w:r w:rsidRPr="00A2236E">
        <w:rPr>
          <w:rFonts w:ascii="Times New Roman" w:hAnsi="Times New Roman" w:cs="Times New Roman"/>
        </w:rPr>
        <w:t>(2), 81–109. </w:t>
      </w:r>
      <w:r w:rsidRPr="00A2236E">
        <w:fldChar w:fldCharType="begin"/>
      </w:r>
      <w:r w:rsidRPr="00A2236E">
        <w:rPr>
          <w:rFonts w:ascii="Times New Roman" w:hAnsi="Times New Roman" w:cs="Times New Roman"/>
        </w:rPr>
        <w:instrText>HYPERLINK "https://doi.org/10.1017/S0261444803001903" \t "_new"</w:instrText>
      </w:r>
      <w:r w:rsidRPr="00A2236E">
        <w:fldChar w:fldCharType="separate"/>
      </w:r>
      <w:r w:rsidRPr="00A2236E">
        <w:rPr>
          <w:rStyle w:val="Hyperlink"/>
          <w:rFonts w:ascii="Times New Roman" w:hAnsi="Times New Roman" w:cs="Times New Roman"/>
        </w:rPr>
        <w:t>https://doi.org/10.1017/S0261444803001903</w:t>
      </w:r>
      <w:r w:rsidRPr="00A2236E">
        <w:rPr>
          <w:rStyle w:val="Hyperlink"/>
          <w:rFonts w:ascii="Times New Roman" w:hAnsi="Times New Roman" w:cs="Times New Roman"/>
        </w:rPr>
        <w:fldChar w:fldCharType="end"/>
      </w:r>
    </w:p>
    <w:p w14:paraId="0A8AC320" w14:textId="77777777" w:rsidR="00DE4190" w:rsidRDefault="00DE4190" w:rsidP="00207C24">
      <w:pPr>
        <w:spacing w:line="360" w:lineRule="auto"/>
        <w:ind w:left="567" w:hanging="567"/>
        <w:jc w:val="both"/>
        <w:rPr>
          <w:rFonts w:ascii="Times New Roman" w:hAnsi="Times New Roman" w:cs="Times New Roman"/>
          <w:color w:val="000000" w:themeColor="text1"/>
        </w:rPr>
      </w:pPr>
      <w:r w:rsidRPr="00DE4190">
        <w:rPr>
          <w:rFonts w:ascii="Times New Roman" w:hAnsi="Times New Roman" w:cs="Times New Roman"/>
          <w:color w:val="000000" w:themeColor="text1"/>
        </w:rPr>
        <w:t>Blin, F., &amp; Appel, C. (2011). Computer supported collaborative writing in practice: An activity theoretical study. </w:t>
      </w:r>
      <w:r w:rsidRPr="00DE4190">
        <w:rPr>
          <w:rFonts w:ascii="Times New Roman" w:hAnsi="Times New Roman" w:cs="Times New Roman"/>
          <w:i/>
          <w:iCs/>
          <w:color w:val="000000" w:themeColor="text1"/>
        </w:rPr>
        <w:t>CALICO Journal, 28</w:t>
      </w:r>
      <w:r w:rsidRPr="00DE4190">
        <w:rPr>
          <w:rFonts w:ascii="Times New Roman" w:hAnsi="Times New Roman" w:cs="Times New Roman"/>
          <w:color w:val="000000" w:themeColor="text1"/>
        </w:rPr>
        <w:t>(2), 473–497. </w:t>
      </w:r>
      <w:r w:rsidRPr="00DE4190">
        <w:rPr>
          <w:rFonts w:ascii="Times New Roman" w:hAnsi="Times New Roman" w:cs="Times New Roman"/>
          <w:color w:val="000000" w:themeColor="text1"/>
        </w:rPr>
        <w:fldChar w:fldCharType="begin"/>
      </w:r>
      <w:r w:rsidRPr="00DE4190">
        <w:rPr>
          <w:rFonts w:ascii="Times New Roman" w:hAnsi="Times New Roman" w:cs="Times New Roman"/>
          <w:color w:val="000000" w:themeColor="text1"/>
        </w:rPr>
        <w:instrText>HYPERLINK "https://doi.org/10.11139/cj.28.2.473-497" \t "_new"</w:instrText>
      </w:r>
      <w:r w:rsidRPr="00DE4190">
        <w:rPr>
          <w:rFonts w:ascii="Times New Roman" w:hAnsi="Times New Roman" w:cs="Times New Roman"/>
          <w:color w:val="000000" w:themeColor="text1"/>
        </w:rPr>
      </w:r>
      <w:r w:rsidRPr="00DE4190">
        <w:rPr>
          <w:rFonts w:ascii="Times New Roman" w:hAnsi="Times New Roman" w:cs="Times New Roman"/>
          <w:color w:val="000000" w:themeColor="text1"/>
        </w:rPr>
        <w:fldChar w:fldCharType="separate"/>
      </w:r>
      <w:r w:rsidRPr="00DE4190">
        <w:rPr>
          <w:rStyle w:val="Hyperlink"/>
          <w:rFonts w:ascii="Times New Roman" w:hAnsi="Times New Roman" w:cs="Times New Roman"/>
          <w:u w:val="none"/>
        </w:rPr>
        <w:t>https://doi.org/10.11139/cj.28.2.473-497</w:t>
      </w:r>
      <w:r w:rsidRPr="00DE4190">
        <w:rPr>
          <w:rFonts w:ascii="Times New Roman" w:hAnsi="Times New Roman" w:cs="Times New Roman"/>
          <w:color w:val="000000" w:themeColor="text1"/>
        </w:rPr>
        <w:fldChar w:fldCharType="end"/>
      </w:r>
    </w:p>
    <w:p w14:paraId="2C9E858B" w14:textId="2B6987C8" w:rsidR="00061135" w:rsidRPr="00A2236E" w:rsidRDefault="00061135" w:rsidP="00207C24">
      <w:pPr>
        <w:spacing w:line="360" w:lineRule="auto"/>
        <w:ind w:left="567" w:hanging="567"/>
        <w:jc w:val="both"/>
        <w:rPr>
          <w:rStyle w:val="Hyperlink"/>
          <w:rFonts w:ascii="Times New Roman" w:hAnsi="Times New Roman" w:cs="Times New Roman"/>
        </w:rPr>
      </w:pPr>
      <w:r w:rsidRPr="00A2236E">
        <w:rPr>
          <w:rFonts w:ascii="Times New Roman" w:hAnsi="Times New Roman" w:cs="Times New Roman"/>
        </w:rPr>
        <w:t>Council of Europe. (2020). </w:t>
      </w:r>
      <w:r w:rsidRPr="00A2236E">
        <w:rPr>
          <w:rFonts w:ascii="Times New Roman" w:hAnsi="Times New Roman" w:cs="Times New Roman"/>
          <w:i/>
          <w:iCs/>
        </w:rPr>
        <w:t>Common European Framework of Reference for Languages: Learning, teaching, assessment – Companion volume</w:t>
      </w:r>
      <w:r w:rsidRPr="00A2236E">
        <w:rPr>
          <w:rFonts w:ascii="Times New Roman" w:hAnsi="Times New Roman" w:cs="Times New Roman"/>
        </w:rPr>
        <w:t>. Council of Europe Publishing. </w:t>
      </w:r>
      <w:r w:rsidRPr="00A2236E">
        <w:fldChar w:fldCharType="begin"/>
      </w:r>
      <w:r w:rsidRPr="00A2236E">
        <w:rPr>
          <w:rFonts w:ascii="Times New Roman" w:hAnsi="Times New Roman" w:cs="Times New Roman"/>
        </w:rPr>
        <w:instrText>HYPERLINK "https://www.coe.int/en/web/common-european-framework-reference-languages?utm_source=chatgpt.com" \t "_new"</w:instrText>
      </w:r>
      <w:r w:rsidRPr="00A2236E">
        <w:fldChar w:fldCharType="separate"/>
      </w:r>
      <w:r w:rsidRPr="00A2236E">
        <w:rPr>
          <w:rStyle w:val="Hyperlink"/>
          <w:rFonts w:ascii="Times New Roman" w:hAnsi="Times New Roman" w:cs="Times New Roman"/>
        </w:rPr>
        <w:t>https://www.coe.int/en/web/common-european-framework-reference-languages</w:t>
      </w:r>
      <w:r w:rsidRPr="00A2236E">
        <w:rPr>
          <w:rStyle w:val="Hyperlink"/>
          <w:rFonts w:ascii="Times New Roman" w:hAnsi="Times New Roman" w:cs="Times New Roman"/>
        </w:rPr>
        <w:fldChar w:fldCharType="end"/>
      </w:r>
    </w:p>
    <w:p w14:paraId="46847B1E" w14:textId="5D375FD7" w:rsidR="00C16A80" w:rsidRPr="00A2236E" w:rsidRDefault="00C16A80" w:rsidP="00724571">
      <w:pPr>
        <w:spacing w:line="360" w:lineRule="auto"/>
        <w:ind w:left="567" w:hanging="567"/>
        <w:jc w:val="both"/>
        <w:rPr>
          <w:rFonts w:ascii="Times New Roman" w:hAnsi="Times New Roman" w:cs="Times New Roman"/>
        </w:rPr>
      </w:pPr>
      <w:r w:rsidRPr="00A2236E">
        <w:rPr>
          <w:rFonts w:ascii="Times New Roman" w:hAnsi="Times New Roman" w:cs="Times New Roman"/>
        </w:rPr>
        <w:t>Chau, V. T., &amp; Tran, Q. T. (2025</w:t>
      </w:r>
      <w:r w:rsidR="00056AD1" w:rsidRPr="00A2236E">
        <w:rPr>
          <w:rFonts w:ascii="Times New Roman" w:hAnsi="Times New Roman" w:cs="Times New Roman"/>
        </w:rPr>
        <w:t>a</w:t>
      </w:r>
      <w:r w:rsidRPr="00A2236E">
        <w:rPr>
          <w:rFonts w:ascii="Times New Roman" w:hAnsi="Times New Roman" w:cs="Times New Roman"/>
        </w:rPr>
        <w:t>). Assessment and evaluation in competency-based English teaching: Affordance and challenges. In </w:t>
      </w:r>
      <w:r w:rsidRPr="00A2236E">
        <w:rPr>
          <w:rFonts w:ascii="Times New Roman" w:hAnsi="Times New Roman" w:cs="Times New Roman"/>
          <w:i/>
          <w:iCs/>
        </w:rPr>
        <w:t>Proceedings of the 13th OpenTESOL International Conference 2025: Embracing voices: Diversity, agency and growth in language education</w:t>
      </w:r>
      <w:r w:rsidRPr="00A2236E">
        <w:rPr>
          <w:rFonts w:ascii="Times New Roman" w:hAnsi="Times New Roman" w:cs="Times New Roman"/>
        </w:rPr>
        <w:t xml:space="preserve"> (pp. 661–674). Ho Chi Minh City Publishing House of Economics. </w:t>
      </w:r>
      <w:r w:rsidR="00056AD1">
        <w:fldChar w:fldCharType="begin"/>
      </w:r>
      <w:r w:rsidR="00056AD1">
        <w:instrText>HYPERLINK "https://opentesol.org/past-conferences/?utm_source=chatgpt.com"</w:instrText>
      </w:r>
      <w:r w:rsidR="00056AD1">
        <w:fldChar w:fldCharType="separate"/>
      </w:r>
      <w:r w:rsidR="00056AD1" w:rsidRPr="00A2236E">
        <w:rPr>
          <w:rStyle w:val="Hyperlink"/>
          <w:rFonts w:ascii="Times New Roman" w:hAnsi="Times New Roman" w:cs="Times New Roman"/>
        </w:rPr>
        <w:t>https://opentesol.org/past-conferences/?utm_source=chatgpt.com</w:t>
      </w:r>
      <w:r w:rsidR="00056AD1">
        <w:rPr>
          <w:rStyle w:val="Hyperlink"/>
          <w:rFonts w:ascii="Times New Roman" w:hAnsi="Times New Roman" w:cs="Times New Roman"/>
        </w:rPr>
        <w:fldChar w:fldCharType="end"/>
      </w:r>
    </w:p>
    <w:p w14:paraId="439A373E" w14:textId="05104BC4" w:rsidR="00056AD1" w:rsidRPr="00A2236E" w:rsidRDefault="00056AD1" w:rsidP="00056AD1">
      <w:pPr>
        <w:spacing w:line="360" w:lineRule="auto"/>
        <w:ind w:left="567" w:hanging="567"/>
        <w:jc w:val="both"/>
        <w:rPr>
          <w:rFonts w:ascii="Times New Roman" w:hAnsi="Times New Roman" w:cs="Times New Roman"/>
        </w:rPr>
      </w:pPr>
      <w:r w:rsidRPr="00A2236E">
        <w:rPr>
          <w:rFonts w:ascii="Times New Roman" w:hAnsi="Times New Roman" w:cs="Times New Roman"/>
        </w:rPr>
        <w:t>Chau, V. T., &amp; Tran, Q. T. (2025b). The questionnaire about factors affecting enactment of competency-based English teaching curriculum: A developing and validating method. </w:t>
      </w:r>
      <w:r w:rsidRPr="00A2236E">
        <w:rPr>
          <w:rFonts w:ascii="Times New Roman" w:hAnsi="Times New Roman" w:cs="Times New Roman"/>
          <w:i/>
          <w:iCs/>
        </w:rPr>
        <w:t>International Journal of TESOL Studies, 250802</w:t>
      </w:r>
      <w:r w:rsidRPr="00A2236E">
        <w:rPr>
          <w:rFonts w:ascii="Times New Roman" w:hAnsi="Times New Roman" w:cs="Times New Roman"/>
        </w:rPr>
        <w:t>, 1–25. </w:t>
      </w:r>
      <w:r>
        <w:fldChar w:fldCharType="begin"/>
      </w:r>
      <w:r>
        <w:instrText>HYPERLINK "https://doi.org/10.58304/ijts.250802" \t "_new"</w:instrText>
      </w:r>
      <w:r>
        <w:fldChar w:fldCharType="separate"/>
      </w:r>
      <w:r w:rsidRPr="00A2236E">
        <w:rPr>
          <w:rStyle w:val="Hyperlink"/>
          <w:rFonts w:ascii="Times New Roman" w:hAnsi="Times New Roman" w:cs="Times New Roman"/>
        </w:rPr>
        <w:t>https://doi.org/10.58304/ijts.250802</w:t>
      </w:r>
      <w:r>
        <w:rPr>
          <w:rStyle w:val="Hyperlink"/>
          <w:rFonts w:ascii="Times New Roman" w:hAnsi="Times New Roman" w:cs="Times New Roman"/>
        </w:rPr>
        <w:fldChar w:fldCharType="end"/>
      </w:r>
    </w:p>
    <w:p w14:paraId="660E7B56" w14:textId="5806B089" w:rsidR="00CB5490" w:rsidRPr="00A2236E" w:rsidRDefault="00CB5490" w:rsidP="00CB5490">
      <w:pPr>
        <w:spacing w:line="360" w:lineRule="auto"/>
        <w:ind w:left="567" w:hanging="567"/>
        <w:jc w:val="both"/>
        <w:rPr>
          <w:rFonts w:ascii="Times New Roman" w:hAnsi="Times New Roman" w:cs="Times New Roman"/>
        </w:rPr>
      </w:pPr>
      <w:r w:rsidRPr="00A2236E">
        <w:rPr>
          <w:rFonts w:ascii="Times New Roman" w:hAnsi="Times New Roman" w:cs="Times New Roman"/>
        </w:rPr>
        <w:t>Chau, V. T., &amp; Tran, Q. T. (2026). Revisiting Teacher's Roles under Competency-Based English Teaching Curriculum: A Systematic Literature Review. </w:t>
      </w:r>
      <w:r w:rsidRPr="00A2236E">
        <w:rPr>
          <w:rFonts w:ascii="Times New Roman" w:hAnsi="Times New Roman" w:cs="Times New Roman"/>
          <w:i/>
          <w:iCs/>
        </w:rPr>
        <w:t>VNU Journal of Science: Education Research</w:t>
      </w:r>
      <w:r w:rsidRPr="00A2236E">
        <w:rPr>
          <w:rFonts w:ascii="Times New Roman" w:hAnsi="Times New Roman" w:cs="Times New Roman"/>
        </w:rPr>
        <w:t xml:space="preserve">, </w:t>
      </w:r>
      <w:r w:rsidRPr="00A2236E">
        <w:rPr>
          <w:rFonts w:ascii="Times New Roman" w:hAnsi="Times New Roman" w:cs="Times New Roman"/>
          <w:i/>
          <w:iCs/>
        </w:rPr>
        <w:t>42</w:t>
      </w:r>
      <w:r w:rsidRPr="00A2236E">
        <w:rPr>
          <w:rFonts w:ascii="Times New Roman" w:hAnsi="Times New Roman" w:cs="Times New Roman"/>
        </w:rPr>
        <w:t xml:space="preserve">(1), 24-40. </w:t>
      </w:r>
      <w:r>
        <w:fldChar w:fldCharType="begin"/>
      </w:r>
      <w:r>
        <w:instrText>HYPERLINK "https://doi.org/10.25073/2588-1159/vnuer.5364"</w:instrText>
      </w:r>
      <w:r>
        <w:fldChar w:fldCharType="separate"/>
      </w:r>
      <w:r w:rsidRPr="00A2236E">
        <w:rPr>
          <w:rStyle w:val="Hyperlink"/>
          <w:rFonts w:ascii="Times New Roman" w:hAnsi="Times New Roman" w:cs="Times New Roman"/>
        </w:rPr>
        <w:t>https://doi.org/10.25073/2588-1159/vnuer.5364</w:t>
      </w:r>
      <w:r>
        <w:rPr>
          <w:rStyle w:val="Hyperlink"/>
          <w:rFonts w:ascii="Times New Roman" w:hAnsi="Times New Roman" w:cs="Times New Roman"/>
        </w:rPr>
        <w:fldChar w:fldCharType="end"/>
      </w:r>
      <w:r w:rsidRPr="00A2236E">
        <w:rPr>
          <w:rFonts w:ascii="Times New Roman" w:hAnsi="Times New Roman" w:cs="Times New Roman"/>
        </w:rPr>
        <w:t>.</w:t>
      </w:r>
    </w:p>
    <w:p w14:paraId="51AD2BF7" w14:textId="2EBB731F" w:rsidR="0077196B" w:rsidRPr="00A2236E" w:rsidRDefault="0077196B" w:rsidP="00207C24">
      <w:pPr>
        <w:spacing w:line="360" w:lineRule="auto"/>
        <w:ind w:left="567" w:hanging="567"/>
        <w:jc w:val="both"/>
        <w:rPr>
          <w:rFonts w:ascii="Times New Roman" w:hAnsi="Times New Roman" w:cs="Times New Roman"/>
        </w:rPr>
      </w:pPr>
      <w:r w:rsidRPr="00A2236E">
        <w:rPr>
          <w:rFonts w:ascii="Times New Roman" w:hAnsi="Times New Roman" w:cs="Times New Roman"/>
        </w:rPr>
        <w:t>Engeström, Y. (2009). Expansive learning: Toward an activity-theoretical reconceptualization. </w:t>
      </w:r>
      <w:r w:rsidRPr="00A2236E">
        <w:rPr>
          <w:rFonts w:ascii="Times New Roman" w:hAnsi="Times New Roman" w:cs="Times New Roman"/>
          <w:i/>
          <w:iCs/>
        </w:rPr>
        <w:t>Journal of Education and Work, 14</w:t>
      </w:r>
      <w:r w:rsidRPr="00A2236E">
        <w:rPr>
          <w:rFonts w:ascii="Times New Roman" w:hAnsi="Times New Roman" w:cs="Times New Roman"/>
        </w:rPr>
        <w:t>(1), 133–156. </w:t>
      </w:r>
      <w:hyperlink r:id="rId8" w:history="1">
        <w:r w:rsidRPr="00A2236E">
          <w:rPr>
            <w:rStyle w:val="Hyperlink"/>
            <w:rFonts w:ascii="Times New Roman" w:hAnsi="Times New Roman" w:cs="Times New Roman"/>
          </w:rPr>
          <w:t>https://doi.org/10.1080/13639080020028747</w:t>
        </w:r>
      </w:hyperlink>
    </w:p>
    <w:p w14:paraId="324AF582" w14:textId="77777777" w:rsidR="0077196B" w:rsidRPr="00A2236E" w:rsidRDefault="0077196B" w:rsidP="00207C24">
      <w:pPr>
        <w:spacing w:line="360" w:lineRule="auto"/>
        <w:ind w:left="567" w:hanging="567"/>
        <w:jc w:val="both"/>
        <w:rPr>
          <w:rFonts w:ascii="Times New Roman" w:hAnsi="Times New Roman" w:cs="Times New Roman"/>
        </w:rPr>
      </w:pPr>
      <w:r w:rsidRPr="00A2236E">
        <w:rPr>
          <w:rFonts w:ascii="Times New Roman" w:hAnsi="Times New Roman" w:cs="Times New Roman"/>
        </w:rPr>
        <w:lastRenderedPageBreak/>
        <w:t>Engeström, Y. (1987). </w:t>
      </w:r>
      <w:r w:rsidRPr="00A2236E">
        <w:rPr>
          <w:rFonts w:ascii="Times New Roman" w:hAnsi="Times New Roman" w:cs="Times New Roman"/>
          <w:i/>
          <w:iCs/>
        </w:rPr>
        <w:t>Learning by expanding: An activity-theoretical approach to developmental research</w:t>
      </w:r>
      <w:r w:rsidRPr="00A2236E">
        <w:rPr>
          <w:rFonts w:ascii="Times New Roman" w:hAnsi="Times New Roman" w:cs="Times New Roman"/>
        </w:rPr>
        <w:t>. Orienta-Konsultit. https://lchc.ucsd.edu/mca/Paper/Engestrom/Learning-by-Expanding.pdf</w:t>
      </w:r>
    </w:p>
    <w:p w14:paraId="55A48D4F" w14:textId="43507159" w:rsidR="0077196B" w:rsidRPr="00A2236E" w:rsidRDefault="0077196B" w:rsidP="00207C24">
      <w:pPr>
        <w:spacing w:line="360" w:lineRule="auto"/>
        <w:ind w:left="567" w:hanging="567"/>
        <w:jc w:val="both"/>
        <w:rPr>
          <w:rFonts w:ascii="Times New Roman" w:hAnsi="Times New Roman" w:cs="Times New Roman"/>
        </w:rPr>
      </w:pPr>
      <w:r w:rsidRPr="00A2236E">
        <w:rPr>
          <w:rFonts w:ascii="Times New Roman" w:hAnsi="Times New Roman" w:cs="Times New Roman"/>
        </w:rPr>
        <w:t>Fives, H., &amp; Gill, M. G. (2015). </w:t>
      </w:r>
      <w:r w:rsidRPr="00A2236E">
        <w:rPr>
          <w:rFonts w:ascii="Times New Roman" w:hAnsi="Times New Roman" w:cs="Times New Roman"/>
          <w:i/>
          <w:iCs/>
        </w:rPr>
        <w:t>International handbook of research on teachers’ beliefs</w:t>
      </w:r>
      <w:r w:rsidRPr="00A2236E">
        <w:rPr>
          <w:rFonts w:ascii="Times New Roman" w:hAnsi="Times New Roman" w:cs="Times New Roman"/>
        </w:rPr>
        <w:t>. New York, NY: Routledge.</w:t>
      </w:r>
      <w:r w:rsidR="002976B0" w:rsidRPr="00A2236E">
        <w:rPr>
          <w:rFonts w:ascii="Times New Roman" w:hAnsi="Times New Roman" w:cs="Times New Roman"/>
        </w:rPr>
        <w:t xml:space="preserve"> </w:t>
      </w:r>
      <w:r w:rsidR="003D44C8" w:rsidRPr="00A2236E">
        <w:rPr>
          <w:rFonts w:ascii="Times New Roman" w:hAnsi="Times New Roman" w:cs="Times New Roman"/>
        </w:rPr>
        <w:t>https://www.researchgate.net/profile/Jeppe-Skott/publication/266774641_The_promises_problems_and_prospects_of_research_on_teachers'_beliefs/links/56f2366508ae1cb29a3d2543/The-promises-problems-and-prospects-of-research-on-teachers-beliefs.pdf</w:t>
      </w:r>
    </w:p>
    <w:p w14:paraId="5BC5D7AD" w14:textId="1F091903" w:rsidR="0077196B" w:rsidRPr="00A2236E" w:rsidRDefault="0077196B" w:rsidP="00207C24">
      <w:pPr>
        <w:spacing w:line="360" w:lineRule="auto"/>
        <w:ind w:left="567" w:hanging="567"/>
        <w:jc w:val="both"/>
        <w:rPr>
          <w:rFonts w:ascii="Times New Roman" w:hAnsi="Times New Roman" w:cs="Times New Roman"/>
        </w:rPr>
      </w:pPr>
      <w:r w:rsidRPr="00A2236E">
        <w:rPr>
          <w:rFonts w:ascii="Times New Roman" w:hAnsi="Times New Roman" w:cs="Times New Roman"/>
        </w:rPr>
        <w:t>Ministry of Education and Training (MOET). (2018). </w:t>
      </w:r>
      <w:r w:rsidRPr="00A2236E">
        <w:rPr>
          <w:rFonts w:ascii="Times New Roman" w:hAnsi="Times New Roman" w:cs="Times New Roman"/>
          <w:i/>
          <w:iCs/>
        </w:rPr>
        <w:t>General education curriculum – English (attached to Circular No. 32/2018/TT-BGDĐT)</w:t>
      </w:r>
      <w:r w:rsidRPr="00A2236E">
        <w:rPr>
          <w:rFonts w:ascii="Times New Roman" w:hAnsi="Times New Roman" w:cs="Times New Roman"/>
        </w:rPr>
        <w:t>. MOET.  </w:t>
      </w:r>
      <w:hyperlink r:id="rId9" w:tgtFrame="_new" w:history="1">
        <w:r w:rsidRPr="00A2236E">
          <w:rPr>
            <w:rStyle w:val="Hyperlink"/>
            <w:rFonts w:ascii="Times New Roman" w:hAnsi="Times New Roman" w:cs="Times New Roman"/>
          </w:rPr>
          <w:t>https://thbausen.hcm.edu.vn/chuong-trinh-chinh-thuc/chuong-trinh-giao-duc-pho-thong-2018-mon-tieng-anh/ctmb/85329/442876</w:t>
        </w:r>
      </w:hyperlink>
    </w:p>
    <w:p w14:paraId="7B7C8BED" w14:textId="77777777" w:rsidR="0077196B" w:rsidRPr="00A2236E" w:rsidRDefault="0077196B" w:rsidP="00207C24">
      <w:pPr>
        <w:spacing w:line="360" w:lineRule="auto"/>
        <w:ind w:left="567" w:hanging="567"/>
        <w:jc w:val="both"/>
        <w:rPr>
          <w:rFonts w:ascii="Times New Roman" w:hAnsi="Times New Roman" w:cs="Times New Roman"/>
        </w:rPr>
      </w:pPr>
      <w:r w:rsidRPr="00A2236E">
        <w:rPr>
          <w:rFonts w:ascii="Times New Roman" w:hAnsi="Times New Roman" w:cs="Times New Roman"/>
        </w:rPr>
        <w:t>OECD. (2018). </w:t>
      </w:r>
      <w:r w:rsidRPr="00A2236E">
        <w:rPr>
          <w:rFonts w:ascii="Times New Roman" w:hAnsi="Times New Roman" w:cs="Times New Roman"/>
          <w:i/>
          <w:iCs/>
        </w:rPr>
        <w:t>The future of education and skills 2030</w:t>
      </w:r>
      <w:r w:rsidRPr="00A2236E">
        <w:rPr>
          <w:rFonts w:ascii="Times New Roman" w:hAnsi="Times New Roman" w:cs="Times New Roman"/>
        </w:rPr>
        <w:t>. </w:t>
      </w:r>
      <w:hyperlink r:id="rId10" w:tgtFrame="_new" w:history="1">
        <w:r w:rsidRPr="00A2236E">
          <w:rPr>
            <w:rStyle w:val="Hyperlink"/>
            <w:rFonts w:ascii="Times New Roman" w:hAnsi="Times New Roman" w:cs="Times New Roman"/>
          </w:rPr>
          <w:t>https://www.oecd.org/education/2030-project/</w:t>
        </w:r>
      </w:hyperlink>
    </w:p>
    <w:p w14:paraId="74110432" w14:textId="328DFD68" w:rsidR="0077196B" w:rsidRPr="00A2236E" w:rsidRDefault="0077196B" w:rsidP="00207C24">
      <w:pPr>
        <w:spacing w:line="360" w:lineRule="auto"/>
        <w:ind w:left="567" w:hanging="567"/>
        <w:jc w:val="both"/>
        <w:rPr>
          <w:rFonts w:ascii="Times New Roman" w:hAnsi="Times New Roman" w:cs="Times New Roman"/>
        </w:rPr>
      </w:pPr>
      <w:r w:rsidRPr="00A2236E">
        <w:rPr>
          <w:rFonts w:ascii="Times New Roman" w:hAnsi="Times New Roman" w:cs="Times New Roman"/>
        </w:rPr>
        <w:t>Priestley, M., Biesta, G., &amp; Robinson, S. (2015).</w:t>
      </w:r>
      <w:r w:rsidRPr="00A2236E">
        <w:rPr>
          <w:rFonts w:ascii="Times New Roman" w:eastAsiaTheme="majorEastAsia" w:hAnsi="Times New Roman" w:cs="Times New Roman"/>
        </w:rPr>
        <w:t> </w:t>
      </w:r>
      <w:r w:rsidRPr="00A2236E">
        <w:rPr>
          <w:rFonts w:ascii="Times New Roman" w:eastAsiaTheme="majorEastAsia" w:hAnsi="Times New Roman" w:cs="Times New Roman"/>
          <w:i/>
          <w:iCs/>
        </w:rPr>
        <w:t>Teacher agency: An ecological approach</w:t>
      </w:r>
      <w:r w:rsidRPr="00A2236E">
        <w:rPr>
          <w:rFonts w:ascii="Times New Roman" w:hAnsi="Times New Roman" w:cs="Times New Roman"/>
        </w:rPr>
        <w:t xml:space="preserve">. Bloomsbury. </w:t>
      </w:r>
      <w:r w:rsidR="003D44C8" w:rsidRPr="00A2236E">
        <w:rPr>
          <w:rFonts w:ascii="Times New Roman" w:hAnsi="Times New Roman" w:cs="Times New Roman"/>
        </w:rPr>
        <w:t>https://www.bloomsbury.com/uk/teacher-agency-9781472534668/</w:t>
      </w:r>
    </w:p>
    <w:p w14:paraId="5F6F4610" w14:textId="77777777" w:rsidR="0077196B" w:rsidRPr="00A2236E" w:rsidRDefault="0077196B" w:rsidP="00207C24">
      <w:pPr>
        <w:spacing w:line="360" w:lineRule="auto"/>
        <w:ind w:left="567" w:hanging="567"/>
        <w:jc w:val="both"/>
        <w:rPr>
          <w:rFonts w:ascii="Times New Roman" w:hAnsi="Times New Roman" w:cs="Times New Roman"/>
        </w:rPr>
      </w:pPr>
      <w:r w:rsidRPr="00A2236E">
        <w:rPr>
          <w:rFonts w:ascii="Times New Roman" w:hAnsi="Times New Roman" w:cs="Times New Roman"/>
        </w:rPr>
        <w:t xml:space="preserve">Spillane, J. P., Reiser, B. J., &amp; Reimer, T. (2002). Policy implementation and cognition: Reframing and refocusing implementation research. </w:t>
      </w:r>
      <w:r w:rsidRPr="00A2236E">
        <w:rPr>
          <w:rFonts w:ascii="Times New Roman" w:hAnsi="Times New Roman" w:cs="Times New Roman"/>
          <w:i/>
          <w:iCs/>
        </w:rPr>
        <w:t>Review of Educational Research, 72</w:t>
      </w:r>
      <w:r w:rsidRPr="00A2236E">
        <w:rPr>
          <w:rFonts w:ascii="Times New Roman" w:hAnsi="Times New Roman" w:cs="Times New Roman"/>
        </w:rPr>
        <w:t xml:space="preserve">(3), 387–431. </w:t>
      </w:r>
      <w:hyperlink r:id="rId11" w:history="1">
        <w:r w:rsidRPr="00A2236E">
          <w:rPr>
            <w:rStyle w:val="Hyperlink"/>
            <w:rFonts w:ascii="Times New Roman" w:hAnsi="Times New Roman" w:cs="Times New Roman"/>
          </w:rPr>
          <w:t>https://sci-hub.vn/10.3102/00346543072003387</w:t>
        </w:r>
      </w:hyperlink>
    </w:p>
    <w:p w14:paraId="4AC6F486" w14:textId="0CA5384B" w:rsidR="00744623" w:rsidRPr="00A2236E" w:rsidRDefault="0077196B" w:rsidP="00DE49BD">
      <w:pPr>
        <w:spacing w:line="360" w:lineRule="auto"/>
        <w:ind w:left="567" w:hanging="567"/>
        <w:jc w:val="both"/>
        <w:rPr>
          <w:rFonts w:ascii="Times New Roman" w:hAnsi="Times New Roman" w:cs="Times New Roman"/>
        </w:rPr>
      </w:pPr>
      <w:r w:rsidRPr="00A2236E">
        <w:rPr>
          <w:rFonts w:ascii="Times New Roman" w:hAnsi="Times New Roman" w:cs="Times New Roman"/>
        </w:rPr>
        <w:t>Vygotsky, L. S. (1978). </w:t>
      </w:r>
      <w:r w:rsidRPr="00A2236E">
        <w:rPr>
          <w:rFonts w:ascii="Times New Roman" w:hAnsi="Times New Roman" w:cs="Times New Roman"/>
          <w:i/>
          <w:iCs/>
        </w:rPr>
        <w:t>Mind in society: The Development of Higher Psychological Processes</w:t>
      </w:r>
      <w:r w:rsidRPr="00A2236E">
        <w:rPr>
          <w:rFonts w:ascii="Times New Roman" w:hAnsi="Times New Roman" w:cs="Times New Roman"/>
        </w:rPr>
        <w:t>.  Harvard University Press. </w:t>
      </w:r>
      <w:hyperlink r:id="rId12" w:history="1">
        <w:r w:rsidR="00560A90" w:rsidRPr="00A2236E">
          <w:rPr>
            <w:rStyle w:val="Hyperlink"/>
            <w:rFonts w:ascii="Times New Roman" w:hAnsi="Times New Roman" w:cs="Times New Roman"/>
          </w:rPr>
          <w:t>https://home.fau.edu/musgrove/web/vygotsky1978.pdf</w:t>
        </w:r>
      </w:hyperlink>
    </w:p>
    <w:p w14:paraId="7B7CDE36" w14:textId="38D80C99" w:rsidR="00560A90" w:rsidRPr="00A2236E" w:rsidRDefault="00560A90" w:rsidP="00560A90">
      <w:pPr>
        <w:pStyle w:val="RALs-ReferencesList"/>
        <w:rPr>
          <w:rFonts w:eastAsiaTheme="minorHAnsi" w:cs="Times New Roman"/>
          <w:b/>
          <w:bCs/>
          <w:sz w:val="24"/>
          <w:szCs w:val="24"/>
        </w:rPr>
      </w:pPr>
      <w:proofErr w:type="spellStart"/>
      <w:r w:rsidRPr="00A2236E">
        <w:rPr>
          <w:rFonts w:eastAsiaTheme="minorHAnsi" w:cs="Times New Roman"/>
          <w:b/>
          <w:bCs/>
          <w:sz w:val="24"/>
          <w:szCs w:val="24"/>
        </w:rPr>
        <w:t>Bionote</w:t>
      </w:r>
      <w:proofErr w:type="spellEnd"/>
    </w:p>
    <w:p w14:paraId="2305CDE7" w14:textId="77777777" w:rsidR="00B0587F" w:rsidRPr="00B0587F" w:rsidRDefault="00B0587F" w:rsidP="00B0587F">
      <w:pPr>
        <w:spacing w:line="360" w:lineRule="auto"/>
        <w:ind w:left="567" w:hanging="567"/>
        <w:jc w:val="both"/>
        <w:rPr>
          <w:rFonts w:ascii="Times New Roman" w:eastAsia="Times New Roman" w:hAnsi="Times New Roman" w:cs="Times New Roman"/>
          <w:kern w:val="0"/>
          <w14:ligatures w14:val="none"/>
        </w:rPr>
      </w:pPr>
      <w:r w:rsidRPr="00B0587F">
        <w:rPr>
          <w:rFonts w:ascii="Times New Roman" w:eastAsia="Times New Roman" w:hAnsi="Times New Roman" w:cs="Times New Roman"/>
          <w:b/>
          <w:bCs/>
          <w:i/>
          <w:iCs/>
          <w:kern w:val="0"/>
          <w14:ligatures w14:val="none"/>
        </w:rPr>
        <w:t xml:space="preserve">Mr. Chau Vinh THANH </w:t>
      </w:r>
      <w:r w:rsidRPr="00B0587F">
        <w:rPr>
          <w:rFonts w:ascii="Times New Roman" w:eastAsia="Times New Roman" w:hAnsi="Times New Roman" w:cs="Times New Roman"/>
          <w:kern w:val="0"/>
          <w14:ligatures w14:val="none"/>
        </w:rPr>
        <w:t xml:space="preserve">is an English lecturer pursuing a PhD in TESOL at Ho Chi Minh City Open University. His main research interests are English learning and teaching, curriculum design, teaching methods, autonomous learning and teaching. ORCID: https://orcid.org/0009-0001-1508-42811 </w:t>
      </w:r>
    </w:p>
    <w:p w14:paraId="24955304" w14:textId="59E07AFD" w:rsidR="00560A90" w:rsidRPr="00034014" w:rsidRDefault="00B0587F" w:rsidP="00034014">
      <w:pPr>
        <w:spacing w:line="360" w:lineRule="auto"/>
        <w:ind w:left="567" w:hanging="567"/>
        <w:jc w:val="both"/>
        <w:rPr>
          <w:rFonts w:ascii="Times New Roman" w:eastAsia="Times New Roman" w:hAnsi="Times New Roman" w:cs="Times New Roman"/>
          <w:kern w:val="0"/>
          <w14:ligatures w14:val="none"/>
        </w:rPr>
      </w:pPr>
      <w:r w:rsidRPr="00B0587F">
        <w:rPr>
          <w:rFonts w:ascii="Times New Roman" w:eastAsia="Times New Roman" w:hAnsi="Times New Roman" w:cs="Times New Roman"/>
          <w:kern w:val="0"/>
          <w14:ligatures w14:val="none"/>
        </w:rPr>
        <w:t xml:space="preserve">Associate Professor </w:t>
      </w:r>
      <w:r w:rsidRPr="00B0587F">
        <w:rPr>
          <w:rFonts w:ascii="Times New Roman" w:eastAsia="Times New Roman" w:hAnsi="Times New Roman" w:cs="Times New Roman"/>
          <w:b/>
          <w:bCs/>
          <w:i/>
          <w:iCs/>
          <w:kern w:val="0"/>
          <w14:ligatures w14:val="none"/>
        </w:rPr>
        <w:t xml:space="preserve">Dr. Tran Quoc Thao </w:t>
      </w:r>
      <w:r w:rsidRPr="00B0587F">
        <w:rPr>
          <w:rFonts w:ascii="Times New Roman" w:eastAsia="Times New Roman" w:hAnsi="Times New Roman" w:cs="Times New Roman"/>
          <w:kern w:val="0"/>
          <w14:ligatures w14:val="none"/>
        </w:rPr>
        <w:t xml:space="preserve">is currently working at the Faculty of Foreign Languages, Ho Chi Minh City Open University. He has been teaching English for 20 years, and he is experienced in teaching English to both local and international students. His research areas are discourse analysis, English language skills, teacher professional development and instructional design model. </w:t>
      </w:r>
    </w:p>
    <w:sectPr w:rsidR="00560A90" w:rsidRPr="00034014">
      <w:footerReference w:type="even"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4B6DA" w14:textId="77777777" w:rsidR="009524B6" w:rsidRDefault="009524B6" w:rsidP="00AE0F1C">
      <w:r>
        <w:separator/>
      </w:r>
    </w:p>
  </w:endnote>
  <w:endnote w:type="continuationSeparator" w:id="0">
    <w:p w14:paraId="040DE7B1" w14:textId="77777777" w:rsidR="009524B6" w:rsidRDefault="009524B6" w:rsidP="00AE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Zar">
    <w:altName w:val="Arial"/>
    <w:panose1 w:val="020B0604020202020204"/>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05364200"/>
      <w:docPartObj>
        <w:docPartGallery w:val="Page Numbers (Bottom of Page)"/>
        <w:docPartUnique/>
      </w:docPartObj>
    </w:sdtPr>
    <w:sdtContent>
      <w:p w14:paraId="329CED58" w14:textId="77777777" w:rsidR="00AE0F1C" w:rsidRDefault="00AE0F1C" w:rsidP="006F18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4A237B" w14:textId="77777777" w:rsidR="00AE0F1C" w:rsidRDefault="00AE0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44609380"/>
      <w:docPartObj>
        <w:docPartGallery w:val="Page Numbers (Bottom of Page)"/>
        <w:docPartUnique/>
      </w:docPartObj>
    </w:sdtPr>
    <w:sdtContent>
      <w:p w14:paraId="00A76D6C" w14:textId="77777777" w:rsidR="00AE0F1C" w:rsidRDefault="00AE0F1C" w:rsidP="006F18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1D7378" w14:textId="77777777" w:rsidR="00AE0F1C" w:rsidRDefault="00AE0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1C9FF" w14:textId="77777777" w:rsidR="009524B6" w:rsidRDefault="009524B6" w:rsidP="00AE0F1C">
      <w:r>
        <w:separator/>
      </w:r>
    </w:p>
  </w:footnote>
  <w:footnote w:type="continuationSeparator" w:id="0">
    <w:p w14:paraId="6B722282" w14:textId="77777777" w:rsidR="009524B6" w:rsidRDefault="009524B6" w:rsidP="00AE0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095771"/>
    <w:multiLevelType w:val="multilevel"/>
    <w:tmpl w:val="A3A4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847BAC"/>
    <w:multiLevelType w:val="multilevel"/>
    <w:tmpl w:val="842C3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3DF135F"/>
    <w:multiLevelType w:val="multilevel"/>
    <w:tmpl w:val="B5D2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BC6374"/>
    <w:multiLevelType w:val="multilevel"/>
    <w:tmpl w:val="3C18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2508577">
    <w:abstractNumId w:val="1"/>
  </w:num>
  <w:num w:numId="2" w16cid:durableId="1190728650">
    <w:abstractNumId w:val="3"/>
  </w:num>
  <w:num w:numId="3" w16cid:durableId="487787804">
    <w:abstractNumId w:val="0"/>
  </w:num>
  <w:num w:numId="4" w16cid:durableId="777987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7A8"/>
    <w:rsid w:val="00034014"/>
    <w:rsid w:val="00041256"/>
    <w:rsid w:val="00042713"/>
    <w:rsid w:val="00055D28"/>
    <w:rsid w:val="00056AD1"/>
    <w:rsid w:val="00061135"/>
    <w:rsid w:val="000657EA"/>
    <w:rsid w:val="00080B60"/>
    <w:rsid w:val="00083F07"/>
    <w:rsid w:val="000A55E0"/>
    <w:rsid w:val="000E3428"/>
    <w:rsid w:val="00107A0B"/>
    <w:rsid w:val="001125D3"/>
    <w:rsid w:val="0011524C"/>
    <w:rsid w:val="001211AF"/>
    <w:rsid w:val="0014336A"/>
    <w:rsid w:val="001758AC"/>
    <w:rsid w:val="00195096"/>
    <w:rsid w:val="001A1397"/>
    <w:rsid w:val="001B3DBA"/>
    <w:rsid w:val="001D686E"/>
    <w:rsid w:val="00207C24"/>
    <w:rsid w:val="002144C0"/>
    <w:rsid w:val="00226911"/>
    <w:rsid w:val="002462FD"/>
    <w:rsid w:val="00272467"/>
    <w:rsid w:val="002976B0"/>
    <w:rsid w:val="002F40A7"/>
    <w:rsid w:val="00341072"/>
    <w:rsid w:val="003A31BC"/>
    <w:rsid w:val="003A4532"/>
    <w:rsid w:val="003B602D"/>
    <w:rsid w:val="003D32E1"/>
    <w:rsid w:val="003D44C8"/>
    <w:rsid w:val="003E4D3F"/>
    <w:rsid w:val="003F016B"/>
    <w:rsid w:val="00411528"/>
    <w:rsid w:val="00446DB6"/>
    <w:rsid w:val="004560C8"/>
    <w:rsid w:val="00474881"/>
    <w:rsid w:val="00487349"/>
    <w:rsid w:val="004B02F8"/>
    <w:rsid w:val="004B61C6"/>
    <w:rsid w:val="004B7787"/>
    <w:rsid w:val="004E1D7F"/>
    <w:rsid w:val="0053764D"/>
    <w:rsid w:val="00560A90"/>
    <w:rsid w:val="00562CB8"/>
    <w:rsid w:val="00576758"/>
    <w:rsid w:val="00583D12"/>
    <w:rsid w:val="005A1857"/>
    <w:rsid w:val="005F0D3F"/>
    <w:rsid w:val="00632383"/>
    <w:rsid w:val="0063348B"/>
    <w:rsid w:val="006532CA"/>
    <w:rsid w:val="006774D4"/>
    <w:rsid w:val="006A6BE0"/>
    <w:rsid w:val="006B15AA"/>
    <w:rsid w:val="006B4982"/>
    <w:rsid w:val="006C0B56"/>
    <w:rsid w:val="006D5201"/>
    <w:rsid w:val="006E0905"/>
    <w:rsid w:val="006E26A8"/>
    <w:rsid w:val="006F4A95"/>
    <w:rsid w:val="00716F5B"/>
    <w:rsid w:val="00724571"/>
    <w:rsid w:val="00744623"/>
    <w:rsid w:val="00751388"/>
    <w:rsid w:val="00767DA4"/>
    <w:rsid w:val="0077196B"/>
    <w:rsid w:val="00784759"/>
    <w:rsid w:val="00790D31"/>
    <w:rsid w:val="00791DDB"/>
    <w:rsid w:val="007B1743"/>
    <w:rsid w:val="007D2A0D"/>
    <w:rsid w:val="007F0D68"/>
    <w:rsid w:val="00807C1B"/>
    <w:rsid w:val="0082613D"/>
    <w:rsid w:val="00833813"/>
    <w:rsid w:val="0084055A"/>
    <w:rsid w:val="00843128"/>
    <w:rsid w:val="008535D1"/>
    <w:rsid w:val="008630B0"/>
    <w:rsid w:val="00875770"/>
    <w:rsid w:val="00875DA4"/>
    <w:rsid w:val="00877AF0"/>
    <w:rsid w:val="008B06A8"/>
    <w:rsid w:val="008B4C88"/>
    <w:rsid w:val="008C6EFB"/>
    <w:rsid w:val="008D08FA"/>
    <w:rsid w:val="00916DA0"/>
    <w:rsid w:val="00921FD6"/>
    <w:rsid w:val="00930832"/>
    <w:rsid w:val="009407A8"/>
    <w:rsid w:val="009524B6"/>
    <w:rsid w:val="009832BE"/>
    <w:rsid w:val="00992B18"/>
    <w:rsid w:val="009A4942"/>
    <w:rsid w:val="009C189E"/>
    <w:rsid w:val="009D0D6A"/>
    <w:rsid w:val="00A2236E"/>
    <w:rsid w:val="00A30B91"/>
    <w:rsid w:val="00A3563A"/>
    <w:rsid w:val="00A7517A"/>
    <w:rsid w:val="00AA5021"/>
    <w:rsid w:val="00AC2219"/>
    <w:rsid w:val="00AE0F1C"/>
    <w:rsid w:val="00AE2547"/>
    <w:rsid w:val="00B00F97"/>
    <w:rsid w:val="00B0587F"/>
    <w:rsid w:val="00B05A4F"/>
    <w:rsid w:val="00B416FA"/>
    <w:rsid w:val="00B9496C"/>
    <w:rsid w:val="00BA3B6B"/>
    <w:rsid w:val="00BA539F"/>
    <w:rsid w:val="00BB5B7B"/>
    <w:rsid w:val="00BD2B83"/>
    <w:rsid w:val="00BE15E9"/>
    <w:rsid w:val="00BF7513"/>
    <w:rsid w:val="00C16A80"/>
    <w:rsid w:val="00C34182"/>
    <w:rsid w:val="00C40400"/>
    <w:rsid w:val="00C55B22"/>
    <w:rsid w:val="00CB5490"/>
    <w:rsid w:val="00CE52EB"/>
    <w:rsid w:val="00D00DD0"/>
    <w:rsid w:val="00D03DEB"/>
    <w:rsid w:val="00D3291F"/>
    <w:rsid w:val="00D40D04"/>
    <w:rsid w:val="00D44D23"/>
    <w:rsid w:val="00D57365"/>
    <w:rsid w:val="00D75D36"/>
    <w:rsid w:val="00D81288"/>
    <w:rsid w:val="00DB159B"/>
    <w:rsid w:val="00DC584C"/>
    <w:rsid w:val="00DE4190"/>
    <w:rsid w:val="00DE49BD"/>
    <w:rsid w:val="00DE5885"/>
    <w:rsid w:val="00E420C2"/>
    <w:rsid w:val="00E70916"/>
    <w:rsid w:val="00E746F6"/>
    <w:rsid w:val="00E765F6"/>
    <w:rsid w:val="00EA37DF"/>
    <w:rsid w:val="00EB2478"/>
    <w:rsid w:val="00ED1F46"/>
    <w:rsid w:val="00EE6733"/>
    <w:rsid w:val="00F15A9E"/>
    <w:rsid w:val="00F3321A"/>
    <w:rsid w:val="00F445A4"/>
    <w:rsid w:val="00F5408B"/>
    <w:rsid w:val="00F54F81"/>
    <w:rsid w:val="00F56DA1"/>
    <w:rsid w:val="00F80C5F"/>
    <w:rsid w:val="00F824E2"/>
    <w:rsid w:val="00F86833"/>
    <w:rsid w:val="00FB5B2E"/>
    <w:rsid w:val="00FC5F90"/>
    <w:rsid w:val="00FF068B"/>
    <w:rsid w:val="00FF25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7BF4"/>
  <w15:chartTrackingRefBased/>
  <w15:docId w15:val="{23AFEE6A-17A7-A842-988B-50A48118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B61C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7DA4"/>
    <w:rPr>
      <w:color w:val="0563C1" w:themeColor="hyperlink"/>
      <w:u w:val="single"/>
    </w:rPr>
  </w:style>
  <w:style w:type="paragraph" w:styleId="Footer">
    <w:name w:val="footer"/>
    <w:basedOn w:val="Normal"/>
    <w:link w:val="FooterChar"/>
    <w:uiPriority w:val="99"/>
    <w:unhideWhenUsed/>
    <w:rsid w:val="00AE0F1C"/>
    <w:pPr>
      <w:tabs>
        <w:tab w:val="center" w:pos="4680"/>
        <w:tab w:val="right" w:pos="9360"/>
      </w:tabs>
    </w:pPr>
  </w:style>
  <w:style w:type="character" w:customStyle="1" w:styleId="FooterChar">
    <w:name w:val="Footer Char"/>
    <w:basedOn w:val="DefaultParagraphFont"/>
    <w:link w:val="Footer"/>
    <w:uiPriority w:val="99"/>
    <w:rsid w:val="00AE0F1C"/>
  </w:style>
  <w:style w:type="character" w:styleId="PageNumber">
    <w:name w:val="page number"/>
    <w:basedOn w:val="DefaultParagraphFont"/>
    <w:uiPriority w:val="99"/>
    <w:semiHidden/>
    <w:unhideWhenUsed/>
    <w:rsid w:val="00AE0F1C"/>
  </w:style>
  <w:style w:type="character" w:styleId="UnresolvedMention">
    <w:name w:val="Unresolved Mention"/>
    <w:basedOn w:val="DefaultParagraphFont"/>
    <w:uiPriority w:val="99"/>
    <w:semiHidden/>
    <w:unhideWhenUsed/>
    <w:rsid w:val="00744623"/>
    <w:rPr>
      <w:color w:val="605E5C"/>
      <w:shd w:val="clear" w:color="auto" w:fill="E1DFDD"/>
    </w:rPr>
  </w:style>
  <w:style w:type="character" w:styleId="FollowedHyperlink">
    <w:name w:val="FollowedHyperlink"/>
    <w:basedOn w:val="DefaultParagraphFont"/>
    <w:uiPriority w:val="99"/>
    <w:semiHidden/>
    <w:unhideWhenUsed/>
    <w:rsid w:val="00807C1B"/>
    <w:rPr>
      <w:color w:val="954F72" w:themeColor="followedHyperlink"/>
      <w:u w:val="single"/>
    </w:rPr>
  </w:style>
  <w:style w:type="character" w:customStyle="1" w:styleId="Heading3Char">
    <w:name w:val="Heading 3 Char"/>
    <w:basedOn w:val="DefaultParagraphFont"/>
    <w:link w:val="Heading3"/>
    <w:uiPriority w:val="9"/>
    <w:semiHidden/>
    <w:rsid w:val="004B61C6"/>
    <w:rPr>
      <w:rFonts w:asciiTheme="majorHAnsi" w:eastAsiaTheme="majorEastAsia" w:hAnsiTheme="majorHAnsi" w:cstheme="majorBidi"/>
      <w:color w:val="1F3763" w:themeColor="accent1" w:themeShade="7F"/>
    </w:rPr>
  </w:style>
  <w:style w:type="paragraph" w:customStyle="1" w:styleId="RALs-HeadingsNoIndent">
    <w:name w:val="RALs-HeadingsNoIndent"/>
    <w:basedOn w:val="Normal"/>
    <w:next w:val="Normal"/>
    <w:qFormat/>
    <w:rsid w:val="00560A90"/>
    <w:pPr>
      <w:keepNext/>
      <w:spacing w:before="240" w:after="60" w:line="276" w:lineRule="auto"/>
      <w:jc w:val="both"/>
    </w:pPr>
    <w:rPr>
      <w:rFonts w:ascii="Times New Roman" w:eastAsia="Times New Roman" w:hAnsi="Times New Roman" w:cs="B Zar"/>
      <w:b/>
      <w:bCs/>
      <w:kern w:val="0"/>
      <w:sz w:val="20"/>
      <w:szCs w:val="22"/>
      <w:lang w:val="en-US"/>
      <w14:ligatures w14:val="none"/>
    </w:rPr>
  </w:style>
  <w:style w:type="paragraph" w:customStyle="1" w:styleId="RALs-ReferencesList">
    <w:name w:val="RALs-ReferencesList"/>
    <w:basedOn w:val="Normal"/>
    <w:qFormat/>
    <w:rsid w:val="00560A90"/>
    <w:pPr>
      <w:spacing w:before="120" w:after="100" w:line="276" w:lineRule="auto"/>
      <w:ind w:left="426" w:hanging="426"/>
      <w:jc w:val="both"/>
    </w:pPr>
    <w:rPr>
      <w:rFonts w:ascii="Times New Roman" w:eastAsia="Times New Roman" w:hAnsi="Times New Roman" w:cs="B Zar"/>
      <w:kern w:val="0"/>
      <w:sz w:val="20"/>
      <w:szCs w:val="20"/>
      <w:lang w:val="en-US"/>
      <w14:ligatures w14:val="none"/>
    </w:rPr>
  </w:style>
  <w:style w:type="paragraph" w:customStyle="1" w:styleId="RALs-Heading1">
    <w:name w:val="RALs-Heading1"/>
    <w:basedOn w:val="Normal"/>
    <w:next w:val="Normal"/>
    <w:qFormat/>
    <w:rsid w:val="00A7517A"/>
    <w:pPr>
      <w:keepNext/>
      <w:spacing w:before="240" w:line="276" w:lineRule="auto"/>
      <w:ind w:left="284" w:hanging="284"/>
      <w:jc w:val="center"/>
    </w:pPr>
    <w:rPr>
      <w:rFonts w:ascii="Times New Roman" w:eastAsia="Times New Roman" w:hAnsi="Times New Roman" w:cs="B Zar"/>
      <w:b/>
      <w:bCs/>
      <w:kern w:val="0"/>
      <w:sz w:val="2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4789">
      <w:bodyDiv w:val="1"/>
      <w:marLeft w:val="0"/>
      <w:marRight w:val="0"/>
      <w:marTop w:val="0"/>
      <w:marBottom w:val="0"/>
      <w:divBdr>
        <w:top w:val="none" w:sz="0" w:space="0" w:color="auto"/>
        <w:left w:val="none" w:sz="0" w:space="0" w:color="auto"/>
        <w:bottom w:val="none" w:sz="0" w:space="0" w:color="auto"/>
        <w:right w:val="none" w:sz="0" w:space="0" w:color="auto"/>
      </w:divBdr>
    </w:div>
    <w:div w:id="19400580">
      <w:bodyDiv w:val="1"/>
      <w:marLeft w:val="0"/>
      <w:marRight w:val="0"/>
      <w:marTop w:val="0"/>
      <w:marBottom w:val="0"/>
      <w:divBdr>
        <w:top w:val="none" w:sz="0" w:space="0" w:color="auto"/>
        <w:left w:val="none" w:sz="0" w:space="0" w:color="auto"/>
        <w:bottom w:val="none" w:sz="0" w:space="0" w:color="auto"/>
        <w:right w:val="none" w:sz="0" w:space="0" w:color="auto"/>
      </w:divBdr>
    </w:div>
    <w:div w:id="34282390">
      <w:bodyDiv w:val="1"/>
      <w:marLeft w:val="0"/>
      <w:marRight w:val="0"/>
      <w:marTop w:val="0"/>
      <w:marBottom w:val="0"/>
      <w:divBdr>
        <w:top w:val="none" w:sz="0" w:space="0" w:color="auto"/>
        <w:left w:val="none" w:sz="0" w:space="0" w:color="auto"/>
        <w:bottom w:val="none" w:sz="0" w:space="0" w:color="auto"/>
        <w:right w:val="none" w:sz="0" w:space="0" w:color="auto"/>
      </w:divBdr>
      <w:divsChild>
        <w:div w:id="652029218">
          <w:marLeft w:val="0"/>
          <w:marRight w:val="0"/>
          <w:marTop w:val="0"/>
          <w:marBottom w:val="0"/>
          <w:divBdr>
            <w:top w:val="none" w:sz="0" w:space="0" w:color="auto"/>
            <w:left w:val="none" w:sz="0" w:space="0" w:color="auto"/>
            <w:bottom w:val="none" w:sz="0" w:space="0" w:color="auto"/>
            <w:right w:val="none" w:sz="0" w:space="0" w:color="auto"/>
          </w:divBdr>
          <w:divsChild>
            <w:div w:id="201095044">
              <w:marLeft w:val="0"/>
              <w:marRight w:val="0"/>
              <w:marTop w:val="0"/>
              <w:marBottom w:val="0"/>
              <w:divBdr>
                <w:top w:val="none" w:sz="0" w:space="0" w:color="auto"/>
                <w:left w:val="none" w:sz="0" w:space="0" w:color="auto"/>
                <w:bottom w:val="none" w:sz="0" w:space="0" w:color="auto"/>
                <w:right w:val="none" w:sz="0" w:space="0" w:color="auto"/>
              </w:divBdr>
              <w:divsChild>
                <w:div w:id="13467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53806">
      <w:bodyDiv w:val="1"/>
      <w:marLeft w:val="0"/>
      <w:marRight w:val="0"/>
      <w:marTop w:val="0"/>
      <w:marBottom w:val="0"/>
      <w:divBdr>
        <w:top w:val="none" w:sz="0" w:space="0" w:color="auto"/>
        <w:left w:val="none" w:sz="0" w:space="0" w:color="auto"/>
        <w:bottom w:val="none" w:sz="0" w:space="0" w:color="auto"/>
        <w:right w:val="none" w:sz="0" w:space="0" w:color="auto"/>
      </w:divBdr>
    </w:div>
    <w:div w:id="78523826">
      <w:bodyDiv w:val="1"/>
      <w:marLeft w:val="0"/>
      <w:marRight w:val="0"/>
      <w:marTop w:val="0"/>
      <w:marBottom w:val="0"/>
      <w:divBdr>
        <w:top w:val="none" w:sz="0" w:space="0" w:color="auto"/>
        <w:left w:val="none" w:sz="0" w:space="0" w:color="auto"/>
        <w:bottom w:val="none" w:sz="0" w:space="0" w:color="auto"/>
        <w:right w:val="none" w:sz="0" w:space="0" w:color="auto"/>
      </w:divBdr>
    </w:div>
    <w:div w:id="83690468">
      <w:bodyDiv w:val="1"/>
      <w:marLeft w:val="0"/>
      <w:marRight w:val="0"/>
      <w:marTop w:val="0"/>
      <w:marBottom w:val="0"/>
      <w:divBdr>
        <w:top w:val="none" w:sz="0" w:space="0" w:color="auto"/>
        <w:left w:val="none" w:sz="0" w:space="0" w:color="auto"/>
        <w:bottom w:val="none" w:sz="0" w:space="0" w:color="auto"/>
        <w:right w:val="none" w:sz="0" w:space="0" w:color="auto"/>
      </w:divBdr>
    </w:div>
    <w:div w:id="97988951">
      <w:bodyDiv w:val="1"/>
      <w:marLeft w:val="0"/>
      <w:marRight w:val="0"/>
      <w:marTop w:val="0"/>
      <w:marBottom w:val="0"/>
      <w:divBdr>
        <w:top w:val="none" w:sz="0" w:space="0" w:color="auto"/>
        <w:left w:val="none" w:sz="0" w:space="0" w:color="auto"/>
        <w:bottom w:val="none" w:sz="0" w:space="0" w:color="auto"/>
        <w:right w:val="none" w:sz="0" w:space="0" w:color="auto"/>
      </w:divBdr>
    </w:div>
    <w:div w:id="145516491">
      <w:bodyDiv w:val="1"/>
      <w:marLeft w:val="0"/>
      <w:marRight w:val="0"/>
      <w:marTop w:val="0"/>
      <w:marBottom w:val="0"/>
      <w:divBdr>
        <w:top w:val="none" w:sz="0" w:space="0" w:color="auto"/>
        <w:left w:val="none" w:sz="0" w:space="0" w:color="auto"/>
        <w:bottom w:val="none" w:sz="0" w:space="0" w:color="auto"/>
        <w:right w:val="none" w:sz="0" w:space="0" w:color="auto"/>
      </w:divBdr>
    </w:div>
    <w:div w:id="181744760">
      <w:bodyDiv w:val="1"/>
      <w:marLeft w:val="0"/>
      <w:marRight w:val="0"/>
      <w:marTop w:val="0"/>
      <w:marBottom w:val="0"/>
      <w:divBdr>
        <w:top w:val="none" w:sz="0" w:space="0" w:color="auto"/>
        <w:left w:val="none" w:sz="0" w:space="0" w:color="auto"/>
        <w:bottom w:val="none" w:sz="0" w:space="0" w:color="auto"/>
        <w:right w:val="none" w:sz="0" w:space="0" w:color="auto"/>
      </w:divBdr>
    </w:div>
    <w:div w:id="264113530">
      <w:bodyDiv w:val="1"/>
      <w:marLeft w:val="0"/>
      <w:marRight w:val="0"/>
      <w:marTop w:val="0"/>
      <w:marBottom w:val="0"/>
      <w:divBdr>
        <w:top w:val="none" w:sz="0" w:space="0" w:color="auto"/>
        <w:left w:val="none" w:sz="0" w:space="0" w:color="auto"/>
        <w:bottom w:val="none" w:sz="0" w:space="0" w:color="auto"/>
        <w:right w:val="none" w:sz="0" w:space="0" w:color="auto"/>
      </w:divBdr>
    </w:div>
    <w:div w:id="271018310">
      <w:bodyDiv w:val="1"/>
      <w:marLeft w:val="0"/>
      <w:marRight w:val="0"/>
      <w:marTop w:val="0"/>
      <w:marBottom w:val="0"/>
      <w:divBdr>
        <w:top w:val="none" w:sz="0" w:space="0" w:color="auto"/>
        <w:left w:val="none" w:sz="0" w:space="0" w:color="auto"/>
        <w:bottom w:val="none" w:sz="0" w:space="0" w:color="auto"/>
        <w:right w:val="none" w:sz="0" w:space="0" w:color="auto"/>
      </w:divBdr>
    </w:div>
    <w:div w:id="321466106">
      <w:bodyDiv w:val="1"/>
      <w:marLeft w:val="0"/>
      <w:marRight w:val="0"/>
      <w:marTop w:val="0"/>
      <w:marBottom w:val="0"/>
      <w:divBdr>
        <w:top w:val="none" w:sz="0" w:space="0" w:color="auto"/>
        <w:left w:val="none" w:sz="0" w:space="0" w:color="auto"/>
        <w:bottom w:val="none" w:sz="0" w:space="0" w:color="auto"/>
        <w:right w:val="none" w:sz="0" w:space="0" w:color="auto"/>
      </w:divBdr>
    </w:div>
    <w:div w:id="343938268">
      <w:bodyDiv w:val="1"/>
      <w:marLeft w:val="0"/>
      <w:marRight w:val="0"/>
      <w:marTop w:val="0"/>
      <w:marBottom w:val="0"/>
      <w:divBdr>
        <w:top w:val="none" w:sz="0" w:space="0" w:color="auto"/>
        <w:left w:val="none" w:sz="0" w:space="0" w:color="auto"/>
        <w:bottom w:val="none" w:sz="0" w:space="0" w:color="auto"/>
        <w:right w:val="none" w:sz="0" w:space="0" w:color="auto"/>
      </w:divBdr>
    </w:div>
    <w:div w:id="352611288">
      <w:bodyDiv w:val="1"/>
      <w:marLeft w:val="0"/>
      <w:marRight w:val="0"/>
      <w:marTop w:val="0"/>
      <w:marBottom w:val="0"/>
      <w:divBdr>
        <w:top w:val="none" w:sz="0" w:space="0" w:color="auto"/>
        <w:left w:val="none" w:sz="0" w:space="0" w:color="auto"/>
        <w:bottom w:val="none" w:sz="0" w:space="0" w:color="auto"/>
        <w:right w:val="none" w:sz="0" w:space="0" w:color="auto"/>
      </w:divBdr>
    </w:div>
    <w:div w:id="417019721">
      <w:bodyDiv w:val="1"/>
      <w:marLeft w:val="0"/>
      <w:marRight w:val="0"/>
      <w:marTop w:val="0"/>
      <w:marBottom w:val="0"/>
      <w:divBdr>
        <w:top w:val="none" w:sz="0" w:space="0" w:color="auto"/>
        <w:left w:val="none" w:sz="0" w:space="0" w:color="auto"/>
        <w:bottom w:val="none" w:sz="0" w:space="0" w:color="auto"/>
        <w:right w:val="none" w:sz="0" w:space="0" w:color="auto"/>
      </w:divBdr>
    </w:div>
    <w:div w:id="504244999">
      <w:bodyDiv w:val="1"/>
      <w:marLeft w:val="0"/>
      <w:marRight w:val="0"/>
      <w:marTop w:val="0"/>
      <w:marBottom w:val="0"/>
      <w:divBdr>
        <w:top w:val="none" w:sz="0" w:space="0" w:color="auto"/>
        <w:left w:val="none" w:sz="0" w:space="0" w:color="auto"/>
        <w:bottom w:val="none" w:sz="0" w:space="0" w:color="auto"/>
        <w:right w:val="none" w:sz="0" w:space="0" w:color="auto"/>
      </w:divBdr>
    </w:div>
    <w:div w:id="514151664">
      <w:bodyDiv w:val="1"/>
      <w:marLeft w:val="0"/>
      <w:marRight w:val="0"/>
      <w:marTop w:val="0"/>
      <w:marBottom w:val="0"/>
      <w:divBdr>
        <w:top w:val="none" w:sz="0" w:space="0" w:color="auto"/>
        <w:left w:val="none" w:sz="0" w:space="0" w:color="auto"/>
        <w:bottom w:val="none" w:sz="0" w:space="0" w:color="auto"/>
        <w:right w:val="none" w:sz="0" w:space="0" w:color="auto"/>
      </w:divBdr>
    </w:div>
    <w:div w:id="564992626">
      <w:bodyDiv w:val="1"/>
      <w:marLeft w:val="0"/>
      <w:marRight w:val="0"/>
      <w:marTop w:val="0"/>
      <w:marBottom w:val="0"/>
      <w:divBdr>
        <w:top w:val="none" w:sz="0" w:space="0" w:color="auto"/>
        <w:left w:val="none" w:sz="0" w:space="0" w:color="auto"/>
        <w:bottom w:val="none" w:sz="0" w:space="0" w:color="auto"/>
        <w:right w:val="none" w:sz="0" w:space="0" w:color="auto"/>
      </w:divBdr>
    </w:div>
    <w:div w:id="601189113">
      <w:bodyDiv w:val="1"/>
      <w:marLeft w:val="0"/>
      <w:marRight w:val="0"/>
      <w:marTop w:val="0"/>
      <w:marBottom w:val="0"/>
      <w:divBdr>
        <w:top w:val="none" w:sz="0" w:space="0" w:color="auto"/>
        <w:left w:val="none" w:sz="0" w:space="0" w:color="auto"/>
        <w:bottom w:val="none" w:sz="0" w:space="0" w:color="auto"/>
        <w:right w:val="none" w:sz="0" w:space="0" w:color="auto"/>
      </w:divBdr>
    </w:div>
    <w:div w:id="726491168">
      <w:bodyDiv w:val="1"/>
      <w:marLeft w:val="0"/>
      <w:marRight w:val="0"/>
      <w:marTop w:val="0"/>
      <w:marBottom w:val="0"/>
      <w:divBdr>
        <w:top w:val="none" w:sz="0" w:space="0" w:color="auto"/>
        <w:left w:val="none" w:sz="0" w:space="0" w:color="auto"/>
        <w:bottom w:val="none" w:sz="0" w:space="0" w:color="auto"/>
        <w:right w:val="none" w:sz="0" w:space="0" w:color="auto"/>
      </w:divBdr>
    </w:div>
    <w:div w:id="747265318">
      <w:bodyDiv w:val="1"/>
      <w:marLeft w:val="0"/>
      <w:marRight w:val="0"/>
      <w:marTop w:val="0"/>
      <w:marBottom w:val="0"/>
      <w:divBdr>
        <w:top w:val="none" w:sz="0" w:space="0" w:color="auto"/>
        <w:left w:val="none" w:sz="0" w:space="0" w:color="auto"/>
        <w:bottom w:val="none" w:sz="0" w:space="0" w:color="auto"/>
        <w:right w:val="none" w:sz="0" w:space="0" w:color="auto"/>
      </w:divBdr>
      <w:divsChild>
        <w:div w:id="407845233">
          <w:marLeft w:val="0"/>
          <w:marRight w:val="0"/>
          <w:marTop w:val="0"/>
          <w:marBottom w:val="0"/>
          <w:divBdr>
            <w:top w:val="none" w:sz="0" w:space="0" w:color="auto"/>
            <w:left w:val="none" w:sz="0" w:space="0" w:color="auto"/>
            <w:bottom w:val="none" w:sz="0" w:space="0" w:color="auto"/>
            <w:right w:val="none" w:sz="0" w:space="0" w:color="auto"/>
          </w:divBdr>
          <w:divsChild>
            <w:div w:id="985741226">
              <w:marLeft w:val="0"/>
              <w:marRight w:val="0"/>
              <w:marTop w:val="0"/>
              <w:marBottom w:val="0"/>
              <w:divBdr>
                <w:top w:val="none" w:sz="0" w:space="0" w:color="auto"/>
                <w:left w:val="none" w:sz="0" w:space="0" w:color="auto"/>
                <w:bottom w:val="none" w:sz="0" w:space="0" w:color="auto"/>
                <w:right w:val="none" w:sz="0" w:space="0" w:color="auto"/>
              </w:divBdr>
              <w:divsChild>
                <w:div w:id="395207648">
                  <w:marLeft w:val="0"/>
                  <w:marRight w:val="0"/>
                  <w:marTop w:val="0"/>
                  <w:marBottom w:val="0"/>
                  <w:divBdr>
                    <w:top w:val="none" w:sz="0" w:space="0" w:color="auto"/>
                    <w:left w:val="none" w:sz="0" w:space="0" w:color="auto"/>
                    <w:bottom w:val="none" w:sz="0" w:space="0" w:color="auto"/>
                    <w:right w:val="none" w:sz="0" w:space="0" w:color="auto"/>
                  </w:divBdr>
                  <w:divsChild>
                    <w:div w:id="925571391">
                      <w:marLeft w:val="0"/>
                      <w:marRight w:val="0"/>
                      <w:marTop w:val="0"/>
                      <w:marBottom w:val="0"/>
                      <w:divBdr>
                        <w:top w:val="none" w:sz="0" w:space="0" w:color="auto"/>
                        <w:left w:val="none" w:sz="0" w:space="0" w:color="auto"/>
                        <w:bottom w:val="none" w:sz="0" w:space="0" w:color="auto"/>
                        <w:right w:val="none" w:sz="0" w:space="0" w:color="auto"/>
                      </w:divBdr>
                      <w:divsChild>
                        <w:div w:id="1946419949">
                          <w:marLeft w:val="0"/>
                          <w:marRight w:val="0"/>
                          <w:marTop w:val="0"/>
                          <w:marBottom w:val="0"/>
                          <w:divBdr>
                            <w:top w:val="none" w:sz="0" w:space="0" w:color="auto"/>
                            <w:left w:val="none" w:sz="0" w:space="0" w:color="auto"/>
                            <w:bottom w:val="none" w:sz="0" w:space="0" w:color="auto"/>
                            <w:right w:val="none" w:sz="0" w:space="0" w:color="auto"/>
                          </w:divBdr>
                          <w:divsChild>
                            <w:div w:id="2111243724">
                              <w:marLeft w:val="0"/>
                              <w:marRight w:val="0"/>
                              <w:marTop w:val="0"/>
                              <w:marBottom w:val="0"/>
                              <w:divBdr>
                                <w:top w:val="none" w:sz="0" w:space="0" w:color="auto"/>
                                <w:left w:val="none" w:sz="0" w:space="0" w:color="auto"/>
                                <w:bottom w:val="none" w:sz="0" w:space="0" w:color="auto"/>
                                <w:right w:val="none" w:sz="0" w:space="0" w:color="auto"/>
                              </w:divBdr>
                              <w:divsChild>
                                <w:div w:id="121484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051802">
      <w:bodyDiv w:val="1"/>
      <w:marLeft w:val="0"/>
      <w:marRight w:val="0"/>
      <w:marTop w:val="0"/>
      <w:marBottom w:val="0"/>
      <w:divBdr>
        <w:top w:val="none" w:sz="0" w:space="0" w:color="auto"/>
        <w:left w:val="none" w:sz="0" w:space="0" w:color="auto"/>
        <w:bottom w:val="none" w:sz="0" w:space="0" w:color="auto"/>
        <w:right w:val="none" w:sz="0" w:space="0" w:color="auto"/>
      </w:divBdr>
    </w:div>
    <w:div w:id="752778158">
      <w:bodyDiv w:val="1"/>
      <w:marLeft w:val="0"/>
      <w:marRight w:val="0"/>
      <w:marTop w:val="0"/>
      <w:marBottom w:val="0"/>
      <w:divBdr>
        <w:top w:val="none" w:sz="0" w:space="0" w:color="auto"/>
        <w:left w:val="none" w:sz="0" w:space="0" w:color="auto"/>
        <w:bottom w:val="none" w:sz="0" w:space="0" w:color="auto"/>
        <w:right w:val="none" w:sz="0" w:space="0" w:color="auto"/>
      </w:divBdr>
    </w:div>
    <w:div w:id="805970351">
      <w:bodyDiv w:val="1"/>
      <w:marLeft w:val="0"/>
      <w:marRight w:val="0"/>
      <w:marTop w:val="0"/>
      <w:marBottom w:val="0"/>
      <w:divBdr>
        <w:top w:val="none" w:sz="0" w:space="0" w:color="auto"/>
        <w:left w:val="none" w:sz="0" w:space="0" w:color="auto"/>
        <w:bottom w:val="none" w:sz="0" w:space="0" w:color="auto"/>
        <w:right w:val="none" w:sz="0" w:space="0" w:color="auto"/>
      </w:divBdr>
    </w:div>
    <w:div w:id="808790473">
      <w:bodyDiv w:val="1"/>
      <w:marLeft w:val="0"/>
      <w:marRight w:val="0"/>
      <w:marTop w:val="0"/>
      <w:marBottom w:val="0"/>
      <w:divBdr>
        <w:top w:val="none" w:sz="0" w:space="0" w:color="auto"/>
        <w:left w:val="none" w:sz="0" w:space="0" w:color="auto"/>
        <w:bottom w:val="none" w:sz="0" w:space="0" w:color="auto"/>
        <w:right w:val="none" w:sz="0" w:space="0" w:color="auto"/>
      </w:divBdr>
    </w:div>
    <w:div w:id="836650700">
      <w:bodyDiv w:val="1"/>
      <w:marLeft w:val="0"/>
      <w:marRight w:val="0"/>
      <w:marTop w:val="0"/>
      <w:marBottom w:val="0"/>
      <w:divBdr>
        <w:top w:val="none" w:sz="0" w:space="0" w:color="auto"/>
        <w:left w:val="none" w:sz="0" w:space="0" w:color="auto"/>
        <w:bottom w:val="none" w:sz="0" w:space="0" w:color="auto"/>
        <w:right w:val="none" w:sz="0" w:space="0" w:color="auto"/>
      </w:divBdr>
    </w:div>
    <w:div w:id="889539972">
      <w:bodyDiv w:val="1"/>
      <w:marLeft w:val="0"/>
      <w:marRight w:val="0"/>
      <w:marTop w:val="0"/>
      <w:marBottom w:val="0"/>
      <w:divBdr>
        <w:top w:val="none" w:sz="0" w:space="0" w:color="auto"/>
        <w:left w:val="none" w:sz="0" w:space="0" w:color="auto"/>
        <w:bottom w:val="none" w:sz="0" w:space="0" w:color="auto"/>
        <w:right w:val="none" w:sz="0" w:space="0" w:color="auto"/>
      </w:divBdr>
    </w:div>
    <w:div w:id="909846892">
      <w:bodyDiv w:val="1"/>
      <w:marLeft w:val="0"/>
      <w:marRight w:val="0"/>
      <w:marTop w:val="0"/>
      <w:marBottom w:val="0"/>
      <w:divBdr>
        <w:top w:val="none" w:sz="0" w:space="0" w:color="auto"/>
        <w:left w:val="none" w:sz="0" w:space="0" w:color="auto"/>
        <w:bottom w:val="none" w:sz="0" w:space="0" w:color="auto"/>
        <w:right w:val="none" w:sz="0" w:space="0" w:color="auto"/>
      </w:divBdr>
    </w:div>
    <w:div w:id="934482255">
      <w:bodyDiv w:val="1"/>
      <w:marLeft w:val="0"/>
      <w:marRight w:val="0"/>
      <w:marTop w:val="0"/>
      <w:marBottom w:val="0"/>
      <w:divBdr>
        <w:top w:val="none" w:sz="0" w:space="0" w:color="auto"/>
        <w:left w:val="none" w:sz="0" w:space="0" w:color="auto"/>
        <w:bottom w:val="none" w:sz="0" w:space="0" w:color="auto"/>
        <w:right w:val="none" w:sz="0" w:space="0" w:color="auto"/>
      </w:divBdr>
    </w:div>
    <w:div w:id="999969277">
      <w:bodyDiv w:val="1"/>
      <w:marLeft w:val="0"/>
      <w:marRight w:val="0"/>
      <w:marTop w:val="0"/>
      <w:marBottom w:val="0"/>
      <w:divBdr>
        <w:top w:val="none" w:sz="0" w:space="0" w:color="auto"/>
        <w:left w:val="none" w:sz="0" w:space="0" w:color="auto"/>
        <w:bottom w:val="none" w:sz="0" w:space="0" w:color="auto"/>
        <w:right w:val="none" w:sz="0" w:space="0" w:color="auto"/>
      </w:divBdr>
    </w:div>
    <w:div w:id="1095008016">
      <w:bodyDiv w:val="1"/>
      <w:marLeft w:val="0"/>
      <w:marRight w:val="0"/>
      <w:marTop w:val="0"/>
      <w:marBottom w:val="0"/>
      <w:divBdr>
        <w:top w:val="none" w:sz="0" w:space="0" w:color="auto"/>
        <w:left w:val="none" w:sz="0" w:space="0" w:color="auto"/>
        <w:bottom w:val="none" w:sz="0" w:space="0" w:color="auto"/>
        <w:right w:val="none" w:sz="0" w:space="0" w:color="auto"/>
      </w:divBdr>
    </w:div>
    <w:div w:id="1183713724">
      <w:bodyDiv w:val="1"/>
      <w:marLeft w:val="0"/>
      <w:marRight w:val="0"/>
      <w:marTop w:val="0"/>
      <w:marBottom w:val="0"/>
      <w:divBdr>
        <w:top w:val="none" w:sz="0" w:space="0" w:color="auto"/>
        <w:left w:val="none" w:sz="0" w:space="0" w:color="auto"/>
        <w:bottom w:val="none" w:sz="0" w:space="0" w:color="auto"/>
        <w:right w:val="none" w:sz="0" w:space="0" w:color="auto"/>
      </w:divBdr>
    </w:div>
    <w:div w:id="1235971238">
      <w:bodyDiv w:val="1"/>
      <w:marLeft w:val="0"/>
      <w:marRight w:val="0"/>
      <w:marTop w:val="0"/>
      <w:marBottom w:val="0"/>
      <w:divBdr>
        <w:top w:val="none" w:sz="0" w:space="0" w:color="auto"/>
        <w:left w:val="none" w:sz="0" w:space="0" w:color="auto"/>
        <w:bottom w:val="none" w:sz="0" w:space="0" w:color="auto"/>
        <w:right w:val="none" w:sz="0" w:space="0" w:color="auto"/>
      </w:divBdr>
    </w:div>
    <w:div w:id="1316958585">
      <w:bodyDiv w:val="1"/>
      <w:marLeft w:val="0"/>
      <w:marRight w:val="0"/>
      <w:marTop w:val="0"/>
      <w:marBottom w:val="0"/>
      <w:divBdr>
        <w:top w:val="none" w:sz="0" w:space="0" w:color="auto"/>
        <w:left w:val="none" w:sz="0" w:space="0" w:color="auto"/>
        <w:bottom w:val="none" w:sz="0" w:space="0" w:color="auto"/>
        <w:right w:val="none" w:sz="0" w:space="0" w:color="auto"/>
      </w:divBdr>
    </w:div>
    <w:div w:id="1338578135">
      <w:bodyDiv w:val="1"/>
      <w:marLeft w:val="0"/>
      <w:marRight w:val="0"/>
      <w:marTop w:val="0"/>
      <w:marBottom w:val="0"/>
      <w:divBdr>
        <w:top w:val="none" w:sz="0" w:space="0" w:color="auto"/>
        <w:left w:val="none" w:sz="0" w:space="0" w:color="auto"/>
        <w:bottom w:val="none" w:sz="0" w:space="0" w:color="auto"/>
        <w:right w:val="none" w:sz="0" w:space="0" w:color="auto"/>
      </w:divBdr>
    </w:div>
    <w:div w:id="1393623696">
      <w:bodyDiv w:val="1"/>
      <w:marLeft w:val="0"/>
      <w:marRight w:val="0"/>
      <w:marTop w:val="0"/>
      <w:marBottom w:val="0"/>
      <w:divBdr>
        <w:top w:val="none" w:sz="0" w:space="0" w:color="auto"/>
        <w:left w:val="none" w:sz="0" w:space="0" w:color="auto"/>
        <w:bottom w:val="none" w:sz="0" w:space="0" w:color="auto"/>
        <w:right w:val="none" w:sz="0" w:space="0" w:color="auto"/>
      </w:divBdr>
    </w:div>
    <w:div w:id="1427190038">
      <w:bodyDiv w:val="1"/>
      <w:marLeft w:val="0"/>
      <w:marRight w:val="0"/>
      <w:marTop w:val="0"/>
      <w:marBottom w:val="0"/>
      <w:divBdr>
        <w:top w:val="none" w:sz="0" w:space="0" w:color="auto"/>
        <w:left w:val="none" w:sz="0" w:space="0" w:color="auto"/>
        <w:bottom w:val="none" w:sz="0" w:space="0" w:color="auto"/>
        <w:right w:val="none" w:sz="0" w:space="0" w:color="auto"/>
      </w:divBdr>
      <w:divsChild>
        <w:div w:id="50882513">
          <w:marLeft w:val="0"/>
          <w:marRight w:val="0"/>
          <w:marTop w:val="0"/>
          <w:marBottom w:val="0"/>
          <w:divBdr>
            <w:top w:val="none" w:sz="0" w:space="0" w:color="auto"/>
            <w:left w:val="none" w:sz="0" w:space="0" w:color="auto"/>
            <w:bottom w:val="none" w:sz="0" w:space="0" w:color="auto"/>
            <w:right w:val="none" w:sz="0" w:space="0" w:color="auto"/>
          </w:divBdr>
          <w:divsChild>
            <w:div w:id="1167985057">
              <w:marLeft w:val="0"/>
              <w:marRight w:val="0"/>
              <w:marTop w:val="0"/>
              <w:marBottom w:val="0"/>
              <w:divBdr>
                <w:top w:val="none" w:sz="0" w:space="0" w:color="auto"/>
                <w:left w:val="none" w:sz="0" w:space="0" w:color="auto"/>
                <w:bottom w:val="none" w:sz="0" w:space="0" w:color="auto"/>
                <w:right w:val="none" w:sz="0" w:space="0" w:color="auto"/>
              </w:divBdr>
              <w:divsChild>
                <w:div w:id="51538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93087">
      <w:bodyDiv w:val="1"/>
      <w:marLeft w:val="0"/>
      <w:marRight w:val="0"/>
      <w:marTop w:val="0"/>
      <w:marBottom w:val="0"/>
      <w:divBdr>
        <w:top w:val="none" w:sz="0" w:space="0" w:color="auto"/>
        <w:left w:val="none" w:sz="0" w:space="0" w:color="auto"/>
        <w:bottom w:val="none" w:sz="0" w:space="0" w:color="auto"/>
        <w:right w:val="none" w:sz="0" w:space="0" w:color="auto"/>
      </w:divBdr>
    </w:div>
    <w:div w:id="1479032301">
      <w:bodyDiv w:val="1"/>
      <w:marLeft w:val="0"/>
      <w:marRight w:val="0"/>
      <w:marTop w:val="0"/>
      <w:marBottom w:val="0"/>
      <w:divBdr>
        <w:top w:val="none" w:sz="0" w:space="0" w:color="auto"/>
        <w:left w:val="none" w:sz="0" w:space="0" w:color="auto"/>
        <w:bottom w:val="none" w:sz="0" w:space="0" w:color="auto"/>
        <w:right w:val="none" w:sz="0" w:space="0" w:color="auto"/>
      </w:divBdr>
    </w:div>
    <w:div w:id="1549410888">
      <w:bodyDiv w:val="1"/>
      <w:marLeft w:val="0"/>
      <w:marRight w:val="0"/>
      <w:marTop w:val="0"/>
      <w:marBottom w:val="0"/>
      <w:divBdr>
        <w:top w:val="none" w:sz="0" w:space="0" w:color="auto"/>
        <w:left w:val="none" w:sz="0" w:space="0" w:color="auto"/>
        <w:bottom w:val="none" w:sz="0" w:space="0" w:color="auto"/>
        <w:right w:val="none" w:sz="0" w:space="0" w:color="auto"/>
      </w:divBdr>
    </w:div>
    <w:div w:id="1604343359">
      <w:bodyDiv w:val="1"/>
      <w:marLeft w:val="0"/>
      <w:marRight w:val="0"/>
      <w:marTop w:val="0"/>
      <w:marBottom w:val="0"/>
      <w:divBdr>
        <w:top w:val="none" w:sz="0" w:space="0" w:color="auto"/>
        <w:left w:val="none" w:sz="0" w:space="0" w:color="auto"/>
        <w:bottom w:val="none" w:sz="0" w:space="0" w:color="auto"/>
        <w:right w:val="none" w:sz="0" w:space="0" w:color="auto"/>
      </w:divBdr>
    </w:div>
    <w:div w:id="1680428221">
      <w:bodyDiv w:val="1"/>
      <w:marLeft w:val="0"/>
      <w:marRight w:val="0"/>
      <w:marTop w:val="0"/>
      <w:marBottom w:val="0"/>
      <w:divBdr>
        <w:top w:val="none" w:sz="0" w:space="0" w:color="auto"/>
        <w:left w:val="none" w:sz="0" w:space="0" w:color="auto"/>
        <w:bottom w:val="none" w:sz="0" w:space="0" w:color="auto"/>
        <w:right w:val="none" w:sz="0" w:space="0" w:color="auto"/>
      </w:divBdr>
    </w:div>
    <w:div w:id="1809937025">
      <w:bodyDiv w:val="1"/>
      <w:marLeft w:val="0"/>
      <w:marRight w:val="0"/>
      <w:marTop w:val="0"/>
      <w:marBottom w:val="0"/>
      <w:divBdr>
        <w:top w:val="none" w:sz="0" w:space="0" w:color="auto"/>
        <w:left w:val="none" w:sz="0" w:space="0" w:color="auto"/>
        <w:bottom w:val="none" w:sz="0" w:space="0" w:color="auto"/>
        <w:right w:val="none" w:sz="0" w:space="0" w:color="auto"/>
      </w:divBdr>
    </w:div>
    <w:div w:id="1817915084">
      <w:bodyDiv w:val="1"/>
      <w:marLeft w:val="0"/>
      <w:marRight w:val="0"/>
      <w:marTop w:val="0"/>
      <w:marBottom w:val="0"/>
      <w:divBdr>
        <w:top w:val="none" w:sz="0" w:space="0" w:color="auto"/>
        <w:left w:val="none" w:sz="0" w:space="0" w:color="auto"/>
        <w:bottom w:val="none" w:sz="0" w:space="0" w:color="auto"/>
        <w:right w:val="none" w:sz="0" w:space="0" w:color="auto"/>
      </w:divBdr>
    </w:div>
    <w:div w:id="1833989188">
      <w:bodyDiv w:val="1"/>
      <w:marLeft w:val="0"/>
      <w:marRight w:val="0"/>
      <w:marTop w:val="0"/>
      <w:marBottom w:val="0"/>
      <w:divBdr>
        <w:top w:val="none" w:sz="0" w:space="0" w:color="auto"/>
        <w:left w:val="none" w:sz="0" w:space="0" w:color="auto"/>
        <w:bottom w:val="none" w:sz="0" w:space="0" w:color="auto"/>
        <w:right w:val="none" w:sz="0" w:space="0" w:color="auto"/>
      </w:divBdr>
    </w:div>
    <w:div w:id="1865291715">
      <w:bodyDiv w:val="1"/>
      <w:marLeft w:val="0"/>
      <w:marRight w:val="0"/>
      <w:marTop w:val="0"/>
      <w:marBottom w:val="0"/>
      <w:divBdr>
        <w:top w:val="none" w:sz="0" w:space="0" w:color="auto"/>
        <w:left w:val="none" w:sz="0" w:space="0" w:color="auto"/>
        <w:bottom w:val="none" w:sz="0" w:space="0" w:color="auto"/>
        <w:right w:val="none" w:sz="0" w:space="0" w:color="auto"/>
      </w:divBdr>
    </w:div>
    <w:div w:id="1873414847">
      <w:bodyDiv w:val="1"/>
      <w:marLeft w:val="0"/>
      <w:marRight w:val="0"/>
      <w:marTop w:val="0"/>
      <w:marBottom w:val="0"/>
      <w:divBdr>
        <w:top w:val="none" w:sz="0" w:space="0" w:color="auto"/>
        <w:left w:val="none" w:sz="0" w:space="0" w:color="auto"/>
        <w:bottom w:val="none" w:sz="0" w:space="0" w:color="auto"/>
        <w:right w:val="none" w:sz="0" w:space="0" w:color="auto"/>
      </w:divBdr>
    </w:div>
    <w:div w:id="1879201427">
      <w:bodyDiv w:val="1"/>
      <w:marLeft w:val="0"/>
      <w:marRight w:val="0"/>
      <w:marTop w:val="0"/>
      <w:marBottom w:val="0"/>
      <w:divBdr>
        <w:top w:val="none" w:sz="0" w:space="0" w:color="auto"/>
        <w:left w:val="none" w:sz="0" w:space="0" w:color="auto"/>
        <w:bottom w:val="none" w:sz="0" w:space="0" w:color="auto"/>
        <w:right w:val="none" w:sz="0" w:space="0" w:color="auto"/>
      </w:divBdr>
    </w:div>
    <w:div w:id="1899321108">
      <w:bodyDiv w:val="1"/>
      <w:marLeft w:val="0"/>
      <w:marRight w:val="0"/>
      <w:marTop w:val="0"/>
      <w:marBottom w:val="0"/>
      <w:divBdr>
        <w:top w:val="none" w:sz="0" w:space="0" w:color="auto"/>
        <w:left w:val="none" w:sz="0" w:space="0" w:color="auto"/>
        <w:bottom w:val="none" w:sz="0" w:space="0" w:color="auto"/>
        <w:right w:val="none" w:sz="0" w:space="0" w:color="auto"/>
      </w:divBdr>
    </w:div>
    <w:div w:id="1906987884">
      <w:bodyDiv w:val="1"/>
      <w:marLeft w:val="0"/>
      <w:marRight w:val="0"/>
      <w:marTop w:val="0"/>
      <w:marBottom w:val="0"/>
      <w:divBdr>
        <w:top w:val="none" w:sz="0" w:space="0" w:color="auto"/>
        <w:left w:val="none" w:sz="0" w:space="0" w:color="auto"/>
        <w:bottom w:val="none" w:sz="0" w:space="0" w:color="auto"/>
        <w:right w:val="none" w:sz="0" w:space="0" w:color="auto"/>
      </w:divBdr>
      <w:divsChild>
        <w:div w:id="1480264287">
          <w:marLeft w:val="0"/>
          <w:marRight w:val="0"/>
          <w:marTop w:val="0"/>
          <w:marBottom w:val="0"/>
          <w:divBdr>
            <w:top w:val="none" w:sz="0" w:space="0" w:color="auto"/>
            <w:left w:val="none" w:sz="0" w:space="0" w:color="auto"/>
            <w:bottom w:val="none" w:sz="0" w:space="0" w:color="auto"/>
            <w:right w:val="none" w:sz="0" w:space="0" w:color="auto"/>
          </w:divBdr>
          <w:divsChild>
            <w:div w:id="1842695899">
              <w:marLeft w:val="0"/>
              <w:marRight w:val="0"/>
              <w:marTop w:val="0"/>
              <w:marBottom w:val="0"/>
              <w:divBdr>
                <w:top w:val="none" w:sz="0" w:space="0" w:color="auto"/>
                <w:left w:val="none" w:sz="0" w:space="0" w:color="auto"/>
                <w:bottom w:val="none" w:sz="0" w:space="0" w:color="auto"/>
                <w:right w:val="none" w:sz="0" w:space="0" w:color="auto"/>
              </w:divBdr>
              <w:divsChild>
                <w:div w:id="1612666505">
                  <w:marLeft w:val="0"/>
                  <w:marRight w:val="0"/>
                  <w:marTop w:val="0"/>
                  <w:marBottom w:val="0"/>
                  <w:divBdr>
                    <w:top w:val="none" w:sz="0" w:space="0" w:color="auto"/>
                    <w:left w:val="none" w:sz="0" w:space="0" w:color="auto"/>
                    <w:bottom w:val="none" w:sz="0" w:space="0" w:color="auto"/>
                    <w:right w:val="none" w:sz="0" w:space="0" w:color="auto"/>
                  </w:divBdr>
                  <w:divsChild>
                    <w:div w:id="429132720">
                      <w:marLeft w:val="0"/>
                      <w:marRight w:val="0"/>
                      <w:marTop w:val="0"/>
                      <w:marBottom w:val="0"/>
                      <w:divBdr>
                        <w:top w:val="none" w:sz="0" w:space="0" w:color="auto"/>
                        <w:left w:val="none" w:sz="0" w:space="0" w:color="auto"/>
                        <w:bottom w:val="none" w:sz="0" w:space="0" w:color="auto"/>
                        <w:right w:val="none" w:sz="0" w:space="0" w:color="auto"/>
                      </w:divBdr>
                      <w:divsChild>
                        <w:div w:id="919099842">
                          <w:marLeft w:val="0"/>
                          <w:marRight w:val="0"/>
                          <w:marTop w:val="0"/>
                          <w:marBottom w:val="0"/>
                          <w:divBdr>
                            <w:top w:val="none" w:sz="0" w:space="0" w:color="auto"/>
                            <w:left w:val="none" w:sz="0" w:space="0" w:color="auto"/>
                            <w:bottom w:val="none" w:sz="0" w:space="0" w:color="auto"/>
                            <w:right w:val="none" w:sz="0" w:space="0" w:color="auto"/>
                          </w:divBdr>
                          <w:divsChild>
                            <w:div w:id="192696314">
                              <w:marLeft w:val="0"/>
                              <w:marRight w:val="0"/>
                              <w:marTop w:val="0"/>
                              <w:marBottom w:val="0"/>
                              <w:divBdr>
                                <w:top w:val="none" w:sz="0" w:space="0" w:color="auto"/>
                                <w:left w:val="none" w:sz="0" w:space="0" w:color="auto"/>
                                <w:bottom w:val="none" w:sz="0" w:space="0" w:color="auto"/>
                                <w:right w:val="none" w:sz="0" w:space="0" w:color="auto"/>
                              </w:divBdr>
                              <w:divsChild>
                                <w:div w:id="9794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549426">
      <w:bodyDiv w:val="1"/>
      <w:marLeft w:val="0"/>
      <w:marRight w:val="0"/>
      <w:marTop w:val="0"/>
      <w:marBottom w:val="0"/>
      <w:divBdr>
        <w:top w:val="none" w:sz="0" w:space="0" w:color="auto"/>
        <w:left w:val="none" w:sz="0" w:space="0" w:color="auto"/>
        <w:bottom w:val="none" w:sz="0" w:space="0" w:color="auto"/>
        <w:right w:val="none" w:sz="0" w:space="0" w:color="auto"/>
      </w:divBdr>
    </w:div>
    <w:div w:id="205527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363908002002874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hanhcv.24at@ou.edu.vn" TargetMode="External"/><Relationship Id="rId12" Type="http://schemas.openxmlformats.org/officeDocument/2006/relationships/hyperlink" Target="https://home.fau.edu/musgrove/web/vygotsky1978.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hub.vn/10.3102/0034654307200338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ecd.org/education/2030-project/" TargetMode="External"/><Relationship Id="rId4" Type="http://schemas.openxmlformats.org/officeDocument/2006/relationships/webSettings" Target="webSettings.xml"/><Relationship Id="rId9" Type="http://schemas.openxmlformats.org/officeDocument/2006/relationships/hyperlink" Target="https://thbausen.hcm.edu.vn/chuong-trinh-chinh-thuc/chuong-trinh-giao-duc-pho-thong-2018-mon-tieng-anh/ctmb/85329/442876?utm_source=chatgpt.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18</Pages>
  <Words>6684</Words>
  <Characters>38105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2handland</dc:creator>
  <cp:keywords/>
  <dc:description/>
  <cp:lastModifiedBy>2handland</cp:lastModifiedBy>
  <cp:revision>290</cp:revision>
  <dcterms:created xsi:type="dcterms:W3CDTF">2025-04-09T14:55:00Z</dcterms:created>
  <dcterms:modified xsi:type="dcterms:W3CDTF">2026-06-24T12:12:00Z</dcterms:modified>
</cp:coreProperties>
</file>