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67A1" w:rsidRDefault="00000000">
      <w:pPr>
        <w:pBdr>
          <w:top w:val="nil"/>
          <w:left w:val="nil"/>
          <w:bottom w:val="nil"/>
          <w:right w:val="nil"/>
          <w:between w:val="nil"/>
        </w:pBdr>
        <w:spacing w:after="0"/>
        <w:ind w:firstLine="0"/>
        <w:jc w:val="center"/>
        <w:rPr>
          <w:b/>
          <w:bCs/>
          <w:color w:val="000000"/>
          <w:sz w:val="28"/>
          <w:szCs w:val="28"/>
        </w:rPr>
      </w:pPr>
      <w:r>
        <w:rPr>
          <w:b/>
          <w:bCs/>
          <w:sz w:val="26"/>
          <w:szCs w:val="26"/>
        </w:rPr>
        <w:t>Enhancing Coherence and Cohesion in IELTS Writing through Generative AI Feedback: An Exploratory Study</w:t>
      </w:r>
    </w:p>
    <w:p w:rsidR="00BA67A1" w:rsidRDefault="00000000">
      <w:pPr>
        <w:pBdr>
          <w:top w:val="nil"/>
          <w:left w:val="nil"/>
          <w:bottom w:val="nil"/>
          <w:right w:val="nil"/>
          <w:between w:val="nil"/>
        </w:pBdr>
        <w:spacing w:after="120" w:line="240" w:lineRule="auto"/>
        <w:jc w:val="center"/>
        <w:rPr>
          <w:i/>
          <w:iCs/>
          <w:color w:val="000000"/>
        </w:rPr>
      </w:pPr>
      <w:proofErr w:type="spellStart"/>
      <w:r>
        <w:rPr>
          <w:i/>
          <w:iCs/>
        </w:rPr>
        <w:t>Nhu</w:t>
      </w:r>
      <w:proofErr w:type="spellEnd"/>
      <w:r>
        <w:rPr>
          <w:i/>
          <w:iCs/>
        </w:rPr>
        <w:t xml:space="preserve"> Hoang Ngoc Quynh</w:t>
      </w:r>
      <w:r>
        <w:rPr>
          <w:i/>
          <w:iCs/>
          <w:color w:val="000000"/>
          <w:vertAlign w:val="superscript"/>
        </w:rPr>
        <w:footnoteReference w:id="1"/>
      </w:r>
      <w:r>
        <w:rPr>
          <w:i/>
          <w:iCs/>
        </w:rPr>
        <w:t xml:space="preserve"> &amp; Sa Tran Si Nguyen</w:t>
      </w:r>
      <w:r>
        <w:rPr>
          <w:i/>
          <w:iCs/>
          <w:color w:val="000000"/>
          <w:vertAlign w:val="superscript"/>
        </w:rPr>
        <w:t xml:space="preserve"> </w:t>
      </w:r>
      <w:r>
        <w:rPr>
          <w:i/>
          <w:iCs/>
          <w:color w:val="000000"/>
          <w:vertAlign w:val="superscript"/>
        </w:rPr>
        <w:footnoteReference w:id="2"/>
      </w:r>
    </w:p>
    <w:p w:rsidR="00BA67A1" w:rsidRDefault="00BA67A1">
      <w:pPr>
        <w:keepNext/>
        <w:pBdr>
          <w:top w:val="nil"/>
          <w:left w:val="nil"/>
          <w:bottom w:val="nil"/>
          <w:right w:val="nil"/>
          <w:between w:val="nil"/>
        </w:pBdr>
        <w:spacing w:before="240"/>
        <w:ind w:firstLine="0"/>
        <w:rPr>
          <w:b/>
          <w:bCs/>
          <w:color w:val="000000"/>
          <w:sz w:val="24"/>
          <w:szCs w:val="24"/>
        </w:rPr>
      </w:pPr>
    </w:p>
    <w:p w:rsidR="00BA67A1" w:rsidRDefault="00000000">
      <w:pPr>
        <w:keepNext/>
        <w:pBdr>
          <w:top w:val="nil"/>
          <w:left w:val="nil"/>
          <w:bottom w:val="nil"/>
          <w:right w:val="nil"/>
          <w:between w:val="nil"/>
        </w:pBdr>
        <w:spacing w:before="240"/>
        <w:ind w:firstLine="0"/>
        <w:rPr>
          <w:b/>
          <w:bCs/>
          <w:color w:val="000000"/>
          <w:sz w:val="24"/>
          <w:szCs w:val="24"/>
        </w:rPr>
      </w:pPr>
      <w:r>
        <w:rPr>
          <w:b/>
          <w:bCs/>
          <w:color w:val="000000"/>
          <w:sz w:val="24"/>
          <w:szCs w:val="24"/>
        </w:rPr>
        <w:t>Abstract</w:t>
      </w:r>
    </w:p>
    <w:p w:rsidR="00BA67A1" w:rsidRDefault="00000000">
      <w:pPr>
        <w:shd w:val="clear" w:color="auto" w:fill="FFFFFF"/>
        <w:spacing w:before="0" w:after="0" w:line="240" w:lineRule="auto"/>
        <w:ind w:firstLine="0"/>
        <w:rPr>
          <w:sz w:val="24"/>
          <w:szCs w:val="24"/>
        </w:rPr>
      </w:pPr>
      <w:r>
        <w:rPr>
          <w:sz w:val="24"/>
          <w:szCs w:val="24"/>
        </w:rPr>
        <w:t xml:space="preserve">Improving coherence and cohesion (CC) in academic writing, especially for IELTS preparation, is challenging. It requires constructive feedback and sufficient practice, but time constraints often prevent teachers from properly assessing student's work. Generative AI models like </w:t>
      </w:r>
      <w:proofErr w:type="spellStart"/>
      <w:r>
        <w:rPr>
          <w:sz w:val="24"/>
          <w:szCs w:val="24"/>
        </w:rPr>
        <w:t>ChatGPT</w:t>
      </w:r>
      <w:proofErr w:type="spellEnd"/>
      <w:r>
        <w:rPr>
          <w:sz w:val="24"/>
          <w:szCs w:val="24"/>
        </w:rPr>
        <w:t xml:space="preserve"> can be an effective supplementary tool to assist students. This study examines how 20 students at Industrial University of Ho Chi Minh leverage this tool to enhance CC in their writing. Data was collected through comparing writing samples before and after </w:t>
      </w:r>
      <w:proofErr w:type="spellStart"/>
      <w:r>
        <w:rPr>
          <w:sz w:val="24"/>
          <w:szCs w:val="24"/>
        </w:rPr>
        <w:t>ChatGPT</w:t>
      </w:r>
      <w:proofErr w:type="spellEnd"/>
      <w:r>
        <w:rPr>
          <w:sz w:val="24"/>
          <w:szCs w:val="24"/>
        </w:rPr>
        <w:t xml:space="preserve"> intervention. Both versions of the essays were evaluated to identify any positive changes in cohesive devices and idea organization. Furthermore, questionnaires were conducted to gather students’ experiences, strategies for using AI-generated feedback. The findings reveal both advantages and challenges of AI-generated suggestions on student’s Cohesion and Coherence. This research seeks to provide meaningful insights into the role of generative AI, offering implications for English language teaching and learning.</w:t>
      </w:r>
    </w:p>
    <w:p w:rsidR="00BA67A1" w:rsidRDefault="00000000">
      <w:pPr>
        <w:spacing w:before="240"/>
        <w:ind w:firstLine="284"/>
        <w:rPr>
          <w:sz w:val="24"/>
          <w:szCs w:val="24"/>
        </w:rPr>
      </w:pPr>
      <w:r>
        <w:rPr>
          <w:b/>
          <w:bCs/>
          <w:i/>
          <w:iCs/>
          <w:sz w:val="24"/>
          <w:szCs w:val="24"/>
        </w:rPr>
        <w:t>Keywords</w:t>
      </w:r>
      <w:r>
        <w:rPr>
          <w:b/>
          <w:bCs/>
          <w:sz w:val="24"/>
          <w:szCs w:val="24"/>
        </w:rPr>
        <w:t xml:space="preserve">: </w:t>
      </w:r>
      <w:r>
        <w:rPr>
          <w:sz w:val="24"/>
          <w:szCs w:val="24"/>
        </w:rPr>
        <w:t xml:space="preserve">cohesion and coherence, generative AI, </w:t>
      </w:r>
      <w:proofErr w:type="spellStart"/>
      <w:r>
        <w:rPr>
          <w:sz w:val="24"/>
          <w:szCs w:val="24"/>
        </w:rPr>
        <w:t>ChatGPT</w:t>
      </w:r>
      <w:proofErr w:type="spellEnd"/>
      <w:r>
        <w:rPr>
          <w:sz w:val="24"/>
          <w:szCs w:val="24"/>
        </w:rPr>
        <w:t xml:space="preserve">, IELTS writing </w:t>
      </w:r>
    </w:p>
    <w:p w:rsidR="00BA67A1" w:rsidRDefault="00BA67A1">
      <w:pPr>
        <w:spacing w:before="240"/>
        <w:ind w:left="993" w:hanging="993"/>
        <w:rPr>
          <w:b/>
          <w:bCs/>
          <w:sz w:val="24"/>
          <w:szCs w:val="24"/>
        </w:rPr>
      </w:pPr>
    </w:p>
    <w:p w:rsidR="00BA67A1" w:rsidRDefault="00000000">
      <w:pPr>
        <w:keepNext/>
        <w:pBdr>
          <w:top w:val="nil"/>
          <w:left w:val="nil"/>
          <w:bottom w:val="nil"/>
          <w:right w:val="nil"/>
          <w:between w:val="nil"/>
        </w:pBdr>
        <w:spacing w:before="240" w:after="0"/>
        <w:ind w:left="284" w:hanging="284"/>
        <w:jc w:val="center"/>
        <w:rPr>
          <w:color w:val="000000"/>
          <w:sz w:val="24"/>
          <w:szCs w:val="24"/>
        </w:rPr>
      </w:pPr>
      <w:r>
        <w:rPr>
          <w:b/>
          <w:bCs/>
          <w:color w:val="000000"/>
          <w:sz w:val="24"/>
          <w:szCs w:val="24"/>
        </w:rPr>
        <w:t>1. Introduction</w:t>
      </w:r>
    </w:p>
    <w:p w:rsidR="00BA67A1" w:rsidRDefault="00000000">
      <w:pPr>
        <w:keepNext/>
        <w:spacing w:before="0" w:after="120" w:line="480" w:lineRule="auto"/>
        <w:rPr>
          <w:sz w:val="24"/>
          <w:szCs w:val="24"/>
        </w:rPr>
      </w:pPr>
      <w:r>
        <w:rPr>
          <w:sz w:val="24"/>
          <w:szCs w:val="24"/>
        </w:rPr>
        <w:t xml:space="preserve">In the context of educational globalization and internationalization, IELTS certificate holds a more important role in evaluating a learner’s English competency serving educational and professional purposes. Among four skills of the IELTS test, writing tends to be considered as the most difficult skill for EFL learners to acquire and master. According to IELTS performance statistics for Vietnamese test takers in the period 2024 - 2025, the average band score in Listening was 6.5, while </w:t>
      </w:r>
      <w:proofErr w:type="gramStart"/>
      <w:r>
        <w:rPr>
          <w:sz w:val="24"/>
          <w:szCs w:val="24"/>
        </w:rPr>
        <w:t>Speaking</w:t>
      </w:r>
      <w:proofErr w:type="gramEnd"/>
      <w:r>
        <w:rPr>
          <w:sz w:val="24"/>
          <w:szCs w:val="24"/>
        </w:rPr>
        <w:t xml:space="preserve"> had a lower mean of 5.6. Reading demonstrated relatively strong performance with an average of 6.4, while </w:t>
      </w:r>
      <w:proofErr w:type="gramStart"/>
      <w:r>
        <w:rPr>
          <w:sz w:val="24"/>
          <w:szCs w:val="24"/>
        </w:rPr>
        <w:t>Writing</w:t>
      </w:r>
      <w:proofErr w:type="gramEnd"/>
      <w:r>
        <w:rPr>
          <w:sz w:val="24"/>
          <w:szCs w:val="24"/>
        </w:rPr>
        <w:t xml:space="preserve"> fell behind at 6.1. This performance gap shows that writing continues to pose a significant challenge for Vietnamese EFL learners, thus </w:t>
      </w:r>
      <w:proofErr w:type="spellStart"/>
      <w:r>
        <w:rPr>
          <w:sz w:val="24"/>
          <w:szCs w:val="24"/>
        </w:rPr>
        <w:t>emphasising</w:t>
      </w:r>
      <w:proofErr w:type="spellEnd"/>
      <w:r>
        <w:rPr>
          <w:sz w:val="24"/>
          <w:szCs w:val="24"/>
        </w:rPr>
        <w:t xml:space="preserve"> the importance of providing learners with more </w:t>
      </w:r>
      <w:proofErr w:type="spellStart"/>
      <w:r>
        <w:rPr>
          <w:sz w:val="24"/>
          <w:szCs w:val="24"/>
        </w:rPr>
        <w:t>specialised</w:t>
      </w:r>
      <w:proofErr w:type="spellEnd"/>
      <w:r>
        <w:rPr>
          <w:sz w:val="24"/>
          <w:szCs w:val="24"/>
        </w:rPr>
        <w:t xml:space="preserve"> support and teaching methods aimed at enhancing learners’ writing competence (Test taker </w:t>
      </w:r>
      <w:r>
        <w:rPr>
          <w:sz w:val="24"/>
          <w:szCs w:val="24"/>
        </w:rPr>
        <w:lastRenderedPageBreak/>
        <w:t>performance 2024-2025, n.d.). One of the main causes of this difficulty is that writing requires managing both cognitive processes and advanced language use at the same time (</w:t>
      </w:r>
      <w:proofErr w:type="spellStart"/>
      <w:r>
        <w:rPr>
          <w:sz w:val="24"/>
          <w:szCs w:val="24"/>
        </w:rPr>
        <w:t>Kormos</w:t>
      </w:r>
      <w:proofErr w:type="spellEnd"/>
      <w:r>
        <w:rPr>
          <w:sz w:val="24"/>
          <w:szCs w:val="24"/>
        </w:rPr>
        <w:t xml:space="preserve">, 2023). In addition to grammar, writing is about control over vocabulary, syntax, and discourse </w:t>
      </w:r>
      <w:proofErr w:type="spellStart"/>
      <w:r>
        <w:rPr>
          <w:sz w:val="24"/>
          <w:szCs w:val="24"/>
        </w:rPr>
        <w:t>organisation</w:t>
      </w:r>
      <w:proofErr w:type="spellEnd"/>
      <w:r>
        <w:rPr>
          <w:sz w:val="24"/>
          <w:szCs w:val="24"/>
        </w:rPr>
        <w:t xml:space="preserve">. Learners are expected to effectively generate, </w:t>
      </w:r>
      <w:proofErr w:type="spellStart"/>
      <w:r>
        <w:rPr>
          <w:sz w:val="24"/>
          <w:szCs w:val="24"/>
        </w:rPr>
        <w:t>organise</w:t>
      </w:r>
      <w:proofErr w:type="spellEnd"/>
      <w:r>
        <w:rPr>
          <w:sz w:val="24"/>
          <w:szCs w:val="24"/>
        </w:rPr>
        <w:t>, and articulate ideas in a logical sequence</w:t>
      </w:r>
      <w:r w:rsidR="00DA2DA7">
        <w:rPr>
          <w:sz w:val="24"/>
          <w:szCs w:val="24"/>
        </w:rPr>
        <w:t>.</w:t>
      </w:r>
      <w:r>
        <w:rPr>
          <w:sz w:val="24"/>
          <w:szCs w:val="24"/>
        </w:rPr>
        <w:t xml:space="preserve"> For this </w:t>
      </w:r>
      <w:proofErr w:type="gramStart"/>
      <w:r>
        <w:rPr>
          <w:sz w:val="24"/>
          <w:szCs w:val="24"/>
        </w:rPr>
        <w:t>reason,  coherence</w:t>
      </w:r>
      <w:proofErr w:type="gramEnd"/>
      <w:r>
        <w:rPr>
          <w:sz w:val="24"/>
          <w:szCs w:val="24"/>
        </w:rPr>
        <w:t xml:space="preserve"> and cohesion criteria, which refers to connections and </w:t>
      </w:r>
      <w:proofErr w:type="spellStart"/>
      <w:r>
        <w:rPr>
          <w:sz w:val="24"/>
          <w:szCs w:val="24"/>
        </w:rPr>
        <w:t>organisation</w:t>
      </w:r>
      <w:proofErr w:type="spellEnd"/>
      <w:r>
        <w:rPr>
          <w:sz w:val="24"/>
          <w:szCs w:val="24"/>
        </w:rPr>
        <w:t xml:space="preserve"> of ideas (Halliday &amp; Hasan, 2014), are considered crucial and accounts for 25% of IELTS’s total writing score. Hyland (2019) also affirms that in academic contexts like the IELTS Writing Task 2, coherence and cohesion</w:t>
      </w:r>
      <w:r w:rsidR="00DA2DA7">
        <w:rPr>
          <w:sz w:val="24"/>
          <w:szCs w:val="24"/>
        </w:rPr>
        <w:t xml:space="preserve"> </w:t>
      </w:r>
      <w:r>
        <w:rPr>
          <w:sz w:val="24"/>
          <w:szCs w:val="24"/>
        </w:rPr>
        <w:t xml:space="preserve">are the primary evaluation (Hyland, 2019). Despite their importance, coherence and cohesion present considerable challenges for many EFL learners, particularly at intermediate and upper-intermediate levels (Banerjee &amp; Wall, 2006; </w:t>
      </w:r>
      <w:proofErr w:type="spellStart"/>
      <w:r>
        <w:rPr>
          <w:sz w:val="24"/>
          <w:szCs w:val="24"/>
        </w:rPr>
        <w:t>Schoonen</w:t>
      </w:r>
      <w:proofErr w:type="spellEnd"/>
      <w:r>
        <w:rPr>
          <w:sz w:val="24"/>
          <w:szCs w:val="24"/>
        </w:rPr>
        <w:t xml:space="preserve"> et al., 2011).</w:t>
      </w:r>
      <w:r w:rsidR="00DA2DA7">
        <w:rPr>
          <w:sz w:val="24"/>
          <w:szCs w:val="24"/>
        </w:rPr>
        <w:t xml:space="preserve"> </w:t>
      </w:r>
      <w:r>
        <w:rPr>
          <w:sz w:val="24"/>
          <w:szCs w:val="24"/>
        </w:rPr>
        <w:t xml:space="preserve">Traditional writing assessment approaches often focus on grammar and vocabulary development but fail to sufficiently provide </w:t>
      </w:r>
      <w:proofErr w:type="spellStart"/>
      <w:r>
        <w:rPr>
          <w:sz w:val="24"/>
          <w:szCs w:val="24"/>
        </w:rPr>
        <w:t>individualised</w:t>
      </w:r>
      <w:proofErr w:type="spellEnd"/>
      <w:r>
        <w:rPr>
          <w:sz w:val="24"/>
          <w:szCs w:val="24"/>
        </w:rPr>
        <w:t xml:space="preserve"> feedback on higher order writing skills such as </w:t>
      </w:r>
      <w:proofErr w:type="spellStart"/>
      <w:r>
        <w:rPr>
          <w:sz w:val="24"/>
          <w:szCs w:val="24"/>
        </w:rPr>
        <w:t>organisation</w:t>
      </w:r>
      <w:proofErr w:type="spellEnd"/>
      <w:r>
        <w:rPr>
          <w:sz w:val="24"/>
          <w:szCs w:val="24"/>
        </w:rPr>
        <w:t xml:space="preserve"> and textual flow (Hyland, 2003; </w:t>
      </w:r>
      <w:proofErr w:type="spellStart"/>
      <w:r>
        <w:rPr>
          <w:sz w:val="24"/>
          <w:szCs w:val="24"/>
        </w:rPr>
        <w:t>Bitchener</w:t>
      </w:r>
      <w:proofErr w:type="spellEnd"/>
      <w:r>
        <w:rPr>
          <w:sz w:val="24"/>
          <w:szCs w:val="24"/>
        </w:rPr>
        <w:t xml:space="preserve"> &amp; Ferris, 2012). In many instructional settings, teachers are limited by large-sized classes, limited time, and heavy focus on test-taking strategies, leaving little room for detailed feedback on discourse-level features (</w:t>
      </w:r>
      <w:proofErr w:type="spellStart"/>
      <w:r>
        <w:rPr>
          <w:sz w:val="24"/>
          <w:szCs w:val="24"/>
        </w:rPr>
        <w:t>Bitchener</w:t>
      </w:r>
      <w:proofErr w:type="spellEnd"/>
      <w:r>
        <w:rPr>
          <w:sz w:val="24"/>
          <w:szCs w:val="24"/>
        </w:rPr>
        <w:t xml:space="preserve"> &amp; Ferris, 2012). As a result, learners frequently struggle to apply their linguistic knowledge into well-structured academic essays. Moreover, the subjective and complex nature of coherence and cohesion makes them difficult to address with traditional corrective feedback methods. Learners are usually given general comments such as “improve </w:t>
      </w:r>
      <w:proofErr w:type="spellStart"/>
      <w:r>
        <w:rPr>
          <w:sz w:val="24"/>
          <w:szCs w:val="24"/>
        </w:rPr>
        <w:t>organisation</w:t>
      </w:r>
      <w:proofErr w:type="spellEnd"/>
      <w:r>
        <w:rPr>
          <w:sz w:val="24"/>
          <w:szCs w:val="24"/>
        </w:rPr>
        <w:t>” or “use more linking words” which do not provide detailed and practical guidance for revision. Consequently, there are limited opportunities for students to engage in cycles of writing and reflection, which are crucial for writing development (Hyland &amp; Hyland, 2006).</w:t>
      </w:r>
    </w:p>
    <w:p w:rsidR="00BA67A1" w:rsidRDefault="00000000">
      <w:pPr>
        <w:keepNext/>
        <w:spacing w:before="0" w:after="120" w:line="480" w:lineRule="auto"/>
        <w:rPr>
          <w:sz w:val="24"/>
          <w:szCs w:val="24"/>
        </w:rPr>
      </w:pPr>
      <w:r>
        <w:rPr>
          <w:sz w:val="24"/>
          <w:szCs w:val="24"/>
        </w:rPr>
        <w:t xml:space="preserve">Generative artificial intelligence (AI), particularly tools such as </w:t>
      </w:r>
      <w:proofErr w:type="spellStart"/>
      <w:r>
        <w:rPr>
          <w:sz w:val="24"/>
          <w:szCs w:val="24"/>
        </w:rPr>
        <w:t>ChatGPT</w:t>
      </w:r>
      <w:proofErr w:type="spellEnd"/>
      <w:r>
        <w:rPr>
          <w:sz w:val="24"/>
          <w:szCs w:val="24"/>
        </w:rPr>
        <w:t xml:space="preserve"> or Gemini, can serve as a promising solution.  These AI models can produce contextual and human-like </w:t>
      </w:r>
      <w:r>
        <w:rPr>
          <w:sz w:val="24"/>
          <w:szCs w:val="24"/>
        </w:rPr>
        <w:lastRenderedPageBreak/>
        <w:t xml:space="preserve">feedback in terms of </w:t>
      </w:r>
      <w:proofErr w:type="spellStart"/>
      <w:r>
        <w:rPr>
          <w:sz w:val="24"/>
          <w:szCs w:val="24"/>
        </w:rPr>
        <w:t>organisation</w:t>
      </w:r>
      <w:proofErr w:type="spellEnd"/>
      <w:r>
        <w:rPr>
          <w:sz w:val="24"/>
          <w:szCs w:val="24"/>
        </w:rPr>
        <w:t>, argumentation, and clarity (</w:t>
      </w:r>
      <w:proofErr w:type="spellStart"/>
      <w:r>
        <w:rPr>
          <w:sz w:val="24"/>
          <w:szCs w:val="24"/>
        </w:rPr>
        <w:t>Swiecki</w:t>
      </w:r>
      <w:proofErr w:type="spellEnd"/>
      <w:r>
        <w:rPr>
          <w:sz w:val="24"/>
          <w:szCs w:val="24"/>
        </w:rPr>
        <w:t xml:space="preserve"> et al., 2022; </w:t>
      </w:r>
      <w:proofErr w:type="spellStart"/>
      <w:r>
        <w:rPr>
          <w:sz w:val="24"/>
          <w:szCs w:val="24"/>
        </w:rPr>
        <w:t>Banihashem</w:t>
      </w:r>
      <w:proofErr w:type="spellEnd"/>
      <w:r>
        <w:rPr>
          <w:sz w:val="24"/>
          <w:szCs w:val="24"/>
        </w:rPr>
        <w:t xml:space="preserve"> et al., 2024.; Shi &amp; </w:t>
      </w:r>
      <w:proofErr w:type="spellStart"/>
      <w:r>
        <w:rPr>
          <w:sz w:val="24"/>
          <w:szCs w:val="24"/>
        </w:rPr>
        <w:t>Aryadoust</w:t>
      </w:r>
      <w:proofErr w:type="spellEnd"/>
      <w:r>
        <w:rPr>
          <w:sz w:val="24"/>
          <w:szCs w:val="24"/>
        </w:rPr>
        <w:t xml:space="preserve">, 2024). When providing learners with immediate and </w:t>
      </w:r>
      <w:proofErr w:type="spellStart"/>
      <w:r>
        <w:rPr>
          <w:sz w:val="24"/>
          <w:szCs w:val="24"/>
        </w:rPr>
        <w:t>personalised</w:t>
      </w:r>
      <w:proofErr w:type="spellEnd"/>
      <w:r>
        <w:rPr>
          <w:sz w:val="24"/>
          <w:szCs w:val="24"/>
        </w:rPr>
        <w:t xml:space="preserve"> feedback, AI tools may create new opportunities for improving coherence and cohesion in IELTS writing, while also supporting learner autonomy and reflection. As such, the integration of </w:t>
      </w:r>
      <w:proofErr w:type="spellStart"/>
      <w:r>
        <w:rPr>
          <w:sz w:val="24"/>
          <w:szCs w:val="24"/>
        </w:rPr>
        <w:t>GenAI</w:t>
      </w:r>
      <w:proofErr w:type="spellEnd"/>
      <w:r>
        <w:rPr>
          <w:sz w:val="24"/>
          <w:szCs w:val="24"/>
        </w:rPr>
        <w:t xml:space="preserve"> in learning and teaching writing skill has increasingly gained attention from scholars in recent years.</w:t>
      </w:r>
    </w:p>
    <w:p w:rsidR="00BA67A1" w:rsidRDefault="00000000">
      <w:pPr>
        <w:keepNext/>
        <w:spacing w:before="0" w:after="120" w:line="480" w:lineRule="auto"/>
        <w:rPr>
          <w:sz w:val="24"/>
          <w:szCs w:val="24"/>
        </w:rPr>
      </w:pPr>
      <w:r>
        <w:rPr>
          <w:sz w:val="24"/>
          <w:szCs w:val="24"/>
        </w:rPr>
        <w:t xml:space="preserve">Even though generative AI tools such as </w:t>
      </w:r>
      <w:proofErr w:type="spellStart"/>
      <w:r>
        <w:rPr>
          <w:sz w:val="24"/>
          <w:szCs w:val="24"/>
        </w:rPr>
        <w:t>ChatGPT</w:t>
      </w:r>
      <w:proofErr w:type="spellEnd"/>
      <w:r>
        <w:rPr>
          <w:sz w:val="24"/>
          <w:szCs w:val="24"/>
        </w:rPr>
        <w:t xml:space="preserve"> raise new possibilities, most studies focus solely on aspects such as accuracy in grammatical structures, profound vocabulary range, or overall quality of essays, ignoring discourse-level features, particularly cohesion and coherence. Furthermore, there is still limited empirical research on their effectiveness in improving higher order writing skills in IELTS preparation contexts. This study bridges this gap by investigating how AI-generated feedback influences learners’ ability to enhance coherence and cohesion in IELTS Writing Task 2 essays and how learners perceive this type of support. In particular, the study seeks to explore how AI-generated responses can function as a tool to guide learners in better </w:t>
      </w:r>
      <w:proofErr w:type="spellStart"/>
      <w:r>
        <w:rPr>
          <w:sz w:val="24"/>
          <w:szCs w:val="24"/>
        </w:rPr>
        <w:t>organising</w:t>
      </w:r>
      <w:proofErr w:type="spellEnd"/>
      <w:r>
        <w:rPr>
          <w:sz w:val="24"/>
          <w:szCs w:val="24"/>
        </w:rPr>
        <w:t xml:space="preserve"> their ideas and ensuring greater clarity in their arguments. Beyond textual outcomes, the study also aims to explore learners’ perceptions of AI feedback in terms of its usefulness and reliability as well as potential limitations (</w:t>
      </w:r>
      <w:proofErr w:type="spellStart"/>
      <w:r>
        <w:rPr>
          <w:sz w:val="24"/>
          <w:szCs w:val="24"/>
        </w:rPr>
        <w:t>Steiss</w:t>
      </w:r>
      <w:proofErr w:type="spellEnd"/>
      <w:r>
        <w:rPr>
          <w:sz w:val="24"/>
          <w:szCs w:val="24"/>
        </w:rPr>
        <w:t xml:space="preserve"> et al., 2024). Therefore, it contributes a balance between empirical evidence of writing improvement and an understanding of learners’ learning experiences.</w:t>
      </w:r>
    </w:p>
    <w:p w:rsidR="00BA67A1" w:rsidRDefault="00000000">
      <w:pPr>
        <w:keepNext/>
        <w:spacing w:before="0" w:after="120" w:line="480" w:lineRule="auto"/>
        <w:ind w:firstLine="0"/>
        <w:rPr>
          <w:sz w:val="24"/>
          <w:szCs w:val="24"/>
        </w:rPr>
      </w:pPr>
      <w:r>
        <w:rPr>
          <w:sz w:val="24"/>
          <w:szCs w:val="24"/>
        </w:rPr>
        <w:t>To achieve these objectives, the study addresses two central research questions:</w:t>
      </w:r>
    </w:p>
    <w:p w:rsidR="00BA67A1" w:rsidRDefault="00000000">
      <w:pPr>
        <w:keepNext/>
        <w:numPr>
          <w:ilvl w:val="0"/>
          <w:numId w:val="1"/>
        </w:numPr>
        <w:spacing w:before="0" w:after="120" w:line="480" w:lineRule="auto"/>
        <w:rPr>
          <w:sz w:val="24"/>
          <w:szCs w:val="24"/>
        </w:rPr>
      </w:pPr>
      <w:r>
        <w:rPr>
          <w:sz w:val="24"/>
          <w:szCs w:val="24"/>
        </w:rPr>
        <w:t>To what extent does generative AI feedback enhance coherence and cohesion in IELTS Writing Task 2 essays?</w:t>
      </w:r>
    </w:p>
    <w:p w:rsidR="00BA67A1" w:rsidRDefault="00000000">
      <w:pPr>
        <w:numPr>
          <w:ilvl w:val="0"/>
          <w:numId w:val="1"/>
        </w:numPr>
        <w:spacing w:before="0" w:after="120" w:line="480" w:lineRule="auto"/>
        <w:rPr>
          <w:sz w:val="24"/>
          <w:szCs w:val="24"/>
        </w:rPr>
      </w:pPr>
      <w:r>
        <w:rPr>
          <w:sz w:val="24"/>
          <w:szCs w:val="24"/>
        </w:rPr>
        <w:t>How do EFL learners perceive the usefulness and reliability of generative AI feedback for improving their IELTS writing performance?</w:t>
      </w:r>
    </w:p>
    <w:p w:rsidR="00BA67A1" w:rsidRDefault="00000000">
      <w:pPr>
        <w:keepNext/>
        <w:pBdr>
          <w:top w:val="nil"/>
          <w:left w:val="nil"/>
          <w:bottom w:val="nil"/>
          <w:right w:val="nil"/>
          <w:between w:val="nil"/>
        </w:pBdr>
        <w:spacing w:before="240" w:after="0"/>
        <w:ind w:left="284" w:hanging="284"/>
        <w:jc w:val="center"/>
        <w:rPr>
          <w:b/>
          <w:bCs/>
          <w:color w:val="000000"/>
          <w:sz w:val="24"/>
          <w:szCs w:val="24"/>
        </w:rPr>
      </w:pPr>
      <w:r>
        <w:rPr>
          <w:b/>
          <w:bCs/>
          <w:color w:val="000000"/>
          <w:sz w:val="24"/>
          <w:szCs w:val="24"/>
        </w:rPr>
        <w:lastRenderedPageBreak/>
        <w:t>2. Literature Review</w:t>
      </w:r>
    </w:p>
    <w:p w:rsidR="00BA67A1" w:rsidRDefault="00000000">
      <w:pPr>
        <w:keepNext/>
        <w:spacing w:before="180"/>
        <w:ind w:left="284" w:hanging="284"/>
        <w:rPr>
          <w:sz w:val="24"/>
          <w:szCs w:val="24"/>
        </w:rPr>
      </w:pPr>
      <w:r>
        <w:rPr>
          <w:b/>
          <w:bCs/>
          <w:i/>
          <w:iCs/>
          <w:sz w:val="24"/>
          <w:szCs w:val="24"/>
        </w:rPr>
        <w:t>2.1. Feedback Intervention Theory (FIT)</w:t>
      </w:r>
    </w:p>
    <w:p w:rsidR="00BA67A1" w:rsidRDefault="00000000">
      <w:pPr>
        <w:spacing w:before="0" w:after="120" w:line="480" w:lineRule="auto"/>
        <w:rPr>
          <w:sz w:val="24"/>
          <w:szCs w:val="24"/>
        </w:rPr>
      </w:pPr>
      <w:r>
        <w:rPr>
          <w:sz w:val="24"/>
          <w:szCs w:val="24"/>
        </w:rPr>
        <w:t xml:space="preserve">Feedback has always been a pivotal aspect to enhance study quality, especially in learning and teaching writing. Of all theories regarding the role of feedback, Feedback Intervention Theory (FIT), proposed by Kluger </w:t>
      </w:r>
      <w:proofErr w:type="spellStart"/>
      <w:r>
        <w:rPr>
          <w:sz w:val="24"/>
          <w:szCs w:val="24"/>
        </w:rPr>
        <w:t>và</w:t>
      </w:r>
      <w:proofErr w:type="spellEnd"/>
      <w:r>
        <w:rPr>
          <w:sz w:val="24"/>
          <w:szCs w:val="24"/>
        </w:rPr>
        <w:t xml:space="preserve"> </w:t>
      </w:r>
      <w:proofErr w:type="spellStart"/>
      <w:r>
        <w:rPr>
          <w:sz w:val="24"/>
          <w:szCs w:val="24"/>
        </w:rPr>
        <w:t>DeNisi</w:t>
      </w:r>
      <w:proofErr w:type="spellEnd"/>
      <w:r>
        <w:rPr>
          <w:sz w:val="24"/>
          <w:szCs w:val="24"/>
        </w:rPr>
        <w:t xml:space="preserve"> (1996), posits that effectiveness of feedback is </w:t>
      </w:r>
      <w:proofErr w:type="spellStart"/>
      <w:r>
        <w:rPr>
          <w:sz w:val="24"/>
          <w:szCs w:val="24"/>
        </w:rPr>
        <w:t>maximised</w:t>
      </w:r>
      <w:proofErr w:type="spellEnd"/>
      <w:r>
        <w:rPr>
          <w:sz w:val="24"/>
          <w:szCs w:val="24"/>
        </w:rPr>
        <w:t xml:space="preserve"> when it helps learners realize the gap between their current performance and desired goals, thereby opting for plausible reactions to bridge this gap. According to FIT, feedback does not always </w:t>
      </w:r>
      <w:proofErr w:type="gramStart"/>
      <w:r>
        <w:rPr>
          <w:sz w:val="24"/>
          <w:szCs w:val="24"/>
        </w:rPr>
        <w:t xml:space="preserve">work, </w:t>
      </w:r>
      <w:r w:rsidR="00DA2DA7">
        <w:rPr>
          <w:sz w:val="24"/>
          <w:szCs w:val="24"/>
        </w:rPr>
        <w:t xml:space="preserve"> </w:t>
      </w:r>
      <w:r>
        <w:rPr>
          <w:sz w:val="24"/>
          <w:szCs w:val="24"/>
        </w:rPr>
        <w:t>if</w:t>
      </w:r>
      <w:proofErr w:type="gramEnd"/>
      <w:r>
        <w:rPr>
          <w:sz w:val="24"/>
          <w:szCs w:val="24"/>
        </w:rPr>
        <w:t xml:space="preserve"> vague or overly critical ones are given, it causes performance to decline. Instead, specific and corrective mistakes help learners know exactly how to fix the problem, hence improving the way learners perform.</w:t>
      </w:r>
    </w:p>
    <w:p w:rsidR="00BA67A1" w:rsidRDefault="00000000">
      <w:pPr>
        <w:spacing w:before="0" w:after="120" w:line="480" w:lineRule="auto"/>
        <w:rPr>
          <w:sz w:val="24"/>
          <w:szCs w:val="24"/>
        </w:rPr>
      </w:pPr>
      <w:r>
        <w:rPr>
          <w:sz w:val="24"/>
          <w:szCs w:val="24"/>
        </w:rPr>
        <w:t>In academic contexts, feedback is especially important since learners hardly realize weaknesses related to coherence and cohesion. As such, feedback that is specific, timely and able to orient reactions allows learners to make necessary adjustments in editing essays. The blooming growth of Generative Artificial Intelligence (</w:t>
      </w:r>
      <w:proofErr w:type="spellStart"/>
      <w:r>
        <w:rPr>
          <w:sz w:val="24"/>
          <w:szCs w:val="24"/>
        </w:rPr>
        <w:t>GenAI</w:t>
      </w:r>
      <w:proofErr w:type="spellEnd"/>
      <w:r>
        <w:rPr>
          <w:sz w:val="24"/>
          <w:szCs w:val="24"/>
        </w:rPr>
        <w:t xml:space="preserve">) offers a new feedback form meeting various features of effective feedback following FIT. Unlike the traditional automatic writing assessment system which mainly focuses on grammar and vocabulary mistakes, large language models such as </w:t>
      </w:r>
      <w:proofErr w:type="spellStart"/>
      <w:r>
        <w:rPr>
          <w:sz w:val="24"/>
          <w:szCs w:val="24"/>
        </w:rPr>
        <w:t>ChatGPT</w:t>
      </w:r>
      <w:proofErr w:type="spellEnd"/>
      <w:r>
        <w:rPr>
          <w:sz w:val="24"/>
          <w:szCs w:val="24"/>
        </w:rPr>
        <w:t xml:space="preserve"> are capable of analyzing how arguments are structured, pointing out problems in flow of ideas and suggest how to improve them. Thanks to the ability of giving immediate and individualized feedback, </w:t>
      </w:r>
      <w:proofErr w:type="spellStart"/>
      <w:r>
        <w:rPr>
          <w:sz w:val="24"/>
          <w:szCs w:val="24"/>
        </w:rPr>
        <w:t>GenAI</w:t>
      </w:r>
      <w:proofErr w:type="spellEnd"/>
      <w:r>
        <w:rPr>
          <w:sz w:val="24"/>
          <w:szCs w:val="24"/>
        </w:rPr>
        <w:t xml:space="preserve"> is expected to assist learners in improving discourse-level aspects, especially coherence and cohesion. However, FIT also emphasizes that the efficacy of feedback depends not only on the quality of feedback but also on how users make use of feedback. As a result, to evaluate pedagogical value of </w:t>
      </w:r>
      <w:proofErr w:type="spellStart"/>
      <w:r>
        <w:rPr>
          <w:sz w:val="24"/>
          <w:szCs w:val="24"/>
        </w:rPr>
        <w:t>GenAI</w:t>
      </w:r>
      <w:proofErr w:type="spellEnd"/>
      <w:r>
        <w:rPr>
          <w:sz w:val="24"/>
          <w:szCs w:val="24"/>
        </w:rPr>
        <w:t>, it is essential to consider both the improvement in writing products and the way learners perceive this feedback tool.</w:t>
      </w:r>
    </w:p>
    <w:p w:rsidR="00BA67A1" w:rsidRDefault="00000000">
      <w:pPr>
        <w:keepNext/>
        <w:spacing w:before="180"/>
        <w:ind w:left="284" w:hanging="284"/>
        <w:rPr>
          <w:sz w:val="24"/>
          <w:szCs w:val="24"/>
        </w:rPr>
      </w:pPr>
      <w:r>
        <w:rPr>
          <w:b/>
          <w:bCs/>
          <w:i/>
          <w:iCs/>
          <w:sz w:val="24"/>
          <w:szCs w:val="24"/>
        </w:rPr>
        <w:lastRenderedPageBreak/>
        <w:t>2.2. Coherence and Cohesion</w:t>
      </w:r>
    </w:p>
    <w:p w:rsidR="00BA67A1" w:rsidRDefault="00000000">
      <w:pPr>
        <w:spacing w:before="0" w:after="120" w:line="480" w:lineRule="auto"/>
        <w:rPr>
          <w:sz w:val="24"/>
          <w:szCs w:val="24"/>
        </w:rPr>
      </w:pPr>
      <w:r>
        <w:rPr>
          <w:sz w:val="24"/>
          <w:szCs w:val="24"/>
        </w:rPr>
        <w:t xml:space="preserve">In academic writing, beside concepts that are regularly emphasized by educators such as grammatical range, lexical resource, task response, and accuracy, the aspects of coherence and cohesion hold paramount significance as well. These two elements determine whether an essay is logical and whether ideas flow smoothly. It is no exaggeration to state that coherence and cohesion are the cornerstone of a high-band essay. Therefore, sufficient practice in organizing ideas logically and employing appropriate lexical and grammatical devices to enhance connection of sentences in text is indispensable. </w:t>
      </w:r>
    </w:p>
    <w:p w:rsidR="00BA67A1" w:rsidRDefault="00000000">
      <w:pPr>
        <w:spacing w:before="0" w:after="120" w:line="480" w:lineRule="auto"/>
        <w:rPr>
          <w:sz w:val="24"/>
          <w:szCs w:val="24"/>
        </w:rPr>
      </w:pPr>
      <w:r>
        <w:rPr>
          <w:sz w:val="24"/>
          <w:szCs w:val="24"/>
        </w:rPr>
        <w:t xml:space="preserve">Halliday and Hasan (2014) put forward intertwined terms cohesion and coherence. Cohesion concerns semantic meanings of a text. There are two major offshoots: lexical cohesive devices (reiteration and collocation) and grammatical cohesive devices (reference, substitution, ellipsis and conjunctions) to connect ideas both sentence level and paragraph level. Through cohesion texts are linguistically linked, forming a cohesive and interdependent structure </w:t>
      </w:r>
      <w:proofErr w:type="gramStart"/>
      <w:r>
        <w:rPr>
          <w:sz w:val="24"/>
          <w:szCs w:val="24"/>
        </w:rPr>
        <w:t xml:space="preserve">( </w:t>
      </w:r>
      <w:proofErr w:type="spellStart"/>
      <w:r>
        <w:rPr>
          <w:sz w:val="24"/>
          <w:szCs w:val="24"/>
        </w:rPr>
        <w:t>Janebi</w:t>
      </w:r>
      <w:proofErr w:type="spellEnd"/>
      <w:proofErr w:type="gramEnd"/>
      <w:r>
        <w:rPr>
          <w:sz w:val="24"/>
          <w:szCs w:val="24"/>
        </w:rPr>
        <w:t xml:space="preserve"> Enayat, 2025). </w:t>
      </w:r>
    </w:p>
    <w:p w:rsidR="00BA67A1" w:rsidRDefault="00000000">
      <w:pPr>
        <w:spacing w:before="0" w:after="120" w:line="480" w:lineRule="auto"/>
        <w:rPr>
          <w:sz w:val="24"/>
          <w:szCs w:val="24"/>
        </w:rPr>
      </w:pPr>
      <w:r>
        <w:rPr>
          <w:sz w:val="24"/>
          <w:szCs w:val="24"/>
        </w:rPr>
        <w:t xml:space="preserve">On the other hand, coherence refers to the unity of ideas in the paragraph. In this regard, the paragraph is linked smoothly and logically from topic sentence, to supporting sentence, detail sentences and concluding sentences. </w:t>
      </w:r>
      <w:proofErr w:type="spellStart"/>
      <w:r>
        <w:rPr>
          <w:sz w:val="24"/>
          <w:szCs w:val="24"/>
        </w:rPr>
        <w:t>Oshima</w:t>
      </w:r>
      <w:proofErr w:type="spellEnd"/>
      <w:r>
        <w:rPr>
          <w:sz w:val="24"/>
          <w:szCs w:val="24"/>
        </w:rPr>
        <w:t xml:space="preserve"> and Hogue (2006) propose four ways to achieve coherence: repeating key nouns, maintaining a consistent tone, using transition signals to connect ideas, and arranging ideas logically. When coherence is established, readers can effortlessly grasp the intended meaning of the text.</w:t>
      </w:r>
    </w:p>
    <w:p w:rsidR="00BA67A1" w:rsidRDefault="00000000">
      <w:pPr>
        <w:spacing w:before="0" w:after="120" w:line="480" w:lineRule="auto"/>
        <w:rPr>
          <w:sz w:val="24"/>
          <w:szCs w:val="24"/>
        </w:rPr>
      </w:pPr>
      <w:r>
        <w:rPr>
          <w:sz w:val="24"/>
          <w:szCs w:val="24"/>
        </w:rPr>
        <w:t xml:space="preserve">In the context of IELTS writing, achieving a higher band score (at least Band 6) means students have a good command of using Coherence and Cohesion as the band descriptor requires students to present their ideas in a clear, logical, and coherent manner. </w:t>
      </w:r>
      <w:proofErr w:type="spellStart"/>
      <w:r>
        <w:rPr>
          <w:sz w:val="24"/>
          <w:szCs w:val="24"/>
        </w:rPr>
        <w:t>Javahery</w:t>
      </w:r>
      <w:proofErr w:type="spellEnd"/>
      <w:r>
        <w:rPr>
          <w:sz w:val="24"/>
          <w:szCs w:val="24"/>
        </w:rPr>
        <w:t xml:space="preserve"> (2025)’s research put forward that essays which fail to exhibit clear progression of ideas and varied cohesive devices are likely to be given Band 6, instead of Band 7 or above. However, </w:t>
      </w:r>
      <w:r>
        <w:rPr>
          <w:sz w:val="24"/>
          <w:szCs w:val="24"/>
        </w:rPr>
        <w:lastRenderedPageBreak/>
        <w:t xml:space="preserve">many students tend to focus primarily on other aspects of writing and overlook coherence and cohesion, which ultimately reduces their overall performance. There are innumerable research confirming the struggle of most students with utilizing cohesion and coherence in academic writing. A study of Rahman et al., (2023) unveil that though undergraduates majoring in English at Islamia College Peshawar attempt to use cohesive devices in their academic writing, their application is mostly inappropriate, hindering achieving plausible coherence. This claim is echoed by Trang et al. (2023) and </w:t>
      </w:r>
      <w:proofErr w:type="spellStart"/>
      <w:r>
        <w:rPr>
          <w:sz w:val="24"/>
          <w:szCs w:val="24"/>
        </w:rPr>
        <w:t>Anindita</w:t>
      </w:r>
      <w:proofErr w:type="spellEnd"/>
      <w:r>
        <w:rPr>
          <w:sz w:val="24"/>
          <w:szCs w:val="24"/>
        </w:rPr>
        <w:t xml:space="preserve"> (2024), in which students are reported to encounter problems such as overuse and misuse conjunctions, reference, repetition and synonyms, and transition signals while underuse cohesive devices like substitution, and ellipsis as well as other types of coherent devices. Furthermore, some students admit they have yet developed a solid grasp of cohesion and coherence, with a few even confusing the two terms (Diep &amp; Diep ,2024).</w:t>
      </w:r>
    </w:p>
    <w:p w:rsidR="00BA67A1" w:rsidRDefault="00000000">
      <w:pPr>
        <w:spacing w:before="0" w:after="120" w:line="480" w:lineRule="auto"/>
        <w:rPr>
          <w:sz w:val="24"/>
          <w:szCs w:val="24"/>
        </w:rPr>
      </w:pPr>
      <w:r>
        <w:rPr>
          <w:sz w:val="24"/>
          <w:szCs w:val="24"/>
        </w:rPr>
        <w:t xml:space="preserve">Many efforts have been devoted to improving cohesion and coherence in students’ academic essays. Previous research has examined whether explicit and implicit instruction in cohesion and coherence can improve students’ academic writing. </w:t>
      </w:r>
      <w:proofErr w:type="spellStart"/>
      <w:r>
        <w:rPr>
          <w:sz w:val="24"/>
          <w:szCs w:val="24"/>
        </w:rPr>
        <w:t>Benshams</w:t>
      </w:r>
      <w:proofErr w:type="spellEnd"/>
      <w:r>
        <w:rPr>
          <w:sz w:val="24"/>
          <w:szCs w:val="24"/>
        </w:rPr>
        <w:t xml:space="preserve"> et al. (2023)’s research figures out the noticeable improvement in students' academic writing skills when explicitly and implicitly taught. Similarly, writing abilities of Iranian EFL learners are proven to be enhanced when they are exposed to explicit instruction (</w:t>
      </w:r>
      <w:proofErr w:type="spellStart"/>
      <w:r>
        <w:rPr>
          <w:sz w:val="24"/>
          <w:szCs w:val="24"/>
        </w:rPr>
        <w:t>Behbahani</w:t>
      </w:r>
      <w:proofErr w:type="spellEnd"/>
      <w:r>
        <w:rPr>
          <w:sz w:val="24"/>
          <w:szCs w:val="24"/>
        </w:rPr>
        <w:t xml:space="preserve"> et al., 2018). </w:t>
      </w:r>
      <w:proofErr w:type="spellStart"/>
      <w:r>
        <w:rPr>
          <w:sz w:val="24"/>
          <w:szCs w:val="24"/>
        </w:rPr>
        <w:t>Pavavijarn</w:t>
      </w:r>
      <w:proofErr w:type="spellEnd"/>
      <w:r>
        <w:rPr>
          <w:sz w:val="24"/>
          <w:szCs w:val="24"/>
        </w:rPr>
        <w:t xml:space="preserve"> (2022) proposes that teachers can introduce effective methods such as Theme-Rheme Progression to help students refine cohesion in their writing by raising awareness of how to structure essays in a logical manner. In addition, clear instructional interventions and frequent feedback are considered essential. </w:t>
      </w:r>
      <w:proofErr w:type="spellStart"/>
      <w:r>
        <w:rPr>
          <w:sz w:val="24"/>
          <w:szCs w:val="24"/>
        </w:rPr>
        <w:t>Thi</w:t>
      </w:r>
      <w:proofErr w:type="spellEnd"/>
      <w:r>
        <w:rPr>
          <w:sz w:val="24"/>
          <w:szCs w:val="24"/>
        </w:rPr>
        <w:t xml:space="preserve"> et al. (2023) highlights the crucial role of feedback in enhancing text cohesion, noting that the more constructive feedback students receive from teachers, the better their writing performance becomes. However, time constraints in classroom settings remain a persistent challenge, as teachers are often unable to provide </w:t>
      </w:r>
      <w:r>
        <w:rPr>
          <w:sz w:val="24"/>
          <w:szCs w:val="24"/>
        </w:rPr>
        <w:lastRenderedPageBreak/>
        <w:t>comprehensive feedback on every essay or give tailored guidance on logical organization to each individual student’s writing.</w:t>
      </w:r>
    </w:p>
    <w:p w:rsidR="00BA67A1" w:rsidRDefault="00000000">
      <w:pPr>
        <w:spacing w:before="0" w:after="120" w:line="480" w:lineRule="auto"/>
        <w:rPr>
          <w:sz w:val="24"/>
          <w:szCs w:val="24"/>
        </w:rPr>
      </w:pPr>
      <w:r>
        <w:rPr>
          <w:sz w:val="24"/>
          <w:szCs w:val="24"/>
        </w:rPr>
        <w:t xml:space="preserve">To address this limitation, alternative supports such as automated writing evaluation (AWE) systems and peer feedback have been proposed. Chen and Cui (2022) report that these approaches can foster certain improvements in students’ cohesion and coherence. Similarly, </w:t>
      </w:r>
      <w:proofErr w:type="spellStart"/>
      <w:r>
        <w:rPr>
          <w:sz w:val="24"/>
          <w:szCs w:val="24"/>
        </w:rPr>
        <w:t>Anindita</w:t>
      </w:r>
      <w:proofErr w:type="spellEnd"/>
      <w:r>
        <w:rPr>
          <w:sz w:val="24"/>
          <w:szCs w:val="24"/>
        </w:rPr>
        <w:t xml:space="preserve"> (2024) demonstrates that tools like the Tool for the Automatic Analysis of Cohesion (TAACO), combined with peer feedback, can help identify common cohesive errors and provide systematic evaluations of student writing. Nevertheless, feedback generated by such tools is often too general, insufficiently constructive, and lacking in concrete suggestions for improvement. Peer feedback, while valuable, also has limitations. </w:t>
      </w:r>
      <w:proofErr w:type="spellStart"/>
      <w:r>
        <w:rPr>
          <w:sz w:val="24"/>
          <w:szCs w:val="24"/>
        </w:rPr>
        <w:t>Termjai</w:t>
      </w:r>
      <w:proofErr w:type="spellEnd"/>
      <w:r>
        <w:rPr>
          <w:sz w:val="24"/>
          <w:szCs w:val="24"/>
        </w:rPr>
        <w:t xml:space="preserve"> (2024) observes that students tend to focus more on grammar and vocabulary than on coherence and unity when providing comments, while Sun (2023) further notes that many learners lack the knowledge necessary to give meaningful corrections or suggestions.</w:t>
      </w:r>
    </w:p>
    <w:p w:rsidR="00BA67A1" w:rsidRDefault="00000000">
      <w:pPr>
        <w:keepNext/>
        <w:spacing w:before="180"/>
        <w:ind w:left="284" w:hanging="284"/>
        <w:rPr>
          <w:sz w:val="24"/>
          <w:szCs w:val="24"/>
        </w:rPr>
      </w:pPr>
      <w:r>
        <w:rPr>
          <w:b/>
          <w:bCs/>
          <w:i/>
          <w:iCs/>
          <w:sz w:val="24"/>
          <w:szCs w:val="24"/>
        </w:rPr>
        <w:t xml:space="preserve">2.3. The integration of </w:t>
      </w:r>
      <w:proofErr w:type="spellStart"/>
      <w:r>
        <w:rPr>
          <w:b/>
          <w:bCs/>
          <w:i/>
          <w:iCs/>
          <w:sz w:val="24"/>
          <w:szCs w:val="24"/>
        </w:rPr>
        <w:t>ChatGPT</w:t>
      </w:r>
      <w:proofErr w:type="spellEnd"/>
      <w:r>
        <w:rPr>
          <w:b/>
          <w:bCs/>
          <w:i/>
          <w:iCs/>
          <w:sz w:val="24"/>
          <w:szCs w:val="24"/>
        </w:rPr>
        <w:t xml:space="preserve"> in improvement coherence and cohesion</w:t>
      </w:r>
    </w:p>
    <w:p w:rsidR="00BA67A1" w:rsidRDefault="00000000">
      <w:pPr>
        <w:spacing w:before="0" w:after="120" w:line="480" w:lineRule="auto"/>
        <w:rPr>
          <w:sz w:val="24"/>
          <w:szCs w:val="24"/>
        </w:rPr>
      </w:pPr>
      <w:r>
        <w:rPr>
          <w:sz w:val="24"/>
          <w:szCs w:val="24"/>
        </w:rPr>
        <w:t xml:space="preserve">To address these issues, </w:t>
      </w:r>
      <w:proofErr w:type="spellStart"/>
      <w:r>
        <w:rPr>
          <w:sz w:val="24"/>
          <w:szCs w:val="24"/>
        </w:rPr>
        <w:t>ChatGPT</w:t>
      </w:r>
      <w:proofErr w:type="spellEnd"/>
      <w:r>
        <w:rPr>
          <w:sz w:val="24"/>
          <w:szCs w:val="24"/>
        </w:rPr>
        <w:t xml:space="preserve"> has recently emerged as a viable substitute that is accessible to all students at any time and is increasingly perceived as accurate and reliable. Unlike earlier automated tools, </w:t>
      </w:r>
      <w:proofErr w:type="spellStart"/>
      <w:r>
        <w:rPr>
          <w:sz w:val="24"/>
          <w:szCs w:val="24"/>
        </w:rPr>
        <w:t>ChatGPT</w:t>
      </w:r>
      <w:proofErr w:type="spellEnd"/>
      <w:r>
        <w:rPr>
          <w:sz w:val="24"/>
          <w:szCs w:val="24"/>
        </w:rPr>
        <w:t>, continuously updated and improved, can generate contextually relevant explanations, suggest personalized revisions, and respond interactively to students’ prompts until they are satisfied with their refined drafts (</w:t>
      </w:r>
      <w:proofErr w:type="spellStart"/>
      <w:r>
        <w:rPr>
          <w:sz w:val="24"/>
          <w:szCs w:val="24"/>
        </w:rPr>
        <w:t>Kohnke</w:t>
      </w:r>
      <w:proofErr w:type="spellEnd"/>
      <w:r>
        <w:rPr>
          <w:sz w:val="24"/>
          <w:szCs w:val="24"/>
        </w:rPr>
        <w:t xml:space="preserve">, Moorhouse, &amp; Zou, 2023). A myriad of studies </w:t>
      </w:r>
      <w:proofErr w:type="gramStart"/>
      <w:r>
        <w:rPr>
          <w:sz w:val="24"/>
          <w:szCs w:val="24"/>
        </w:rPr>
        <w:t>have</w:t>
      </w:r>
      <w:proofErr w:type="gramEnd"/>
      <w:r>
        <w:rPr>
          <w:sz w:val="24"/>
          <w:szCs w:val="24"/>
        </w:rPr>
        <w:t xml:space="preserve"> shed fascinating light on the utilization of generative AI, particularly </w:t>
      </w:r>
      <w:proofErr w:type="spellStart"/>
      <w:r>
        <w:rPr>
          <w:sz w:val="24"/>
          <w:szCs w:val="24"/>
        </w:rPr>
        <w:t>ChatGPT</w:t>
      </w:r>
      <w:proofErr w:type="spellEnd"/>
      <w:r>
        <w:rPr>
          <w:sz w:val="24"/>
          <w:szCs w:val="24"/>
        </w:rPr>
        <w:t xml:space="preserve">, to enhance learners’ writing skills, not only for grammatical or vocabulary correction, but also for cohesion and coherence improvement. Li et al.’s (2023) findings demonstrate that </w:t>
      </w:r>
      <w:proofErr w:type="spellStart"/>
      <w:r>
        <w:rPr>
          <w:sz w:val="24"/>
          <w:szCs w:val="24"/>
        </w:rPr>
        <w:t>ChatGPT</w:t>
      </w:r>
      <w:proofErr w:type="spellEnd"/>
      <w:r>
        <w:rPr>
          <w:sz w:val="24"/>
          <w:szCs w:val="24"/>
        </w:rPr>
        <w:t xml:space="preserve"> is capable of generating essays that are not only flawless in grammatical structures and lexical resources but also meet academic standards of coherence and cohesion. Herbold et al. (2023) and </w:t>
      </w:r>
      <w:proofErr w:type="spellStart"/>
      <w:r>
        <w:rPr>
          <w:sz w:val="24"/>
          <w:szCs w:val="24"/>
        </w:rPr>
        <w:t>Tengler</w:t>
      </w:r>
      <w:proofErr w:type="spellEnd"/>
      <w:r>
        <w:rPr>
          <w:sz w:val="24"/>
          <w:szCs w:val="24"/>
        </w:rPr>
        <w:t xml:space="preserve"> and </w:t>
      </w:r>
      <w:proofErr w:type="spellStart"/>
      <w:r>
        <w:rPr>
          <w:sz w:val="24"/>
          <w:szCs w:val="24"/>
        </w:rPr>
        <w:t>Brandhofer</w:t>
      </w:r>
      <w:proofErr w:type="spellEnd"/>
      <w:r>
        <w:rPr>
          <w:sz w:val="24"/>
          <w:szCs w:val="24"/>
        </w:rPr>
        <w:t xml:space="preserve"> (2025) similarly argue that </w:t>
      </w:r>
      <w:proofErr w:type="spellStart"/>
      <w:r>
        <w:rPr>
          <w:sz w:val="24"/>
          <w:szCs w:val="24"/>
        </w:rPr>
        <w:lastRenderedPageBreak/>
        <w:t>ChatGPT’s</w:t>
      </w:r>
      <w:proofErr w:type="spellEnd"/>
      <w:r>
        <w:rPr>
          <w:sz w:val="24"/>
          <w:szCs w:val="24"/>
        </w:rPr>
        <w:t xml:space="preserve"> essays resemble human writing because they employ logical connections, appropriate transitions, and ensure a smooth flow of ideas between sentences. Furthermore, </w:t>
      </w:r>
      <w:proofErr w:type="spellStart"/>
      <w:r>
        <w:rPr>
          <w:sz w:val="24"/>
          <w:szCs w:val="24"/>
        </w:rPr>
        <w:t>ChatGPT’s</w:t>
      </w:r>
      <w:proofErr w:type="spellEnd"/>
      <w:r>
        <w:rPr>
          <w:sz w:val="24"/>
          <w:szCs w:val="24"/>
        </w:rPr>
        <w:t xml:space="preserve"> feedback mechanism on coherence and cohesion offers considerable benefits for learners. As </w:t>
      </w:r>
      <w:proofErr w:type="spellStart"/>
      <w:r>
        <w:rPr>
          <w:sz w:val="24"/>
          <w:szCs w:val="24"/>
        </w:rPr>
        <w:t>Sekewael</w:t>
      </w:r>
      <w:proofErr w:type="spellEnd"/>
      <w:r>
        <w:rPr>
          <w:sz w:val="24"/>
          <w:szCs w:val="24"/>
        </w:rPr>
        <w:t xml:space="preserve"> and </w:t>
      </w:r>
      <w:proofErr w:type="spellStart"/>
      <w:r>
        <w:rPr>
          <w:sz w:val="24"/>
          <w:szCs w:val="24"/>
        </w:rPr>
        <w:t>Anaktototy</w:t>
      </w:r>
      <w:proofErr w:type="spellEnd"/>
      <w:r>
        <w:rPr>
          <w:sz w:val="24"/>
          <w:szCs w:val="24"/>
        </w:rPr>
        <w:t xml:space="preserve"> (2024) observe, students can input their own drafts and receive personalized, relevant, and real-time feedback. This immediacy enables them to revise their work, learn to think more logically, and strengthen the flow of ideas without having to wait days for teacher feedback, or in some cases, without receiving any feedback at all.</w:t>
      </w:r>
    </w:p>
    <w:p w:rsidR="00BA67A1" w:rsidRDefault="00000000">
      <w:pPr>
        <w:spacing w:before="0" w:after="120" w:line="480" w:lineRule="auto"/>
        <w:rPr>
          <w:sz w:val="24"/>
          <w:szCs w:val="24"/>
        </w:rPr>
      </w:pPr>
      <w:r>
        <w:rPr>
          <w:sz w:val="24"/>
          <w:szCs w:val="24"/>
        </w:rPr>
        <w:t xml:space="preserve">It can be concluded from the review that, although there is growing interest in employing AI-assisted writing tools, most existing research has concentrated on improving surface-level aspects such as grammar, vocabulary, or overall essay structure. Few studies have placed emphasis on the practical application of generative AI in enhancing discourse-level features, particularly cohesion and coherence, which are critical for academic writing and IELTS performance. Moreover, limited attention has been given to learners’ real-time interactions with AI tools and their perceptions of such feedback. This highlights the need for research that explores the transformative power of generative AI feedback, specifically </w:t>
      </w:r>
      <w:proofErr w:type="spellStart"/>
      <w:r>
        <w:rPr>
          <w:sz w:val="24"/>
          <w:szCs w:val="24"/>
        </w:rPr>
        <w:t>ChatGPT</w:t>
      </w:r>
      <w:proofErr w:type="spellEnd"/>
      <w:r>
        <w:rPr>
          <w:sz w:val="24"/>
          <w:szCs w:val="24"/>
        </w:rPr>
        <w:t xml:space="preserve">, in improving cohesion and coherence in IELTS writing from the learner’s perspective. </w:t>
      </w:r>
    </w:p>
    <w:p w:rsidR="00BA67A1" w:rsidRDefault="00000000">
      <w:pPr>
        <w:keepNext/>
        <w:pBdr>
          <w:top w:val="nil"/>
          <w:left w:val="nil"/>
          <w:bottom w:val="nil"/>
          <w:right w:val="nil"/>
          <w:between w:val="nil"/>
        </w:pBdr>
        <w:spacing w:before="240" w:after="0"/>
        <w:ind w:left="284" w:hanging="284"/>
        <w:jc w:val="center"/>
        <w:rPr>
          <w:b/>
          <w:bCs/>
          <w:color w:val="000000"/>
          <w:sz w:val="24"/>
          <w:szCs w:val="24"/>
        </w:rPr>
      </w:pPr>
      <w:r>
        <w:rPr>
          <w:b/>
          <w:bCs/>
          <w:color w:val="000000"/>
          <w:sz w:val="24"/>
          <w:szCs w:val="24"/>
        </w:rPr>
        <w:t>3. Methodology</w:t>
      </w:r>
    </w:p>
    <w:p w:rsidR="00BA67A1" w:rsidRDefault="00000000">
      <w:pPr>
        <w:ind w:firstLine="0"/>
        <w:rPr>
          <w:b/>
          <w:bCs/>
          <w:i/>
          <w:iCs/>
          <w:sz w:val="24"/>
          <w:szCs w:val="24"/>
        </w:rPr>
      </w:pPr>
      <w:r>
        <w:rPr>
          <w:b/>
          <w:bCs/>
          <w:i/>
          <w:iCs/>
          <w:sz w:val="24"/>
          <w:szCs w:val="24"/>
        </w:rPr>
        <w:t>3.1 Pedagogical Setting &amp; Participants</w:t>
      </w:r>
    </w:p>
    <w:p w:rsidR="00BA67A1" w:rsidRDefault="00000000">
      <w:pPr>
        <w:spacing w:before="0" w:after="120" w:line="480" w:lineRule="auto"/>
        <w:rPr>
          <w:sz w:val="24"/>
          <w:szCs w:val="24"/>
        </w:rPr>
      </w:pPr>
      <w:r>
        <w:rPr>
          <w:sz w:val="24"/>
          <w:szCs w:val="24"/>
        </w:rPr>
        <w:t xml:space="preserve">Participants were 20 third-year EFL students majoring in English Studies at the Industrial University of Ho Chi Minh City. Each of the participants are expected to reach at least a B1 Intermediate level on the Common European Framework of Reference for Languages (CEFR) since they are in their third year. The research setting was a six-week IELTS Writing Task 2 workshop integrated into the Discourse Analysis course. All students </w:t>
      </w:r>
      <w:r>
        <w:rPr>
          <w:sz w:val="24"/>
          <w:szCs w:val="24"/>
        </w:rPr>
        <w:lastRenderedPageBreak/>
        <w:t>were required to achieve a minimum IELTS score of 6.5 for graduation, which provided a strong motivation for participation in this study.</w:t>
      </w:r>
    </w:p>
    <w:p w:rsidR="00BA67A1" w:rsidRDefault="00000000">
      <w:pPr>
        <w:spacing w:line="480" w:lineRule="auto"/>
        <w:ind w:firstLine="0"/>
        <w:rPr>
          <w:b/>
          <w:bCs/>
          <w:i/>
          <w:iCs/>
          <w:sz w:val="24"/>
          <w:szCs w:val="24"/>
        </w:rPr>
      </w:pPr>
      <w:r>
        <w:rPr>
          <w:b/>
          <w:bCs/>
          <w:i/>
          <w:iCs/>
          <w:sz w:val="24"/>
          <w:szCs w:val="24"/>
        </w:rPr>
        <w:t>3.2 Design of the Study</w:t>
      </w:r>
    </w:p>
    <w:p w:rsidR="00BA67A1" w:rsidRDefault="00000000">
      <w:pPr>
        <w:spacing w:before="0" w:after="120" w:line="480" w:lineRule="auto"/>
        <w:rPr>
          <w:sz w:val="24"/>
          <w:szCs w:val="24"/>
        </w:rPr>
      </w:pPr>
      <w:r>
        <w:rPr>
          <w:sz w:val="24"/>
          <w:szCs w:val="24"/>
        </w:rPr>
        <w:t>Our research employed a mixed-methods design, following Creswell and Plano Clark (2017). This approach combined quantitative and qualitative methods to investigate the role of generative AI feedback in enhancing the coherence and cohesion in IELTS Writing Task 2 essays. The rationale behind this design lies in the complementary strengths of both data types: quantitative analysis can be used to measure learners’ performance improvement, while qualitative inquiry provides deeper insights regarding learners’ perceptions and experiences. Following Li et al. (2023), mixed-methods designs are particularly appropriate for applied linguistics research because they allow researchers to reveal the complexity of second language learning phenomena by integrating measurable outcomes with learners’ reflective perspectives.</w:t>
      </w:r>
    </w:p>
    <w:p w:rsidR="00BA67A1" w:rsidRDefault="00000000">
      <w:pPr>
        <w:spacing w:line="480" w:lineRule="auto"/>
        <w:ind w:firstLine="0"/>
        <w:rPr>
          <w:b/>
          <w:bCs/>
          <w:i/>
          <w:iCs/>
          <w:sz w:val="24"/>
          <w:szCs w:val="24"/>
        </w:rPr>
      </w:pPr>
      <w:r>
        <w:rPr>
          <w:b/>
          <w:bCs/>
          <w:i/>
          <w:iCs/>
          <w:sz w:val="24"/>
          <w:szCs w:val="24"/>
        </w:rPr>
        <w:t>3.3 Data Collection &amp; Analysis</w:t>
      </w:r>
    </w:p>
    <w:p w:rsidR="00BA67A1" w:rsidRDefault="00000000">
      <w:pPr>
        <w:spacing w:before="0" w:after="120" w:line="480" w:lineRule="auto"/>
        <w:rPr>
          <w:sz w:val="24"/>
          <w:szCs w:val="24"/>
        </w:rPr>
      </w:pPr>
      <w:r>
        <w:rPr>
          <w:sz w:val="24"/>
          <w:szCs w:val="24"/>
        </w:rPr>
        <w:t xml:space="preserve">Two distinct IELTS Writing Task 2 essays were used as pre-test and post-test to measure improvement in 20 participants’ writing performance. Every essay was evaluated using the official IELTS Writing Band Descriptors with a great emphasis on coherence and cohesion. Participants were provided with automated feedback generated by </w:t>
      </w:r>
      <w:proofErr w:type="spellStart"/>
      <w:r>
        <w:rPr>
          <w:sz w:val="24"/>
          <w:szCs w:val="24"/>
        </w:rPr>
        <w:t>ChatGPT</w:t>
      </w:r>
      <w:proofErr w:type="spellEnd"/>
      <w:r>
        <w:rPr>
          <w:sz w:val="24"/>
          <w:szCs w:val="24"/>
        </w:rPr>
        <w:t>. The data collected included essay scores and responses from a post-intervention questionnaire designed to record learners’ perceptions of AI-mediated feedback in academic writing.</w:t>
      </w:r>
    </w:p>
    <w:p w:rsidR="00BA67A1" w:rsidRDefault="00000000">
      <w:pPr>
        <w:spacing w:before="0" w:after="120" w:line="480" w:lineRule="auto"/>
        <w:rPr>
          <w:sz w:val="24"/>
          <w:szCs w:val="24"/>
        </w:rPr>
      </w:pPr>
      <w:r>
        <w:rPr>
          <w:sz w:val="24"/>
          <w:szCs w:val="24"/>
        </w:rPr>
        <w:t xml:space="preserve">The study lasted six weeks and followed a structured intervention process. During the first week, participants were required to write a pre-test IELTS Writing Task 2 essay, which was assessed using the official IELTS descriptors. From Weeks 2 to 5, classroom instruction focused on developing coherence and cohesion in academic writing. Each week, students submitted essays to </w:t>
      </w:r>
      <w:proofErr w:type="spellStart"/>
      <w:r>
        <w:rPr>
          <w:sz w:val="24"/>
          <w:szCs w:val="24"/>
        </w:rPr>
        <w:t>ChatGPT</w:t>
      </w:r>
      <w:proofErr w:type="spellEnd"/>
      <w:r>
        <w:rPr>
          <w:sz w:val="24"/>
          <w:szCs w:val="24"/>
        </w:rPr>
        <w:t xml:space="preserve"> and received feedback on aspects such as organization, linking </w:t>
      </w:r>
      <w:r>
        <w:rPr>
          <w:sz w:val="24"/>
          <w:szCs w:val="24"/>
        </w:rPr>
        <w:lastRenderedPageBreak/>
        <w:t xml:space="preserve">devices, and clarity. They then revised and resubmitted their drafts based on the AI-generated feedback. In Week 6, participants completed a post-test essay and a perception questionnaire in relation to the usefulness, reliability, and relevance of </w:t>
      </w:r>
      <w:proofErr w:type="spellStart"/>
      <w:r>
        <w:rPr>
          <w:sz w:val="24"/>
          <w:szCs w:val="24"/>
        </w:rPr>
        <w:t>ChatGPT</w:t>
      </w:r>
      <w:proofErr w:type="spellEnd"/>
      <w:r>
        <w:rPr>
          <w:sz w:val="24"/>
          <w:szCs w:val="24"/>
        </w:rPr>
        <w:t xml:space="preserve"> feedback.</w:t>
      </w:r>
    </w:p>
    <w:p w:rsidR="00BA67A1" w:rsidRDefault="00000000">
      <w:pPr>
        <w:spacing w:before="0" w:after="120" w:line="480" w:lineRule="auto"/>
        <w:rPr>
          <w:sz w:val="24"/>
          <w:szCs w:val="24"/>
        </w:rPr>
      </w:pPr>
      <w:r>
        <w:rPr>
          <w:sz w:val="24"/>
          <w:szCs w:val="24"/>
        </w:rPr>
        <w:t xml:space="preserve">The quantitative data consisted of learners' pre- and post-test scores in the area of coherence and cohesion. The normality of the difference scores was first assessed using the Shapiro-Wilk test. As the data violated the assumption of normality, the scores were then </w:t>
      </w:r>
      <w:proofErr w:type="spellStart"/>
      <w:r>
        <w:rPr>
          <w:sz w:val="24"/>
          <w:szCs w:val="24"/>
        </w:rPr>
        <w:t>analysed</w:t>
      </w:r>
      <w:proofErr w:type="spellEnd"/>
      <w:r>
        <w:rPr>
          <w:sz w:val="24"/>
          <w:szCs w:val="24"/>
        </w:rPr>
        <w:t xml:space="preserve"> using the Wilcoxon signed-rank test to determine whether there was a statistically significant improvement in writing performance. Statistical significance was set at p &lt; .05. The qualitative data derived from the Likert-scale questionnaire, which explored students' frequency of </w:t>
      </w:r>
      <w:proofErr w:type="spellStart"/>
      <w:r>
        <w:rPr>
          <w:sz w:val="24"/>
          <w:szCs w:val="24"/>
        </w:rPr>
        <w:t>ChatGPT</w:t>
      </w:r>
      <w:proofErr w:type="spellEnd"/>
      <w:r>
        <w:rPr>
          <w:sz w:val="24"/>
          <w:szCs w:val="24"/>
        </w:rPr>
        <w:t xml:space="preserve"> use and their perceptions of its feedback, including its reliability and usefulness.</w:t>
      </w:r>
    </w:p>
    <w:p w:rsidR="00BA67A1" w:rsidRDefault="00000000">
      <w:pPr>
        <w:keepNext/>
        <w:pBdr>
          <w:top w:val="nil"/>
          <w:left w:val="nil"/>
          <w:bottom w:val="nil"/>
          <w:right w:val="nil"/>
          <w:between w:val="nil"/>
        </w:pBdr>
        <w:spacing w:before="240" w:after="0"/>
        <w:ind w:left="284" w:hanging="284"/>
        <w:rPr>
          <w:b/>
          <w:bCs/>
          <w:color w:val="000000"/>
          <w:sz w:val="24"/>
          <w:szCs w:val="24"/>
        </w:rPr>
      </w:pPr>
      <w:r>
        <w:rPr>
          <w:b/>
          <w:bCs/>
          <w:color w:val="000000"/>
          <w:sz w:val="24"/>
          <w:szCs w:val="24"/>
        </w:rPr>
        <w:t xml:space="preserve"> </w:t>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t xml:space="preserve"> 4. Results</w:t>
      </w:r>
    </w:p>
    <w:p w:rsidR="00BA67A1" w:rsidRDefault="00000000">
      <w:pPr>
        <w:spacing w:before="0" w:after="120" w:line="480" w:lineRule="auto"/>
        <w:rPr>
          <w:sz w:val="24"/>
          <w:szCs w:val="24"/>
        </w:rPr>
      </w:pPr>
      <w:r>
        <w:rPr>
          <w:sz w:val="24"/>
          <w:szCs w:val="24"/>
        </w:rPr>
        <w:t>This section interprets the findings from the quantitative and qualitative analyses of the study. The primary aim was to examine how generative AI feedback improved IELTS learners’ coherence and cohesion in writing. Data were drawn from three key sources: (a) pre- and post-writing task scores assessed based on the IELTS Writing rubric, (b) detailed language analyses of textual features associated with coherence and cohesion, and (c) learner perceptions collected through a questionnaire. The three complementary sources provided a broader perspective on the impact of generative AI, enabling a profound understanding of its role in fostering learners’ writing development.</w:t>
      </w:r>
    </w:p>
    <w:p w:rsidR="00BA67A1" w:rsidRDefault="00000000">
      <w:pPr>
        <w:spacing w:after="0"/>
        <w:ind w:firstLine="0"/>
        <w:rPr>
          <w:sz w:val="24"/>
          <w:szCs w:val="24"/>
        </w:rPr>
      </w:pPr>
      <w:r>
        <w:rPr>
          <w:b/>
          <w:bCs/>
          <w:sz w:val="24"/>
          <w:szCs w:val="24"/>
        </w:rPr>
        <w:t>Table 1</w:t>
      </w:r>
    </w:p>
    <w:p w:rsidR="00BA67A1" w:rsidRDefault="00000000">
      <w:pPr>
        <w:spacing w:after="0"/>
        <w:ind w:firstLine="0"/>
        <w:rPr>
          <w:sz w:val="24"/>
          <w:szCs w:val="24"/>
        </w:rPr>
      </w:pPr>
      <w:r>
        <w:rPr>
          <w:i/>
          <w:iCs/>
          <w:sz w:val="24"/>
          <w:szCs w:val="24"/>
        </w:rPr>
        <w:t>Shapiro-Wilk test for difference scores</w:t>
      </w:r>
    </w:p>
    <w:sdt>
      <w:sdtPr>
        <w:tag w:val="goog_rdk_0"/>
        <w:id w:val="-208109921"/>
        <w:lock w:val="contentLocked"/>
      </w:sdtPr>
      <w:sdtContent>
        <w:tbl>
          <w:tblPr>
            <w:tblStyle w:val="a"/>
            <w:tblW w:w="3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810"/>
            <w:gridCol w:w="660"/>
          </w:tblGrid>
          <w:tr w:rsidR="00BA67A1">
            <w:tc>
              <w:tcPr>
                <w:tcW w:w="2430" w:type="dxa"/>
                <w:tcBorders>
                  <w:left w:val="single" w:sz="8" w:space="0" w:color="FFFFFF"/>
                  <w:right w:val="single" w:sz="8" w:space="0" w:color="FFFFFF"/>
                </w:tcBorders>
                <w:shd w:val="clear" w:color="auto" w:fill="auto"/>
                <w:tcMar>
                  <w:top w:w="100" w:type="dxa"/>
                  <w:left w:w="100" w:type="dxa"/>
                  <w:bottom w:w="100" w:type="dxa"/>
                  <w:right w:w="100" w:type="dxa"/>
                </w:tcMar>
              </w:tcPr>
              <w:p w:rsidR="00BA67A1" w:rsidRDefault="00BA67A1">
                <w:pPr>
                  <w:widowControl w:val="0"/>
                  <w:spacing w:after="0" w:line="240" w:lineRule="auto"/>
                  <w:ind w:firstLine="0"/>
                  <w:jc w:val="left"/>
                </w:pPr>
              </w:p>
            </w:tc>
            <w:tc>
              <w:tcPr>
                <w:tcW w:w="810" w:type="dxa"/>
                <w:tcBorders>
                  <w:left w:val="single" w:sz="8" w:space="0" w:color="FFFFFF"/>
                  <w:right w:val="single" w:sz="8" w:space="0" w:color="FFFFFF"/>
                </w:tcBorders>
                <w:shd w:val="clear" w:color="auto" w:fill="auto"/>
                <w:tcMar>
                  <w:top w:w="100" w:type="dxa"/>
                  <w:left w:w="100" w:type="dxa"/>
                  <w:bottom w:w="100" w:type="dxa"/>
                  <w:right w:w="100" w:type="dxa"/>
                </w:tcMar>
              </w:tcPr>
              <w:p w:rsidR="00BA67A1" w:rsidRDefault="00000000">
                <w:pPr>
                  <w:widowControl w:val="0"/>
                  <w:spacing w:after="0" w:line="240" w:lineRule="auto"/>
                  <w:ind w:firstLine="0"/>
                  <w:jc w:val="left"/>
                  <w:rPr>
                    <w:b/>
                    <w:bCs/>
                  </w:rPr>
                </w:pPr>
                <w:r>
                  <w:rPr>
                    <w:b/>
                    <w:bCs/>
                  </w:rPr>
                  <w:t>W</w:t>
                </w:r>
              </w:p>
            </w:tc>
            <w:tc>
              <w:tcPr>
                <w:tcW w:w="660" w:type="dxa"/>
                <w:tcBorders>
                  <w:left w:val="single" w:sz="8" w:space="0" w:color="FFFFFF"/>
                  <w:right w:val="single" w:sz="8" w:space="0" w:color="FFFFFF"/>
                </w:tcBorders>
                <w:shd w:val="clear" w:color="auto" w:fill="auto"/>
                <w:tcMar>
                  <w:top w:w="100" w:type="dxa"/>
                  <w:left w:w="100" w:type="dxa"/>
                  <w:bottom w:w="100" w:type="dxa"/>
                  <w:right w:w="100" w:type="dxa"/>
                </w:tcMar>
              </w:tcPr>
              <w:p w:rsidR="00BA67A1" w:rsidRDefault="00000000">
                <w:pPr>
                  <w:widowControl w:val="0"/>
                  <w:spacing w:after="0" w:line="240" w:lineRule="auto"/>
                  <w:ind w:firstLine="0"/>
                  <w:jc w:val="left"/>
                  <w:rPr>
                    <w:b/>
                    <w:bCs/>
                  </w:rPr>
                </w:pPr>
                <w:r>
                  <w:rPr>
                    <w:b/>
                    <w:bCs/>
                  </w:rPr>
                  <w:t>p</w:t>
                </w:r>
              </w:p>
            </w:tc>
          </w:tr>
          <w:tr w:rsidR="00BA67A1">
            <w:tc>
              <w:tcPr>
                <w:tcW w:w="2430" w:type="dxa"/>
                <w:tcBorders>
                  <w:left w:val="single" w:sz="8" w:space="0" w:color="FFFFFF"/>
                  <w:right w:val="single" w:sz="8" w:space="0" w:color="FFFFFF"/>
                </w:tcBorders>
                <w:shd w:val="clear" w:color="auto" w:fill="auto"/>
                <w:tcMar>
                  <w:top w:w="100" w:type="dxa"/>
                  <w:left w:w="100" w:type="dxa"/>
                  <w:bottom w:w="100" w:type="dxa"/>
                  <w:right w:w="100" w:type="dxa"/>
                </w:tcMar>
              </w:tcPr>
              <w:p w:rsidR="00BA67A1" w:rsidRDefault="00000000">
                <w:pPr>
                  <w:widowControl w:val="0"/>
                  <w:spacing w:after="0" w:line="240" w:lineRule="auto"/>
                  <w:ind w:firstLine="0"/>
                  <w:jc w:val="left"/>
                </w:pPr>
                <w:r>
                  <w:t>CC Post-test  -  CC Pre-test</w:t>
                </w:r>
              </w:p>
            </w:tc>
            <w:tc>
              <w:tcPr>
                <w:tcW w:w="810" w:type="dxa"/>
                <w:tcBorders>
                  <w:left w:val="single" w:sz="8" w:space="0" w:color="FFFFFF"/>
                  <w:right w:val="single" w:sz="8" w:space="0" w:color="FFFFFF"/>
                </w:tcBorders>
                <w:shd w:val="clear" w:color="auto" w:fill="auto"/>
                <w:tcMar>
                  <w:top w:w="100" w:type="dxa"/>
                  <w:left w:w="100" w:type="dxa"/>
                  <w:bottom w:w="100" w:type="dxa"/>
                  <w:right w:w="100" w:type="dxa"/>
                </w:tcMar>
              </w:tcPr>
              <w:p w:rsidR="00BA67A1" w:rsidRDefault="00000000">
                <w:pPr>
                  <w:widowControl w:val="0"/>
                  <w:spacing w:after="0" w:line="240" w:lineRule="auto"/>
                  <w:ind w:firstLine="0"/>
                  <w:jc w:val="left"/>
                </w:pPr>
                <w:r>
                  <w:t>0.8259</w:t>
                </w:r>
              </w:p>
            </w:tc>
            <w:tc>
              <w:tcPr>
                <w:tcW w:w="660" w:type="dxa"/>
                <w:tcBorders>
                  <w:left w:val="single" w:sz="8" w:space="0" w:color="FFFFFF"/>
                  <w:right w:val="single" w:sz="8" w:space="0" w:color="FFFFFF"/>
                </w:tcBorders>
                <w:shd w:val="clear" w:color="auto" w:fill="auto"/>
                <w:tcMar>
                  <w:top w:w="100" w:type="dxa"/>
                  <w:left w:w="100" w:type="dxa"/>
                  <w:bottom w:w="100" w:type="dxa"/>
                  <w:right w:w="100" w:type="dxa"/>
                </w:tcMar>
              </w:tcPr>
              <w:p w:rsidR="00BA67A1" w:rsidRDefault="00000000">
                <w:pPr>
                  <w:widowControl w:val="0"/>
                  <w:spacing w:after="0" w:line="240" w:lineRule="auto"/>
                  <w:ind w:firstLine="0"/>
                  <w:jc w:val="left"/>
                </w:pPr>
                <w:r>
                  <w:t>.002</w:t>
                </w:r>
              </w:p>
            </w:tc>
          </w:tr>
        </w:tbl>
      </w:sdtContent>
    </w:sdt>
    <w:p w:rsidR="00BA67A1" w:rsidRDefault="00BA67A1">
      <w:pPr>
        <w:spacing w:before="0" w:after="0" w:line="480" w:lineRule="auto"/>
        <w:ind w:firstLine="0"/>
        <w:rPr>
          <w:sz w:val="24"/>
          <w:szCs w:val="24"/>
        </w:rPr>
      </w:pPr>
    </w:p>
    <w:p w:rsidR="00BA67A1" w:rsidRDefault="00000000">
      <w:pPr>
        <w:spacing w:before="0" w:after="120" w:line="480" w:lineRule="auto"/>
        <w:rPr>
          <w:sz w:val="24"/>
          <w:szCs w:val="24"/>
        </w:rPr>
      </w:pPr>
      <w:r>
        <w:rPr>
          <w:sz w:val="24"/>
          <w:szCs w:val="24"/>
        </w:rPr>
        <w:lastRenderedPageBreak/>
        <w:t>The normality of the difference scores (post-test minus pre-test) for learners' CC scores was examined using the Shapiro-Wilk test.</w:t>
      </w:r>
    </w:p>
    <w:p w:rsidR="00BA67A1" w:rsidRDefault="00000000">
      <w:pPr>
        <w:spacing w:before="0" w:after="120" w:line="480" w:lineRule="auto"/>
        <w:rPr>
          <w:sz w:val="24"/>
          <w:szCs w:val="24"/>
        </w:rPr>
      </w:pPr>
      <w:r>
        <w:rPr>
          <w:sz w:val="24"/>
          <w:szCs w:val="24"/>
        </w:rPr>
        <w:t>As can be seen in Table 1, the Shapiro-Wilk test indicated that the distribution of the difference scores significantly deviated from normality, W = .8259, p = .002. Because the p-value was less than .05 and IELTS Writing band scores are reported on an ordinal 9-band scale, the assumptions required for a paired-samples t-test were not fully satisfied.</w:t>
      </w:r>
    </w:p>
    <w:p w:rsidR="00BA67A1" w:rsidRDefault="00000000">
      <w:pPr>
        <w:spacing w:before="0" w:after="120" w:line="480" w:lineRule="auto"/>
        <w:rPr>
          <w:sz w:val="24"/>
          <w:szCs w:val="24"/>
        </w:rPr>
      </w:pPr>
      <w:r>
        <w:rPr>
          <w:sz w:val="24"/>
          <w:szCs w:val="24"/>
        </w:rPr>
        <w:t xml:space="preserve">According to </w:t>
      </w:r>
      <w:proofErr w:type="spellStart"/>
      <w:r>
        <w:rPr>
          <w:sz w:val="24"/>
          <w:szCs w:val="24"/>
        </w:rPr>
        <w:t>Bluman</w:t>
      </w:r>
      <w:proofErr w:type="spellEnd"/>
      <w:r>
        <w:rPr>
          <w:sz w:val="24"/>
          <w:szCs w:val="24"/>
        </w:rPr>
        <w:t xml:space="preserve"> (1997), the Wilcoxon signed-rank test was selected to evaluate the difference between the pre-test and post-test CC scores. This is because it does not require the assumption of normality and is appropriate for paired ordinal data.</w:t>
      </w:r>
    </w:p>
    <w:p w:rsidR="00BA67A1" w:rsidRDefault="00000000">
      <w:pPr>
        <w:ind w:firstLine="0"/>
        <w:rPr>
          <w:i/>
          <w:iCs/>
          <w:sz w:val="24"/>
          <w:szCs w:val="24"/>
        </w:rPr>
      </w:pPr>
      <w:r>
        <w:rPr>
          <w:b/>
          <w:bCs/>
          <w:sz w:val="24"/>
          <w:szCs w:val="24"/>
        </w:rPr>
        <w:t>Table 2</w:t>
      </w:r>
    </w:p>
    <w:p w:rsidR="00BA67A1" w:rsidRDefault="00000000">
      <w:pPr>
        <w:ind w:firstLine="0"/>
        <w:rPr>
          <w:sz w:val="24"/>
          <w:szCs w:val="24"/>
        </w:rPr>
      </w:pPr>
      <w:r>
        <w:rPr>
          <w:i/>
          <w:iCs/>
          <w:sz w:val="24"/>
          <w:szCs w:val="24"/>
        </w:rPr>
        <w:t>Descriptive statistics and Wilcoxon signed-rank test results for learners' pre-test and post-test writing performance </w:t>
      </w:r>
    </w:p>
    <w:tbl>
      <w:tblPr>
        <w:tblStyle w:val="a0"/>
        <w:tblW w:w="78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5"/>
        <w:gridCol w:w="330"/>
        <w:gridCol w:w="1185"/>
        <w:gridCol w:w="930"/>
        <w:gridCol w:w="585"/>
        <w:gridCol w:w="855"/>
        <w:gridCol w:w="2535"/>
      </w:tblGrid>
      <w:tr w:rsidR="00BA67A1">
        <w:trPr>
          <w:trHeight w:val="336"/>
        </w:trPr>
        <w:tc>
          <w:tcPr>
            <w:tcW w:w="1425"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pPr>
            <w:r>
              <w:rPr>
                <w:b/>
                <w:bCs/>
              </w:rPr>
              <w:t>Measure 1</w:t>
            </w:r>
          </w:p>
        </w:tc>
        <w:tc>
          <w:tcPr>
            <w:tcW w:w="330" w:type="dxa"/>
            <w:tcBorders>
              <w:top w:val="single" w:sz="4" w:space="0" w:color="000000"/>
              <w:left w:val="single" w:sz="4" w:space="0" w:color="FFFFFF"/>
              <w:bottom w:val="single" w:sz="4" w:space="0" w:color="000000"/>
              <w:right w:val="single" w:sz="4" w:space="0" w:color="FFFFFF"/>
            </w:tcBorders>
          </w:tcPr>
          <w:p w:rsidR="00BA67A1" w:rsidRDefault="00BA67A1">
            <w:pPr>
              <w:widowControl/>
              <w:spacing w:after="0" w:line="240" w:lineRule="auto"/>
              <w:ind w:firstLine="0"/>
              <w:jc w:val="left"/>
            </w:pPr>
          </w:p>
        </w:tc>
        <w:tc>
          <w:tcPr>
            <w:tcW w:w="1185"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rPr>
                <w:b/>
                <w:bCs/>
              </w:rPr>
            </w:pPr>
            <w:r>
              <w:rPr>
                <w:b/>
                <w:bCs/>
              </w:rPr>
              <w:t>Measure 2</w:t>
            </w:r>
          </w:p>
        </w:tc>
        <w:tc>
          <w:tcPr>
            <w:tcW w:w="930"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pPr>
            <w:r>
              <w:rPr>
                <w:b/>
                <w:bCs/>
              </w:rPr>
              <w:t>W</w:t>
            </w:r>
          </w:p>
        </w:tc>
        <w:tc>
          <w:tcPr>
            <w:tcW w:w="585"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pPr>
            <w:r>
              <w:rPr>
                <w:b/>
                <w:bCs/>
              </w:rPr>
              <w:t>z</w:t>
            </w:r>
          </w:p>
        </w:tc>
        <w:tc>
          <w:tcPr>
            <w:tcW w:w="855"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rPr>
                <w:b/>
                <w:bCs/>
              </w:rPr>
            </w:pPr>
            <w:r>
              <w:rPr>
                <w:b/>
                <w:bCs/>
              </w:rPr>
              <w:t>p</w:t>
            </w:r>
          </w:p>
        </w:tc>
        <w:tc>
          <w:tcPr>
            <w:tcW w:w="2535"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pPr>
            <w:r>
              <w:rPr>
                <w:b/>
                <w:bCs/>
              </w:rPr>
              <w:t>Rank-Biserial Correlation</w:t>
            </w:r>
          </w:p>
        </w:tc>
      </w:tr>
      <w:tr w:rsidR="00BA67A1">
        <w:trPr>
          <w:trHeight w:val="489"/>
        </w:trPr>
        <w:tc>
          <w:tcPr>
            <w:tcW w:w="1425"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pPr>
            <w:r>
              <w:t xml:space="preserve">CC Post-test  </w:t>
            </w:r>
          </w:p>
        </w:tc>
        <w:tc>
          <w:tcPr>
            <w:tcW w:w="330"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pPr>
            <w:r>
              <w:t>-</w:t>
            </w:r>
          </w:p>
        </w:tc>
        <w:tc>
          <w:tcPr>
            <w:tcW w:w="1185"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pPr>
            <w:r>
              <w:t>CC Pre-test</w:t>
            </w:r>
          </w:p>
        </w:tc>
        <w:tc>
          <w:tcPr>
            <w:tcW w:w="930"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pPr>
            <w:r>
              <w:t>210.0</w:t>
            </w:r>
          </w:p>
        </w:tc>
        <w:tc>
          <w:tcPr>
            <w:tcW w:w="585"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pPr>
            <w:r>
              <w:t>3.92</w:t>
            </w:r>
          </w:p>
        </w:tc>
        <w:tc>
          <w:tcPr>
            <w:tcW w:w="855"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pPr>
            <w:r>
              <w:t>&lt;0.001</w:t>
            </w:r>
          </w:p>
        </w:tc>
        <w:tc>
          <w:tcPr>
            <w:tcW w:w="2535" w:type="dxa"/>
            <w:tcBorders>
              <w:top w:val="single" w:sz="4" w:space="0" w:color="000000"/>
              <w:left w:val="single" w:sz="4" w:space="0" w:color="FFFFFF"/>
              <w:bottom w:val="single" w:sz="4" w:space="0" w:color="000000"/>
              <w:right w:val="single" w:sz="4" w:space="0" w:color="FFFFFF"/>
            </w:tcBorders>
          </w:tcPr>
          <w:p w:rsidR="00BA67A1" w:rsidRDefault="00000000">
            <w:pPr>
              <w:widowControl/>
              <w:spacing w:after="0" w:line="240" w:lineRule="auto"/>
              <w:ind w:firstLine="0"/>
              <w:jc w:val="left"/>
            </w:pPr>
            <w:r>
              <w:t>1.00</w:t>
            </w:r>
          </w:p>
        </w:tc>
      </w:tr>
    </w:tbl>
    <w:p w:rsidR="00BA67A1" w:rsidRDefault="00BA67A1">
      <w:pPr>
        <w:spacing w:before="0" w:after="120" w:line="480" w:lineRule="auto"/>
        <w:jc w:val="left"/>
        <w:rPr>
          <w:sz w:val="24"/>
          <w:szCs w:val="24"/>
        </w:rPr>
      </w:pPr>
    </w:p>
    <w:p w:rsidR="00BA67A1" w:rsidRDefault="00000000">
      <w:pPr>
        <w:spacing w:before="0" w:after="120" w:line="480" w:lineRule="auto"/>
        <w:jc w:val="left"/>
        <w:rPr>
          <w:sz w:val="24"/>
          <w:szCs w:val="24"/>
        </w:rPr>
      </w:pPr>
      <w:r>
        <w:rPr>
          <w:sz w:val="24"/>
          <w:szCs w:val="24"/>
        </w:rPr>
        <w:t xml:space="preserve">The Wilcoxon signed-rank test showed a statistically significant improvement over participants' Coherence and Cohesion scores after the intervention, W </w:t>
      </w:r>
      <w:proofErr w:type="gramStart"/>
      <w:r>
        <w:rPr>
          <w:sz w:val="24"/>
          <w:szCs w:val="24"/>
        </w:rPr>
        <w:t>=  210.0</w:t>
      </w:r>
      <w:proofErr w:type="gramEnd"/>
      <w:r>
        <w:rPr>
          <w:sz w:val="24"/>
          <w:szCs w:val="24"/>
        </w:rPr>
        <w:t>, z = 3.92, p &lt; .001. Moreover, the matched rank-biserial correlation indicated an extremely large effect size (</w:t>
      </w:r>
      <w:proofErr w:type="spellStart"/>
      <w:r>
        <w:rPr>
          <w:sz w:val="24"/>
          <w:szCs w:val="24"/>
        </w:rPr>
        <w:t>r</w:t>
      </w:r>
      <w:r>
        <w:rPr>
          <w:sz w:val="24"/>
          <w:szCs w:val="24"/>
          <w:vertAlign w:val="subscript"/>
        </w:rPr>
        <w:t>rb</w:t>
      </w:r>
      <w:proofErr w:type="spellEnd"/>
      <w:r>
        <w:rPr>
          <w:sz w:val="24"/>
          <w:szCs w:val="24"/>
        </w:rPr>
        <w:t xml:space="preserve">= 1.00), suggesting that the </w:t>
      </w:r>
      <w:proofErr w:type="spellStart"/>
      <w:r>
        <w:rPr>
          <w:sz w:val="24"/>
          <w:szCs w:val="24"/>
        </w:rPr>
        <w:t>ChatGPT</w:t>
      </w:r>
      <w:proofErr w:type="spellEnd"/>
      <w:r>
        <w:rPr>
          <w:sz w:val="24"/>
          <w:szCs w:val="24"/>
        </w:rPr>
        <w:t>-based feedback had a high positive impact on all of the learners' coherence and cohesion in writing.</w:t>
      </w:r>
    </w:p>
    <w:p w:rsidR="00BA67A1" w:rsidRDefault="00000000">
      <w:pPr>
        <w:spacing w:before="0" w:after="120" w:line="480" w:lineRule="auto"/>
        <w:rPr>
          <w:sz w:val="24"/>
          <w:szCs w:val="24"/>
        </w:rPr>
      </w:pPr>
      <w:r>
        <w:rPr>
          <w:sz w:val="24"/>
          <w:szCs w:val="24"/>
        </w:rPr>
        <w:t xml:space="preserve">After </w:t>
      </w:r>
      <w:proofErr w:type="spellStart"/>
      <w:r>
        <w:rPr>
          <w:sz w:val="24"/>
          <w:szCs w:val="24"/>
        </w:rPr>
        <w:t>analysing</w:t>
      </w:r>
      <w:proofErr w:type="spellEnd"/>
      <w:r>
        <w:rPr>
          <w:sz w:val="24"/>
          <w:szCs w:val="24"/>
        </w:rPr>
        <w:t xml:space="preserve"> the before and after versions of student essays, there was a great reduction in errors related to the use of cohesive devices. In the first drafts, cohesive devices were used both inconsistently and often inappropriately. For example, students often overused basic connectors such as “because,” “besides,” and “and,” which led to repetitive sentence structures and a lack of logical link. On the other hand, misuse or omission of linking phrases resulted in abrupt transitions between ideas, thus decreasing overall coherence. A common </w:t>
      </w:r>
      <w:r>
        <w:rPr>
          <w:sz w:val="24"/>
          <w:szCs w:val="24"/>
        </w:rPr>
        <w:lastRenderedPageBreak/>
        <w:t>instance was the overuse of additive markers (e.g., “besides”) where contrastive or causal links were needed.</w:t>
      </w:r>
    </w:p>
    <w:p w:rsidR="00BA67A1" w:rsidRDefault="00000000">
      <w:pPr>
        <w:spacing w:before="0" w:after="120" w:line="480" w:lineRule="auto"/>
        <w:rPr>
          <w:sz w:val="24"/>
          <w:szCs w:val="24"/>
        </w:rPr>
      </w:pPr>
      <w:r>
        <w:rPr>
          <w:sz w:val="24"/>
          <w:szCs w:val="24"/>
        </w:rPr>
        <w:t xml:space="preserve">In the revised versions, however, students used cohesive devices more accurately and diversely. Such markers as “for instance,” “as a result,” “on the other hand,” and “therefore” were properly </w:t>
      </w:r>
      <w:proofErr w:type="spellStart"/>
      <w:r>
        <w:rPr>
          <w:sz w:val="24"/>
          <w:szCs w:val="24"/>
        </w:rPr>
        <w:t>utilised</w:t>
      </w:r>
      <w:proofErr w:type="spellEnd"/>
      <w:r>
        <w:rPr>
          <w:sz w:val="24"/>
          <w:szCs w:val="24"/>
        </w:rPr>
        <w:t xml:space="preserve"> to signal cause and effect, exemplification, as well as contrast. Hence, it allows for a clear and logical progression of ideas and well-developed paragraphs. For example, in the food waste essay, the transition “as a result” replaced the less precise “because,” thereby enhancing logical flow. Similarly, in the zoo essay, the use of “however” and “nevertheless” made sharper contrasts between opposing viewpoints.</w:t>
      </w:r>
    </w:p>
    <w:p w:rsidR="00BA67A1" w:rsidRDefault="00000000">
      <w:pPr>
        <w:spacing w:before="0" w:after="120" w:line="480" w:lineRule="auto"/>
        <w:rPr>
          <w:sz w:val="24"/>
          <w:szCs w:val="24"/>
        </w:rPr>
      </w:pPr>
      <w:r>
        <w:rPr>
          <w:sz w:val="24"/>
          <w:szCs w:val="24"/>
        </w:rPr>
        <w:t>In terms of quantitative research, the number of cohesive device errors, including inappropriate use, omission, or redundancy, significantly decreased in the revised essays. In the first drafts, errors in cohesion were frequent and sometimes hindered meaning comprehension, contributing to lower band scores, approximately Band 5.5 to 6.0 for coherence and cohesion. In the final drafts, cohesive devices were both more diverse and contextually appropriate, resulting in better ratings of around Band 7.0 to 7.5 in this category.</w:t>
      </w:r>
    </w:p>
    <w:p w:rsidR="00BA67A1" w:rsidRDefault="00000000">
      <w:pPr>
        <w:spacing w:before="0" w:after="120" w:line="480" w:lineRule="auto"/>
        <w:ind w:firstLine="0"/>
        <w:rPr>
          <w:sz w:val="24"/>
          <w:szCs w:val="24"/>
        </w:rPr>
      </w:pPr>
      <w:r>
        <w:rPr>
          <w:sz w:val="24"/>
          <w:szCs w:val="24"/>
        </w:rPr>
        <w:t>These findings indicate that explicit feedback and revision contributed to improved control over cohesion. Students not only could reduce errors in basic connectors but also demonstrated an ability to use a wider range of cohesive devices to express complex logical relationships. This development suggests greater awareness of how cohesive devices lead to coherence, a key criterion in the IELTS Writing Task 2 rubric.</w:t>
      </w:r>
    </w:p>
    <w:p w:rsidR="00BA67A1" w:rsidRDefault="00000000">
      <w:pPr>
        <w:spacing w:before="0" w:after="120" w:line="480" w:lineRule="auto"/>
        <w:rPr>
          <w:sz w:val="24"/>
          <w:szCs w:val="24"/>
        </w:rPr>
      </w:pPr>
      <w:r>
        <w:rPr>
          <w:sz w:val="24"/>
          <w:szCs w:val="24"/>
        </w:rPr>
        <w:t xml:space="preserve">The comparative analysis of the students’ before and after versions showed vast improvements in not only logical flow but also paragraphing. In the first drafts, paragraphs often contained loosely connected ideas associated with limited development. For example, in the food waste essay, several reasons for food wastage were listed continuously without clear </w:t>
      </w:r>
      <w:r>
        <w:rPr>
          <w:sz w:val="24"/>
          <w:szCs w:val="24"/>
        </w:rPr>
        <w:lastRenderedPageBreak/>
        <w:t>sequencing or elaboration, causing repetition rather than progression. Similarly, the topic sentences in the essays on education and technology were vague, and supporting details were not linked back to the main argument; thus, the cohesion between sentences in a paragraph was weak.</w:t>
      </w:r>
    </w:p>
    <w:p w:rsidR="00BA67A1" w:rsidRDefault="00000000">
      <w:pPr>
        <w:spacing w:before="0" w:after="120" w:line="480" w:lineRule="auto"/>
        <w:rPr>
          <w:sz w:val="24"/>
          <w:szCs w:val="24"/>
        </w:rPr>
      </w:pPr>
      <w:r>
        <w:rPr>
          <w:sz w:val="24"/>
          <w:szCs w:val="24"/>
        </w:rPr>
        <w:t>In the revised drafts, the paragraph structure was clearer, consisting of stronger topic sentences, supporting arguments, and concluding statements. Each paragraph developed a single controlling idea, and transitions between paragraphs reflected a more logical sequencing of arguments. For instance, in the public transportation essay, the revised version began with the short-term benefits of road expansion before contrasting them with the long-term sustainability of public transport. This arrangement produced a more balanced discussion and complied with the requirements for coherence and cohesion of IELTS Writing Task 2. Furthermore, logical flow within paragraphs improved through the use of appropriate discourse markers and clearer cause and effect reasoning. In the after versions, students moved beyond merely listing ideas and instead created a logical chain of reasoning. Some students not only provided the reasons to open a zoo but linked the ethical considerations of keeping animals in captivity with conservation function in a proper flow and transition words such as “however” and “on the other hand” were used effectively.</w:t>
      </w:r>
    </w:p>
    <w:p w:rsidR="00BA67A1" w:rsidRDefault="00000000">
      <w:pPr>
        <w:spacing w:before="0" w:after="120" w:line="480" w:lineRule="auto"/>
        <w:rPr>
          <w:sz w:val="24"/>
          <w:szCs w:val="24"/>
        </w:rPr>
      </w:pPr>
      <w:r>
        <w:rPr>
          <w:sz w:val="24"/>
          <w:szCs w:val="24"/>
        </w:rPr>
        <w:t xml:space="preserve">As a consequence, the students’ control over coherence and cohesion was improved as ideas were presented in a logical order and arguments were more fully developed. This improvement suggests that students became more aware of effective paragraphing strategies, such as starting with clear topic sentences, maintaining progression, using transitions to guide the reader, and drawing a reasonable conclusion. Based on IELTS Writing Task 2 descriptors, this shift is more likely to raise scores in the Coherence and Cohesion from approximately Band 5.5 to 6.0 in the first drafts to Band 7.0 to 7.5 in the revised versions. Automated textual </w:t>
      </w:r>
      <w:r>
        <w:rPr>
          <w:sz w:val="24"/>
          <w:szCs w:val="24"/>
        </w:rPr>
        <w:lastRenderedPageBreak/>
        <w:t xml:space="preserve">analysis using </w:t>
      </w:r>
      <w:proofErr w:type="spellStart"/>
      <w:r>
        <w:rPr>
          <w:sz w:val="24"/>
          <w:szCs w:val="24"/>
        </w:rPr>
        <w:t>Coh</w:t>
      </w:r>
      <w:proofErr w:type="spellEnd"/>
      <w:r>
        <w:rPr>
          <w:sz w:val="24"/>
          <w:szCs w:val="24"/>
        </w:rPr>
        <w:t>-Metrix (</w:t>
      </w:r>
      <w:proofErr w:type="spellStart"/>
      <w:r>
        <w:rPr>
          <w:sz w:val="24"/>
          <w:szCs w:val="24"/>
        </w:rPr>
        <w:t>Graesser</w:t>
      </w:r>
      <w:proofErr w:type="spellEnd"/>
      <w:r>
        <w:rPr>
          <w:sz w:val="24"/>
          <w:szCs w:val="24"/>
        </w:rPr>
        <w:t xml:space="preserve"> et al., 2014) confirmed these findings, showing improved measures of referential cohesion and deep cohesion in the learners’ writing.</w:t>
      </w:r>
    </w:p>
    <w:p w:rsidR="00BA67A1" w:rsidRDefault="00000000">
      <w:pPr>
        <w:spacing w:before="0" w:after="120" w:line="480" w:lineRule="auto"/>
        <w:rPr>
          <w:sz w:val="24"/>
          <w:szCs w:val="24"/>
        </w:rPr>
      </w:pPr>
      <w:r>
        <w:rPr>
          <w:sz w:val="24"/>
          <w:szCs w:val="24"/>
        </w:rPr>
        <w:t xml:space="preserve">Questionnaire is also conducted to gain insights into how students perceive of using </w:t>
      </w:r>
      <w:proofErr w:type="spellStart"/>
      <w:r>
        <w:rPr>
          <w:sz w:val="24"/>
          <w:szCs w:val="24"/>
        </w:rPr>
        <w:t>ChatGPT</w:t>
      </w:r>
      <w:proofErr w:type="spellEnd"/>
      <w:r>
        <w:rPr>
          <w:sz w:val="24"/>
          <w:szCs w:val="24"/>
        </w:rPr>
        <w:t xml:space="preserve"> to enhance coherence and cohesion in their writing.  </w:t>
      </w:r>
    </w:p>
    <w:p w:rsidR="00BA67A1" w:rsidRDefault="00000000">
      <w:pPr>
        <w:ind w:firstLine="0"/>
        <w:rPr>
          <w:sz w:val="24"/>
          <w:szCs w:val="24"/>
        </w:rPr>
      </w:pPr>
      <w:r>
        <w:rPr>
          <w:b/>
          <w:bCs/>
          <w:sz w:val="24"/>
          <w:szCs w:val="24"/>
        </w:rPr>
        <w:t>Table 3</w:t>
      </w:r>
    </w:p>
    <w:p w:rsidR="00BA67A1" w:rsidRDefault="00000000">
      <w:pPr>
        <w:ind w:firstLine="0"/>
        <w:rPr>
          <w:sz w:val="24"/>
          <w:szCs w:val="24"/>
        </w:rPr>
      </w:pPr>
      <w:r>
        <w:rPr>
          <w:i/>
          <w:iCs/>
          <w:sz w:val="24"/>
          <w:szCs w:val="24"/>
        </w:rPr>
        <w:t>Student’s frequency of using AI to study English</w:t>
      </w:r>
    </w:p>
    <w:tbl>
      <w:tblPr>
        <w:tblStyle w:val="a1"/>
        <w:tblW w:w="3598"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2249"/>
        <w:gridCol w:w="1349"/>
      </w:tblGrid>
      <w:tr w:rsidR="00BA67A1">
        <w:trPr>
          <w:trHeight w:val="308"/>
        </w:trPr>
        <w:tc>
          <w:tcPr>
            <w:tcW w:w="224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pPr>
            <w:r>
              <w:rPr>
                <w:b/>
                <w:bCs/>
              </w:rPr>
              <w:t>Frequency of Use</w:t>
            </w:r>
          </w:p>
        </w:tc>
        <w:tc>
          <w:tcPr>
            <w:tcW w:w="134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pPr>
            <w:r>
              <w:rPr>
                <w:b/>
                <w:bCs/>
              </w:rPr>
              <w:t>Percentage</w:t>
            </w:r>
          </w:p>
        </w:tc>
      </w:tr>
      <w:tr w:rsidR="00BA67A1">
        <w:tc>
          <w:tcPr>
            <w:tcW w:w="224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pPr>
            <w:r>
              <w:t>Every day</w:t>
            </w:r>
          </w:p>
        </w:tc>
        <w:tc>
          <w:tcPr>
            <w:tcW w:w="134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pPr>
            <w:r>
              <w:t>40%</w:t>
            </w:r>
          </w:p>
        </w:tc>
      </w:tr>
      <w:tr w:rsidR="00BA67A1">
        <w:tc>
          <w:tcPr>
            <w:tcW w:w="224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pPr>
            <w:r>
              <w:t>Several times a week</w:t>
            </w:r>
          </w:p>
        </w:tc>
        <w:tc>
          <w:tcPr>
            <w:tcW w:w="134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pPr>
            <w:r>
              <w:t>50%</w:t>
            </w:r>
          </w:p>
        </w:tc>
      </w:tr>
      <w:tr w:rsidR="00BA67A1">
        <w:tc>
          <w:tcPr>
            <w:tcW w:w="224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pPr>
            <w:r>
              <w:t>Occasionally</w:t>
            </w:r>
          </w:p>
        </w:tc>
        <w:tc>
          <w:tcPr>
            <w:tcW w:w="134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pPr>
            <w:r>
              <w:t>10%</w:t>
            </w:r>
          </w:p>
        </w:tc>
      </w:tr>
      <w:tr w:rsidR="00BA67A1">
        <w:tc>
          <w:tcPr>
            <w:tcW w:w="224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pPr>
            <w:r>
              <w:t>Do not use</w:t>
            </w:r>
          </w:p>
        </w:tc>
        <w:tc>
          <w:tcPr>
            <w:tcW w:w="134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pPr>
            <w:r>
              <w:t>0%</w:t>
            </w:r>
          </w:p>
        </w:tc>
      </w:tr>
    </w:tbl>
    <w:p w:rsidR="00BA67A1" w:rsidRDefault="00BA67A1">
      <w:pPr>
        <w:spacing w:before="0" w:after="0" w:line="480" w:lineRule="auto"/>
        <w:rPr>
          <w:sz w:val="24"/>
          <w:szCs w:val="24"/>
        </w:rPr>
      </w:pPr>
    </w:p>
    <w:p w:rsidR="00BA67A1" w:rsidRDefault="00000000">
      <w:pPr>
        <w:spacing w:before="0" w:after="120" w:line="480" w:lineRule="auto"/>
        <w:rPr>
          <w:sz w:val="24"/>
          <w:szCs w:val="24"/>
        </w:rPr>
      </w:pPr>
      <w:r>
        <w:rPr>
          <w:sz w:val="24"/>
          <w:szCs w:val="24"/>
        </w:rPr>
        <w:t>When students were asked about how frequently they use AI tools to support their English learning, half of the students (50%) reported using AI several times a week, while about 40% used it daily. A smaller proportion (10%) indicated only occasional use, and none reported not using AI at all. These findings highlight the growing prevalence of AI technology among university students and its potential for integration into English teaching and learning.</w:t>
      </w:r>
    </w:p>
    <w:p w:rsidR="00BA67A1" w:rsidRDefault="00000000">
      <w:pPr>
        <w:ind w:firstLine="0"/>
        <w:rPr>
          <w:sz w:val="24"/>
          <w:szCs w:val="24"/>
        </w:rPr>
      </w:pPr>
      <w:r>
        <w:rPr>
          <w:b/>
          <w:bCs/>
          <w:sz w:val="24"/>
          <w:szCs w:val="24"/>
        </w:rPr>
        <w:t>Table 4</w:t>
      </w:r>
    </w:p>
    <w:p w:rsidR="00BA67A1" w:rsidRDefault="00000000">
      <w:pPr>
        <w:ind w:firstLine="0"/>
        <w:rPr>
          <w:i/>
          <w:iCs/>
          <w:sz w:val="24"/>
          <w:szCs w:val="24"/>
        </w:rPr>
      </w:pPr>
      <w:r>
        <w:rPr>
          <w:i/>
          <w:iCs/>
          <w:sz w:val="24"/>
          <w:szCs w:val="24"/>
        </w:rPr>
        <w:t>Students’ Self-evaluation of cohesion and coherence in their essay </w:t>
      </w:r>
    </w:p>
    <w:tbl>
      <w:tblPr>
        <w:tblStyle w:val="a2"/>
        <w:tblW w:w="372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2205"/>
        <w:gridCol w:w="1515"/>
      </w:tblGrid>
      <w:tr w:rsidR="00BA67A1">
        <w:tc>
          <w:tcPr>
            <w:tcW w:w="220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rPr>
                <w:b/>
                <w:bCs/>
              </w:rPr>
              <w:t>Evaluation Level</w:t>
            </w:r>
          </w:p>
        </w:tc>
        <w:tc>
          <w:tcPr>
            <w:tcW w:w="151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rPr>
                <w:b/>
                <w:bCs/>
              </w:rPr>
              <w:t>Percentage</w:t>
            </w:r>
          </w:p>
        </w:tc>
      </w:tr>
      <w:tr w:rsidR="00BA67A1">
        <w:tc>
          <w:tcPr>
            <w:tcW w:w="220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Good</w:t>
            </w:r>
          </w:p>
        </w:tc>
        <w:tc>
          <w:tcPr>
            <w:tcW w:w="151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5%</w:t>
            </w:r>
          </w:p>
        </w:tc>
      </w:tr>
      <w:tr w:rsidR="00BA67A1">
        <w:tc>
          <w:tcPr>
            <w:tcW w:w="220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Fair</w:t>
            </w:r>
          </w:p>
        </w:tc>
        <w:tc>
          <w:tcPr>
            <w:tcW w:w="151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50%</w:t>
            </w:r>
          </w:p>
        </w:tc>
      </w:tr>
      <w:tr w:rsidR="00BA67A1">
        <w:tc>
          <w:tcPr>
            <w:tcW w:w="220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Average</w:t>
            </w:r>
          </w:p>
        </w:tc>
        <w:tc>
          <w:tcPr>
            <w:tcW w:w="151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45%</w:t>
            </w:r>
          </w:p>
        </w:tc>
      </w:tr>
      <w:tr w:rsidR="00BA67A1">
        <w:tc>
          <w:tcPr>
            <w:tcW w:w="220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Poor</w:t>
            </w:r>
          </w:p>
        </w:tc>
        <w:tc>
          <w:tcPr>
            <w:tcW w:w="151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0%</w:t>
            </w:r>
          </w:p>
        </w:tc>
      </w:tr>
    </w:tbl>
    <w:p w:rsidR="00BA67A1" w:rsidRDefault="00BA67A1">
      <w:pPr>
        <w:spacing w:before="0" w:after="120" w:line="480" w:lineRule="auto"/>
        <w:rPr>
          <w:sz w:val="24"/>
          <w:szCs w:val="24"/>
        </w:rPr>
      </w:pPr>
    </w:p>
    <w:p w:rsidR="00BA67A1" w:rsidRDefault="00000000">
      <w:pPr>
        <w:spacing w:before="0" w:after="120" w:line="480" w:lineRule="auto"/>
      </w:pPr>
      <w:r>
        <w:rPr>
          <w:sz w:val="24"/>
          <w:szCs w:val="24"/>
        </w:rPr>
        <w:t xml:space="preserve">Students have also been asked to self-evaluate coherence and cohesion aspects in their academic essays. Most of them highly rated their ability as either average or fair, with very few considering themselves good, and almost none identifying as poor. Although students expressed confidence in their skills, analysis revealed a wide range of errors related to cohesion </w:t>
      </w:r>
      <w:r>
        <w:rPr>
          <w:sz w:val="24"/>
          <w:szCs w:val="24"/>
        </w:rPr>
        <w:lastRenderedPageBreak/>
        <w:t xml:space="preserve">and coherence in their first version of essay. Even though they manage to use some cohesive devices, they show their inability to use a variety of devices. This wrong self-evaluation suggests that students are oblivious of their writing deficiencies, which AI tools like </w:t>
      </w:r>
      <w:proofErr w:type="spellStart"/>
      <w:r>
        <w:rPr>
          <w:sz w:val="24"/>
          <w:szCs w:val="24"/>
        </w:rPr>
        <w:t>ChatGPT</w:t>
      </w:r>
      <w:proofErr w:type="spellEnd"/>
      <w:r>
        <w:rPr>
          <w:sz w:val="24"/>
          <w:szCs w:val="24"/>
        </w:rPr>
        <w:t xml:space="preserve"> can help illuminate. </w:t>
      </w:r>
    </w:p>
    <w:p w:rsidR="00BA67A1" w:rsidRDefault="00000000">
      <w:pPr>
        <w:ind w:firstLine="0"/>
        <w:rPr>
          <w:sz w:val="24"/>
          <w:szCs w:val="24"/>
        </w:rPr>
      </w:pPr>
      <w:r>
        <w:rPr>
          <w:b/>
          <w:bCs/>
          <w:sz w:val="24"/>
          <w:szCs w:val="24"/>
        </w:rPr>
        <w:t>Table 5</w:t>
      </w:r>
    </w:p>
    <w:p w:rsidR="00BA67A1" w:rsidRDefault="00000000">
      <w:pPr>
        <w:ind w:firstLine="0"/>
        <w:rPr>
          <w:sz w:val="24"/>
          <w:szCs w:val="24"/>
        </w:rPr>
      </w:pPr>
      <w:r>
        <w:rPr>
          <w:i/>
          <w:iCs/>
          <w:sz w:val="24"/>
          <w:szCs w:val="24"/>
        </w:rPr>
        <w:t>Sources that students usually receive feedback when learning to write in English</w:t>
      </w:r>
    </w:p>
    <w:tbl>
      <w:tblPr>
        <w:tblStyle w:val="a3"/>
        <w:tblW w:w="564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275"/>
        <w:gridCol w:w="1365"/>
      </w:tblGrid>
      <w:tr w:rsidR="00BA67A1">
        <w:tc>
          <w:tcPr>
            <w:tcW w:w="427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rPr>
                <w:b/>
                <w:bCs/>
              </w:rPr>
              <w:t>Source of Feedback</w:t>
            </w:r>
          </w:p>
        </w:tc>
        <w:tc>
          <w:tcPr>
            <w:tcW w:w="136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rPr>
                <w:b/>
                <w:bCs/>
              </w:rPr>
              <w:t>Percentage</w:t>
            </w:r>
          </w:p>
        </w:tc>
      </w:tr>
      <w:tr w:rsidR="00BA67A1">
        <w:tc>
          <w:tcPr>
            <w:tcW w:w="427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No feedback received</w:t>
            </w:r>
          </w:p>
        </w:tc>
        <w:tc>
          <w:tcPr>
            <w:tcW w:w="136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0%</w:t>
            </w:r>
          </w:p>
        </w:tc>
      </w:tr>
      <w:tr w:rsidR="00BA67A1">
        <w:tc>
          <w:tcPr>
            <w:tcW w:w="427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Peer review (from classmates)</w:t>
            </w:r>
          </w:p>
        </w:tc>
        <w:tc>
          <w:tcPr>
            <w:tcW w:w="136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50%</w:t>
            </w:r>
          </w:p>
        </w:tc>
      </w:tr>
      <w:tr w:rsidR="00BA67A1">
        <w:tc>
          <w:tcPr>
            <w:tcW w:w="427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Guidebooks or reference materials</w:t>
            </w:r>
          </w:p>
        </w:tc>
        <w:tc>
          <w:tcPr>
            <w:tcW w:w="136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30%</w:t>
            </w:r>
          </w:p>
        </w:tc>
      </w:tr>
      <w:tr w:rsidR="00BA67A1">
        <w:tc>
          <w:tcPr>
            <w:tcW w:w="427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 xml:space="preserve">AI tools (e.g., </w:t>
            </w:r>
            <w:proofErr w:type="spellStart"/>
            <w:r>
              <w:t>ChatGPT</w:t>
            </w:r>
            <w:proofErr w:type="spellEnd"/>
            <w:r>
              <w:t>, Grammarly, etc.)</w:t>
            </w:r>
          </w:p>
        </w:tc>
        <w:tc>
          <w:tcPr>
            <w:tcW w:w="136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95%</w:t>
            </w:r>
          </w:p>
        </w:tc>
      </w:tr>
      <w:tr w:rsidR="00BA67A1">
        <w:tc>
          <w:tcPr>
            <w:tcW w:w="427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Teacher</w:t>
            </w:r>
          </w:p>
        </w:tc>
        <w:tc>
          <w:tcPr>
            <w:tcW w:w="136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55%</w:t>
            </w:r>
          </w:p>
        </w:tc>
      </w:tr>
    </w:tbl>
    <w:p w:rsidR="00BA67A1" w:rsidRDefault="00BA67A1">
      <w:pPr>
        <w:spacing w:before="0" w:after="120" w:line="480" w:lineRule="auto"/>
        <w:rPr>
          <w:sz w:val="24"/>
          <w:szCs w:val="24"/>
        </w:rPr>
      </w:pPr>
    </w:p>
    <w:p w:rsidR="00BA67A1" w:rsidRDefault="00000000">
      <w:pPr>
        <w:spacing w:before="0" w:after="120" w:line="480" w:lineRule="auto"/>
        <w:rPr>
          <w:sz w:val="24"/>
          <w:szCs w:val="24"/>
        </w:rPr>
      </w:pPr>
      <w:r>
        <w:rPr>
          <w:sz w:val="24"/>
          <w:szCs w:val="24"/>
        </w:rPr>
        <w:t>Regarding the ways from which students get feedback to refine their writing essays, most of the students agree that AI tools are the most commonly used source (95%), followed closely by teachers and peer reviews (50%). No respondents reported receiving no feedback at all. The crucial role of technology, particularly AI tools, in enhancing writing skills has become increasingly evident. Students are gradually turning to AI not only for research and entertainment but also for educational purposes. This shift reflects a reduced dependence on teachers and a growing reliance on alternative sources of support in learning English.</w:t>
      </w:r>
    </w:p>
    <w:p w:rsidR="00BA67A1" w:rsidRDefault="00000000">
      <w:pPr>
        <w:ind w:firstLine="0"/>
        <w:rPr>
          <w:sz w:val="24"/>
          <w:szCs w:val="24"/>
        </w:rPr>
      </w:pPr>
      <w:r>
        <w:rPr>
          <w:b/>
          <w:bCs/>
          <w:sz w:val="24"/>
          <w:szCs w:val="24"/>
        </w:rPr>
        <w:t>Table 6</w:t>
      </w:r>
    </w:p>
    <w:p w:rsidR="00BA67A1" w:rsidRDefault="00000000">
      <w:pPr>
        <w:ind w:firstLine="0"/>
        <w:rPr>
          <w:sz w:val="24"/>
          <w:szCs w:val="24"/>
        </w:rPr>
      </w:pPr>
      <w:r>
        <w:rPr>
          <w:i/>
          <w:iCs/>
          <w:sz w:val="24"/>
          <w:szCs w:val="24"/>
        </w:rPr>
        <w:t>Time Students Spent Using Chat GPT to Edit Essays</w:t>
      </w:r>
    </w:p>
    <w:tbl>
      <w:tblPr>
        <w:tblStyle w:val="a4"/>
        <w:tblW w:w="3690" w:type="dxa"/>
        <w:tblInd w:w="-15" w:type="dxa"/>
        <w:tblBorders>
          <w:top w:val="nil"/>
          <w:left w:val="nil"/>
          <w:bottom w:val="nil"/>
          <w:right w:val="nil"/>
          <w:insideH w:val="nil"/>
          <w:insideV w:val="nil"/>
        </w:tblBorders>
        <w:tblLayout w:type="fixed"/>
        <w:tblLook w:val="0000" w:firstRow="0" w:lastRow="0" w:firstColumn="0" w:lastColumn="0" w:noHBand="0" w:noVBand="0"/>
      </w:tblPr>
      <w:tblGrid>
        <w:gridCol w:w="2340"/>
        <w:gridCol w:w="1350"/>
      </w:tblGrid>
      <w:tr w:rsidR="00BA67A1">
        <w:tc>
          <w:tcPr>
            <w:tcW w:w="2340"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rPr>
                <w:b/>
                <w:bCs/>
              </w:rPr>
              <w:t>Time</w:t>
            </w:r>
          </w:p>
        </w:tc>
        <w:tc>
          <w:tcPr>
            <w:tcW w:w="1350"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rPr>
                <w:b/>
                <w:bCs/>
              </w:rPr>
              <w:t>Percentage</w:t>
            </w:r>
          </w:p>
        </w:tc>
      </w:tr>
      <w:tr w:rsidR="00BA67A1">
        <w:tc>
          <w:tcPr>
            <w:tcW w:w="2340"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Under 10 minutes</w:t>
            </w:r>
          </w:p>
        </w:tc>
        <w:tc>
          <w:tcPr>
            <w:tcW w:w="1350"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10%</w:t>
            </w:r>
          </w:p>
        </w:tc>
      </w:tr>
      <w:tr w:rsidR="00BA67A1">
        <w:tc>
          <w:tcPr>
            <w:tcW w:w="2340"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10-20 minutes</w:t>
            </w:r>
          </w:p>
        </w:tc>
        <w:tc>
          <w:tcPr>
            <w:tcW w:w="1350"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60%</w:t>
            </w:r>
          </w:p>
        </w:tc>
      </w:tr>
      <w:tr w:rsidR="00BA67A1">
        <w:tc>
          <w:tcPr>
            <w:tcW w:w="2340"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20-30 minutes</w:t>
            </w:r>
          </w:p>
        </w:tc>
        <w:tc>
          <w:tcPr>
            <w:tcW w:w="1350"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25%</w:t>
            </w:r>
          </w:p>
        </w:tc>
      </w:tr>
      <w:tr w:rsidR="00BA67A1">
        <w:tc>
          <w:tcPr>
            <w:tcW w:w="2340"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More than 30 minutes</w:t>
            </w:r>
          </w:p>
        </w:tc>
        <w:tc>
          <w:tcPr>
            <w:tcW w:w="1350"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5%</w:t>
            </w:r>
          </w:p>
        </w:tc>
      </w:tr>
    </w:tbl>
    <w:p w:rsidR="00BA67A1" w:rsidRDefault="00BA67A1">
      <w:pPr>
        <w:spacing w:before="0" w:after="120" w:line="480" w:lineRule="auto"/>
        <w:rPr>
          <w:sz w:val="24"/>
          <w:szCs w:val="24"/>
        </w:rPr>
      </w:pPr>
    </w:p>
    <w:p w:rsidR="00BA67A1" w:rsidRDefault="00000000">
      <w:pPr>
        <w:spacing w:before="0" w:after="120" w:line="480" w:lineRule="auto"/>
      </w:pPr>
      <w:r>
        <w:rPr>
          <w:sz w:val="24"/>
          <w:szCs w:val="24"/>
        </w:rPr>
        <w:lastRenderedPageBreak/>
        <w:t xml:space="preserve">In the experiment, when students were instructed to use Chat GPT to revise cohesion and coherence in their essays, more than half of them (60%) dedicated only about 10-20 minutes interacting with Chat GPT to finalize their ideas, exactly 25% of students spent between 20-30 minutes using </w:t>
      </w:r>
      <w:proofErr w:type="spellStart"/>
      <w:r>
        <w:rPr>
          <w:sz w:val="24"/>
          <w:szCs w:val="24"/>
        </w:rPr>
        <w:t>ChatGPT</w:t>
      </w:r>
      <w:proofErr w:type="spellEnd"/>
      <w:r>
        <w:rPr>
          <w:sz w:val="24"/>
          <w:szCs w:val="24"/>
        </w:rPr>
        <w:t>.  While 10% of students only seek advice from Chat GPT in less than 10 minutes, 5% of students spend over 30 minutes communicating with this AI tool. </w:t>
      </w:r>
    </w:p>
    <w:p w:rsidR="00BA67A1" w:rsidRDefault="00000000">
      <w:pPr>
        <w:ind w:firstLine="0"/>
        <w:rPr>
          <w:sz w:val="24"/>
          <w:szCs w:val="24"/>
        </w:rPr>
      </w:pPr>
      <w:r>
        <w:rPr>
          <w:b/>
          <w:bCs/>
          <w:sz w:val="24"/>
          <w:szCs w:val="24"/>
        </w:rPr>
        <w:t>Table 7</w:t>
      </w:r>
    </w:p>
    <w:p w:rsidR="00BA67A1" w:rsidRDefault="00000000">
      <w:pPr>
        <w:ind w:firstLine="0"/>
        <w:rPr>
          <w:i/>
          <w:iCs/>
          <w:sz w:val="24"/>
          <w:szCs w:val="24"/>
        </w:rPr>
      </w:pPr>
      <w:r>
        <w:rPr>
          <w:i/>
          <w:iCs/>
          <w:sz w:val="24"/>
          <w:szCs w:val="24"/>
        </w:rPr>
        <w:t>Purposes of using Chat GPT to enhance CC</w:t>
      </w:r>
    </w:p>
    <w:tbl>
      <w:tblPr>
        <w:tblStyle w:val="a5"/>
        <w:tblW w:w="783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6495"/>
        <w:gridCol w:w="1335"/>
      </w:tblGrid>
      <w:tr w:rsidR="00BA67A1">
        <w:trPr>
          <w:trHeight w:val="653"/>
        </w:trPr>
        <w:tc>
          <w:tcPr>
            <w:tcW w:w="649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rPr>
                <w:b/>
                <w:bCs/>
              </w:rPr>
            </w:pPr>
            <w:r>
              <w:rPr>
                <w:b/>
                <w:bCs/>
              </w:rPr>
              <w:t>Purposes</w:t>
            </w:r>
          </w:p>
        </w:tc>
        <w:tc>
          <w:tcPr>
            <w:tcW w:w="1335" w:type="dxa"/>
            <w:tcBorders>
              <w:top w:val="single" w:sz="4" w:space="0" w:color="000000"/>
              <w:left w:val="single" w:sz="4" w:space="0" w:color="FFFFFF"/>
              <w:bottom w:val="single" w:sz="6" w:space="0" w:color="000000"/>
              <w:right w:val="single" w:sz="4"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rPr>
                <w:b/>
                <w:bCs/>
              </w:rPr>
              <w:t>Percentage</w:t>
            </w:r>
          </w:p>
        </w:tc>
      </w:tr>
      <w:tr w:rsidR="00BA67A1">
        <w:trPr>
          <w:trHeight w:val="381"/>
        </w:trPr>
        <w:tc>
          <w:tcPr>
            <w:tcW w:w="6495" w:type="dxa"/>
            <w:tcBorders>
              <w:top w:val="single" w:sz="4" w:space="0" w:color="000000"/>
              <w:left w:val="single" w:sz="4" w:space="0" w:color="FFFFFF"/>
              <w:bottom w:val="single" w:sz="4" w:space="0" w:color="000000"/>
              <w:right w:val="single" w:sz="6"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Suggest ways to use references</w:t>
            </w:r>
          </w:p>
        </w:tc>
        <w:tc>
          <w:tcPr>
            <w:tcW w:w="133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BA67A1" w:rsidRDefault="00000000">
            <w:pPr>
              <w:spacing w:after="0" w:line="240" w:lineRule="auto"/>
              <w:ind w:firstLine="0"/>
              <w:jc w:val="left"/>
            </w:pPr>
            <w:r>
              <w:t>50%</w:t>
            </w:r>
          </w:p>
        </w:tc>
      </w:tr>
      <w:tr w:rsidR="00BA67A1">
        <w:tc>
          <w:tcPr>
            <w:tcW w:w="6495" w:type="dxa"/>
            <w:tcBorders>
              <w:top w:val="single" w:sz="4" w:space="0" w:color="000000"/>
              <w:left w:val="single" w:sz="4" w:space="0" w:color="FFFFFF"/>
              <w:bottom w:val="single" w:sz="4" w:space="0" w:color="000000"/>
              <w:right w:val="single" w:sz="6"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Suggest ways to use ellipses</w:t>
            </w:r>
          </w:p>
        </w:tc>
        <w:tc>
          <w:tcPr>
            <w:tcW w:w="133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BA67A1" w:rsidRDefault="00000000">
            <w:pPr>
              <w:spacing w:after="0" w:line="240" w:lineRule="auto"/>
              <w:ind w:firstLine="0"/>
              <w:jc w:val="left"/>
            </w:pPr>
            <w:r>
              <w:t>35%</w:t>
            </w:r>
          </w:p>
        </w:tc>
      </w:tr>
      <w:tr w:rsidR="00BA67A1">
        <w:tc>
          <w:tcPr>
            <w:tcW w:w="6495" w:type="dxa"/>
            <w:tcBorders>
              <w:top w:val="single" w:sz="4" w:space="0" w:color="000000"/>
              <w:left w:val="single" w:sz="4" w:space="0" w:color="FFFFFF"/>
              <w:bottom w:val="single" w:sz="4" w:space="0" w:color="000000"/>
              <w:right w:val="single" w:sz="6"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Suggest ways to use collocations</w:t>
            </w:r>
          </w:p>
        </w:tc>
        <w:tc>
          <w:tcPr>
            <w:tcW w:w="133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BA67A1" w:rsidRDefault="00000000">
            <w:pPr>
              <w:spacing w:after="0" w:line="240" w:lineRule="auto"/>
              <w:ind w:firstLine="0"/>
              <w:jc w:val="left"/>
            </w:pPr>
            <w:r>
              <w:t>55%</w:t>
            </w:r>
          </w:p>
        </w:tc>
      </w:tr>
      <w:tr w:rsidR="00BA67A1">
        <w:trPr>
          <w:trHeight w:val="141"/>
        </w:trPr>
        <w:tc>
          <w:tcPr>
            <w:tcW w:w="6495" w:type="dxa"/>
            <w:tcBorders>
              <w:top w:val="single" w:sz="4" w:space="0" w:color="000000"/>
              <w:left w:val="single" w:sz="4" w:space="0" w:color="FFFFFF"/>
              <w:bottom w:val="single" w:sz="4" w:space="0" w:color="000000"/>
              <w:right w:val="single" w:sz="6"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Find appropriate collocations</w:t>
            </w:r>
          </w:p>
        </w:tc>
        <w:tc>
          <w:tcPr>
            <w:tcW w:w="133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BA67A1" w:rsidRDefault="00000000">
            <w:pPr>
              <w:spacing w:after="0" w:line="240" w:lineRule="auto"/>
              <w:ind w:firstLine="0"/>
              <w:jc w:val="left"/>
            </w:pPr>
            <w:r>
              <w:t>55%</w:t>
            </w:r>
          </w:p>
        </w:tc>
      </w:tr>
      <w:tr w:rsidR="00BA67A1">
        <w:tc>
          <w:tcPr>
            <w:tcW w:w="6495" w:type="dxa"/>
            <w:tcBorders>
              <w:top w:val="single" w:sz="4" w:space="0" w:color="000000"/>
              <w:left w:val="single" w:sz="4" w:space="0" w:color="FFFFFF"/>
              <w:bottom w:val="single" w:sz="4" w:space="0" w:color="000000"/>
              <w:right w:val="single" w:sz="6"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Find appropriate reiteration to avoid repetition </w:t>
            </w:r>
          </w:p>
        </w:tc>
        <w:tc>
          <w:tcPr>
            <w:tcW w:w="133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BA67A1" w:rsidRDefault="00000000">
            <w:pPr>
              <w:spacing w:after="0" w:line="240" w:lineRule="auto"/>
              <w:ind w:firstLine="0"/>
              <w:jc w:val="left"/>
            </w:pPr>
            <w:r>
              <w:t>60%</w:t>
            </w:r>
          </w:p>
        </w:tc>
      </w:tr>
      <w:tr w:rsidR="00BA67A1">
        <w:tc>
          <w:tcPr>
            <w:tcW w:w="6495" w:type="dxa"/>
            <w:tcBorders>
              <w:top w:val="single" w:sz="4" w:space="0" w:color="000000"/>
              <w:left w:val="single" w:sz="4" w:space="0" w:color="FFFFFF"/>
              <w:bottom w:val="single" w:sz="4" w:space="0" w:color="000000"/>
              <w:right w:val="single" w:sz="6"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 xml:space="preserve">Ask </w:t>
            </w:r>
            <w:proofErr w:type="spellStart"/>
            <w:r>
              <w:t>ChatGPT</w:t>
            </w:r>
            <w:proofErr w:type="spellEnd"/>
            <w:r>
              <w:t xml:space="preserve"> to detect and revise inappropriate linking errors</w:t>
            </w:r>
          </w:p>
        </w:tc>
        <w:tc>
          <w:tcPr>
            <w:tcW w:w="133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BA67A1" w:rsidRDefault="00000000">
            <w:pPr>
              <w:spacing w:after="0" w:line="240" w:lineRule="auto"/>
              <w:ind w:firstLine="0"/>
              <w:jc w:val="left"/>
            </w:pPr>
            <w:r>
              <w:t>90%</w:t>
            </w:r>
          </w:p>
        </w:tc>
      </w:tr>
      <w:tr w:rsidR="00BA67A1">
        <w:tc>
          <w:tcPr>
            <w:tcW w:w="6495" w:type="dxa"/>
            <w:tcBorders>
              <w:top w:val="single" w:sz="4" w:space="0" w:color="000000"/>
              <w:left w:val="single" w:sz="4" w:space="0" w:color="FFFFFF"/>
              <w:bottom w:val="single" w:sz="4" w:space="0" w:color="000000"/>
              <w:right w:val="single" w:sz="6"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Help check the logical flow of the article</w:t>
            </w:r>
          </w:p>
        </w:tc>
        <w:tc>
          <w:tcPr>
            <w:tcW w:w="133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BA67A1" w:rsidRDefault="00000000">
            <w:pPr>
              <w:spacing w:after="0" w:line="240" w:lineRule="auto"/>
              <w:ind w:firstLine="0"/>
              <w:jc w:val="left"/>
            </w:pPr>
            <w:r>
              <w:t>60%</w:t>
            </w:r>
          </w:p>
        </w:tc>
      </w:tr>
      <w:tr w:rsidR="00BA67A1">
        <w:tc>
          <w:tcPr>
            <w:tcW w:w="6495" w:type="dxa"/>
            <w:tcBorders>
              <w:top w:val="single" w:sz="4" w:space="0" w:color="000000"/>
              <w:left w:val="single" w:sz="4" w:space="0" w:color="FFFFFF"/>
              <w:bottom w:val="single" w:sz="4" w:space="0" w:color="000000"/>
              <w:right w:val="single" w:sz="6"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Suggest how to present content and illustrative images</w:t>
            </w:r>
          </w:p>
        </w:tc>
        <w:tc>
          <w:tcPr>
            <w:tcW w:w="133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BA67A1" w:rsidRDefault="00000000">
            <w:pPr>
              <w:spacing w:after="0" w:line="240" w:lineRule="auto"/>
              <w:ind w:firstLine="0"/>
              <w:jc w:val="left"/>
            </w:pPr>
            <w:r>
              <w:t>55%</w:t>
            </w:r>
          </w:p>
        </w:tc>
      </w:tr>
      <w:tr w:rsidR="00BA67A1">
        <w:tc>
          <w:tcPr>
            <w:tcW w:w="6495" w:type="dxa"/>
            <w:tcBorders>
              <w:top w:val="single" w:sz="4" w:space="0" w:color="000000"/>
              <w:left w:val="single" w:sz="4" w:space="0" w:color="FFFFFF"/>
              <w:bottom w:val="single" w:sz="4" w:space="0" w:color="000000"/>
              <w:right w:val="single" w:sz="6"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Improve accuracy and writing style</w:t>
            </w:r>
          </w:p>
        </w:tc>
        <w:tc>
          <w:tcPr>
            <w:tcW w:w="133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BA67A1" w:rsidRDefault="00000000">
            <w:pPr>
              <w:spacing w:after="0" w:line="240" w:lineRule="auto"/>
              <w:ind w:firstLine="0"/>
              <w:jc w:val="left"/>
            </w:pPr>
            <w:r>
              <w:t>40%</w:t>
            </w:r>
          </w:p>
        </w:tc>
      </w:tr>
      <w:tr w:rsidR="00BA67A1">
        <w:tc>
          <w:tcPr>
            <w:tcW w:w="6495" w:type="dxa"/>
            <w:tcBorders>
              <w:top w:val="single" w:sz="4" w:space="0" w:color="000000"/>
              <w:left w:val="single" w:sz="4" w:space="0" w:color="FFFFFF"/>
              <w:bottom w:val="single" w:sz="4" w:space="0" w:color="000000"/>
              <w:right w:val="single" w:sz="6" w:space="0" w:color="FFFFFF"/>
            </w:tcBorders>
            <w:shd w:val="clear" w:color="auto" w:fill="auto"/>
            <w:tcMar>
              <w:top w:w="0" w:type="dxa"/>
              <w:left w:w="108" w:type="dxa"/>
              <w:bottom w:w="0" w:type="dxa"/>
              <w:right w:w="108" w:type="dxa"/>
            </w:tcMar>
          </w:tcPr>
          <w:p w:rsidR="00BA67A1" w:rsidRDefault="00000000">
            <w:pPr>
              <w:spacing w:after="0" w:line="240" w:lineRule="auto"/>
              <w:ind w:firstLine="0"/>
              <w:jc w:val="left"/>
            </w:pPr>
            <w:r>
              <w:t xml:space="preserve">Ask </w:t>
            </w:r>
            <w:proofErr w:type="spellStart"/>
            <w:r>
              <w:t>ChatGPT</w:t>
            </w:r>
            <w:proofErr w:type="spellEnd"/>
            <w:r>
              <w:t xml:space="preserve"> to compare different versions to choose the more logical one</w:t>
            </w:r>
          </w:p>
        </w:tc>
        <w:tc>
          <w:tcPr>
            <w:tcW w:w="133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BA67A1" w:rsidRDefault="00000000">
            <w:pPr>
              <w:spacing w:after="0" w:line="240" w:lineRule="auto"/>
              <w:ind w:firstLine="0"/>
              <w:jc w:val="left"/>
            </w:pPr>
            <w:r>
              <w:t>60%</w:t>
            </w:r>
          </w:p>
        </w:tc>
      </w:tr>
    </w:tbl>
    <w:p w:rsidR="00BA67A1" w:rsidRDefault="00BA67A1">
      <w:pPr>
        <w:spacing w:before="0" w:after="120" w:line="480" w:lineRule="auto"/>
        <w:rPr>
          <w:sz w:val="24"/>
          <w:szCs w:val="24"/>
        </w:rPr>
      </w:pPr>
    </w:p>
    <w:p w:rsidR="00BA67A1" w:rsidRDefault="00000000">
      <w:pPr>
        <w:spacing w:before="0" w:after="120" w:line="480" w:lineRule="auto"/>
        <w:rPr>
          <w:sz w:val="24"/>
          <w:szCs w:val="24"/>
        </w:rPr>
      </w:pPr>
      <w:r>
        <w:rPr>
          <w:sz w:val="24"/>
          <w:szCs w:val="24"/>
        </w:rPr>
        <w:t xml:space="preserve">As for what purposes they use </w:t>
      </w:r>
      <w:proofErr w:type="spellStart"/>
      <w:r>
        <w:rPr>
          <w:sz w:val="24"/>
          <w:szCs w:val="24"/>
        </w:rPr>
        <w:t>ChatGPT</w:t>
      </w:r>
      <w:proofErr w:type="spellEnd"/>
      <w:r>
        <w:rPr>
          <w:sz w:val="24"/>
          <w:szCs w:val="24"/>
        </w:rPr>
        <w:t xml:space="preserve"> for in the process of editing their essays to achieve coherence and cohesion, the most common purpose for which </w:t>
      </w:r>
      <w:proofErr w:type="spellStart"/>
      <w:r>
        <w:rPr>
          <w:sz w:val="24"/>
          <w:szCs w:val="24"/>
        </w:rPr>
        <w:t>ChatGPT</w:t>
      </w:r>
      <w:proofErr w:type="spellEnd"/>
      <w:r>
        <w:rPr>
          <w:sz w:val="24"/>
          <w:szCs w:val="24"/>
        </w:rPr>
        <w:t xml:space="preserve"> is utilized is to “Ask </w:t>
      </w:r>
      <w:proofErr w:type="spellStart"/>
      <w:r>
        <w:rPr>
          <w:sz w:val="24"/>
          <w:szCs w:val="24"/>
        </w:rPr>
        <w:t>ChatGPT</w:t>
      </w:r>
      <w:proofErr w:type="spellEnd"/>
      <w:r>
        <w:rPr>
          <w:sz w:val="24"/>
          <w:szCs w:val="24"/>
        </w:rPr>
        <w:t xml:space="preserve"> to detect and revise inappropriate linking errors”, with 90% respondents indicating this use. Finding appropriate collocations and reiteration to avoid repetition (60%) are the second top choices. “Ask </w:t>
      </w:r>
      <w:proofErr w:type="spellStart"/>
      <w:r>
        <w:rPr>
          <w:sz w:val="24"/>
          <w:szCs w:val="24"/>
        </w:rPr>
        <w:t>ChatGPT</w:t>
      </w:r>
      <w:proofErr w:type="spellEnd"/>
      <w:r>
        <w:rPr>
          <w:sz w:val="24"/>
          <w:szCs w:val="24"/>
        </w:rPr>
        <w:t xml:space="preserve"> to compare different versions to choose the more </w:t>
      </w:r>
      <w:r>
        <w:rPr>
          <w:sz w:val="24"/>
          <w:szCs w:val="24"/>
        </w:rPr>
        <w:lastRenderedPageBreak/>
        <w:t>logical one” also gains acclaim from 60% of learners as they might be confused if they have different ways to develop ideas. Conversely, the least common purpose is suggesting ways to use ellipses, reported by only 35 % of respondents. This suggests that students may undervalue or lack awareness of ellipsis as a cohesive device.</w:t>
      </w:r>
    </w:p>
    <w:p w:rsidR="00BA67A1" w:rsidRDefault="00000000">
      <w:pPr>
        <w:ind w:firstLine="0"/>
        <w:rPr>
          <w:sz w:val="24"/>
          <w:szCs w:val="24"/>
        </w:rPr>
      </w:pPr>
      <w:r>
        <w:rPr>
          <w:b/>
          <w:bCs/>
          <w:sz w:val="24"/>
          <w:szCs w:val="24"/>
        </w:rPr>
        <w:t>Table 8</w:t>
      </w:r>
    </w:p>
    <w:p w:rsidR="00BA67A1" w:rsidRDefault="00000000">
      <w:pPr>
        <w:ind w:firstLine="0"/>
        <w:rPr>
          <w:sz w:val="24"/>
          <w:szCs w:val="24"/>
        </w:rPr>
      </w:pPr>
      <w:r>
        <w:rPr>
          <w:i/>
          <w:iCs/>
          <w:sz w:val="24"/>
          <w:szCs w:val="24"/>
        </w:rPr>
        <w:t xml:space="preserve">Students' Attitudes Towards Utilizing Chat GPT to Enhance CC in </w:t>
      </w:r>
      <w:proofErr w:type="spellStart"/>
      <w:r>
        <w:rPr>
          <w:i/>
          <w:iCs/>
          <w:sz w:val="24"/>
          <w:szCs w:val="24"/>
        </w:rPr>
        <w:t>Ielts</w:t>
      </w:r>
      <w:proofErr w:type="spellEnd"/>
      <w:r>
        <w:rPr>
          <w:i/>
          <w:iCs/>
          <w:sz w:val="24"/>
          <w:szCs w:val="24"/>
        </w:rPr>
        <w:t xml:space="preserve"> Writing</w:t>
      </w:r>
    </w:p>
    <w:tbl>
      <w:tblPr>
        <w:tblStyle w:val="a6"/>
        <w:tblW w:w="8147"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320"/>
        <w:gridCol w:w="5970"/>
        <w:gridCol w:w="510"/>
        <w:gridCol w:w="720"/>
        <w:gridCol w:w="627"/>
      </w:tblGrid>
      <w:tr w:rsidR="00BA67A1">
        <w:trPr>
          <w:trHeight w:val="330"/>
        </w:trPr>
        <w:tc>
          <w:tcPr>
            <w:tcW w:w="320" w:type="dxa"/>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rsidR="00BA67A1" w:rsidRDefault="00BA67A1">
            <w:pPr>
              <w:spacing w:after="0" w:line="240" w:lineRule="auto"/>
              <w:jc w:val="left"/>
            </w:pPr>
          </w:p>
        </w:tc>
        <w:tc>
          <w:tcPr>
            <w:tcW w:w="5970" w:type="dxa"/>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pPr>
            <w:r>
              <w:t> </w:t>
            </w:r>
          </w:p>
        </w:tc>
        <w:tc>
          <w:tcPr>
            <w:tcW w:w="510" w:type="dxa"/>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n</w:t>
            </w:r>
          </w:p>
        </w:tc>
        <w:tc>
          <w:tcPr>
            <w:tcW w:w="720" w:type="dxa"/>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M</w:t>
            </w:r>
          </w:p>
        </w:tc>
        <w:tc>
          <w:tcPr>
            <w:tcW w:w="627" w:type="dxa"/>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S.D.</w:t>
            </w:r>
          </w:p>
        </w:tc>
      </w:tr>
      <w:tr w:rsidR="00BA67A1">
        <w:trPr>
          <w:trHeight w:val="330"/>
        </w:trPr>
        <w:tc>
          <w:tcPr>
            <w:tcW w:w="320" w:type="dxa"/>
            <w:tcBorders>
              <w:top w:val="single" w:sz="6" w:space="0" w:color="000000"/>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1</w:t>
            </w:r>
          </w:p>
        </w:tc>
        <w:tc>
          <w:tcPr>
            <w:tcW w:w="5970" w:type="dxa"/>
            <w:tcBorders>
              <w:top w:val="single" w:sz="6" w:space="0" w:color="000000"/>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pPr>
            <w:r>
              <w:t xml:space="preserve">I intend to continue using </w:t>
            </w:r>
            <w:proofErr w:type="spellStart"/>
            <w:r>
              <w:t>ChatGPT</w:t>
            </w:r>
            <w:proofErr w:type="spellEnd"/>
            <w:r>
              <w:t xml:space="preserve"> afterwards</w:t>
            </w:r>
          </w:p>
        </w:tc>
        <w:tc>
          <w:tcPr>
            <w:tcW w:w="510" w:type="dxa"/>
            <w:tcBorders>
              <w:top w:val="single" w:sz="6" w:space="0" w:color="000000"/>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20</w:t>
            </w:r>
          </w:p>
        </w:tc>
        <w:tc>
          <w:tcPr>
            <w:tcW w:w="720" w:type="dxa"/>
            <w:tcBorders>
              <w:top w:val="single" w:sz="6" w:space="0" w:color="000000"/>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4.10</w:t>
            </w:r>
          </w:p>
        </w:tc>
        <w:tc>
          <w:tcPr>
            <w:tcW w:w="627" w:type="dxa"/>
            <w:tcBorders>
              <w:top w:val="single" w:sz="6" w:space="0" w:color="000000"/>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0.72</w:t>
            </w:r>
          </w:p>
        </w:tc>
      </w:tr>
      <w:tr w:rsidR="00BA67A1">
        <w:trPr>
          <w:trHeight w:val="330"/>
        </w:trPr>
        <w:tc>
          <w:tcPr>
            <w:tcW w:w="32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2</w:t>
            </w:r>
          </w:p>
        </w:tc>
        <w:tc>
          <w:tcPr>
            <w:tcW w:w="597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pPr>
            <w:r>
              <w:t>I feel that Chat GPT’s feedback is easy to understand &amp; apply</w:t>
            </w:r>
          </w:p>
        </w:tc>
        <w:tc>
          <w:tcPr>
            <w:tcW w:w="51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20</w:t>
            </w:r>
          </w:p>
        </w:tc>
        <w:tc>
          <w:tcPr>
            <w:tcW w:w="72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4.00</w:t>
            </w:r>
          </w:p>
        </w:tc>
        <w:tc>
          <w:tcPr>
            <w:tcW w:w="627"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0.79</w:t>
            </w:r>
          </w:p>
        </w:tc>
      </w:tr>
      <w:tr w:rsidR="00BA67A1">
        <w:trPr>
          <w:trHeight w:val="330"/>
        </w:trPr>
        <w:tc>
          <w:tcPr>
            <w:tcW w:w="32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3</w:t>
            </w:r>
          </w:p>
        </w:tc>
        <w:tc>
          <w:tcPr>
            <w:tcW w:w="597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pPr>
            <w:r>
              <w:t xml:space="preserve">I’m excited when using </w:t>
            </w:r>
            <w:proofErr w:type="spellStart"/>
            <w:r>
              <w:t>ChatGPT</w:t>
            </w:r>
            <w:proofErr w:type="spellEnd"/>
            <w:r>
              <w:t xml:space="preserve"> to improve writing</w:t>
            </w:r>
          </w:p>
        </w:tc>
        <w:tc>
          <w:tcPr>
            <w:tcW w:w="51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20</w:t>
            </w:r>
          </w:p>
        </w:tc>
        <w:tc>
          <w:tcPr>
            <w:tcW w:w="72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4.05</w:t>
            </w:r>
          </w:p>
        </w:tc>
        <w:tc>
          <w:tcPr>
            <w:tcW w:w="627"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0.60</w:t>
            </w:r>
          </w:p>
        </w:tc>
      </w:tr>
      <w:tr w:rsidR="00BA67A1">
        <w:trPr>
          <w:trHeight w:val="330"/>
        </w:trPr>
        <w:tc>
          <w:tcPr>
            <w:tcW w:w="32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4</w:t>
            </w:r>
          </w:p>
        </w:tc>
        <w:tc>
          <w:tcPr>
            <w:tcW w:w="597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pPr>
            <w:r>
              <w:t xml:space="preserve">I believe </w:t>
            </w:r>
            <w:proofErr w:type="spellStart"/>
            <w:r>
              <w:t>ChatGPT</w:t>
            </w:r>
            <w:proofErr w:type="spellEnd"/>
            <w:r>
              <w:t xml:space="preserve"> makes me more confident</w:t>
            </w:r>
          </w:p>
        </w:tc>
        <w:tc>
          <w:tcPr>
            <w:tcW w:w="51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20</w:t>
            </w:r>
          </w:p>
        </w:tc>
        <w:tc>
          <w:tcPr>
            <w:tcW w:w="72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4.05</w:t>
            </w:r>
          </w:p>
        </w:tc>
        <w:tc>
          <w:tcPr>
            <w:tcW w:w="627"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0.60</w:t>
            </w:r>
          </w:p>
        </w:tc>
      </w:tr>
      <w:tr w:rsidR="00BA67A1">
        <w:trPr>
          <w:trHeight w:val="330"/>
        </w:trPr>
        <w:tc>
          <w:tcPr>
            <w:tcW w:w="32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5</w:t>
            </w:r>
          </w:p>
        </w:tc>
        <w:tc>
          <w:tcPr>
            <w:tcW w:w="597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pPr>
            <w:r>
              <w:t xml:space="preserve">I’m encouraged by </w:t>
            </w:r>
            <w:proofErr w:type="spellStart"/>
            <w:r>
              <w:t>ChatGPT</w:t>
            </w:r>
            <w:proofErr w:type="spellEnd"/>
            <w:r>
              <w:t xml:space="preserve"> feedback</w:t>
            </w:r>
          </w:p>
        </w:tc>
        <w:tc>
          <w:tcPr>
            <w:tcW w:w="51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20</w:t>
            </w:r>
          </w:p>
        </w:tc>
        <w:tc>
          <w:tcPr>
            <w:tcW w:w="72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3.90</w:t>
            </w:r>
          </w:p>
        </w:tc>
        <w:tc>
          <w:tcPr>
            <w:tcW w:w="627"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0.85</w:t>
            </w:r>
          </w:p>
        </w:tc>
      </w:tr>
      <w:tr w:rsidR="00BA67A1">
        <w:trPr>
          <w:trHeight w:val="330"/>
        </w:trPr>
        <w:tc>
          <w:tcPr>
            <w:tcW w:w="32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6</w:t>
            </w:r>
          </w:p>
        </w:tc>
        <w:tc>
          <w:tcPr>
            <w:tcW w:w="597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pPr>
            <w:r>
              <w:t>I am demotivated when feedback is unclear</w:t>
            </w:r>
          </w:p>
        </w:tc>
        <w:tc>
          <w:tcPr>
            <w:tcW w:w="51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20</w:t>
            </w:r>
          </w:p>
        </w:tc>
        <w:tc>
          <w:tcPr>
            <w:tcW w:w="72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3.10</w:t>
            </w:r>
          </w:p>
        </w:tc>
        <w:tc>
          <w:tcPr>
            <w:tcW w:w="627"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1.17</w:t>
            </w:r>
          </w:p>
        </w:tc>
      </w:tr>
      <w:tr w:rsidR="00BA67A1">
        <w:trPr>
          <w:trHeight w:val="330"/>
        </w:trPr>
        <w:tc>
          <w:tcPr>
            <w:tcW w:w="320" w:type="dxa"/>
            <w:tcBorders>
              <w:top w:val="nil"/>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7</w:t>
            </w:r>
          </w:p>
        </w:tc>
        <w:tc>
          <w:tcPr>
            <w:tcW w:w="5970" w:type="dxa"/>
            <w:tcBorders>
              <w:top w:val="nil"/>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pPr>
            <w:r>
              <w:t xml:space="preserve">I think using </w:t>
            </w:r>
            <w:proofErr w:type="spellStart"/>
            <w:r>
              <w:t>ChatGPT</w:t>
            </w:r>
            <w:proofErr w:type="spellEnd"/>
            <w:r>
              <w:t xml:space="preserve"> is boring and monotonous</w:t>
            </w:r>
          </w:p>
        </w:tc>
        <w:tc>
          <w:tcPr>
            <w:tcW w:w="510" w:type="dxa"/>
            <w:tcBorders>
              <w:top w:val="nil"/>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20</w:t>
            </w:r>
          </w:p>
        </w:tc>
        <w:tc>
          <w:tcPr>
            <w:tcW w:w="720" w:type="dxa"/>
            <w:tcBorders>
              <w:top w:val="nil"/>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3.05</w:t>
            </w:r>
          </w:p>
        </w:tc>
        <w:tc>
          <w:tcPr>
            <w:tcW w:w="627" w:type="dxa"/>
            <w:tcBorders>
              <w:top w:val="nil"/>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center"/>
            </w:pPr>
            <w:r>
              <w:t>1.05</w:t>
            </w:r>
          </w:p>
        </w:tc>
      </w:tr>
    </w:tbl>
    <w:p w:rsidR="00BA67A1" w:rsidRDefault="00BA67A1">
      <w:pPr>
        <w:spacing w:line="480" w:lineRule="auto"/>
        <w:jc w:val="left"/>
      </w:pPr>
    </w:p>
    <w:p w:rsidR="00BA67A1" w:rsidRDefault="00000000">
      <w:pPr>
        <w:spacing w:before="0" w:after="0" w:line="480" w:lineRule="auto"/>
        <w:rPr>
          <w:sz w:val="24"/>
          <w:szCs w:val="24"/>
        </w:rPr>
      </w:pPr>
      <w:r>
        <w:rPr>
          <w:sz w:val="24"/>
          <w:szCs w:val="24"/>
        </w:rPr>
        <w:t xml:space="preserve">The table illustrates student’s attitude when seeking for Chat GPT’s assistance in giving feedback on their cohesion and coherence in </w:t>
      </w:r>
      <w:proofErr w:type="spellStart"/>
      <w:r>
        <w:rPr>
          <w:sz w:val="24"/>
          <w:szCs w:val="24"/>
        </w:rPr>
        <w:t>Ielts</w:t>
      </w:r>
      <w:proofErr w:type="spellEnd"/>
      <w:r>
        <w:rPr>
          <w:sz w:val="24"/>
          <w:szCs w:val="24"/>
        </w:rPr>
        <w:t xml:space="preserve"> Writing. Positive feedback such as “I feel that Chat GPT’s feedback is easy to understand &amp; apply”, “I intend to continue using </w:t>
      </w:r>
      <w:proofErr w:type="spellStart"/>
      <w:r>
        <w:rPr>
          <w:sz w:val="24"/>
          <w:szCs w:val="24"/>
        </w:rPr>
        <w:t>ChatGPT</w:t>
      </w:r>
      <w:proofErr w:type="spellEnd"/>
      <w:r>
        <w:rPr>
          <w:sz w:val="24"/>
          <w:szCs w:val="24"/>
        </w:rPr>
        <w:t xml:space="preserve">” and </w:t>
      </w:r>
      <w:proofErr w:type="gramStart"/>
      <w:r>
        <w:rPr>
          <w:sz w:val="24"/>
          <w:szCs w:val="24"/>
        </w:rPr>
        <w:t>“ I’m</w:t>
      </w:r>
      <w:proofErr w:type="gramEnd"/>
      <w:r>
        <w:rPr>
          <w:sz w:val="24"/>
          <w:szCs w:val="24"/>
        </w:rPr>
        <w:t xml:space="preserve"> excited when using </w:t>
      </w:r>
      <w:proofErr w:type="spellStart"/>
      <w:r>
        <w:rPr>
          <w:sz w:val="24"/>
          <w:szCs w:val="24"/>
        </w:rPr>
        <w:t>ChatGPT</w:t>
      </w:r>
      <w:proofErr w:type="spellEnd"/>
      <w:r>
        <w:rPr>
          <w:sz w:val="24"/>
          <w:szCs w:val="24"/>
        </w:rPr>
        <w:t xml:space="preserve"> to improve writing”, are approved by most of the correspondents, with their means are 4.00, 4.10 and 4.05 respectively. Notably, negative statements such as “</w:t>
      </w:r>
      <w:proofErr w:type="spellStart"/>
      <w:r>
        <w:rPr>
          <w:sz w:val="24"/>
          <w:szCs w:val="24"/>
        </w:rPr>
        <w:t>ChatGPT</w:t>
      </w:r>
      <w:proofErr w:type="spellEnd"/>
      <w:r>
        <w:rPr>
          <w:sz w:val="24"/>
          <w:szCs w:val="24"/>
        </w:rPr>
        <w:t xml:space="preserve"> is boring and monotonous” or “I feel demotivated when feedback is unclear” received relatively low levels of agreement.</w:t>
      </w:r>
    </w:p>
    <w:p w:rsidR="00BA67A1" w:rsidRDefault="00000000">
      <w:pPr>
        <w:spacing w:before="0" w:after="0" w:line="480" w:lineRule="auto"/>
        <w:ind w:firstLine="0"/>
        <w:rPr>
          <w:sz w:val="24"/>
          <w:szCs w:val="24"/>
        </w:rPr>
      </w:pPr>
      <w:r>
        <w:rPr>
          <w:b/>
          <w:bCs/>
          <w:sz w:val="24"/>
          <w:szCs w:val="24"/>
        </w:rPr>
        <w:t>Table 9</w:t>
      </w:r>
    </w:p>
    <w:p w:rsidR="00BA67A1" w:rsidRDefault="00000000">
      <w:pPr>
        <w:spacing w:before="0" w:after="0" w:line="480" w:lineRule="auto"/>
        <w:ind w:firstLine="0"/>
        <w:rPr>
          <w:sz w:val="24"/>
          <w:szCs w:val="24"/>
        </w:rPr>
      </w:pPr>
      <w:r>
        <w:rPr>
          <w:i/>
          <w:iCs/>
          <w:sz w:val="24"/>
          <w:szCs w:val="24"/>
        </w:rPr>
        <w:t>Student’s perceptions of Relevance and Usefulness</w:t>
      </w:r>
    </w:p>
    <w:tbl>
      <w:tblPr>
        <w:tblStyle w:val="a7"/>
        <w:tblW w:w="9222"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7470"/>
        <w:gridCol w:w="465"/>
        <w:gridCol w:w="660"/>
        <w:gridCol w:w="627"/>
      </w:tblGrid>
      <w:tr w:rsidR="00BA67A1">
        <w:trPr>
          <w:trHeight w:val="495"/>
        </w:trPr>
        <w:tc>
          <w:tcPr>
            <w:tcW w:w="7470" w:type="dxa"/>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rsidR="00BA67A1" w:rsidRDefault="00BA67A1">
            <w:pPr>
              <w:spacing w:line="240" w:lineRule="auto"/>
              <w:jc w:val="left"/>
            </w:pPr>
          </w:p>
        </w:tc>
        <w:tc>
          <w:tcPr>
            <w:tcW w:w="465" w:type="dxa"/>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n</w:t>
            </w:r>
          </w:p>
        </w:tc>
        <w:tc>
          <w:tcPr>
            <w:tcW w:w="660" w:type="dxa"/>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M</w:t>
            </w:r>
          </w:p>
        </w:tc>
        <w:tc>
          <w:tcPr>
            <w:tcW w:w="627" w:type="dxa"/>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S.D.</w:t>
            </w:r>
          </w:p>
        </w:tc>
      </w:tr>
      <w:tr w:rsidR="00BA67A1">
        <w:trPr>
          <w:trHeight w:val="330"/>
        </w:trPr>
        <w:tc>
          <w:tcPr>
            <w:tcW w:w="7470" w:type="dxa"/>
            <w:tcBorders>
              <w:top w:val="single" w:sz="6" w:space="0" w:color="000000"/>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 xml:space="preserve">Using </w:t>
            </w:r>
            <w:proofErr w:type="spellStart"/>
            <w:r>
              <w:t>ChatGPT</w:t>
            </w:r>
            <w:proofErr w:type="spellEnd"/>
            <w:r>
              <w:t xml:space="preserve"> saves me time when editing my writing</w:t>
            </w:r>
          </w:p>
        </w:tc>
        <w:tc>
          <w:tcPr>
            <w:tcW w:w="465" w:type="dxa"/>
            <w:tcBorders>
              <w:top w:val="single" w:sz="6" w:space="0" w:color="000000"/>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20</w:t>
            </w:r>
          </w:p>
        </w:tc>
        <w:tc>
          <w:tcPr>
            <w:tcW w:w="660" w:type="dxa"/>
            <w:tcBorders>
              <w:top w:val="single" w:sz="6" w:space="0" w:color="000000"/>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4.20</w:t>
            </w:r>
          </w:p>
        </w:tc>
        <w:tc>
          <w:tcPr>
            <w:tcW w:w="627" w:type="dxa"/>
            <w:tcBorders>
              <w:top w:val="single" w:sz="6" w:space="0" w:color="000000"/>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0.77</w:t>
            </w:r>
          </w:p>
        </w:tc>
      </w:tr>
      <w:tr w:rsidR="00BA67A1">
        <w:trPr>
          <w:trHeight w:val="540"/>
        </w:trPr>
        <w:tc>
          <w:tcPr>
            <w:tcW w:w="747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proofErr w:type="spellStart"/>
            <w:r>
              <w:t>ChatGPT</w:t>
            </w:r>
            <w:proofErr w:type="spellEnd"/>
            <w:r>
              <w:t xml:space="preserve"> gives useful suggestions to improve linking between sentences/paragraphs using cohesive devices</w:t>
            </w:r>
          </w:p>
        </w:tc>
        <w:tc>
          <w:tcPr>
            <w:tcW w:w="465"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20</w:t>
            </w:r>
          </w:p>
        </w:tc>
        <w:tc>
          <w:tcPr>
            <w:tcW w:w="66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4.20</w:t>
            </w:r>
          </w:p>
        </w:tc>
        <w:tc>
          <w:tcPr>
            <w:tcW w:w="627"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0.62</w:t>
            </w:r>
          </w:p>
        </w:tc>
      </w:tr>
      <w:tr w:rsidR="00BA67A1">
        <w:trPr>
          <w:trHeight w:val="540"/>
        </w:trPr>
        <w:tc>
          <w:tcPr>
            <w:tcW w:w="747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proofErr w:type="spellStart"/>
            <w:r>
              <w:t>ChatGPT</w:t>
            </w:r>
            <w:proofErr w:type="spellEnd"/>
            <w:r>
              <w:t xml:space="preserve"> helped me see whether my ideas are clearly organized and logically connected (coherence)</w:t>
            </w:r>
          </w:p>
        </w:tc>
        <w:tc>
          <w:tcPr>
            <w:tcW w:w="465"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20</w:t>
            </w:r>
          </w:p>
        </w:tc>
        <w:tc>
          <w:tcPr>
            <w:tcW w:w="66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4.00</w:t>
            </w:r>
          </w:p>
        </w:tc>
        <w:tc>
          <w:tcPr>
            <w:tcW w:w="627"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0.56</w:t>
            </w:r>
          </w:p>
        </w:tc>
      </w:tr>
      <w:tr w:rsidR="00BA67A1">
        <w:trPr>
          <w:trHeight w:val="540"/>
        </w:trPr>
        <w:tc>
          <w:tcPr>
            <w:tcW w:w="747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lastRenderedPageBreak/>
              <w:t>I am complete in control when revising based on feedback, using prompts and exploring coherence strategies</w:t>
            </w:r>
          </w:p>
        </w:tc>
        <w:tc>
          <w:tcPr>
            <w:tcW w:w="465"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20</w:t>
            </w:r>
          </w:p>
        </w:tc>
        <w:tc>
          <w:tcPr>
            <w:tcW w:w="66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3.90</w:t>
            </w:r>
          </w:p>
        </w:tc>
        <w:tc>
          <w:tcPr>
            <w:tcW w:w="627"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0.64</w:t>
            </w:r>
          </w:p>
        </w:tc>
      </w:tr>
      <w:tr w:rsidR="00BA67A1">
        <w:trPr>
          <w:trHeight w:val="555"/>
        </w:trPr>
        <w:tc>
          <w:tcPr>
            <w:tcW w:w="747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 xml:space="preserve">After using </w:t>
            </w:r>
            <w:proofErr w:type="spellStart"/>
            <w:r>
              <w:t>ChatGPT</w:t>
            </w:r>
            <w:proofErr w:type="spellEnd"/>
            <w:r>
              <w:t>, I can apply cohesion/coherence strategies to other essays without help</w:t>
            </w:r>
          </w:p>
        </w:tc>
        <w:tc>
          <w:tcPr>
            <w:tcW w:w="465"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20</w:t>
            </w:r>
          </w:p>
        </w:tc>
        <w:tc>
          <w:tcPr>
            <w:tcW w:w="66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3.85</w:t>
            </w:r>
          </w:p>
        </w:tc>
        <w:tc>
          <w:tcPr>
            <w:tcW w:w="627"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0.75</w:t>
            </w:r>
          </w:p>
        </w:tc>
      </w:tr>
      <w:tr w:rsidR="00BA67A1">
        <w:trPr>
          <w:trHeight w:val="540"/>
        </w:trPr>
        <w:tc>
          <w:tcPr>
            <w:tcW w:w="747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proofErr w:type="spellStart"/>
            <w:r>
              <w:t>ChatGPT's</w:t>
            </w:r>
            <w:proofErr w:type="spellEnd"/>
            <w:r>
              <w:t xml:space="preserve"> feedback is comparable to or better than peers/teachers in some cases</w:t>
            </w:r>
          </w:p>
        </w:tc>
        <w:tc>
          <w:tcPr>
            <w:tcW w:w="465"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20</w:t>
            </w:r>
          </w:p>
        </w:tc>
        <w:tc>
          <w:tcPr>
            <w:tcW w:w="660"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3.75</w:t>
            </w:r>
          </w:p>
        </w:tc>
        <w:tc>
          <w:tcPr>
            <w:tcW w:w="627" w:type="dxa"/>
            <w:tcBorders>
              <w:top w:val="nil"/>
              <w:left w:val="nil"/>
              <w:bottom w:val="nil"/>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0.72</w:t>
            </w:r>
          </w:p>
        </w:tc>
      </w:tr>
      <w:tr w:rsidR="00BA67A1">
        <w:trPr>
          <w:trHeight w:val="330"/>
        </w:trPr>
        <w:tc>
          <w:tcPr>
            <w:tcW w:w="7470" w:type="dxa"/>
            <w:tcBorders>
              <w:top w:val="nil"/>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proofErr w:type="spellStart"/>
            <w:r>
              <w:t>ChatGPT's</w:t>
            </w:r>
            <w:proofErr w:type="spellEnd"/>
            <w:r>
              <w:t xml:space="preserve"> feedback fits common contexts in IELTS Writing Task 2</w:t>
            </w:r>
          </w:p>
        </w:tc>
        <w:tc>
          <w:tcPr>
            <w:tcW w:w="465" w:type="dxa"/>
            <w:tcBorders>
              <w:top w:val="nil"/>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20</w:t>
            </w:r>
          </w:p>
        </w:tc>
        <w:tc>
          <w:tcPr>
            <w:tcW w:w="660" w:type="dxa"/>
            <w:tcBorders>
              <w:top w:val="nil"/>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3.70</w:t>
            </w:r>
          </w:p>
        </w:tc>
        <w:tc>
          <w:tcPr>
            <w:tcW w:w="627" w:type="dxa"/>
            <w:tcBorders>
              <w:top w:val="nil"/>
              <w:left w:val="nil"/>
              <w:bottom w:val="single" w:sz="6" w:space="0" w:color="000000"/>
              <w:right w:val="nil"/>
            </w:tcBorders>
            <w:shd w:val="clear" w:color="auto" w:fill="auto"/>
            <w:tcMar>
              <w:top w:w="0" w:type="dxa"/>
              <w:left w:w="100" w:type="dxa"/>
              <w:bottom w:w="0" w:type="dxa"/>
              <w:right w:w="100" w:type="dxa"/>
            </w:tcMar>
          </w:tcPr>
          <w:p w:rsidR="00BA67A1" w:rsidRDefault="00000000">
            <w:pPr>
              <w:spacing w:after="0" w:line="240" w:lineRule="auto"/>
              <w:ind w:firstLine="0"/>
              <w:jc w:val="left"/>
            </w:pPr>
            <w:r>
              <w:t>0.80</w:t>
            </w:r>
          </w:p>
        </w:tc>
      </w:tr>
    </w:tbl>
    <w:p w:rsidR="00BA67A1" w:rsidRDefault="00BA67A1">
      <w:pPr>
        <w:spacing w:after="0" w:line="480" w:lineRule="auto"/>
        <w:rPr>
          <w:sz w:val="24"/>
          <w:szCs w:val="24"/>
        </w:rPr>
      </w:pPr>
    </w:p>
    <w:p w:rsidR="00BA67A1" w:rsidRDefault="00000000">
      <w:pPr>
        <w:spacing w:before="0" w:after="120" w:line="480" w:lineRule="auto"/>
        <w:rPr>
          <w:color w:val="333333"/>
          <w:sz w:val="24"/>
          <w:szCs w:val="24"/>
          <w:highlight w:val="white"/>
        </w:rPr>
      </w:pPr>
      <w:r>
        <w:rPr>
          <w:sz w:val="24"/>
          <w:szCs w:val="24"/>
        </w:rPr>
        <w:t xml:space="preserve">Table 9 presents students' perceptions of the relevance and usefulness of </w:t>
      </w:r>
      <w:proofErr w:type="spellStart"/>
      <w:r>
        <w:rPr>
          <w:sz w:val="24"/>
          <w:szCs w:val="24"/>
        </w:rPr>
        <w:t>ChatGPT</w:t>
      </w:r>
      <w:proofErr w:type="spellEnd"/>
      <w:r>
        <w:rPr>
          <w:sz w:val="24"/>
          <w:szCs w:val="24"/>
        </w:rPr>
        <w:t xml:space="preserve"> in enhancing coherence and cohesion in writing. The data indicate that users highly value </w:t>
      </w:r>
      <w:proofErr w:type="spellStart"/>
      <w:r>
        <w:rPr>
          <w:sz w:val="24"/>
          <w:szCs w:val="24"/>
        </w:rPr>
        <w:t>ChatGPT</w:t>
      </w:r>
      <w:proofErr w:type="spellEnd"/>
      <w:r>
        <w:rPr>
          <w:sz w:val="24"/>
          <w:szCs w:val="24"/>
        </w:rPr>
        <w:t xml:space="preserve"> for its time-saving benefits (M = 4.20) and its helpful suggestions for improving cohesion through the use of linking devices (M = 4.20). Other aspects, such as its ability to help students examine the coherence of their writing (M = 4.00) and the opportunity to actively engage with </w:t>
      </w:r>
      <w:proofErr w:type="spellStart"/>
      <w:r>
        <w:rPr>
          <w:sz w:val="24"/>
          <w:szCs w:val="24"/>
        </w:rPr>
        <w:t>ChatGPT</w:t>
      </w:r>
      <w:proofErr w:type="spellEnd"/>
      <w:r>
        <w:rPr>
          <w:sz w:val="24"/>
          <w:szCs w:val="24"/>
        </w:rPr>
        <w:t xml:space="preserve"> using prompts to revise essays (M = 3.90), also received strong approval. However, perceptions regarding </w:t>
      </w:r>
      <w:proofErr w:type="spellStart"/>
      <w:r>
        <w:rPr>
          <w:sz w:val="24"/>
          <w:szCs w:val="24"/>
        </w:rPr>
        <w:t>ChatGPT’s</w:t>
      </w:r>
      <w:proofErr w:type="spellEnd"/>
      <w:r>
        <w:rPr>
          <w:sz w:val="24"/>
          <w:szCs w:val="24"/>
        </w:rPr>
        <w:t xml:space="preserve"> independence are more reserved. Statements like “</w:t>
      </w:r>
      <w:proofErr w:type="spellStart"/>
      <w:r>
        <w:rPr>
          <w:sz w:val="24"/>
          <w:szCs w:val="24"/>
        </w:rPr>
        <w:t>ChatGPT's</w:t>
      </w:r>
      <w:proofErr w:type="spellEnd"/>
      <w:r>
        <w:rPr>
          <w:sz w:val="24"/>
          <w:szCs w:val="24"/>
        </w:rPr>
        <w:t xml:space="preserve"> feedback is comparable to or better than peers/teachers in some cases” (M = 3.75) and “After using </w:t>
      </w:r>
      <w:proofErr w:type="spellStart"/>
      <w:r>
        <w:rPr>
          <w:sz w:val="24"/>
          <w:szCs w:val="24"/>
        </w:rPr>
        <w:t>ChatGPT</w:t>
      </w:r>
      <w:proofErr w:type="spellEnd"/>
      <w:r>
        <w:rPr>
          <w:sz w:val="24"/>
          <w:szCs w:val="24"/>
        </w:rPr>
        <w:t xml:space="preserve">, I can apply cohesion and coherence strategies to other essays without help” (M = 3.85) received comparatively lower ratings. These findings suggest that students view </w:t>
      </w:r>
      <w:proofErr w:type="spellStart"/>
      <w:r>
        <w:rPr>
          <w:sz w:val="24"/>
          <w:szCs w:val="24"/>
        </w:rPr>
        <w:t>ChatGPT</w:t>
      </w:r>
      <w:proofErr w:type="spellEnd"/>
      <w:r>
        <w:rPr>
          <w:sz w:val="24"/>
          <w:szCs w:val="24"/>
        </w:rPr>
        <w:t xml:space="preserve"> primarily as a supplementary tool rather than a full replacement for traditional instruction or peer feedback.</w:t>
      </w:r>
    </w:p>
    <w:p w:rsidR="00BA67A1" w:rsidRDefault="00000000">
      <w:pPr>
        <w:keepNext/>
        <w:pBdr>
          <w:top w:val="nil"/>
          <w:left w:val="nil"/>
          <w:bottom w:val="nil"/>
          <w:right w:val="nil"/>
          <w:between w:val="nil"/>
        </w:pBdr>
        <w:spacing w:before="240" w:after="0"/>
        <w:ind w:left="284" w:hanging="284"/>
        <w:jc w:val="center"/>
        <w:rPr>
          <w:b/>
          <w:bCs/>
          <w:color w:val="000000"/>
          <w:sz w:val="24"/>
          <w:szCs w:val="24"/>
        </w:rPr>
      </w:pPr>
      <w:r>
        <w:rPr>
          <w:b/>
          <w:bCs/>
          <w:color w:val="000000"/>
          <w:sz w:val="24"/>
          <w:szCs w:val="24"/>
        </w:rPr>
        <w:t xml:space="preserve">5. Discussion </w:t>
      </w:r>
    </w:p>
    <w:p w:rsidR="00BA67A1" w:rsidRDefault="00000000">
      <w:pPr>
        <w:spacing w:before="0" w:after="120" w:line="480" w:lineRule="auto"/>
        <w:rPr>
          <w:sz w:val="24"/>
          <w:szCs w:val="24"/>
        </w:rPr>
      </w:pPr>
      <w:r>
        <w:rPr>
          <w:sz w:val="24"/>
          <w:szCs w:val="24"/>
        </w:rPr>
        <w:t xml:space="preserve">The findings from the essay versions and questionnaire offer valuable insights into the efficacy of using </w:t>
      </w:r>
      <w:proofErr w:type="spellStart"/>
      <w:r>
        <w:rPr>
          <w:sz w:val="24"/>
          <w:szCs w:val="24"/>
        </w:rPr>
        <w:t>ChatGPT</w:t>
      </w:r>
      <w:proofErr w:type="spellEnd"/>
      <w:r>
        <w:rPr>
          <w:sz w:val="24"/>
          <w:szCs w:val="24"/>
        </w:rPr>
        <w:t xml:space="preserve"> as a tool for enhancing coherence and cohesion in academic writing. Notably, learners demonstrated a statistically significant improvement in coherence and cohesion following the intervention (W = 210.0, z = 3.92, p &lt; .001), with a very large effect size (rank-biserial correlation = 1.00). This empirical progress directly supports </w:t>
      </w:r>
      <w:proofErr w:type="spellStart"/>
      <w:r>
        <w:rPr>
          <w:sz w:val="24"/>
          <w:szCs w:val="24"/>
        </w:rPr>
        <w:t>Javahery’s</w:t>
      </w:r>
      <w:proofErr w:type="spellEnd"/>
      <w:r>
        <w:rPr>
          <w:sz w:val="24"/>
          <w:szCs w:val="24"/>
        </w:rPr>
        <w:t xml:space="preserve"> (2025) assertion that mastering logical progression and cohesive devices is essential to break the Band 6 threshold. These improvements also parallel previous research demonstrating that </w:t>
      </w:r>
      <w:r>
        <w:rPr>
          <w:sz w:val="24"/>
          <w:szCs w:val="24"/>
        </w:rPr>
        <w:lastRenderedPageBreak/>
        <w:t>focused instruction and practice can significantly enhance learners’ discourse competence and coherence (</w:t>
      </w:r>
      <w:proofErr w:type="spellStart"/>
      <w:r>
        <w:rPr>
          <w:sz w:val="24"/>
          <w:szCs w:val="24"/>
        </w:rPr>
        <w:t>Weigle</w:t>
      </w:r>
      <w:proofErr w:type="spellEnd"/>
      <w:r>
        <w:rPr>
          <w:sz w:val="24"/>
          <w:szCs w:val="24"/>
        </w:rPr>
        <w:t xml:space="preserve">, 2013).  </w:t>
      </w:r>
    </w:p>
    <w:p w:rsidR="00BA67A1" w:rsidRDefault="00000000">
      <w:pPr>
        <w:spacing w:before="0" w:after="120" w:line="480" w:lineRule="auto"/>
        <w:rPr>
          <w:sz w:val="24"/>
          <w:szCs w:val="24"/>
        </w:rPr>
      </w:pPr>
      <w:r>
        <w:rPr>
          <w:sz w:val="24"/>
          <w:szCs w:val="24"/>
        </w:rPr>
        <w:t>Post-test essays revealed clearer paragraphing, smoother transitions between ideas, and more varied and accurate use of cohesive devices compared to pre-test essays, reflecting real progress toward higher IELTS band descriptor expectations (Taylor &amp; Wigglesworth, 2009). The reduction in cohesion and coherence errors appears to stem from explicit, example-driven feedback provided by AI tools. Students’ shift from overusing basic connectors to employing a broader range of cohesive devices indicates a deeper understanding of how these elements function in academic writing. This outcome shares similarities with Crossley et al. (2016), who argued that effective feedback on cohesion requires not merely pointing out errors but modeling alternative cohesive strategies, something generative AI was particularly skilled at delivering.</w:t>
      </w:r>
    </w:p>
    <w:p w:rsidR="00BA67A1" w:rsidRDefault="00000000">
      <w:pPr>
        <w:spacing w:before="0" w:after="120" w:line="480" w:lineRule="auto"/>
        <w:rPr>
          <w:sz w:val="24"/>
          <w:szCs w:val="24"/>
        </w:rPr>
      </w:pPr>
      <w:r>
        <w:rPr>
          <w:sz w:val="24"/>
          <w:szCs w:val="24"/>
        </w:rPr>
        <w:t xml:space="preserve">The questionnaire results further underscore the growing prevalence of AI tools in language learning, with most of the students reporting frequent use of such technologies to study English. This reflects a broader shift toward technology-driven learning methodologies. Students primarily used </w:t>
      </w:r>
      <w:proofErr w:type="spellStart"/>
      <w:r>
        <w:rPr>
          <w:sz w:val="24"/>
          <w:szCs w:val="24"/>
        </w:rPr>
        <w:t>ChatGPT</w:t>
      </w:r>
      <w:proofErr w:type="spellEnd"/>
      <w:r>
        <w:rPr>
          <w:sz w:val="24"/>
          <w:szCs w:val="24"/>
        </w:rPr>
        <w:t xml:space="preserve"> to detect and revise inappropriate linking errors and to find suitable collocations. In addition, some writing aspects, including linking ideas, organizing paragraph structure and better logical flow, have been </w:t>
      </w:r>
      <w:proofErr w:type="gramStart"/>
      <w:r>
        <w:rPr>
          <w:sz w:val="24"/>
          <w:szCs w:val="24"/>
        </w:rPr>
        <w:t>reported  to</w:t>
      </w:r>
      <w:proofErr w:type="gramEnd"/>
      <w:r>
        <w:rPr>
          <w:sz w:val="24"/>
          <w:szCs w:val="24"/>
        </w:rPr>
        <w:t xml:space="preserve"> improve significantly by students. These improvements align with the findings of </w:t>
      </w:r>
      <w:proofErr w:type="spellStart"/>
      <w:r>
        <w:rPr>
          <w:sz w:val="24"/>
          <w:szCs w:val="24"/>
        </w:rPr>
        <w:t>Sekewael</w:t>
      </w:r>
      <w:proofErr w:type="spellEnd"/>
      <w:r>
        <w:rPr>
          <w:sz w:val="24"/>
          <w:szCs w:val="24"/>
        </w:rPr>
        <w:t xml:space="preserve"> and </w:t>
      </w:r>
      <w:proofErr w:type="spellStart"/>
      <w:r>
        <w:rPr>
          <w:sz w:val="24"/>
          <w:szCs w:val="24"/>
        </w:rPr>
        <w:t>Anaktototy</w:t>
      </w:r>
      <w:proofErr w:type="spellEnd"/>
      <w:r>
        <w:rPr>
          <w:sz w:val="24"/>
          <w:szCs w:val="24"/>
        </w:rPr>
        <w:t xml:space="preserve"> (2024) which advocate that feedback from </w:t>
      </w:r>
      <w:proofErr w:type="spellStart"/>
      <w:r>
        <w:rPr>
          <w:sz w:val="24"/>
          <w:szCs w:val="24"/>
        </w:rPr>
        <w:t>ChatGPT</w:t>
      </w:r>
      <w:proofErr w:type="spellEnd"/>
      <w:r>
        <w:rPr>
          <w:sz w:val="24"/>
          <w:szCs w:val="24"/>
        </w:rPr>
        <w:t xml:space="preserve"> can bolster coherence and cohesion in writing. One prominent merit of </w:t>
      </w:r>
      <w:proofErr w:type="spellStart"/>
      <w:r>
        <w:rPr>
          <w:sz w:val="24"/>
          <w:szCs w:val="24"/>
        </w:rPr>
        <w:t>ChatGPT</w:t>
      </w:r>
      <w:proofErr w:type="spellEnd"/>
      <w:r>
        <w:rPr>
          <w:sz w:val="24"/>
          <w:szCs w:val="24"/>
        </w:rPr>
        <w:t xml:space="preserve"> pointed out by the students is rapid response time, which is perceived as less time-consuming compared to traditional feedback methods from teachers or peers. Regarding future use, the majority of students expressed a positive intention to continue using </w:t>
      </w:r>
      <w:proofErr w:type="spellStart"/>
      <w:r>
        <w:rPr>
          <w:sz w:val="24"/>
          <w:szCs w:val="24"/>
        </w:rPr>
        <w:t>ChatGPT</w:t>
      </w:r>
      <w:proofErr w:type="spellEnd"/>
      <w:r>
        <w:rPr>
          <w:sz w:val="24"/>
          <w:szCs w:val="24"/>
        </w:rPr>
        <w:t xml:space="preserve"> as a scaffolding tool. However, some concerns were still raised about the accuracy of the feedback provided, with 14.3% of respondents expressing skepticism. This </w:t>
      </w:r>
      <w:r>
        <w:rPr>
          <w:sz w:val="24"/>
          <w:szCs w:val="24"/>
        </w:rPr>
        <w:lastRenderedPageBreak/>
        <w:t>posits that the limitation of AI tools must be underscored and that students must apply critical thinking when engaging with AI feedback to ensure its relevance and reliability.</w:t>
      </w:r>
    </w:p>
    <w:p w:rsidR="00BA67A1" w:rsidRDefault="00000000">
      <w:pPr>
        <w:spacing w:before="0" w:after="120" w:line="480" w:lineRule="auto"/>
        <w:rPr>
          <w:sz w:val="24"/>
          <w:szCs w:val="24"/>
        </w:rPr>
      </w:pPr>
      <w:r>
        <w:rPr>
          <w:sz w:val="24"/>
          <w:szCs w:val="24"/>
        </w:rPr>
        <w:t xml:space="preserve">Even though the relevance and usefulness of </w:t>
      </w:r>
      <w:proofErr w:type="spellStart"/>
      <w:r>
        <w:rPr>
          <w:sz w:val="24"/>
          <w:szCs w:val="24"/>
        </w:rPr>
        <w:t>ChatGPT</w:t>
      </w:r>
      <w:proofErr w:type="spellEnd"/>
      <w:r>
        <w:rPr>
          <w:sz w:val="24"/>
          <w:szCs w:val="24"/>
        </w:rPr>
        <w:t xml:space="preserve"> affirms its role as a supplementary tool, the lower ratings concerning the independence of </w:t>
      </w:r>
      <w:proofErr w:type="spellStart"/>
      <w:r>
        <w:rPr>
          <w:sz w:val="24"/>
          <w:szCs w:val="24"/>
        </w:rPr>
        <w:t>ChatGPT's</w:t>
      </w:r>
      <w:proofErr w:type="spellEnd"/>
      <w:r>
        <w:rPr>
          <w:sz w:val="24"/>
          <w:szCs w:val="24"/>
        </w:rPr>
        <w:t xml:space="preserve"> feedback indicate that students still see traditional instruction and peer feedback as essential components of their learning journey. This suggests that while AI can enhance writing skills, it should complement rather than replace existing pedagogical practices. </w:t>
      </w:r>
    </w:p>
    <w:p w:rsidR="00BA67A1" w:rsidRDefault="00000000">
      <w:pPr>
        <w:keepNext/>
        <w:pBdr>
          <w:top w:val="nil"/>
          <w:left w:val="nil"/>
          <w:bottom w:val="nil"/>
          <w:right w:val="nil"/>
          <w:between w:val="nil"/>
        </w:pBdr>
        <w:spacing w:before="240" w:after="0"/>
        <w:ind w:left="284" w:hanging="284"/>
        <w:jc w:val="center"/>
        <w:rPr>
          <w:b/>
          <w:bCs/>
          <w:color w:val="000000"/>
          <w:sz w:val="24"/>
          <w:szCs w:val="24"/>
        </w:rPr>
      </w:pPr>
      <w:r>
        <w:rPr>
          <w:b/>
          <w:bCs/>
          <w:color w:val="000000"/>
          <w:sz w:val="24"/>
          <w:szCs w:val="24"/>
        </w:rPr>
        <w:t>6. Conclusion</w:t>
      </w:r>
    </w:p>
    <w:p w:rsidR="00BA67A1" w:rsidRDefault="00000000">
      <w:pPr>
        <w:spacing w:before="0" w:after="120" w:line="480" w:lineRule="auto"/>
        <w:rPr>
          <w:sz w:val="24"/>
          <w:szCs w:val="24"/>
        </w:rPr>
      </w:pPr>
      <w:r>
        <w:rPr>
          <w:sz w:val="24"/>
          <w:szCs w:val="24"/>
        </w:rPr>
        <w:t>This study sets out to examine the potential of generative AI feedback in enhancing coherence and cohesion in IELTS writing, a domain where candidates often struggle due to limited awareness of textual organization and logical flow. By investigating learners’ engagement with AI-mediated feedback, the research provides valuable insights into how emerging technologies can augment traditional pedagogical practices in high-stakes second language (L2) writing contexts.</w:t>
      </w:r>
    </w:p>
    <w:p w:rsidR="00BA67A1" w:rsidRDefault="00000000">
      <w:pPr>
        <w:spacing w:before="0" w:after="120" w:line="480" w:lineRule="auto"/>
        <w:rPr>
          <w:sz w:val="24"/>
          <w:szCs w:val="24"/>
        </w:rPr>
      </w:pPr>
      <w:r>
        <w:rPr>
          <w:sz w:val="24"/>
          <w:szCs w:val="24"/>
        </w:rPr>
        <w:t xml:space="preserve">One of the central findings is that generative AI feedback, when applied thoughtfully, can support learners in addressing weaknesses in textual cohesion and overall logical structure. Unlike traditional forms of corrective feedback, which often focus on grammar, vocabulary, and surface-level errors (Ferris, 2010; </w:t>
      </w:r>
      <w:proofErr w:type="spellStart"/>
      <w:r>
        <w:rPr>
          <w:sz w:val="24"/>
          <w:szCs w:val="24"/>
        </w:rPr>
        <w:t>Bitchener</w:t>
      </w:r>
      <w:proofErr w:type="spellEnd"/>
      <w:r>
        <w:rPr>
          <w:sz w:val="24"/>
          <w:szCs w:val="24"/>
        </w:rPr>
        <w:t xml:space="preserve"> &amp; Ferris, 2012), generative AI has the capacity to draw learners’ attention to discourse-level issues, including transitions, thematic progression, and paragraph unity. This aligns with Hyland’s (2005) assertion that successful academic writing requires more than accurate grammar; it requires the ability to construct coherent arguments and manage reader expectations effectively.</w:t>
      </w:r>
    </w:p>
    <w:p w:rsidR="00BA67A1" w:rsidRDefault="00000000">
      <w:pPr>
        <w:spacing w:before="0" w:after="120" w:line="480" w:lineRule="auto"/>
        <w:rPr>
          <w:sz w:val="24"/>
          <w:szCs w:val="24"/>
        </w:rPr>
      </w:pPr>
      <w:r>
        <w:rPr>
          <w:sz w:val="24"/>
          <w:szCs w:val="24"/>
        </w:rPr>
        <w:t xml:space="preserve">The findings also indicate that generative AI feedback fosters learner autonomy by providing immediate, </w:t>
      </w:r>
      <w:proofErr w:type="spellStart"/>
      <w:r>
        <w:rPr>
          <w:sz w:val="24"/>
          <w:szCs w:val="24"/>
        </w:rPr>
        <w:t>individualised</w:t>
      </w:r>
      <w:proofErr w:type="spellEnd"/>
      <w:r>
        <w:rPr>
          <w:sz w:val="24"/>
          <w:szCs w:val="24"/>
        </w:rPr>
        <w:t>, and non-judgmental suggestions. Previous studies on automated writing evaluation (AWE) systems such as Grammarly (</w:t>
      </w:r>
      <w:proofErr w:type="spellStart"/>
      <w:r>
        <w:rPr>
          <w:sz w:val="24"/>
          <w:szCs w:val="24"/>
        </w:rPr>
        <w:t>Dizon</w:t>
      </w:r>
      <w:proofErr w:type="spellEnd"/>
      <w:r>
        <w:rPr>
          <w:sz w:val="24"/>
          <w:szCs w:val="24"/>
        </w:rPr>
        <w:t xml:space="preserve"> &amp; </w:t>
      </w:r>
      <w:proofErr w:type="spellStart"/>
      <w:r>
        <w:rPr>
          <w:sz w:val="24"/>
          <w:szCs w:val="24"/>
        </w:rPr>
        <w:t>Gayed</w:t>
      </w:r>
      <w:proofErr w:type="spellEnd"/>
      <w:r>
        <w:rPr>
          <w:sz w:val="24"/>
          <w:szCs w:val="24"/>
        </w:rPr>
        <w:t xml:space="preserve">, 2024) </w:t>
      </w:r>
      <w:r>
        <w:rPr>
          <w:sz w:val="24"/>
          <w:szCs w:val="24"/>
        </w:rPr>
        <w:lastRenderedPageBreak/>
        <w:t xml:space="preserve">stressed the benefits of timely feedback, but these systems were often limited to fixed error categories. In contrast, generative AI tools can simulate dialogic interaction and </w:t>
      </w:r>
      <w:proofErr w:type="spellStart"/>
      <w:r>
        <w:rPr>
          <w:sz w:val="24"/>
          <w:szCs w:val="24"/>
        </w:rPr>
        <w:t>contextualise</w:t>
      </w:r>
      <w:proofErr w:type="spellEnd"/>
      <w:r>
        <w:rPr>
          <w:sz w:val="24"/>
          <w:szCs w:val="24"/>
        </w:rPr>
        <w:t xml:space="preserve"> feedback within learners’ specific writing tasks (</w:t>
      </w:r>
      <w:proofErr w:type="spellStart"/>
      <w:r>
        <w:rPr>
          <w:sz w:val="24"/>
          <w:szCs w:val="24"/>
        </w:rPr>
        <w:t>Asadi</w:t>
      </w:r>
      <w:proofErr w:type="spellEnd"/>
      <w:r>
        <w:rPr>
          <w:sz w:val="24"/>
          <w:szCs w:val="24"/>
        </w:rPr>
        <w:t xml:space="preserve"> et al., 2025). This adaptability allows learners to revise more strategically, thereby engaging in deeper processing of writing practices.</w:t>
      </w:r>
    </w:p>
    <w:p w:rsidR="00BA67A1" w:rsidRDefault="00000000">
      <w:pPr>
        <w:spacing w:before="0" w:after="120" w:line="480" w:lineRule="auto"/>
        <w:rPr>
          <w:sz w:val="24"/>
          <w:szCs w:val="24"/>
        </w:rPr>
      </w:pPr>
      <w:r>
        <w:rPr>
          <w:sz w:val="24"/>
          <w:szCs w:val="24"/>
        </w:rPr>
        <w:t>However, the integration of generative AI feedback is not without limitations. While learners benefited from guidance on coherence and cohesion, challenges arose in terms of overreliance and the potential for learners to adopt AI-generated suggestions uncritically. This concern resonates with broader debates in applied linguistics regarding the balance between scaffolding and learner agency (</w:t>
      </w:r>
      <w:proofErr w:type="spellStart"/>
      <w:r>
        <w:rPr>
          <w:sz w:val="24"/>
          <w:szCs w:val="24"/>
        </w:rPr>
        <w:t>Ushioda</w:t>
      </w:r>
      <w:proofErr w:type="spellEnd"/>
      <w:r>
        <w:rPr>
          <w:sz w:val="24"/>
          <w:szCs w:val="24"/>
        </w:rPr>
        <w:t xml:space="preserve">, 2020; </w:t>
      </w:r>
      <w:proofErr w:type="spellStart"/>
      <w:r>
        <w:rPr>
          <w:sz w:val="24"/>
          <w:szCs w:val="24"/>
        </w:rPr>
        <w:t>Warschauer</w:t>
      </w:r>
      <w:proofErr w:type="spellEnd"/>
      <w:r>
        <w:rPr>
          <w:sz w:val="24"/>
          <w:szCs w:val="24"/>
        </w:rPr>
        <w:t xml:space="preserve"> &amp; </w:t>
      </w:r>
      <w:proofErr w:type="spellStart"/>
      <w:r>
        <w:rPr>
          <w:sz w:val="24"/>
          <w:szCs w:val="24"/>
        </w:rPr>
        <w:t>Liaw</w:t>
      </w:r>
      <w:proofErr w:type="spellEnd"/>
      <w:r>
        <w:rPr>
          <w:sz w:val="24"/>
          <w:szCs w:val="24"/>
        </w:rPr>
        <w:t>, 2011). Educators must therefore frame AI tools as complements, not substitutes, for critical engagement with writing. This highlights the importance of teacher mediation in helping students interpret and evaluate AI-generated feedback.</w:t>
      </w:r>
    </w:p>
    <w:p w:rsidR="00BA67A1" w:rsidRDefault="00000000">
      <w:pPr>
        <w:spacing w:before="0" w:after="120" w:line="480" w:lineRule="auto"/>
        <w:rPr>
          <w:color w:val="000000"/>
          <w:sz w:val="24"/>
          <w:szCs w:val="24"/>
        </w:rPr>
      </w:pPr>
      <w:r>
        <w:rPr>
          <w:sz w:val="24"/>
          <w:szCs w:val="24"/>
        </w:rPr>
        <w:t xml:space="preserve">Future research should expand on these findings by examining the long-term effects of AI-assisted practice on IELTS Writing Task 2 performance, particularly whether improvements in coherence and cohesion transfer to other academic or professional writing contexts. In addition, it is important to investigate ethical considerations, such as the potential risk of </w:t>
      </w:r>
      <w:proofErr w:type="spellStart"/>
      <w:r>
        <w:rPr>
          <w:sz w:val="24"/>
          <w:szCs w:val="24"/>
        </w:rPr>
        <w:t>standardising</w:t>
      </w:r>
      <w:proofErr w:type="spellEnd"/>
      <w:r>
        <w:rPr>
          <w:sz w:val="24"/>
          <w:szCs w:val="24"/>
        </w:rPr>
        <w:t xml:space="preserve"> or </w:t>
      </w:r>
      <w:proofErr w:type="spellStart"/>
      <w:r>
        <w:rPr>
          <w:sz w:val="24"/>
          <w:szCs w:val="24"/>
        </w:rPr>
        <w:t>synthesising</w:t>
      </w:r>
      <w:proofErr w:type="spellEnd"/>
      <w:r>
        <w:rPr>
          <w:sz w:val="24"/>
          <w:szCs w:val="24"/>
        </w:rPr>
        <w:t xml:space="preserve"> learners’ writing styles. Combining generative AI feedback with explicit writing instruction and peer collaboration may offer a balanced and effective approach to enhancing learners’ writing development.</w:t>
      </w:r>
    </w:p>
    <w:p w:rsidR="00BA67A1" w:rsidRDefault="00000000">
      <w:pPr>
        <w:keepNext/>
        <w:pBdr>
          <w:top w:val="nil"/>
          <w:left w:val="nil"/>
          <w:bottom w:val="nil"/>
          <w:right w:val="nil"/>
          <w:between w:val="nil"/>
        </w:pBdr>
        <w:spacing w:before="240" w:after="0"/>
        <w:ind w:left="284" w:hanging="284"/>
        <w:rPr>
          <w:b/>
          <w:bCs/>
          <w:color w:val="000000"/>
          <w:sz w:val="24"/>
          <w:szCs w:val="24"/>
        </w:rPr>
      </w:pPr>
      <w:r>
        <w:rPr>
          <w:b/>
          <w:bCs/>
          <w:color w:val="000000"/>
          <w:sz w:val="24"/>
          <w:szCs w:val="24"/>
        </w:rPr>
        <w:t>References</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Anindita</w:t>
      </w:r>
      <w:proofErr w:type="spellEnd"/>
      <w:r>
        <w:rPr>
          <w:sz w:val="24"/>
          <w:szCs w:val="24"/>
          <w:highlight w:val="white"/>
        </w:rPr>
        <w:t xml:space="preserve">, W. K. (2024). Cohesion and Coherence Problems Among Non-Native English Students’ Writing Essays. </w:t>
      </w:r>
      <w:proofErr w:type="spellStart"/>
      <w:r>
        <w:rPr>
          <w:i/>
          <w:iCs/>
          <w:sz w:val="24"/>
          <w:szCs w:val="24"/>
          <w:highlight w:val="white"/>
        </w:rPr>
        <w:t>Lensa</w:t>
      </w:r>
      <w:proofErr w:type="spellEnd"/>
      <w:r>
        <w:rPr>
          <w:sz w:val="24"/>
          <w:szCs w:val="24"/>
          <w:highlight w:val="white"/>
        </w:rPr>
        <w:t xml:space="preserve">, </w:t>
      </w:r>
      <w:r>
        <w:rPr>
          <w:i/>
          <w:iCs/>
          <w:sz w:val="24"/>
          <w:szCs w:val="24"/>
          <w:highlight w:val="white"/>
        </w:rPr>
        <w:t>14</w:t>
      </w:r>
      <w:r>
        <w:rPr>
          <w:sz w:val="24"/>
          <w:szCs w:val="24"/>
          <w:highlight w:val="white"/>
        </w:rPr>
        <w:t xml:space="preserve">(1), 58. </w:t>
      </w:r>
      <w:hyperlink r:id="rId8">
        <w:r>
          <w:rPr>
            <w:color w:val="1155CC"/>
            <w:sz w:val="24"/>
            <w:szCs w:val="24"/>
            <w:highlight w:val="white"/>
            <w:u w:val="single"/>
          </w:rPr>
          <w:t>https://doi.org/10.26714/lensa.14.1.2024.58-79</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Asadi</w:t>
      </w:r>
      <w:proofErr w:type="spellEnd"/>
      <w:r>
        <w:rPr>
          <w:sz w:val="24"/>
          <w:szCs w:val="24"/>
          <w:highlight w:val="white"/>
        </w:rPr>
        <w:t xml:space="preserve">, M., </w:t>
      </w:r>
      <w:proofErr w:type="spellStart"/>
      <w:r>
        <w:rPr>
          <w:sz w:val="24"/>
          <w:szCs w:val="24"/>
          <w:highlight w:val="white"/>
        </w:rPr>
        <w:t>Ebadi</w:t>
      </w:r>
      <w:proofErr w:type="spellEnd"/>
      <w:r>
        <w:rPr>
          <w:sz w:val="24"/>
          <w:szCs w:val="24"/>
          <w:highlight w:val="white"/>
        </w:rPr>
        <w:t xml:space="preserve">, S., &amp; Mohammadi, L. (2025). The impact of integrating </w:t>
      </w:r>
      <w:proofErr w:type="spellStart"/>
      <w:r>
        <w:rPr>
          <w:sz w:val="24"/>
          <w:szCs w:val="24"/>
          <w:highlight w:val="white"/>
        </w:rPr>
        <w:t>ChatGPT</w:t>
      </w:r>
      <w:proofErr w:type="spellEnd"/>
      <w:r>
        <w:rPr>
          <w:sz w:val="24"/>
          <w:szCs w:val="24"/>
          <w:highlight w:val="white"/>
        </w:rPr>
        <w:t xml:space="preserve"> with teachers’ feedback on EFL writing skills. </w:t>
      </w:r>
      <w:r>
        <w:rPr>
          <w:i/>
          <w:iCs/>
          <w:sz w:val="24"/>
          <w:szCs w:val="24"/>
          <w:highlight w:val="white"/>
        </w:rPr>
        <w:t>Thinking Skills and Creativity</w:t>
      </w:r>
      <w:r>
        <w:rPr>
          <w:sz w:val="24"/>
          <w:szCs w:val="24"/>
          <w:highlight w:val="white"/>
        </w:rPr>
        <w:t xml:space="preserve">, </w:t>
      </w:r>
      <w:r>
        <w:rPr>
          <w:i/>
          <w:iCs/>
          <w:sz w:val="24"/>
          <w:szCs w:val="24"/>
          <w:highlight w:val="white"/>
        </w:rPr>
        <w:t>56</w:t>
      </w:r>
      <w:r>
        <w:rPr>
          <w:sz w:val="24"/>
          <w:szCs w:val="24"/>
          <w:highlight w:val="white"/>
        </w:rPr>
        <w:t xml:space="preserve">, 101766. </w:t>
      </w:r>
      <w:hyperlink r:id="rId9">
        <w:r>
          <w:rPr>
            <w:color w:val="1155CC"/>
            <w:sz w:val="24"/>
            <w:szCs w:val="24"/>
            <w:highlight w:val="white"/>
            <w:u w:val="single"/>
          </w:rPr>
          <w:t>https://doi.org/10.1016/j.tsc.2025.101766</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lastRenderedPageBreak/>
        <w:t xml:space="preserve">Banerjee, J., &amp; Wall, D. (2006). Assessing and reporting performances on pre-sessional EAP courses: Developing a final assessment checklist and investigating its validity. </w:t>
      </w:r>
      <w:r>
        <w:rPr>
          <w:i/>
          <w:iCs/>
          <w:sz w:val="24"/>
          <w:szCs w:val="24"/>
          <w:highlight w:val="white"/>
        </w:rPr>
        <w:t>Journal of English for Academic Purposes, 5</w:t>
      </w:r>
      <w:r>
        <w:rPr>
          <w:sz w:val="24"/>
          <w:szCs w:val="24"/>
          <w:highlight w:val="white"/>
        </w:rPr>
        <w:t xml:space="preserve">(1), 50–69. </w:t>
      </w:r>
      <w:hyperlink r:id="rId10">
        <w:r>
          <w:rPr>
            <w:color w:val="1155CC"/>
            <w:sz w:val="24"/>
            <w:szCs w:val="24"/>
            <w:highlight w:val="white"/>
            <w:u w:val="single"/>
          </w:rPr>
          <w:t>https://doi.org/10.1016/j.jeap.2005.11.003</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Banihashem</w:t>
      </w:r>
      <w:proofErr w:type="spellEnd"/>
      <w:r>
        <w:rPr>
          <w:sz w:val="24"/>
          <w:szCs w:val="24"/>
          <w:highlight w:val="white"/>
        </w:rPr>
        <w:t xml:space="preserve">, S. K., Kerman, N. T., </w:t>
      </w:r>
      <w:proofErr w:type="spellStart"/>
      <w:r>
        <w:rPr>
          <w:sz w:val="24"/>
          <w:szCs w:val="24"/>
          <w:highlight w:val="white"/>
        </w:rPr>
        <w:t>Noroozi</w:t>
      </w:r>
      <w:proofErr w:type="spellEnd"/>
      <w:r>
        <w:rPr>
          <w:sz w:val="24"/>
          <w:szCs w:val="24"/>
          <w:highlight w:val="white"/>
        </w:rPr>
        <w:t xml:space="preserve">, O., Moon, J., &amp; </w:t>
      </w:r>
      <w:proofErr w:type="spellStart"/>
      <w:r>
        <w:rPr>
          <w:sz w:val="24"/>
          <w:szCs w:val="24"/>
          <w:highlight w:val="white"/>
        </w:rPr>
        <w:t>Drachsler</w:t>
      </w:r>
      <w:proofErr w:type="spellEnd"/>
      <w:r>
        <w:rPr>
          <w:sz w:val="24"/>
          <w:szCs w:val="24"/>
          <w:highlight w:val="white"/>
        </w:rPr>
        <w:t xml:space="preserve">, H. (2024). Feedback sources in essay writing: peer-generated or AI-generated </w:t>
      </w:r>
      <w:proofErr w:type="gramStart"/>
      <w:r>
        <w:rPr>
          <w:sz w:val="24"/>
          <w:szCs w:val="24"/>
          <w:highlight w:val="white"/>
        </w:rPr>
        <w:t>feedback?.</w:t>
      </w:r>
      <w:proofErr w:type="gramEnd"/>
      <w:r>
        <w:rPr>
          <w:sz w:val="24"/>
          <w:szCs w:val="24"/>
          <w:highlight w:val="white"/>
        </w:rPr>
        <w:t xml:space="preserve"> </w:t>
      </w:r>
      <w:r>
        <w:rPr>
          <w:i/>
          <w:iCs/>
          <w:sz w:val="24"/>
          <w:szCs w:val="24"/>
          <w:highlight w:val="white"/>
        </w:rPr>
        <w:t>International Journal of Educational Technology in Higher Education</w:t>
      </w:r>
      <w:r>
        <w:rPr>
          <w:sz w:val="24"/>
          <w:szCs w:val="24"/>
          <w:highlight w:val="white"/>
        </w:rPr>
        <w:t xml:space="preserve">, </w:t>
      </w:r>
      <w:r>
        <w:rPr>
          <w:i/>
          <w:iCs/>
          <w:sz w:val="24"/>
          <w:szCs w:val="24"/>
          <w:highlight w:val="white"/>
        </w:rPr>
        <w:t>21</w:t>
      </w:r>
      <w:r>
        <w:rPr>
          <w:sz w:val="24"/>
          <w:szCs w:val="24"/>
          <w:highlight w:val="white"/>
        </w:rPr>
        <w:t xml:space="preserve">(1), 23. </w:t>
      </w:r>
      <w:hyperlink r:id="rId11">
        <w:r>
          <w:rPr>
            <w:color w:val="1155CC"/>
            <w:sz w:val="24"/>
            <w:szCs w:val="24"/>
            <w:highlight w:val="white"/>
            <w:u w:val="single"/>
          </w:rPr>
          <w:t>https://doi.org/10.1186/s41239-024-00455-4</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Behbahani</w:t>
      </w:r>
      <w:proofErr w:type="spellEnd"/>
      <w:r>
        <w:rPr>
          <w:sz w:val="24"/>
          <w:szCs w:val="24"/>
          <w:highlight w:val="white"/>
        </w:rPr>
        <w:t xml:space="preserve">, H. K., Jabbari, A. A., &amp; Farahani, A. H. D. (2018). Effectiveness of explicit instruction of cohesive devices on Iranian EFL learners’ writing development. </w:t>
      </w:r>
      <w:r>
        <w:rPr>
          <w:i/>
          <w:iCs/>
          <w:sz w:val="24"/>
          <w:szCs w:val="24"/>
          <w:highlight w:val="white"/>
        </w:rPr>
        <w:t>International Journal of Advanced Multidisciplinary Scientific Research</w:t>
      </w:r>
      <w:r>
        <w:rPr>
          <w:sz w:val="24"/>
          <w:szCs w:val="24"/>
          <w:highlight w:val="white"/>
        </w:rPr>
        <w:t xml:space="preserve">, </w:t>
      </w:r>
      <w:r>
        <w:rPr>
          <w:i/>
          <w:iCs/>
          <w:sz w:val="24"/>
          <w:szCs w:val="24"/>
          <w:highlight w:val="white"/>
        </w:rPr>
        <w:t>1</w:t>
      </w:r>
      <w:r>
        <w:rPr>
          <w:sz w:val="24"/>
          <w:szCs w:val="24"/>
          <w:highlight w:val="white"/>
        </w:rPr>
        <w:t xml:space="preserve">(4), 1–10. </w:t>
      </w:r>
      <w:hyperlink r:id="rId12">
        <w:r>
          <w:rPr>
            <w:color w:val="1155CC"/>
            <w:sz w:val="24"/>
            <w:szCs w:val="24"/>
            <w:highlight w:val="white"/>
            <w:u w:val="single"/>
          </w:rPr>
          <w:t>https://doi.org/10.31426/ijamsr.2018.1.4.211</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Benshams</w:t>
      </w:r>
      <w:proofErr w:type="spellEnd"/>
      <w:r>
        <w:rPr>
          <w:sz w:val="24"/>
          <w:szCs w:val="24"/>
          <w:highlight w:val="white"/>
        </w:rPr>
        <w:t xml:space="preserve">, M., </w:t>
      </w:r>
      <w:proofErr w:type="spellStart"/>
      <w:r>
        <w:rPr>
          <w:sz w:val="24"/>
          <w:szCs w:val="24"/>
          <w:highlight w:val="white"/>
        </w:rPr>
        <w:t>Sadighi</w:t>
      </w:r>
      <w:proofErr w:type="spellEnd"/>
      <w:r>
        <w:rPr>
          <w:sz w:val="24"/>
          <w:szCs w:val="24"/>
          <w:highlight w:val="white"/>
        </w:rPr>
        <w:t xml:space="preserve">, F., </w:t>
      </w:r>
      <w:proofErr w:type="spellStart"/>
      <w:r>
        <w:rPr>
          <w:sz w:val="24"/>
          <w:szCs w:val="24"/>
          <w:highlight w:val="white"/>
        </w:rPr>
        <w:t>Falahati</w:t>
      </w:r>
      <w:proofErr w:type="spellEnd"/>
      <w:r>
        <w:rPr>
          <w:sz w:val="24"/>
          <w:szCs w:val="24"/>
          <w:highlight w:val="white"/>
        </w:rPr>
        <w:t xml:space="preserve"> </w:t>
      </w:r>
      <w:proofErr w:type="spellStart"/>
      <w:r>
        <w:rPr>
          <w:sz w:val="24"/>
          <w:szCs w:val="24"/>
          <w:highlight w:val="white"/>
        </w:rPr>
        <w:t>Qadimi</w:t>
      </w:r>
      <w:proofErr w:type="spellEnd"/>
      <w:r>
        <w:rPr>
          <w:sz w:val="24"/>
          <w:szCs w:val="24"/>
          <w:highlight w:val="white"/>
        </w:rPr>
        <w:t xml:space="preserve"> </w:t>
      </w:r>
      <w:proofErr w:type="spellStart"/>
      <w:r>
        <w:rPr>
          <w:sz w:val="24"/>
          <w:szCs w:val="24"/>
          <w:highlight w:val="white"/>
        </w:rPr>
        <w:t>Fumani</w:t>
      </w:r>
      <w:proofErr w:type="spellEnd"/>
      <w:r>
        <w:rPr>
          <w:sz w:val="24"/>
          <w:szCs w:val="24"/>
          <w:highlight w:val="white"/>
        </w:rPr>
        <w:t>, M. R., &amp; Rashidi, N. (2023). Coherence analysis of Iranian MA students’ comprehension and production of English relative clauses.</w:t>
      </w:r>
      <w:r>
        <w:rPr>
          <w:i/>
          <w:iCs/>
          <w:sz w:val="24"/>
          <w:szCs w:val="24"/>
          <w:highlight w:val="white"/>
        </w:rPr>
        <w:t xml:space="preserve"> Journal of Language and Translation, 13</w:t>
      </w:r>
      <w:r>
        <w:rPr>
          <w:sz w:val="24"/>
          <w:szCs w:val="24"/>
          <w:highlight w:val="white"/>
        </w:rPr>
        <w:t>(1), 41-59. </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Bitchener</w:t>
      </w:r>
      <w:proofErr w:type="spellEnd"/>
      <w:r>
        <w:rPr>
          <w:sz w:val="24"/>
          <w:szCs w:val="24"/>
          <w:highlight w:val="white"/>
        </w:rPr>
        <w:t xml:space="preserve">, J., &amp; Ferris, D. R. (2012). </w:t>
      </w:r>
      <w:r>
        <w:rPr>
          <w:i/>
          <w:iCs/>
          <w:sz w:val="24"/>
          <w:szCs w:val="24"/>
          <w:highlight w:val="white"/>
        </w:rPr>
        <w:t>Written corrective feedback in second language acquisition and writing</w:t>
      </w:r>
      <w:r>
        <w:rPr>
          <w:sz w:val="24"/>
          <w:szCs w:val="24"/>
          <w:highlight w:val="white"/>
        </w:rPr>
        <w:t xml:space="preserve">. Routledge. </w:t>
      </w:r>
      <w:hyperlink r:id="rId13">
        <w:r>
          <w:rPr>
            <w:color w:val="1155CC"/>
            <w:sz w:val="24"/>
            <w:szCs w:val="24"/>
            <w:highlight w:val="white"/>
            <w:u w:val="single"/>
          </w:rPr>
          <w:t>https://doi.org/10.4324/9780203832400</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Bluman</w:t>
      </w:r>
      <w:proofErr w:type="spellEnd"/>
      <w:r>
        <w:rPr>
          <w:sz w:val="24"/>
          <w:szCs w:val="24"/>
          <w:highlight w:val="white"/>
        </w:rPr>
        <w:t xml:space="preserve">, A. G. (1997). </w:t>
      </w:r>
      <w:r>
        <w:rPr>
          <w:i/>
          <w:iCs/>
          <w:sz w:val="24"/>
          <w:szCs w:val="24"/>
          <w:highlight w:val="white"/>
        </w:rPr>
        <w:t>Elementary statistics: A step by step approach</w:t>
      </w:r>
      <w:r>
        <w:rPr>
          <w:sz w:val="24"/>
          <w:szCs w:val="24"/>
          <w:highlight w:val="white"/>
        </w:rPr>
        <w:t xml:space="preserve"> (3rd ed.). McGraw-Hill.</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Chen, M., &amp; Cui, Y. (2022). The effects of AWE and peer feedback on cohesion and coherence in continuation writing. </w:t>
      </w:r>
      <w:r>
        <w:rPr>
          <w:i/>
          <w:iCs/>
          <w:sz w:val="24"/>
          <w:szCs w:val="24"/>
          <w:highlight w:val="white"/>
        </w:rPr>
        <w:t>Journal of Second Language Writing</w:t>
      </w:r>
      <w:r>
        <w:rPr>
          <w:sz w:val="24"/>
          <w:szCs w:val="24"/>
          <w:highlight w:val="white"/>
        </w:rPr>
        <w:t xml:space="preserve">, </w:t>
      </w:r>
      <w:r>
        <w:rPr>
          <w:i/>
          <w:iCs/>
          <w:sz w:val="24"/>
          <w:szCs w:val="24"/>
          <w:highlight w:val="white"/>
        </w:rPr>
        <w:t>57</w:t>
      </w:r>
      <w:r>
        <w:rPr>
          <w:sz w:val="24"/>
          <w:szCs w:val="24"/>
          <w:highlight w:val="white"/>
        </w:rPr>
        <w:t>, 100915.</w:t>
      </w:r>
      <w:hyperlink r:id="rId14">
        <w:r>
          <w:rPr>
            <w:sz w:val="24"/>
            <w:szCs w:val="24"/>
            <w:highlight w:val="white"/>
          </w:rPr>
          <w:t xml:space="preserve"> </w:t>
        </w:r>
      </w:hyperlink>
      <w:hyperlink r:id="rId15">
        <w:r>
          <w:rPr>
            <w:color w:val="1155CC"/>
            <w:sz w:val="24"/>
            <w:szCs w:val="24"/>
            <w:highlight w:val="white"/>
            <w:u w:val="single"/>
          </w:rPr>
          <w:t>https://doi.org/10.1016/j.jslw.2022.100915</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Creswell, J. W., &amp; Plano Clark, V. L. (2017). </w:t>
      </w:r>
      <w:r>
        <w:rPr>
          <w:i/>
          <w:iCs/>
          <w:sz w:val="24"/>
          <w:szCs w:val="24"/>
          <w:highlight w:val="white"/>
        </w:rPr>
        <w:t>Designing and conducting mixed methods research</w:t>
      </w:r>
      <w:r>
        <w:rPr>
          <w:sz w:val="24"/>
          <w:szCs w:val="24"/>
          <w:highlight w:val="white"/>
        </w:rPr>
        <w:t xml:space="preserve"> (3rd ed.). SAGE.</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Crossley, S. A., Kyle, K., &amp; McNamara, D. S. (2016). The tool for the automatic analysis of text cohesion (TAACO): Automatic assessment of local, global, and text cohesion. </w:t>
      </w:r>
      <w:r>
        <w:rPr>
          <w:i/>
          <w:iCs/>
          <w:sz w:val="24"/>
          <w:szCs w:val="24"/>
          <w:highlight w:val="white"/>
        </w:rPr>
        <w:t>Behavior research methods</w:t>
      </w:r>
      <w:r>
        <w:rPr>
          <w:sz w:val="24"/>
          <w:szCs w:val="24"/>
          <w:highlight w:val="white"/>
        </w:rPr>
        <w:t xml:space="preserve">, </w:t>
      </w:r>
      <w:r>
        <w:rPr>
          <w:i/>
          <w:iCs/>
          <w:sz w:val="24"/>
          <w:szCs w:val="24"/>
          <w:highlight w:val="white"/>
        </w:rPr>
        <w:t>48</w:t>
      </w:r>
      <w:r>
        <w:rPr>
          <w:sz w:val="24"/>
          <w:szCs w:val="24"/>
          <w:highlight w:val="white"/>
        </w:rPr>
        <w:t xml:space="preserve">(4), 1227-1237. </w:t>
      </w:r>
      <w:hyperlink r:id="rId16">
        <w:r>
          <w:rPr>
            <w:color w:val="1155CC"/>
            <w:sz w:val="24"/>
            <w:szCs w:val="24"/>
            <w:highlight w:val="white"/>
            <w:u w:val="single"/>
          </w:rPr>
          <w:t>https://doi.org/10.3758/s13428-015-0651-7</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Diep, G. L., &amp; Diep, L. T. N. (2024). An Analysis of Coherence and Cohesion in English Majors’ Academic Essays. </w:t>
      </w:r>
      <w:r>
        <w:rPr>
          <w:i/>
          <w:iCs/>
          <w:sz w:val="24"/>
          <w:szCs w:val="24"/>
          <w:highlight w:val="white"/>
        </w:rPr>
        <w:t>International Journal of Language Instruction</w:t>
      </w:r>
      <w:r>
        <w:rPr>
          <w:sz w:val="24"/>
          <w:szCs w:val="24"/>
          <w:highlight w:val="white"/>
        </w:rPr>
        <w:t xml:space="preserve">, </w:t>
      </w:r>
      <w:r>
        <w:rPr>
          <w:i/>
          <w:iCs/>
          <w:sz w:val="24"/>
          <w:szCs w:val="24"/>
          <w:highlight w:val="white"/>
        </w:rPr>
        <w:t>3</w:t>
      </w:r>
      <w:r>
        <w:rPr>
          <w:sz w:val="24"/>
          <w:szCs w:val="24"/>
          <w:highlight w:val="white"/>
        </w:rPr>
        <w:t>(3), 1–21.</w:t>
      </w:r>
      <w:hyperlink r:id="rId17">
        <w:r>
          <w:rPr>
            <w:sz w:val="24"/>
            <w:szCs w:val="24"/>
            <w:highlight w:val="white"/>
          </w:rPr>
          <w:t xml:space="preserve"> </w:t>
        </w:r>
      </w:hyperlink>
      <w:hyperlink r:id="rId18">
        <w:r>
          <w:rPr>
            <w:color w:val="1155CC"/>
            <w:sz w:val="24"/>
            <w:szCs w:val="24"/>
            <w:highlight w:val="white"/>
            <w:u w:val="single"/>
          </w:rPr>
          <w:t>https://doi.org/10.54855/ijli.24331</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Dizon</w:t>
      </w:r>
      <w:proofErr w:type="spellEnd"/>
      <w:r>
        <w:rPr>
          <w:sz w:val="24"/>
          <w:szCs w:val="24"/>
          <w:highlight w:val="white"/>
        </w:rPr>
        <w:t xml:space="preserve">, G., &amp; </w:t>
      </w:r>
      <w:proofErr w:type="spellStart"/>
      <w:r>
        <w:rPr>
          <w:sz w:val="24"/>
          <w:szCs w:val="24"/>
          <w:highlight w:val="white"/>
        </w:rPr>
        <w:t>Gayed</w:t>
      </w:r>
      <w:proofErr w:type="spellEnd"/>
      <w:r>
        <w:rPr>
          <w:sz w:val="24"/>
          <w:szCs w:val="24"/>
          <w:highlight w:val="white"/>
        </w:rPr>
        <w:t xml:space="preserve">, J. M. (2024). A systematic review of Grammarly in L2 English writing contexts. </w:t>
      </w:r>
      <w:r>
        <w:rPr>
          <w:i/>
          <w:iCs/>
          <w:sz w:val="24"/>
          <w:szCs w:val="24"/>
          <w:highlight w:val="white"/>
        </w:rPr>
        <w:t>Cogent Education</w:t>
      </w:r>
      <w:r>
        <w:rPr>
          <w:sz w:val="24"/>
          <w:szCs w:val="24"/>
          <w:highlight w:val="white"/>
        </w:rPr>
        <w:t xml:space="preserve">, </w:t>
      </w:r>
      <w:r>
        <w:rPr>
          <w:i/>
          <w:iCs/>
          <w:sz w:val="24"/>
          <w:szCs w:val="24"/>
          <w:highlight w:val="white"/>
        </w:rPr>
        <w:t>11</w:t>
      </w:r>
      <w:r>
        <w:rPr>
          <w:sz w:val="24"/>
          <w:szCs w:val="24"/>
          <w:highlight w:val="white"/>
        </w:rPr>
        <w:t xml:space="preserve">(1), 2397882. </w:t>
      </w:r>
      <w:hyperlink r:id="rId19">
        <w:r>
          <w:rPr>
            <w:color w:val="1155CC"/>
            <w:sz w:val="24"/>
            <w:szCs w:val="24"/>
            <w:highlight w:val="white"/>
            <w:u w:val="single"/>
          </w:rPr>
          <w:t>https://doi.org/10.1080/2331186X.2024.2397882</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highlight w:val="yellow"/>
        </w:rPr>
      </w:pPr>
      <w:r>
        <w:rPr>
          <w:sz w:val="24"/>
          <w:szCs w:val="24"/>
          <w:highlight w:val="white"/>
        </w:rPr>
        <w:t xml:space="preserve">Ferris, D. R. (2010). Second language writing research and written corrective feedback in SLA. </w:t>
      </w:r>
      <w:r>
        <w:rPr>
          <w:i/>
          <w:iCs/>
          <w:sz w:val="24"/>
          <w:szCs w:val="24"/>
          <w:highlight w:val="white"/>
        </w:rPr>
        <w:t>Studies in Second Language Acquisition, 32</w:t>
      </w:r>
      <w:r>
        <w:rPr>
          <w:sz w:val="24"/>
          <w:szCs w:val="24"/>
          <w:highlight w:val="white"/>
        </w:rPr>
        <w:t xml:space="preserve">(2), 181–201. </w:t>
      </w:r>
      <w:hyperlink r:id="rId20">
        <w:r>
          <w:rPr>
            <w:color w:val="1155CC"/>
            <w:sz w:val="24"/>
            <w:szCs w:val="24"/>
            <w:highlight w:val="white"/>
            <w:u w:val="single"/>
          </w:rPr>
          <w:t>https://doi.org/10.1017/S0272263109990490</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Graesser</w:t>
      </w:r>
      <w:proofErr w:type="spellEnd"/>
      <w:r>
        <w:rPr>
          <w:sz w:val="24"/>
          <w:szCs w:val="24"/>
          <w:highlight w:val="white"/>
        </w:rPr>
        <w:t xml:space="preserve">, A. C., McNamara, D. S., Cai, Z., Conley, M., Li, H., &amp; Pennebaker, J. (2014). </w:t>
      </w:r>
      <w:proofErr w:type="spellStart"/>
      <w:r>
        <w:rPr>
          <w:sz w:val="24"/>
          <w:szCs w:val="24"/>
          <w:highlight w:val="white"/>
        </w:rPr>
        <w:t>Coh</w:t>
      </w:r>
      <w:proofErr w:type="spellEnd"/>
      <w:r>
        <w:rPr>
          <w:sz w:val="24"/>
          <w:szCs w:val="24"/>
          <w:highlight w:val="white"/>
        </w:rPr>
        <w:t xml:space="preserve">-Metrix measures text characteristics at multiple levels of language and discourse. </w:t>
      </w:r>
      <w:r>
        <w:rPr>
          <w:i/>
          <w:iCs/>
          <w:sz w:val="24"/>
          <w:szCs w:val="24"/>
          <w:highlight w:val="white"/>
        </w:rPr>
        <w:t>The Elementary School Journal</w:t>
      </w:r>
      <w:r>
        <w:rPr>
          <w:sz w:val="24"/>
          <w:szCs w:val="24"/>
          <w:highlight w:val="white"/>
        </w:rPr>
        <w:t xml:space="preserve">, </w:t>
      </w:r>
      <w:r>
        <w:rPr>
          <w:i/>
          <w:iCs/>
          <w:sz w:val="24"/>
          <w:szCs w:val="24"/>
          <w:highlight w:val="white"/>
        </w:rPr>
        <w:t>115</w:t>
      </w:r>
      <w:r>
        <w:rPr>
          <w:sz w:val="24"/>
          <w:szCs w:val="24"/>
          <w:highlight w:val="white"/>
        </w:rPr>
        <w:t>(2), 210-229.</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Green, A. (2007). </w:t>
      </w:r>
      <w:r>
        <w:rPr>
          <w:i/>
          <w:iCs/>
          <w:sz w:val="24"/>
          <w:szCs w:val="24"/>
          <w:highlight w:val="white"/>
        </w:rPr>
        <w:t>IELTS washback in context: Preparation for academic writing in higher education</w:t>
      </w:r>
      <w:r>
        <w:rPr>
          <w:sz w:val="24"/>
          <w:szCs w:val="24"/>
          <w:highlight w:val="white"/>
        </w:rPr>
        <w:t>. Cambridge University Press.</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Halliday, M. A. K., &amp; Hasan, R. (2014). </w:t>
      </w:r>
      <w:r>
        <w:rPr>
          <w:i/>
          <w:iCs/>
          <w:sz w:val="24"/>
          <w:szCs w:val="24"/>
          <w:highlight w:val="white"/>
        </w:rPr>
        <w:t>Cohesion in English</w:t>
      </w:r>
      <w:r>
        <w:rPr>
          <w:sz w:val="24"/>
          <w:szCs w:val="24"/>
          <w:highlight w:val="white"/>
        </w:rPr>
        <w:t>. Routledge.</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Herbold, S., </w:t>
      </w:r>
      <w:proofErr w:type="spellStart"/>
      <w:r>
        <w:rPr>
          <w:sz w:val="24"/>
          <w:szCs w:val="24"/>
          <w:highlight w:val="white"/>
        </w:rPr>
        <w:t>Hautli-Janisz</w:t>
      </w:r>
      <w:proofErr w:type="spellEnd"/>
      <w:r>
        <w:rPr>
          <w:sz w:val="24"/>
          <w:szCs w:val="24"/>
          <w:highlight w:val="white"/>
        </w:rPr>
        <w:t xml:space="preserve">, A., Heuer, U., </w:t>
      </w:r>
      <w:proofErr w:type="spellStart"/>
      <w:r>
        <w:rPr>
          <w:sz w:val="24"/>
          <w:szCs w:val="24"/>
          <w:highlight w:val="white"/>
        </w:rPr>
        <w:t>Kikteva</w:t>
      </w:r>
      <w:proofErr w:type="spellEnd"/>
      <w:r>
        <w:rPr>
          <w:sz w:val="24"/>
          <w:szCs w:val="24"/>
          <w:highlight w:val="white"/>
        </w:rPr>
        <w:t xml:space="preserve">, Z., &amp; </w:t>
      </w:r>
      <w:proofErr w:type="spellStart"/>
      <w:r>
        <w:rPr>
          <w:sz w:val="24"/>
          <w:szCs w:val="24"/>
          <w:highlight w:val="white"/>
        </w:rPr>
        <w:t>Trautsch</w:t>
      </w:r>
      <w:proofErr w:type="spellEnd"/>
      <w:r>
        <w:rPr>
          <w:sz w:val="24"/>
          <w:szCs w:val="24"/>
          <w:highlight w:val="white"/>
        </w:rPr>
        <w:t xml:space="preserve">, A. (2023). A large-scale comparison of human-written versus </w:t>
      </w:r>
      <w:proofErr w:type="spellStart"/>
      <w:r>
        <w:rPr>
          <w:sz w:val="24"/>
          <w:szCs w:val="24"/>
          <w:highlight w:val="white"/>
        </w:rPr>
        <w:t>ChatGPT</w:t>
      </w:r>
      <w:proofErr w:type="spellEnd"/>
      <w:r>
        <w:rPr>
          <w:sz w:val="24"/>
          <w:szCs w:val="24"/>
          <w:highlight w:val="white"/>
        </w:rPr>
        <w:t xml:space="preserve">-generated argumentative student essays. </w:t>
      </w:r>
      <w:r>
        <w:rPr>
          <w:i/>
          <w:iCs/>
          <w:sz w:val="24"/>
          <w:szCs w:val="24"/>
          <w:highlight w:val="white"/>
        </w:rPr>
        <w:t>Scientific Reports, 13</w:t>
      </w:r>
      <w:r>
        <w:rPr>
          <w:sz w:val="24"/>
          <w:szCs w:val="24"/>
          <w:highlight w:val="white"/>
        </w:rPr>
        <w:t xml:space="preserve">(1), 18617. </w:t>
      </w:r>
      <w:hyperlink r:id="rId21">
        <w:r>
          <w:rPr>
            <w:color w:val="1155CC"/>
            <w:sz w:val="24"/>
            <w:szCs w:val="24"/>
            <w:highlight w:val="white"/>
            <w:u w:val="single"/>
          </w:rPr>
          <w:t>https://doi.org/10.1038/s41598-023-45644-9</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lastRenderedPageBreak/>
        <w:t xml:space="preserve">Hyland, K. (2005). </w:t>
      </w:r>
      <w:proofErr w:type="spellStart"/>
      <w:r>
        <w:rPr>
          <w:i/>
          <w:iCs/>
          <w:sz w:val="24"/>
          <w:szCs w:val="24"/>
          <w:highlight w:val="white"/>
        </w:rPr>
        <w:t>Metadiscourse</w:t>
      </w:r>
      <w:proofErr w:type="spellEnd"/>
      <w:r>
        <w:rPr>
          <w:i/>
          <w:iCs/>
          <w:sz w:val="24"/>
          <w:szCs w:val="24"/>
          <w:highlight w:val="white"/>
        </w:rPr>
        <w:t>: Exploring interaction in writing</w:t>
      </w:r>
      <w:r>
        <w:rPr>
          <w:sz w:val="24"/>
          <w:szCs w:val="24"/>
          <w:highlight w:val="white"/>
        </w:rPr>
        <w:t>. Continuum.</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Hyland, K., &amp; Hyland, F. (2006). Feedback on second language students’ writing. </w:t>
      </w:r>
      <w:r>
        <w:rPr>
          <w:i/>
          <w:iCs/>
          <w:sz w:val="24"/>
          <w:szCs w:val="24"/>
          <w:highlight w:val="white"/>
        </w:rPr>
        <w:t>Language Teaching, 39</w:t>
      </w:r>
      <w:r>
        <w:rPr>
          <w:sz w:val="24"/>
          <w:szCs w:val="24"/>
          <w:highlight w:val="white"/>
        </w:rPr>
        <w:t>(2), 83–101. </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Janebi</w:t>
      </w:r>
      <w:proofErr w:type="spellEnd"/>
      <w:r>
        <w:rPr>
          <w:sz w:val="24"/>
          <w:szCs w:val="24"/>
          <w:highlight w:val="white"/>
        </w:rPr>
        <w:t xml:space="preserve"> Enayat, M. (2025). Computationally derived linguistic features of L2 narrative essays and their relations to human-judged writing quality. </w:t>
      </w:r>
      <w:r>
        <w:rPr>
          <w:i/>
          <w:iCs/>
          <w:sz w:val="24"/>
          <w:szCs w:val="24"/>
          <w:highlight w:val="white"/>
        </w:rPr>
        <w:t>Language Testing in Asia, 15</w:t>
      </w:r>
      <w:r>
        <w:rPr>
          <w:sz w:val="24"/>
          <w:szCs w:val="24"/>
          <w:highlight w:val="white"/>
        </w:rPr>
        <w:t xml:space="preserve">(1), 35. </w:t>
      </w:r>
      <w:hyperlink r:id="rId22">
        <w:r>
          <w:rPr>
            <w:color w:val="1155CC"/>
            <w:sz w:val="24"/>
            <w:szCs w:val="24"/>
            <w:highlight w:val="white"/>
            <w:u w:val="single"/>
          </w:rPr>
          <w:t>https://doi.org/10.1186/s40468-025-00374-9</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Javahery</w:t>
      </w:r>
      <w:proofErr w:type="spellEnd"/>
      <w:r>
        <w:rPr>
          <w:sz w:val="24"/>
          <w:szCs w:val="24"/>
          <w:highlight w:val="white"/>
        </w:rPr>
        <w:t xml:space="preserve">, P. (2025). </w:t>
      </w:r>
      <w:r>
        <w:rPr>
          <w:i/>
          <w:iCs/>
          <w:sz w:val="24"/>
          <w:szCs w:val="24"/>
          <w:highlight w:val="white"/>
        </w:rPr>
        <w:t xml:space="preserve">Analyzing Discourse Patterns in </w:t>
      </w:r>
      <w:proofErr w:type="spellStart"/>
      <w:r>
        <w:rPr>
          <w:i/>
          <w:iCs/>
          <w:sz w:val="24"/>
          <w:szCs w:val="24"/>
          <w:highlight w:val="white"/>
        </w:rPr>
        <w:t>ChatGPT</w:t>
      </w:r>
      <w:proofErr w:type="spellEnd"/>
      <w:r>
        <w:rPr>
          <w:i/>
          <w:iCs/>
          <w:sz w:val="24"/>
          <w:szCs w:val="24"/>
          <w:highlight w:val="white"/>
        </w:rPr>
        <w:t>-Generated IELTS Writing Task 2 Essays: A Discourse Analysis Approach</w:t>
      </w:r>
      <w:r>
        <w:rPr>
          <w:sz w:val="24"/>
          <w:szCs w:val="24"/>
          <w:highlight w:val="white"/>
        </w:rPr>
        <w:t>.</w:t>
      </w:r>
      <w:hyperlink r:id="rId23">
        <w:r>
          <w:rPr>
            <w:sz w:val="24"/>
            <w:szCs w:val="24"/>
            <w:highlight w:val="white"/>
          </w:rPr>
          <w:t xml:space="preserve"> </w:t>
        </w:r>
      </w:hyperlink>
      <w:hyperlink r:id="rId24">
        <w:r>
          <w:rPr>
            <w:color w:val="1155CC"/>
            <w:sz w:val="24"/>
            <w:szCs w:val="24"/>
            <w:highlight w:val="white"/>
            <w:u w:val="single"/>
          </w:rPr>
          <w:t>https://doi.org/10.21203/rs.3.rs-5608928/v1</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highlight w:val="white"/>
        </w:rPr>
      </w:pPr>
      <w:r>
        <w:rPr>
          <w:sz w:val="24"/>
          <w:szCs w:val="24"/>
          <w:highlight w:val="white"/>
        </w:rPr>
        <w:t xml:space="preserve">Kluger, A. N., &amp; </w:t>
      </w:r>
      <w:proofErr w:type="spellStart"/>
      <w:r>
        <w:rPr>
          <w:sz w:val="24"/>
          <w:szCs w:val="24"/>
          <w:highlight w:val="white"/>
        </w:rPr>
        <w:t>DeNisi</w:t>
      </w:r>
      <w:proofErr w:type="spellEnd"/>
      <w:r>
        <w:rPr>
          <w:sz w:val="24"/>
          <w:szCs w:val="24"/>
          <w:highlight w:val="white"/>
        </w:rPr>
        <w:t xml:space="preserve">, A. (1996). The effects of feedback interventions on performance: A historical review, a meta-analysis, and a preliminary feedback intervention theory. </w:t>
      </w:r>
      <w:r>
        <w:rPr>
          <w:i/>
          <w:iCs/>
          <w:sz w:val="24"/>
          <w:szCs w:val="24"/>
          <w:highlight w:val="white"/>
        </w:rPr>
        <w:t>Psychological Bulletin, 119</w:t>
      </w:r>
      <w:r>
        <w:rPr>
          <w:sz w:val="24"/>
          <w:szCs w:val="24"/>
          <w:highlight w:val="white"/>
        </w:rPr>
        <w:t xml:space="preserve">(2), 254–284. </w:t>
      </w:r>
      <w:hyperlink r:id="rId25">
        <w:r>
          <w:rPr>
            <w:color w:val="1155CC"/>
            <w:sz w:val="24"/>
            <w:szCs w:val="24"/>
            <w:highlight w:val="white"/>
            <w:u w:val="single"/>
          </w:rPr>
          <w:t>https://doi.org/10.1037/0033-2909.119.2.254</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Kormos</w:t>
      </w:r>
      <w:proofErr w:type="spellEnd"/>
      <w:r>
        <w:rPr>
          <w:sz w:val="24"/>
          <w:szCs w:val="24"/>
          <w:highlight w:val="white"/>
        </w:rPr>
        <w:t xml:space="preserve">, J. (2023). The role of cognitive factors in second language writing and writing to learn a second language. </w:t>
      </w:r>
      <w:r>
        <w:rPr>
          <w:i/>
          <w:iCs/>
          <w:sz w:val="24"/>
          <w:szCs w:val="24"/>
          <w:highlight w:val="white"/>
        </w:rPr>
        <w:t>Studies in Second Language Acquisition</w:t>
      </w:r>
      <w:r>
        <w:rPr>
          <w:sz w:val="24"/>
          <w:szCs w:val="24"/>
          <w:highlight w:val="white"/>
        </w:rPr>
        <w:t xml:space="preserve">, </w:t>
      </w:r>
      <w:r>
        <w:rPr>
          <w:i/>
          <w:iCs/>
          <w:sz w:val="24"/>
          <w:szCs w:val="24"/>
          <w:highlight w:val="white"/>
        </w:rPr>
        <w:t>45</w:t>
      </w:r>
      <w:r>
        <w:rPr>
          <w:sz w:val="24"/>
          <w:szCs w:val="24"/>
          <w:highlight w:val="white"/>
        </w:rPr>
        <w:t xml:space="preserve">(3), 622-646. </w:t>
      </w:r>
      <w:hyperlink r:id="rId26">
        <w:r>
          <w:rPr>
            <w:color w:val="1155CC"/>
            <w:sz w:val="24"/>
            <w:szCs w:val="24"/>
            <w:highlight w:val="white"/>
            <w:u w:val="single"/>
          </w:rPr>
          <w:t>https://doi.org/10.1017/S0272263122000481</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Kohnke</w:t>
      </w:r>
      <w:proofErr w:type="spellEnd"/>
      <w:r>
        <w:rPr>
          <w:sz w:val="24"/>
          <w:szCs w:val="24"/>
          <w:highlight w:val="white"/>
        </w:rPr>
        <w:t xml:space="preserve">, L., Moorhouse, B. L., &amp; Zou, D. (2023). </w:t>
      </w:r>
      <w:proofErr w:type="spellStart"/>
      <w:r>
        <w:rPr>
          <w:sz w:val="24"/>
          <w:szCs w:val="24"/>
          <w:highlight w:val="white"/>
        </w:rPr>
        <w:t>ChatGPT</w:t>
      </w:r>
      <w:proofErr w:type="spellEnd"/>
      <w:r>
        <w:rPr>
          <w:sz w:val="24"/>
          <w:szCs w:val="24"/>
          <w:highlight w:val="white"/>
        </w:rPr>
        <w:t xml:space="preserve"> for Language Teaching and Learning. </w:t>
      </w:r>
      <w:r>
        <w:rPr>
          <w:i/>
          <w:iCs/>
          <w:sz w:val="24"/>
          <w:szCs w:val="24"/>
          <w:highlight w:val="white"/>
        </w:rPr>
        <w:t>RELC Journal</w:t>
      </w:r>
      <w:r>
        <w:rPr>
          <w:sz w:val="24"/>
          <w:szCs w:val="24"/>
          <w:highlight w:val="white"/>
        </w:rPr>
        <w:t xml:space="preserve">, </w:t>
      </w:r>
      <w:r>
        <w:rPr>
          <w:i/>
          <w:iCs/>
          <w:sz w:val="24"/>
          <w:szCs w:val="24"/>
          <w:highlight w:val="white"/>
        </w:rPr>
        <w:t>54</w:t>
      </w:r>
      <w:r>
        <w:rPr>
          <w:sz w:val="24"/>
          <w:szCs w:val="24"/>
          <w:highlight w:val="white"/>
        </w:rPr>
        <w:t>(2), 537-550.</w:t>
      </w:r>
      <w:hyperlink r:id="rId27">
        <w:r>
          <w:rPr>
            <w:sz w:val="24"/>
            <w:szCs w:val="24"/>
            <w:highlight w:val="white"/>
          </w:rPr>
          <w:t xml:space="preserve"> </w:t>
        </w:r>
      </w:hyperlink>
      <w:hyperlink r:id="rId28">
        <w:r>
          <w:rPr>
            <w:color w:val="1155CC"/>
            <w:sz w:val="24"/>
            <w:szCs w:val="24"/>
            <w:highlight w:val="white"/>
            <w:u w:val="single"/>
          </w:rPr>
          <w:t>https://doi.org/10.1177/00336882231162868</w:t>
        </w:r>
      </w:hyperlink>
      <w:r>
        <w:rPr>
          <w:sz w:val="24"/>
          <w:szCs w:val="24"/>
          <w:highlight w:val="white"/>
        </w:rPr>
        <w:t> </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Li, S., Prior, M., Nero, S., Hiver, P., Al-</w:t>
      </w:r>
      <w:proofErr w:type="spellStart"/>
      <w:r>
        <w:rPr>
          <w:sz w:val="24"/>
          <w:szCs w:val="24"/>
          <w:highlight w:val="white"/>
        </w:rPr>
        <w:t>Hoorie</w:t>
      </w:r>
      <w:proofErr w:type="spellEnd"/>
      <w:r>
        <w:rPr>
          <w:sz w:val="24"/>
          <w:szCs w:val="24"/>
          <w:highlight w:val="white"/>
        </w:rPr>
        <w:t xml:space="preserve">, A. H., Murakami, A., Wei, </w:t>
      </w:r>
      <w:proofErr w:type="gramStart"/>
      <w:r>
        <w:rPr>
          <w:sz w:val="24"/>
          <w:szCs w:val="24"/>
          <w:highlight w:val="white"/>
        </w:rPr>
        <w:t>L. ,</w:t>
      </w:r>
      <w:proofErr w:type="gramEnd"/>
      <w:r>
        <w:rPr>
          <w:sz w:val="24"/>
          <w:szCs w:val="24"/>
          <w:highlight w:val="white"/>
        </w:rPr>
        <w:t xml:space="preserve"> &amp; Ortega, L. (2023). Methodological innovation in applied linguistics research: Perspectives, strategies, and trends. </w:t>
      </w:r>
      <w:r>
        <w:rPr>
          <w:i/>
          <w:iCs/>
          <w:sz w:val="24"/>
          <w:szCs w:val="24"/>
          <w:highlight w:val="white"/>
        </w:rPr>
        <w:t>Language Teaching</w:t>
      </w:r>
      <w:r>
        <w:rPr>
          <w:sz w:val="24"/>
          <w:szCs w:val="24"/>
          <w:highlight w:val="white"/>
        </w:rPr>
        <w:t xml:space="preserve">, 56(4), 551-556. </w:t>
      </w:r>
      <w:hyperlink r:id="rId29">
        <w:r>
          <w:rPr>
            <w:color w:val="1155CC"/>
            <w:sz w:val="24"/>
            <w:szCs w:val="24"/>
            <w:highlight w:val="white"/>
            <w:u w:val="single"/>
          </w:rPr>
          <w:t>https://doi.org/10.1017/S026144482300023X</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Moore, T., &amp; Morton, J. (2005). Dimensions of difference: A comparison of university writing and IELTS writing. </w:t>
      </w:r>
      <w:r>
        <w:rPr>
          <w:i/>
          <w:iCs/>
          <w:sz w:val="24"/>
          <w:szCs w:val="24"/>
          <w:highlight w:val="white"/>
        </w:rPr>
        <w:t>Journal of English for Academic Purposes, 4</w:t>
      </w:r>
      <w:r>
        <w:rPr>
          <w:sz w:val="24"/>
          <w:szCs w:val="24"/>
          <w:highlight w:val="white"/>
        </w:rPr>
        <w:t xml:space="preserve">(1), 43–66. </w:t>
      </w:r>
      <w:hyperlink r:id="rId30">
        <w:r>
          <w:rPr>
            <w:color w:val="1155CC"/>
            <w:sz w:val="24"/>
            <w:szCs w:val="24"/>
            <w:highlight w:val="white"/>
            <w:u w:val="single"/>
          </w:rPr>
          <w:t>https://doi.org/10.1016/j.jeap.2004.02.001</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Oshima</w:t>
      </w:r>
      <w:proofErr w:type="spellEnd"/>
      <w:r>
        <w:rPr>
          <w:sz w:val="24"/>
          <w:szCs w:val="24"/>
          <w:highlight w:val="white"/>
        </w:rPr>
        <w:t xml:space="preserve">., Alice., &amp; Hogue, A. (2006). </w:t>
      </w:r>
      <w:r>
        <w:rPr>
          <w:i/>
          <w:iCs/>
          <w:sz w:val="24"/>
          <w:szCs w:val="24"/>
          <w:highlight w:val="white"/>
        </w:rPr>
        <w:t>Writing academic English</w:t>
      </w:r>
      <w:r>
        <w:rPr>
          <w:sz w:val="24"/>
          <w:szCs w:val="24"/>
          <w:highlight w:val="white"/>
        </w:rPr>
        <w:t xml:space="preserve"> (4th ed.). Pearson Education.</w:t>
      </w:r>
      <w:r>
        <w:rPr>
          <w:sz w:val="22"/>
          <w:szCs w:val="22"/>
          <w:highlight w:val="white"/>
        </w:rPr>
        <w:t> </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highlight w:val="white"/>
        </w:rPr>
      </w:pPr>
      <w:proofErr w:type="spellStart"/>
      <w:r>
        <w:rPr>
          <w:sz w:val="24"/>
          <w:szCs w:val="24"/>
          <w:highlight w:val="white"/>
        </w:rPr>
        <w:t>Pavavijarn</w:t>
      </w:r>
      <w:proofErr w:type="spellEnd"/>
      <w:r>
        <w:rPr>
          <w:sz w:val="24"/>
          <w:szCs w:val="24"/>
          <w:highlight w:val="white"/>
        </w:rPr>
        <w:t xml:space="preserve">, S. (2022). Influences of thematic progression on quality of EFL argumentative writing. </w:t>
      </w:r>
      <w:r>
        <w:rPr>
          <w:i/>
          <w:iCs/>
          <w:sz w:val="24"/>
          <w:szCs w:val="24"/>
          <w:highlight w:val="white"/>
        </w:rPr>
        <w:t>LEARN Journal: Language Education and Acquisition Research Network, 15</w:t>
      </w:r>
      <w:r>
        <w:rPr>
          <w:sz w:val="24"/>
          <w:szCs w:val="24"/>
          <w:highlight w:val="white"/>
        </w:rPr>
        <w:t>(1), 282-319.</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highlight w:val="white"/>
        </w:rPr>
      </w:pPr>
      <w:r>
        <w:rPr>
          <w:sz w:val="24"/>
          <w:szCs w:val="24"/>
          <w:highlight w:val="white"/>
        </w:rPr>
        <w:t xml:space="preserve">Rahman, G., </w:t>
      </w:r>
      <w:proofErr w:type="spellStart"/>
      <w:r>
        <w:rPr>
          <w:sz w:val="24"/>
          <w:szCs w:val="24"/>
          <w:highlight w:val="white"/>
        </w:rPr>
        <w:t>Zaigham</w:t>
      </w:r>
      <w:proofErr w:type="spellEnd"/>
      <w:r>
        <w:rPr>
          <w:sz w:val="24"/>
          <w:szCs w:val="24"/>
          <w:highlight w:val="white"/>
        </w:rPr>
        <w:t xml:space="preserve">, M. S., &amp; </w:t>
      </w:r>
      <w:proofErr w:type="spellStart"/>
      <w:r>
        <w:rPr>
          <w:sz w:val="24"/>
          <w:szCs w:val="24"/>
          <w:highlight w:val="white"/>
        </w:rPr>
        <w:t>Umer</w:t>
      </w:r>
      <w:proofErr w:type="spellEnd"/>
      <w:r>
        <w:rPr>
          <w:sz w:val="24"/>
          <w:szCs w:val="24"/>
          <w:highlight w:val="white"/>
        </w:rPr>
        <w:t xml:space="preserve">, M. (2023). A study of cohesive devices in students’ academic writing. </w:t>
      </w:r>
      <w:proofErr w:type="spellStart"/>
      <w:r>
        <w:rPr>
          <w:i/>
          <w:iCs/>
          <w:sz w:val="24"/>
          <w:szCs w:val="24"/>
          <w:highlight w:val="white"/>
        </w:rPr>
        <w:t>Qlantic</w:t>
      </w:r>
      <w:proofErr w:type="spellEnd"/>
      <w:r>
        <w:rPr>
          <w:i/>
          <w:iCs/>
          <w:sz w:val="24"/>
          <w:szCs w:val="24"/>
          <w:highlight w:val="white"/>
        </w:rPr>
        <w:t xml:space="preserve"> Journal of Social Sciences and Humanities</w:t>
      </w:r>
      <w:r>
        <w:rPr>
          <w:sz w:val="24"/>
          <w:szCs w:val="24"/>
          <w:highlight w:val="white"/>
        </w:rPr>
        <w:t xml:space="preserve">, </w:t>
      </w:r>
      <w:r>
        <w:rPr>
          <w:i/>
          <w:iCs/>
          <w:sz w:val="24"/>
          <w:szCs w:val="24"/>
          <w:highlight w:val="white"/>
        </w:rPr>
        <w:t>4</w:t>
      </w:r>
      <w:r>
        <w:rPr>
          <w:sz w:val="24"/>
          <w:szCs w:val="24"/>
          <w:highlight w:val="white"/>
        </w:rPr>
        <w:t>(4), 372–384.</w:t>
      </w:r>
      <w:hyperlink r:id="rId31">
        <w:r>
          <w:rPr>
            <w:sz w:val="24"/>
            <w:szCs w:val="24"/>
            <w:highlight w:val="white"/>
          </w:rPr>
          <w:t xml:space="preserve"> </w:t>
        </w:r>
      </w:hyperlink>
      <w:hyperlink r:id="rId32">
        <w:r>
          <w:rPr>
            <w:color w:val="1155CC"/>
            <w:sz w:val="24"/>
            <w:szCs w:val="24"/>
            <w:highlight w:val="white"/>
            <w:u w:val="single"/>
          </w:rPr>
          <w:t>https://doi.org/10.55737/qjssh.897009451</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Schoonen</w:t>
      </w:r>
      <w:proofErr w:type="spellEnd"/>
      <w:r>
        <w:rPr>
          <w:sz w:val="24"/>
          <w:szCs w:val="24"/>
          <w:highlight w:val="white"/>
        </w:rPr>
        <w:t xml:space="preserve">, R., van </w:t>
      </w:r>
      <w:proofErr w:type="spellStart"/>
      <w:r>
        <w:rPr>
          <w:sz w:val="24"/>
          <w:szCs w:val="24"/>
          <w:highlight w:val="white"/>
        </w:rPr>
        <w:t>Gelderen</w:t>
      </w:r>
      <w:proofErr w:type="spellEnd"/>
      <w:r>
        <w:rPr>
          <w:sz w:val="24"/>
          <w:szCs w:val="24"/>
          <w:highlight w:val="white"/>
        </w:rPr>
        <w:t xml:space="preserve">, A., de </w:t>
      </w:r>
      <w:proofErr w:type="spellStart"/>
      <w:r>
        <w:rPr>
          <w:sz w:val="24"/>
          <w:szCs w:val="24"/>
          <w:highlight w:val="white"/>
        </w:rPr>
        <w:t>Glopper</w:t>
      </w:r>
      <w:proofErr w:type="spellEnd"/>
      <w:r>
        <w:rPr>
          <w:sz w:val="24"/>
          <w:szCs w:val="24"/>
          <w:highlight w:val="white"/>
        </w:rPr>
        <w:t xml:space="preserve">, K., </w:t>
      </w:r>
      <w:proofErr w:type="spellStart"/>
      <w:r>
        <w:rPr>
          <w:sz w:val="24"/>
          <w:szCs w:val="24"/>
          <w:highlight w:val="white"/>
        </w:rPr>
        <w:t>Hulstijn</w:t>
      </w:r>
      <w:proofErr w:type="spellEnd"/>
      <w:r>
        <w:rPr>
          <w:sz w:val="24"/>
          <w:szCs w:val="24"/>
          <w:highlight w:val="white"/>
        </w:rPr>
        <w:t xml:space="preserve">, J., Simis, A., Snellings, P., &amp; Stevenson, M. (2011). First language and second language writing: The role of linguistic knowledge, speed of processing, and metacognitive knowledge. </w:t>
      </w:r>
      <w:r>
        <w:rPr>
          <w:i/>
          <w:iCs/>
          <w:sz w:val="24"/>
          <w:szCs w:val="24"/>
          <w:highlight w:val="white"/>
        </w:rPr>
        <w:t>Language Learning, 53</w:t>
      </w:r>
      <w:r>
        <w:rPr>
          <w:sz w:val="24"/>
          <w:szCs w:val="24"/>
          <w:highlight w:val="white"/>
        </w:rPr>
        <w:t>(1), 165–202.</w:t>
      </w:r>
      <w:hyperlink r:id="rId33">
        <w:r>
          <w:rPr>
            <w:sz w:val="24"/>
            <w:szCs w:val="24"/>
            <w:highlight w:val="white"/>
          </w:rPr>
          <w:t xml:space="preserve"> </w:t>
        </w:r>
      </w:hyperlink>
      <w:hyperlink r:id="rId34">
        <w:r>
          <w:rPr>
            <w:color w:val="1155CC"/>
            <w:sz w:val="24"/>
            <w:szCs w:val="24"/>
            <w:highlight w:val="white"/>
            <w:u w:val="single"/>
          </w:rPr>
          <w:t>https://doi.org/10.1111/1467-9922.00213</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Sekewael</w:t>
      </w:r>
      <w:proofErr w:type="spellEnd"/>
      <w:r>
        <w:rPr>
          <w:sz w:val="24"/>
          <w:szCs w:val="24"/>
          <w:highlight w:val="white"/>
        </w:rPr>
        <w:t xml:space="preserve">, M., &amp; </w:t>
      </w:r>
      <w:proofErr w:type="spellStart"/>
      <w:r>
        <w:rPr>
          <w:sz w:val="24"/>
          <w:szCs w:val="24"/>
          <w:highlight w:val="white"/>
        </w:rPr>
        <w:t>Anaktototy</w:t>
      </w:r>
      <w:proofErr w:type="spellEnd"/>
      <w:r>
        <w:rPr>
          <w:sz w:val="24"/>
          <w:szCs w:val="24"/>
          <w:highlight w:val="white"/>
        </w:rPr>
        <w:t xml:space="preserve">, K. (2024). Chat-GPT Feedback: Fostering Growth in English Writing Abilities. </w:t>
      </w:r>
      <w:r>
        <w:rPr>
          <w:i/>
          <w:iCs/>
          <w:sz w:val="24"/>
          <w:szCs w:val="24"/>
          <w:highlight w:val="white"/>
        </w:rPr>
        <w:t>Interdisciplinary Themes of Sociolinguistic Studies-Language Learning, Technology, and Identity in the Age of AI and Globalization: Language Learning, Technology, and Identity in the Age of AI and Globalization, 9</w:t>
      </w:r>
      <w:r>
        <w:rPr>
          <w:sz w:val="24"/>
          <w:szCs w:val="24"/>
          <w:highlight w:val="white"/>
        </w:rPr>
        <w:t>, 169.</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Shi, H., &amp; </w:t>
      </w:r>
      <w:proofErr w:type="spellStart"/>
      <w:r>
        <w:rPr>
          <w:sz w:val="24"/>
          <w:szCs w:val="24"/>
          <w:highlight w:val="white"/>
        </w:rPr>
        <w:t>Aryadoust</w:t>
      </w:r>
      <w:proofErr w:type="spellEnd"/>
      <w:r>
        <w:rPr>
          <w:sz w:val="24"/>
          <w:szCs w:val="24"/>
          <w:highlight w:val="white"/>
        </w:rPr>
        <w:t xml:space="preserve">, V. (2024). A systematic review of AI-based automated written feedback research. </w:t>
      </w:r>
      <w:proofErr w:type="spellStart"/>
      <w:r>
        <w:rPr>
          <w:i/>
          <w:iCs/>
          <w:sz w:val="24"/>
          <w:szCs w:val="24"/>
          <w:highlight w:val="white"/>
        </w:rPr>
        <w:t>ReCALL</w:t>
      </w:r>
      <w:proofErr w:type="spellEnd"/>
      <w:r>
        <w:rPr>
          <w:sz w:val="24"/>
          <w:szCs w:val="24"/>
          <w:highlight w:val="white"/>
        </w:rPr>
        <w:t xml:space="preserve">, </w:t>
      </w:r>
      <w:r>
        <w:rPr>
          <w:i/>
          <w:iCs/>
          <w:sz w:val="24"/>
          <w:szCs w:val="24"/>
          <w:highlight w:val="white"/>
        </w:rPr>
        <w:t>36</w:t>
      </w:r>
      <w:r>
        <w:rPr>
          <w:sz w:val="24"/>
          <w:szCs w:val="24"/>
          <w:highlight w:val="white"/>
        </w:rPr>
        <w:t xml:space="preserve">(2), 187-209. </w:t>
      </w:r>
      <w:hyperlink r:id="rId35">
        <w:r>
          <w:rPr>
            <w:color w:val="1155CC"/>
            <w:sz w:val="24"/>
            <w:szCs w:val="24"/>
            <w:highlight w:val="white"/>
            <w:u w:val="single"/>
          </w:rPr>
          <w:t>https://doi.org/10.1017/S0958344023000265</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Steiss</w:t>
      </w:r>
      <w:proofErr w:type="spellEnd"/>
      <w:r>
        <w:rPr>
          <w:sz w:val="24"/>
          <w:szCs w:val="24"/>
          <w:highlight w:val="white"/>
        </w:rPr>
        <w:t xml:space="preserve">, J., Tate, T., Graham, S., Cruz, J., Hebert, M., Wang, J., Moon, Y., Tseng, W., </w:t>
      </w:r>
      <w:proofErr w:type="spellStart"/>
      <w:r>
        <w:rPr>
          <w:sz w:val="24"/>
          <w:szCs w:val="24"/>
          <w:highlight w:val="white"/>
        </w:rPr>
        <w:t>Warschauer</w:t>
      </w:r>
      <w:proofErr w:type="spellEnd"/>
      <w:r>
        <w:rPr>
          <w:sz w:val="24"/>
          <w:szCs w:val="24"/>
          <w:highlight w:val="white"/>
        </w:rPr>
        <w:t xml:space="preserve">, M., &amp; Olson, C. B. (2024). Comparing the quality of human and </w:t>
      </w:r>
      <w:proofErr w:type="spellStart"/>
      <w:r>
        <w:rPr>
          <w:sz w:val="24"/>
          <w:szCs w:val="24"/>
          <w:highlight w:val="white"/>
        </w:rPr>
        <w:t>ChatGPT</w:t>
      </w:r>
      <w:proofErr w:type="spellEnd"/>
      <w:r>
        <w:rPr>
          <w:sz w:val="24"/>
          <w:szCs w:val="24"/>
          <w:highlight w:val="white"/>
        </w:rPr>
        <w:t xml:space="preserve"> feedback of students’ writing. </w:t>
      </w:r>
      <w:r>
        <w:rPr>
          <w:i/>
          <w:iCs/>
          <w:sz w:val="24"/>
          <w:szCs w:val="24"/>
          <w:highlight w:val="white"/>
        </w:rPr>
        <w:t>Learning and Instruction</w:t>
      </w:r>
      <w:r>
        <w:rPr>
          <w:sz w:val="24"/>
          <w:szCs w:val="24"/>
          <w:highlight w:val="white"/>
        </w:rPr>
        <w:t xml:space="preserve">, </w:t>
      </w:r>
      <w:r>
        <w:rPr>
          <w:i/>
          <w:iCs/>
          <w:sz w:val="24"/>
          <w:szCs w:val="24"/>
          <w:highlight w:val="white"/>
        </w:rPr>
        <w:t>91</w:t>
      </w:r>
      <w:r>
        <w:rPr>
          <w:sz w:val="24"/>
          <w:szCs w:val="24"/>
          <w:highlight w:val="white"/>
        </w:rPr>
        <w:t xml:space="preserve">, 101894. </w:t>
      </w:r>
      <w:hyperlink r:id="rId36">
        <w:r>
          <w:rPr>
            <w:color w:val="1155CC"/>
            <w:sz w:val="24"/>
            <w:szCs w:val="24"/>
            <w:highlight w:val="white"/>
            <w:u w:val="single"/>
          </w:rPr>
          <w:t>https://doi.org/10.1016/j.learninstruc.2024.101894</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lastRenderedPageBreak/>
        <w:t xml:space="preserve">Sun, Q. (2023). The role and features of peer assessment feedback in college English writing. </w:t>
      </w:r>
      <w:r>
        <w:rPr>
          <w:i/>
          <w:iCs/>
          <w:sz w:val="24"/>
          <w:szCs w:val="24"/>
          <w:highlight w:val="white"/>
        </w:rPr>
        <w:t>Frontiers in Psychology</w:t>
      </w:r>
      <w:r>
        <w:rPr>
          <w:sz w:val="24"/>
          <w:szCs w:val="24"/>
          <w:highlight w:val="white"/>
        </w:rPr>
        <w:t xml:space="preserve">, </w:t>
      </w:r>
      <w:r>
        <w:rPr>
          <w:i/>
          <w:iCs/>
          <w:sz w:val="24"/>
          <w:szCs w:val="24"/>
          <w:highlight w:val="white"/>
        </w:rPr>
        <w:t>13</w:t>
      </w:r>
      <w:r>
        <w:rPr>
          <w:sz w:val="24"/>
          <w:szCs w:val="24"/>
          <w:highlight w:val="white"/>
        </w:rPr>
        <w:t xml:space="preserve">. </w:t>
      </w:r>
      <w:hyperlink r:id="rId37">
        <w:r>
          <w:rPr>
            <w:color w:val="1155CC"/>
            <w:sz w:val="24"/>
            <w:szCs w:val="24"/>
            <w:highlight w:val="white"/>
            <w:u w:val="single"/>
          </w:rPr>
          <w:t>https://doi.org/10.3389/fpsyg.2022.1070618</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Swiecki</w:t>
      </w:r>
      <w:proofErr w:type="spellEnd"/>
      <w:r>
        <w:rPr>
          <w:sz w:val="24"/>
          <w:szCs w:val="24"/>
          <w:highlight w:val="white"/>
        </w:rPr>
        <w:t xml:space="preserve">, Z., </w:t>
      </w:r>
      <w:proofErr w:type="spellStart"/>
      <w:r>
        <w:rPr>
          <w:sz w:val="24"/>
          <w:szCs w:val="24"/>
          <w:highlight w:val="white"/>
        </w:rPr>
        <w:t>Khosravi</w:t>
      </w:r>
      <w:proofErr w:type="spellEnd"/>
      <w:r>
        <w:rPr>
          <w:sz w:val="24"/>
          <w:szCs w:val="24"/>
          <w:highlight w:val="white"/>
        </w:rPr>
        <w:t xml:space="preserve">, H., Chen, G., Martinez-Maldonado, R., Lodge, J. M., Milligan, S., Selwyn, N., &amp; </w:t>
      </w:r>
      <w:proofErr w:type="spellStart"/>
      <w:r>
        <w:rPr>
          <w:sz w:val="24"/>
          <w:szCs w:val="24"/>
          <w:highlight w:val="white"/>
        </w:rPr>
        <w:t>Gašević</w:t>
      </w:r>
      <w:proofErr w:type="spellEnd"/>
      <w:r>
        <w:rPr>
          <w:sz w:val="24"/>
          <w:szCs w:val="24"/>
          <w:highlight w:val="white"/>
        </w:rPr>
        <w:t xml:space="preserve">, D. (2022). Assessment in the age of artificial intelligence. </w:t>
      </w:r>
      <w:r>
        <w:rPr>
          <w:i/>
          <w:iCs/>
          <w:sz w:val="24"/>
          <w:szCs w:val="24"/>
          <w:highlight w:val="white"/>
        </w:rPr>
        <w:t>Computers and Education: Artificial Intelligence</w:t>
      </w:r>
      <w:r>
        <w:rPr>
          <w:sz w:val="24"/>
          <w:szCs w:val="24"/>
          <w:highlight w:val="white"/>
        </w:rPr>
        <w:t xml:space="preserve">, </w:t>
      </w:r>
      <w:r>
        <w:rPr>
          <w:i/>
          <w:iCs/>
          <w:sz w:val="24"/>
          <w:szCs w:val="24"/>
          <w:highlight w:val="white"/>
        </w:rPr>
        <w:t>3</w:t>
      </w:r>
      <w:r>
        <w:rPr>
          <w:sz w:val="24"/>
          <w:szCs w:val="24"/>
          <w:highlight w:val="white"/>
        </w:rPr>
        <w:t xml:space="preserve">, 100075. </w:t>
      </w:r>
      <w:hyperlink r:id="rId38">
        <w:r>
          <w:rPr>
            <w:color w:val="1155CC"/>
            <w:sz w:val="24"/>
            <w:szCs w:val="24"/>
            <w:highlight w:val="white"/>
            <w:u w:val="single"/>
          </w:rPr>
          <w:t>https://doi.org/10.1016/j.caeai.2022.100075</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Taylor, L., &amp; Wigglesworth, G. (2009). Are two heads better than one? Pair work in L2 assessment contexts. </w:t>
      </w:r>
      <w:r>
        <w:rPr>
          <w:i/>
          <w:iCs/>
          <w:sz w:val="24"/>
          <w:szCs w:val="24"/>
          <w:highlight w:val="white"/>
        </w:rPr>
        <w:t>Language Testing, 26</w:t>
      </w:r>
      <w:r>
        <w:rPr>
          <w:sz w:val="24"/>
          <w:szCs w:val="24"/>
          <w:highlight w:val="white"/>
        </w:rPr>
        <w:t xml:space="preserve">(3), 325–339. </w:t>
      </w:r>
      <w:hyperlink r:id="rId39">
        <w:r>
          <w:rPr>
            <w:color w:val="1155CC"/>
            <w:sz w:val="24"/>
            <w:szCs w:val="24"/>
            <w:highlight w:val="white"/>
            <w:u w:val="single"/>
          </w:rPr>
          <w:t>doi.org/10.1177/0265532209104665</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rPr>
        <w:t>Tengler</w:t>
      </w:r>
      <w:proofErr w:type="spellEnd"/>
      <w:r>
        <w:rPr>
          <w:sz w:val="24"/>
          <w:szCs w:val="24"/>
        </w:rPr>
        <w:t xml:space="preserve">, K., &amp; </w:t>
      </w:r>
      <w:proofErr w:type="spellStart"/>
      <w:r>
        <w:rPr>
          <w:sz w:val="24"/>
          <w:szCs w:val="24"/>
        </w:rPr>
        <w:t>Brandhofer</w:t>
      </w:r>
      <w:proofErr w:type="spellEnd"/>
      <w:r>
        <w:rPr>
          <w:sz w:val="24"/>
          <w:szCs w:val="24"/>
        </w:rPr>
        <w:t xml:space="preserve">, G. (2025). Exploring the difference and quality of AI-generated versus human-written texts. </w:t>
      </w:r>
      <w:r>
        <w:rPr>
          <w:i/>
          <w:iCs/>
          <w:sz w:val="24"/>
          <w:szCs w:val="24"/>
        </w:rPr>
        <w:t>Discover Education</w:t>
      </w:r>
      <w:r>
        <w:rPr>
          <w:sz w:val="24"/>
          <w:szCs w:val="24"/>
        </w:rPr>
        <w:t xml:space="preserve">, </w:t>
      </w:r>
      <w:r>
        <w:rPr>
          <w:i/>
          <w:iCs/>
          <w:sz w:val="24"/>
          <w:szCs w:val="24"/>
        </w:rPr>
        <w:t>4</w:t>
      </w:r>
      <w:r>
        <w:rPr>
          <w:sz w:val="24"/>
          <w:szCs w:val="24"/>
        </w:rPr>
        <w:t>(1), Article 209.</w:t>
      </w:r>
      <w:hyperlink r:id="rId40">
        <w:r>
          <w:rPr>
            <w:sz w:val="24"/>
            <w:szCs w:val="24"/>
          </w:rPr>
          <w:t xml:space="preserve"> </w:t>
        </w:r>
      </w:hyperlink>
      <w:hyperlink r:id="rId41">
        <w:r>
          <w:rPr>
            <w:color w:val="1155CC"/>
            <w:sz w:val="24"/>
            <w:szCs w:val="24"/>
            <w:u w:val="single"/>
          </w:rPr>
          <w:t>https://doi.org/10.1007/s44217-025-00529-z</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Termjai</w:t>
      </w:r>
      <w:proofErr w:type="spellEnd"/>
      <w:r>
        <w:rPr>
          <w:sz w:val="24"/>
          <w:szCs w:val="24"/>
          <w:highlight w:val="white"/>
        </w:rPr>
        <w:t xml:space="preserve">, M. (2024). Peer Feedback in Thai EFL Writing: Students’ Perceptions, Accuracy, and Revisions. </w:t>
      </w:r>
      <w:r>
        <w:rPr>
          <w:i/>
          <w:iCs/>
          <w:sz w:val="24"/>
          <w:szCs w:val="24"/>
          <w:highlight w:val="white"/>
        </w:rPr>
        <w:t>English Language Teaching</w:t>
      </w:r>
      <w:r>
        <w:rPr>
          <w:sz w:val="24"/>
          <w:szCs w:val="24"/>
          <w:highlight w:val="white"/>
        </w:rPr>
        <w:t xml:space="preserve">, </w:t>
      </w:r>
      <w:r>
        <w:rPr>
          <w:i/>
          <w:iCs/>
          <w:sz w:val="24"/>
          <w:szCs w:val="24"/>
          <w:highlight w:val="white"/>
        </w:rPr>
        <w:t>17</w:t>
      </w:r>
      <w:r>
        <w:rPr>
          <w:sz w:val="24"/>
          <w:szCs w:val="24"/>
          <w:highlight w:val="white"/>
        </w:rPr>
        <w:t>(8), 10.</w:t>
      </w:r>
      <w:hyperlink r:id="rId42">
        <w:r>
          <w:rPr>
            <w:sz w:val="24"/>
            <w:szCs w:val="24"/>
            <w:highlight w:val="white"/>
          </w:rPr>
          <w:t xml:space="preserve"> </w:t>
        </w:r>
      </w:hyperlink>
      <w:hyperlink r:id="rId43">
        <w:r>
          <w:rPr>
            <w:color w:val="1155CC"/>
            <w:sz w:val="24"/>
            <w:szCs w:val="24"/>
            <w:highlight w:val="white"/>
            <w:u w:val="single"/>
          </w:rPr>
          <w:t>https://doi.org/10.5539/elt.v17n8p10</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Test taker performance 2024-2025. (n.d.). IELTS. Retrieved August 29, 2025, from</w:t>
      </w:r>
      <w:hyperlink r:id="rId44">
        <w:r>
          <w:rPr>
            <w:sz w:val="24"/>
            <w:szCs w:val="24"/>
            <w:highlight w:val="white"/>
          </w:rPr>
          <w:t xml:space="preserve"> </w:t>
        </w:r>
      </w:hyperlink>
      <w:hyperlink r:id="rId45">
        <w:r>
          <w:rPr>
            <w:color w:val="1155CC"/>
            <w:sz w:val="24"/>
            <w:szCs w:val="24"/>
            <w:highlight w:val="white"/>
            <w:u w:val="single"/>
          </w:rPr>
          <w:t>https://ielts.org/researchers/our-research/test-statistics</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r>
        <w:rPr>
          <w:sz w:val="24"/>
          <w:szCs w:val="24"/>
          <w:highlight w:val="white"/>
        </w:rPr>
        <w:t xml:space="preserve">Trang, N. T. B., </w:t>
      </w:r>
      <w:proofErr w:type="spellStart"/>
      <w:r>
        <w:rPr>
          <w:sz w:val="24"/>
          <w:szCs w:val="24"/>
          <w:highlight w:val="white"/>
        </w:rPr>
        <w:t>Nhu</w:t>
      </w:r>
      <w:proofErr w:type="spellEnd"/>
      <w:r>
        <w:rPr>
          <w:sz w:val="24"/>
          <w:szCs w:val="24"/>
          <w:highlight w:val="white"/>
        </w:rPr>
        <w:t xml:space="preserve">, N. V. Q., &amp; Tuan, N. Q. (2023). Use of cohesive devices in paragraph writing by EFL students at English language centers in Vietnam. </w:t>
      </w:r>
      <w:r>
        <w:rPr>
          <w:i/>
          <w:iCs/>
          <w:sz w:val="24"/>
          <w:szCs w:val="24"/>
          <w:highlight w:val="white"/>
        </w:rPr>
        <w:t>VNU Journal of Foreign Studies, 39</w:t>
      </w:r>
      <w:r>
        <w:rPr>
          <w:sz w:val="24"/>
          <w:szCs w:val="24"/>
          <w:highlight w:val="white"/>
        </w:rPr>
        <w:t xml:space="preserve">(3), 152-169. </w:t>
      </w:r>
      <w:hyperlink r:id="rId46">
        <w:r>
          <w:rPr>
            <w:color w:val="1155CC"/>
            <w:sz w:val="24"/>
            <w:szCs w:val="24"/>
            <w:highlight w:val="white"/>
            <w:u w:val="single"/>
          </w:rPr>
          <w:t>https://doi.org/10.63023/2525-2445/jfs.ulis.5099</w:t>
        </w:r>
      </w:hyperlink>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Ushioda</w:t>
      </w:r>
      <w:proofErr w:type="spellEnd"/>
      <w:r>
        <w:rPr>
          <w:sz w:val="24"/>
          <w:szCs w:val="24"/>
          <w:highlight w:val="white"/>
        </w:rPr>
        <w:t xml:space="preserve">, E. (2020). </w:t>
      </w:r>
      <w:r>
        <w:rPr>
          <w:i/>
          <w:iCs/>
          <w:sz w:val="24"/>
          <w:szCs w:val="24"/>
          <w:highlight w:val="white"/>
        </w:rPr>
        <w:t>Language learning motivation</w:t>
      </w:r>
      <w:r>
        <w:rPr>
          <w:sz w:val="24"/>
          <w:szCs w:val="24"/>
          <w:highlight w:val="white"/>
        </w:rPr>
        <w:t>. Oxford University Press.</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rPr>
      </w:pPr>
      <w:proofErr w:type="spellStart"/>
      <w:r>
        <w:rPr>
          <w:sz w:val="24"/>
          <w:szCs w:val="24"/>
          <w:highlight w:val="white"/>
        </w:rPr>
        <w:t>Warschauer</w:t>
      </w:r>
      <w:proofErr w:type="spellEnd"/>
      <w:r>
        <w:rPr>
          <w:sz w:val="24"/>
          <w:szCs w:val="24"/>
          <w:highlight w:val="white"/>
        </w:rPr>
        <w:t xml:space="preserve">, M., &amp; </w:t>
      </w:r>
      <w:proofErr w:type="spellStart"/>
      <w:r>
        <w:rPr>
          <w:sz w:val="24"/>
          <w:szCs w:val="24"/>
          <w:highlight w:val="white"/>
        </w:rPr>
        <w:t>Liaw</w:t>
      </w:r>
      <w:proofErr w:type="spellEnd"/>
      <w:r>
        <w:rPr>
          <w:sz w:val="24"/>
          <w:szCs w:val="24"/>
          <w:highlight w:val="white"/>
        </w:rPr>
        <w:t xml:space="preserve">, M.-L. (2011). Emerging technologies for autonomous language learning. </w:t>
      </w:r>
      <w:r>
        <w:rPr>
          <w:i/>
          <w:iCs/>
          <w:sz w:val="24"/>
          <w:szCs w:val="24"/>
          <w:highlight w:val="white"/>
        </w:rPr>
        <w:t>Studies in Self-Access Learning Journal, 2</w:t>
      </w:r>
      <w:r>
        <w:rPr>
          <w:sz w:val="24"/>
          <w:szCs w:val="24"/>
          <w:highlight w:val="white"/>
        </w:rPr>
        <w:t>(3), 107–118.</w:t>
      </w:r>
    </w:p>
    <w:p w:rsidR="00BA67A1" w:rsidRDefault="00000000">
      <w:pPr>
        <w:pBdr>
          <w:top w:val="none" w:sz="0" w:space="0" w:color="000000"/>
          <w:left w:val="none" w:sz="0" w:space="0" w:color="000000"/>
          <w:bottom w:val="none" w:sz="0" w:space="0" w:color="000000"/>
          <w:right w:val="none" w:sz="0" w:space="0" w:color="000000"/>
        </w:pBdr>
        <w:spacing w:after="120" w:line="240" w:lineRule="auto"/>
        <w:ind w:left="400" w:hanging="450"/>
        <w:rPr>
          <w:sz w:val="24"/>
          <w:szCs w:val="24"/>
          <w:highlight w:val="white"/>
        </w:rPr>
      </w:pPr>
      <w:proofErr w:type="spellStart"/>
      <w:r>
        <w:rPr>
          <w:sz w:val="24"/>
          <w:szCs w:val="24"/>
          <w:highlight w:val="white"/>
        </w:rPr>
        <w:t>Weigle</w:t>
      </w:r>
      <w:proofErr w:type="spellEnd"/>
      <w:r>
        <w:rPr>
          <w:sz w:val="24"/>
          <w:szCs w:val="24"/>
          <w:highlight w:val="white"/>
        </w:rPr>
        <w:t xml:space="preserve">, S. C. (2013). English language learners and automated scoring of essays: Critical considerations. </w:t>
      </w:r>
      <w:r>
        <w:rPr>
          <w:i/>
          <w:iCs/>
          <w:sz w:val="24"/>
          <w:szCs w:val="24"/>
          <w:highlight w:val="white"/>
        </w:rPr>
        <w:t>Assessing Writing, 18</w:t>
      </w:r>
      <w:r>
        <w:rPr>
          <w:sz w:val="24"/>
          <w:szCs w:val="24"/>
          <w:highlight w:val="white"/>
        </w:rPr>
        <w:t xml:space="preserve">(1), 85–99. </w:t>
      </w:r>
      <w:hyperlink r:id="rId47">
        <w:r>
          <w:rPr>
            <w:color w:val="1155CC"/>
            <w:sz w:val="24"/>
            <w:szCs w:val="24"/>
            <w:highlight w:val="white"/>
            <w:u w:val="single"/>
          </w:rPr>
          <w:t>https://doi.org/10.1016/j.asw.2012.10.006</w:t>
        </w:r>
      </w:hyperlink>
    </w:p>
    <w:p w:rsidR="00BA67A1" w:rsidRDefault="00000000">
      <w:pPr>
        <w:pBdr>
          <w:top w:val="nil"/>
          <w:left w:val="nil"/>
          <w:bottom w:val="nil"/>
          <w:right w:val="nil"/>
          <w:between w:val="nil"/>
        </w:pBdr>
        <w:spacing w:after="100"/>
        <w:ind w:left="426" w:hanging="426"/>
        <w:rPr>
          <w:b/>
          <w:bCs/>
          <w:color w:val="000000"/>
          <w:sz w:val="24"/>
          <w:szCs w:val="24"/>
        </w:rPr>
      </w:pPr>
      <w:proofErr w:type="spellStart"/>
      <w:r>
        <w:rPr>
          <w:b/>
          <w:bCs/>
          <w:color w:val="000000"/>
          <w:sz w:val="24"/>
          <w:szCs w:val="24"/>
        </w:rPr>
        <w:t>Bionote</w:t>
      </w:r>
      <w:proofErr w:type="spellEnd"/>
    </w:p>
    <w:p w:rsidR="00BA67A1" w:rsidRDefault="00000000">
      <w:pPr>
        <w:rPr>
          <w:color w:val="1D2125"/>
          <w:sz w:val="24"/>
          <w:szCs w:val="24"/>
        </w:rPr>
      </w:pPr>
      <w:proofErr w:type="spellStart"/>
      <w:r>
        <w:rPr>
          <w:color w:val="1D2125"/>
          <w:sz w:val="24"/>
          <w:szCs w:val="24"/>
        </w:rPr>
        <w:t>Hoàng</w:t>
      </w:r>
      <w:proofErr w:type="spellEnd"/>
      <w:r>
        <w:rPr>
          <w:color w:val="1D2125"/>
          <w:sz w:val="24"/>
          <w:szCs w:val="24"/>
        </w:rPr>
        <w:t xml:space="preserve"> </w:t>
      </w:r>
      <w:proofErr w:type="spellStart"/>
      <w:r>
        <w:rPr>
          <w:color w:val="1D2125"/>
          <w:sz w:val="24"/>
          <w:szCs w:val="24"/>
        </w:rPr>
        <w:t>Ngọc</w:t>
      </w:r>
      <w:proofErr w:type="spellEnd"/>
      <w:r>
        <w:rPr>
          <w:color w:val="1D2125"/>
          <w:sz w:val="24"/>
          <w:szCs w:val="24"/>
        </w:rPr>
        <w:t xml:space="preserve"> </w:t>
      </w:r>
      <w:proofErr w:type="spellStart"/>
      <w:r>
        <w:rPr>
          <w:color w:val="1D2125"/>
          <w:sz w:val="24"/>
          <w:szCs w:val="24"/>
        </w:rPr>
        <w:t>Quỳnh</w:t>
      </w:r>
      <w:proofErr w:type="spellEnd"/>
      <w:r>
        <w:rPr>
          <w:color w:val="1D2125"/>
          <w:sz w:val="24"/>
          <w:szCs w:val="24"/>
        </w:rPr>
        <w:t xml:space="preserve"> </w:t>
      </w:r>
      <w:proofErr w:type="spellStart"/>
      <w:r>
        <w:rPr>
          <w:color w:val="1D2125"/>
          <w:sz w:val="24"/>
          <w:szCs w:val="24"/>
        </w:rPr>
        <w:t>Như</w:t>
      </w:r>
      <w:proofErr w:type="spellEnd"/>
      <w:r>
        <w:rPr>
          <w:color w:val="1D2125"/>
          <w:sz w:val="24"/>
          <w:szCs w:val="24"/>
        </w:rPr>
        <w:t xml:space="preserve"> is an English language lecturer at the Industrial University of Ho Chi Minh City, Vietnam. She holds an MEd in TESOL from Edith Cowan University. She </w:t>
      </w:r>
      <w:proofErr w:type="spellStart"/>
      <w:r>
        <w:rPr>
          <w:color w:val="1D2125"/>
          <w:sz w:val="24"/>
          <w:szCs w:val="24"/>
        </w:rPr>
        <w:t>specialises</w:t>
      </w:r>
      <w:proofErr w:type="spellEnd"/>
      <w:r>
        <w:rPr>
          <w:color w:val="1D2125"/>
          <w:sz w:val="24"/>
          <w:szCs w:val="24"/>
        </w:rPr>
        <w:t xml:space="preserve"> in developing students' speaking, writing, listening, and reading skills. Her research focuses on applying Al-based tools to enhance English proficiency among university students, exploring attitudes and practical solutions. She has also conducted studies on pedagogical strategies, language assessment, collaborative learning, and the use of technology in teacher education. </w:t>
      </w:r>
    </w:p>
    <w:p w:rsidR="00BA67A1" w:rsidRDefault="00000000">
      <w:pPr>
        <w:rPr>
          <w:color w:val="1D2125"/>
          <w:sz w:val="24"/>
          <w:szCs w:val="24"/>
        </w:rPr>
      </w:pPr>
      <w:r>
        <w:rPr>
          <w:color w:val="1D2125"/>
          <w:sz w:val="24"/>
          <w:szCs w:val="24"/>
        </w:rPr>
        <w:t xml:space="preserve">Co- </w:t>
      </w:r>
      <w:proofErr w:type="spellStart"/>
      <w:r>
        <w:rPr>
          <w:color w:val="1D2125"/>
          <w:sz w:val="24"/>
          <w:szCs w:val="24"/>
        </w:rPr>
        <w:t>Trần</w:t>
      </w:r>
      <w:proofErr w:type="spellEnd"/>
      <w:r>
        <w:rPr>
          <w:color w:val="1D2125"/>
          <w:sz w:val="24"/>
          <w:szCs w:val="24"/>
        </w:rPr>
        <w:t xml:space="preserve"> </w:t>
      </w:r>
      <w:proofErr w:type="spellStart"/>
      <w:r>
        <w:rPr>
          <w:color w:val="1D2125"/>
          <w:sz w:val="24"/>
          <w:szCs w:val="24"/>
        </w:rPr>
        <w:t>Sĩ</w:t>
      </w:r>
      <w:proofErr w:type="spellEnd"/>
      <w:r>
        <w:rPr>
          <w:color w:val="1D2125"/>
          <w:sz w:val="24"/>
          <w:szCs w:val="24"/>
        </w:rPr>
        <w:t xml:space="preserve"> </w:t>
      </w:r>
      <w:proofErr w:type="spellStart"/>
      <w:r>
        <w:rPr>
          <w:color w:val="1D2125"/>
          <w:sz w:val="24"/>
          <w:szCs w:val="24"/>
        </w:rPr>
        <w:t>Nguyên</w:t>
      </w:r>
      <w:proofErr w:type="spellEnd"/>
      <w:r>
        <w:rPr>
          <w:color w:val="1D2125"/>
          <w:sz w:val="24"/>
          <w:szCs w:val="24"/>
        </w:rPr>
        <w:t xml:space="preserve"> Sa is a visiting lecturer in English at HCMC University of Technology, Vietnam. She holds an MEd in TESOL </w:t>
      </w:r>
      <w:proofErr w:type="gramStart"/>
      <w:r>
        <w:rPr>
          <w:color w:val="1D2125"/>
          <w:sz w:val="24"/>
          <w:szCs w:val="24"/>
        </w:rPr>
        <w:t>Presenters'</w:t>
      </w:r>
      <w:proofErr w:type="gramEnd"/>
      <w:r>
        <w:rPr>
          <w:color w:val="1D2125"/>
          <w:sz w:val="24"/>
          <w:szCs w:val="24"/>
        </w:rPr>
        <w:t xml:space="preserve"> from Edith Cowan University. She focuses on improving students' proficiency in speaking, writing, listening, and reading. Her research interests include Al applications in language education, digital literacy, and the sociocultural impact of technology on language teaching and learning. She also explores innovative pedagogical strategies and the role of technology in teacher training and curriculum development.</w:t>
      </w:r>
    </w:p>
    <w:p w:rsidR="00BA67A1" w:rsidRDefault="00BA67A1">
      <w:pPr>
        <w:ind w:firstLine="0"/>
        <w:rPr>
          <w:sz w:val="24"/>
          <w:szCs w:val="24"/>
        </w:rPr>
      </w:pPr>
    </w:p>
    <w:sectPr w:rsidR="00BA67A1">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22A2F" w:rsidRDefault="00F22A2F">
      <w:pPr>
        <w:spacing w:before="0" w:after="0" w:line="240" w:lineRule="auto"/>
      </w:pPr>
      <w:r>
        <w:separator/>
      </w:r>
    </w:p>
  </w:endnote>
  <w:endnote w:type="continuationSeparator" w:id="0">
    <w:p w:rsidR="00F22A2F" w:rsidRDefault="00F22A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B505455A-87B2-C049-8C0B-570D6C3F49C5}"/>
    <w:embedBold r:id="rId2" w:fontKey="{EA732D53-3980-5846-936A-7E05C2D4F883}"/>
    <w:embedItalic r:id="rId3" w:fontKey="{A5307B65-55A5-9C47-844A-B805E09B30D1}"/>
    <w:embedBoldItalic r:id="rId4" w:fontKey="{62F0B400-2A1C-664D-BEBE-650CE5368D3F}"/>
  </w:font>
  <w:font w:name="Georgia">
    <w:panose1 w:val="02040502050405020303"/>
    <w:charset w:val="00"/>
    <w:family w:val="roman"/>
    <w:pitch w:val="variable"/>
    <w:sig w:usb0="00000287" w:usb1="00000000" w:usb2="00000000" w:usb3="00000000" w:csb0="0000009F" w:csb1="00000000"/>
    <w:embedItalic r:id="rId5" w:fontKey="{2CF022F4-9B00-2D4D-AD22-4E33395F0C6A}"/>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embedRegular r:id="rId6" w:fontKey="{A95F4EEF-B91C-1C49-98BE-2D2C53D6A4B1}"/>
  </w:font>
  <w:font w:name="Cambria">
    <w:panose1 w:val="02040503050406030204"/>
    <w:charset w:val="00"/>
    <w:family w:val="roman"/>
    <w:notTrueType/>
    <w:pitch w:val="default"/>
    <w:embedRegular r:id="rId7" w:fontKey="{F7D471F6-02EC-7A4F-996A-30D28417CDD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22A2F" w:rsidRDefault="00F22A2F">
      <w:pPr>
        <w:spacing w:before="0" w:after="0" w:line="240" w:lineRule="auto"/>
      </w:pPr>
      <w:r>
        <w:separator/>
      </w:r>
    </w:p>
  </w:footnote>
  <w:footnote w:type="continuationSeparator" w:id="0">
    <w:p w:rsidR="00F22A2F" w:rsidRDefault="00F22A2F">
      <w:pPr>
        <w:spacing w:before="0" w:after="0" w:line="240" w:lineRule="auto"/>
      </w:pPr>
      <w:r>
        <w:continuationSeparator/>
      </w:r>
    </w:p>
  </w:footnote>
  <w:footnote w:id="1">
    <w:p w:rsidR="00BA67A1" w:rsidRDefault="00000000">
      <w:pPr>
        <w:pBdr>
          <w:top w:val="nil"/>
          <w:left w:val="nil"/>
          <w:bottom w:val="nil"/>
          <w:right w:val="nil"/>
          <w:between w:val="nil"/>
        </w:pBdr>
        <w:spacing w:before="0" w:after="0" w:line="240" w:lineRule="auto"/>
        <w:ind w:left="142" w:hanging="142"/>
        <w:rPr>
          <w:color w:val="000000"/>
        </w:rPr>
      </w:pPr>
      <w:r>
        <w:rPr>
          <w:vertAlign w:val="superscript"/>
        </w:rPr>
        <w:footnoteRef/>
      </w:r>
      <w:r>
        <w:rPr>
          <w:color w:val="000000"/>
        </w:rPr>
        <w:t xml:space="preserve"> </w:t>
      </w:r>
      <w:proofErr w:type="spellStart"/>
      <w:r>
        <w:t>Nhu</w:t>
      </w:r>
      <w:proofErr w:type="spellEnd"/>
      <w:r>
        <w:t xml:space="preserve"> Hoang Ngoc Quynh,</w:t>
      </w:r>
      <w:r>
        <w:rPr>
          <w:color w:val="000000"/>
        </w:rPr>
        <w:t xml:space="preserve"> </w:t>
      </w:r>
      <w:r>
        <w:t>Lecturer</w:t>
      </w:r>
      <w:r>
        <w:rPr>
          <w:color w:val="000000"/>
        </w:rPr>
        <w:t xml:space="preserve">, </w:t>
      </w:r>
      <w:r>
        <w:t>Faculty of Foreign Languages</w:t>
      </w:r>
      <w:r>
        <w:rPr>
          <w:color w:val="000000"/>
        </w:rPr>
        <w:t xml:space="preserve">, Industrial University of Ho Chi Minh, </w:t>
      </w:r>
      <w:r>
        <w:t xml:space="preserve">Ho Chi Minh </w:t>
      </w:r>
      <w:r>
        <w:rPr>
          <w:color w:val="000000"/>
        </w:rPr>
        <w:t xml:space="preserve">City, </w:t>
      </w:r>
      <w:r>
        <w:t>Vietnam</w:t>
      </w:r>
      <w:r>
        <w:rPr>
          <w:color w:val="000000"/>
        </w:rPr>
        <w:t xml:space="preserve">; </w:t>
      </w:r>
      <w:r>
        <w:rPr>
          <w:i/>
          <w:iCs/>
          <w:color w:val="000000"/>
        </w:rPr>
        <w:t xml:space="preserve">Email: </w:t>
      </w:r>
      <w:r>
        <w:rPr>
          <w:i/>
          <w:iCs/>
        </w:rPr>
        <w:t>hnqnhu188</w:t>
      </w:r>
      <w:r>
        <w:rPr>
          <w:i/>
          <w:iCs/>
          <w:color w:val="000000"/>
        </w:rPr>
        <w:t>@</w:t>
      </w:r>
      <w:r>
        <w:rPr>
          <w:i/>
          <w:iCs/>
        </w:rPr>
        <w:t>gmail</w:t>
      </w:r>
      <w:r>
        <w:rPr>
          <w:i/>
          <w:iCs/>
          <w:color w:val="000000"/>
        </w:rPr>
        <w:t>.com</w:t>
      </w:r>
    </w:p>
  </w:footnote>
  <w:footnote w:id="2">
    <w:p w:rsidR="00BA67A1" w:rsidRDefault="00000000">
      <w:pPr>
        <w:pBdr>
          <w:top w:val="nil"/>
          <w:left w:val="nil"/>
          <w:bottom w:val="nil"/>
          <w:right w:val="nil"/>
          <w:between w:val="nil"/>
        </w:pBdr>
        <w:spacing w:before="0" w:after="0" w:line="240" w:lineRule="auto"/>
        <w:ind w:left="142" w:hanging="142"/>
        <w:rPr>
          <w:color w:val="000000"/>
        </w:rPr>
      </w:pPr>
      <w:r>
        <w:rPr>
          <w:vertAlign w:val="superscript"/>
        </w:rPr>
        <w:footnoteRef/>
      </w:r>
      <w:r>
        <w:rPr>
          <w:color w:val="000000"/>
        </w:rPr>
        <w:t xml:space="preserve"> </w:t>
      </w:r>
      <w:r>
        <w:t>Lecturer</w:t>
      </w:r>
      <w:r>
        <w:rPr>
          <w:color w:val="000000"/>
        </w:rPr>
        <w:t xml:space="preserve">, </w:t>
      </w:r>
      <w:r>
        <w:t>Foreign Language Center</w:t>
      </w:r>
      <w:r>
        <w:rPr>
          <w:color w:val="000000"/>
        </w:rPr>
        <w:t xml:space="preserve">, </w:t>
      </w:r>
      <w:r>
        <w:t xml:space="preserve">Ho Chi Minh </w:t>
      </w:r>
      <w:r>
        <w:rPr>
          <w:color w:val="000000"/>
        </w:rPr>
        <w:t xml:space="preserve">University of Technology, </w:t>
      </w:r>
      <w:r>
        <w:t>Ho Chi Minh City, Vietnam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44353"/>
    <w:multiLevelType w:val="multilevel"/>
    <w:tmpl w:val="20D61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6809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7A1"/>
    <w:rsid w:val="00BA67A1"/>
    <w:rsid w:val="00DA2DA7"/>
    <w:rsid w:val="00F22A2F"/>
  </w:rsids>
  <m:mathPr>
    <m:mathFont m:val="Cambria Math"/>
    <m:brkBin m:val="before"/>
    <m:brkBinSub m:val="--"/>
    <m:smallFrac m:val="0"/>
    <m:dispDef/>
    <m:lMargin m:val="0"/>
    <m:rMargin m:val="0"/>
    <m:defJc m:val="centerGroup"/>
    <m:wrapIndent m:val="1440"/>
    <m:intLim m:val="subSup"/>
    <m:naryLim m:val="undOvr"/>
  </m:mathPr>
  <w:themeFontLang w:val="en-VN"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06B5AF3"/>
  <w15:docId w15:val="{4E6092F1-8F29-714C-85A7-B5B259EAC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ko-KR" w:bidi="ar-SA"/>
      </w:rPr>
    </w:rPrDefault>
    <w:pPrDefault>
      <w:pPr>
        <w:spacing w:before="120" w:after="6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pPr>
      <w:widowControl w:val="0"/>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5" w:type="dxa"/>
        <w:left w:w="15" w:type="dxa"/>
        <w:bottom w:w="15" w:type="dxa"/>
        <w:right w:w="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4324/9780203832400" TargetMode="External"/><Relationship Id="rId18" Type="http://schemas.openxmlformats.org/officeDocument/2006/relationships/hyperlink" Target="https://doi.org/10.54855/ijli.24331" TargetMode="External"/><Relationship Id="rId26" Type="http://schemas.openxmlformats.org/officeDocument/2006/relationships/hyperlink" Target="https://doi.org/10.1017/S0272263122000481" TargetMode="External"/><Relationship Id="rId39" Type="http://schemas.openxmlformats.org/officeDocument/2006/relationships/hyperlink" Target="http://doi.org/10.1177/0265532209104665" TargetMode="External"/><Relationship Id="rId21" Type="http://schemas.openxmlformats.org/officeDocument/2006/relationships/hyperlink" Target="https://doi.org/10.1038/s41598-023-45644-9" TargetMode="External"/><Relationship Id="rId34" Type="http://schemas.openxmlformats.org/officeDocument/2006/relationships/hyperlink" Target="https://doi.org/10.1111/1467-9922.00213" TargetMode="External"/><Relationship Id="rId42" Type="http://schemas.openxmlformats.org/officeDocument/2006/relationships/hyperlink" Target="https://doi.org/10.5539/elt.v17n8p10" TargetMode="External"/><Relationship Id="rId47" Type="http://schemas.openxmlformats.org/officeDocument/2006/relationships/hyperlink" Target="https://doi.org/10.1016/j.asw.2012.10.00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758/s13428-015-0651-7." TargetMode="External"/><Relationship Id="rId29" Type="http://schemas.openxmlformats.org/officeDocument/2006/relationships/hyperlink" Target="https://doi.org/10.1017/S026144482300023X" TargetMode="External"/><Relationship Id="rId11" Type="http://schemas.openxmlformats.org/officeDocument/2006/relationships/hyperlink" Target="https://doi.org/10.1186/s41239-024-00455-4" TargetMode="External"/><Relationship Id="rId24" Type="http://schemas.openxmlformats.org/officeDocument/2006/relationships/hyperlink" Target="https://doi.org/10.21203/rs.3.rs-5608928/v1" TargetMode="External"/><Relationship Id="rId32" Type="http://schemas.openxmlformats.org/officeDocument/2006/relationships/hyperlink" Target="https://doi.org/10.55737/qjssh.897009451" TargetMode="External"/><Relationship Id="rId37" Type="http://schemas.openxmlformats.org/officeDocument/2006/relationships/hyperlink" Target="https://doi.org/10.3389/fpsyg.2022.1070618" TargetMode="External"/><Relationship Id="rId40" Type="http://schemas.openxmlformats.org/officeDocument/2006/relationships/hyperlink" Target="https://doi.org/10.1007/s44217-025-00529-z" TargetMode="External"/><Relationship Id="rId45" Type="http://schemas.openxmlformats.org/officeDocument/2006/relationships/hyperlink" Target="https://ielts.org/researchers/our-research/test-statistics" TargetMode="External"/><Relationship Id="rId5" Type="http://schemas.openxmlformats.org/officeDocument/2006/relationships/webSettings" Target="webSettings.xml"/><Relationship Id="rId15" Type="http://schemas.openxmlformats.org/officeDocument/2006/relationships/hyperlink" Target="https://doi.org/10.1016/j.jslw.2022.100915" TargetMode="External"/><Relationship Id="rId23" Type="http://schemas.openxmlformats.org/officeDocument/2006/relationships/hyperlink" Target="https://doi.org/10.21203/rs.3.rs-5608928/v1" TargetMode="External"/><Relationship Id="rId28" Type="http://schemas.openxmlformats.org/officeDocument/2006/relationships/hyperlink" Target="https://doi.org/10.1177/00336882231162868" TargetMode="External"/><Relationship Id="rId36" Type="http://schemas.openxmlformats.org/officeDocument/2006/relationships/hyperlink" Target="https://doi.org/10.1016/j.learninstruc.2024.101894" TargetMode="External"/><Relationship Id="rId49" Type="http://schemas.openxmlformats.org/officeDocument/2006/relationships/theme" Target="theme/theme1.xml"/><Relationship Id="rId10" Type="http://schemas.openxmlformats.org/officeDocument/2006/relationships/hyperlink" Target="https://doi.org/10.1016/j.jeap.2005.11.003" TargetMode="External"/><Relationship Id="rId19" Type="http://schemas.openxmlformats.org/officeDocument/2006/relationships/hyperlink" Target="https://doi.org/10.1080/2331186X.2024.2397882" TargetMode="External"/><Relationship Id="rId31" Type="http://schemas.openxmlformats.org/officeDocument/2006/relationships/hyperlink" Target="https://doi.org/10.55733/qjssh.2023.4.4.41" TargetMode="External"/><Relationship Id="rId44" Type="http://schemas.openxmlformats.org/officeDocument/2006/relationships/hyperlink" Target="https://ielts.org/researchers/our-research/test-statistics" TargetMode="External"/><Relationship Id="rId4" Type="http://schemas.openxmlformats.org/officeDocument/2006/relationships/settings" Target="settings.xml"/><Relationship Id="rId9" Type="http://schemas.openxmlformats.org/officeDocument/2006/relationships/hyperlink" Target="https://doi.org/10.1016/j.tsc.2025.101766" TargetMode="External"/><Relationship Id="rId14" Type="http://schemas.openxmlformats.org/officeDocument/2006/relationships/hyperlink" Target="https://doi.org/10.1016/j.jslw.2022.100915" TargetMode="External"/><Relationship Id="rId22" Type="http://schemas.openxmlformats.org/officeDocument/2006/relationships/hyperlink" Target="https://doi.org/10.1186/s40468-025-00374-9" TargetMode="External"/><Relationship Id="rId27" Type="http://schemas.openxmlformats.org/officeDocument/2006/relationships/hyperlink" Target="https://doi.org/10.1177/00336882231162868" TargetMode="External"/><Relationship Id="rId30" Type="http://schemas.openxmlformats.org/officeDocument/2006/relationships/hyperlink" Target="https://doi.org/10.1016/j.jeap.2004.02.001" TargetMode="External"/><Relationship Id="rId35" Type="http://schemas.openxmlformats.org/officeDocument/2006/relationships/hyperlink" Target="https://doi.org/10.1017/S0958344023000265" TargetMode="External"/><Relationship Id="rId43" Type="http://schemas.openxmlformats.org/officeDocument/2006/relationships/hyperlink" Target="https://doi.org/10.5539/elt.v17n8p10" TargetMode="External"/><Relationship Id="rId48" Type="http://schemas.openxmlformats.org/officeDocument/2006/relationships/fontTable" Target="fontTable.xml"/><Relationship Id="rId8" Type="http://schemas.openxmlformats.org/officeDocument/2006/relationships/hyperlink" Target="https://doi.org/10.26714/lensa.14.1.2024.58-79" TargetMode="External"/><Relationship Id="rId3" Type="http://schemas.openxmlformats.org/officeDocument/2006/relationships/styles" Target="styles.xml"/><Relationship Id="rId12" Type="http://schemas.openxmlformats.org/officeDocument/2006/relationships/hyperlink" Target="https://doi.org/10.31426/ijamsr.2018.1.4.211" TargetMode="External"/><Relationship Id="rId17" Type="http://schemas.openxmlformats.org/officeDocument/2006/relationships/hyperlink" Target="https://doi.org/10.54855/ijli.24331" TargetMode="External"/><Relationship Id="rId25" Type="http://schemas.openxmlformats.org/officeDocument/2006/relationships/hyperlink" Target="https://doi.org/10.1037/0033-2909.119.2.254" TargetMode="External"/><Relationship Id="rId33" Type="http://schemas.openxmlformats.org/officeDocument/2006/relationships/hyperlink" Target="https://doi.org/10.1111/1467-9922.00213?utm_source=chatgpt.com" TargetMode="External"/><Relationship Id="rId38" Type="http://schemas.openxmlformats.org/officeDocument/2006/relationships/hyperlink" Target="https://doi.org/10.1016/j.caeai.2022.100075" TargetMode="External"/><Relationship Id="rId46" Type="http://schemas.openxmlformats.org/officeDocument/2006/relationships/hyperlink" Target="https://doi.org/10.63023/2525-2445/jfs.ulis.5099" TargetMode="External"/><Relationship Id="rId20" Type="http://schemas.openxmlformats.org/officeDocument/2006/relationships/hyperlink" Target="https://doi.org/10.1017/S0272263109990490" TargetMode="External"/><Relationship Id="rId41" Type="http://schemas.openxmlformats.org/officeDocument/2006/relationships/hyperlink" Target="https://doi.org/10.1007/s44217-025-00529-z"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3AERX5ELAuIKzpTnoH47TlUrDQ==">CgMxLjAaHwoBMBIaChgICVIUChJ0YWJsZS55amo2amJ1YzlqaWU4AHIhMXRSSGhzaFkzd29BdlVrZnNwSlFPZ3hXVWxMQzc1MU1V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7882</Words>
  <Characters>44934</Characters>
  <Application>Microsoft Office Word</Application>
  <DocSecurity>0</DocSecurity>
  <Lines>374</Lines>
  <Paragraphs>105</Paragraphs>
  <ScaleCrop>false</ScaleCrop>
  <Company/>
  <LinksUpToDate>false</LinksUpToDate>
  <CharactersWithSpaces>52711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Hoàng Ngọc Quỳnh Như</cp:lastModifiedBy>
  <cp:revision>2</cp:revision>
  <dcterms:created xsi:type="dcterms:W3CDTF">2026-07-31T08:23:00Z</dcterms:created>
  <dcterms:modified xsi:type="dcterms:W3CDTF">2026-07-31T08:25:00Z</dcterms:modified>
</cp:coreProperties>
</file>