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F1427" w14:textId="77777777" w:rsidR="00242CD1" w:rsidRDefault="00000000">
      <w:pPr>
        <w:pBdr>
          <w:top w:val="nil"/>
          <w:left w:val="nil"/>
          <w:bottom w:val="nil"/>
          <w:right w:val="nil"/>
          <w:between w:val="nil"/>
        </w:pBdr>
        <w:spacing w:after="0"/>
        <w:ind w:firstLine="0"/>
        <w:jc w:val="center"/>
        <w:rPr>
          <w:b/>
          <w:bCs/>
          <w:color w:val="000000"/>
          <w:sz w:val="28"/>
          <w:szCs w:val="28"/>
        </w:rPr>
      </w:pPr>
      <w:r>
        <w:rPr>
          <w:b/>
          <w:bCs/>
          <w:color w:val="000000"/>
          <w:sz w:val="28"/>
          <w:szCs w:val="28"/>
        </w:rPr>
        <w:t>INVESTIGATING ENGLISH-MAJOR UNDERGRADUATES’ READINESS FOR AI-SUPPORTED ACADEMIC WRITING: A MULTIDIMENSIONAL PERSPECTIVE</w:t>
      </w:r>
    </w:p>
    <w:p w14:paraId="50B4EC44" w14:textId="77777777" w:rsidR="00242CD1" w:rsidRDefault="00000000">
      <w:pPr>
        <w:pBdr>
          <w:top w:val="nil"/>
          <w:left w:val="nil"/>
          <w:bottom w:val="nil"/>
          <w:right w:val="nil"/>
          <w:between w:val="nil"/>
        </w:pBdr>
        <w:spacing w:after="120" w:line="240" w:lineRule="auto"/>
        <w:jc w:val="center"/>
        <w:rPr>
          <w:i/>
          <w:iCs/>
          <w:color w:val="000000"/>
        </w:rPr>
      </w:pPr>
      <w:r>
        <w:rPr>
          <w:i/>
          <w:iCs/>
          <w:color w:val="000000"/>
        </w:rPr>
        <w:t xml:space="preserve">Tran Phuong Anh </w:t>
      </w:r>
      <w:r>
        <w:rPr>
          <w:i/>
          <w:iCs/>
          <w:color w:val="000000"/>
          <w:vertAlign w:val="superscript"/>
        </w:rPr>
        <w:footnoteReference w:id="1"/>
      </w:r>
      <w:r>
        <w:rPr>
          <w:i/>
          <w:iCs/>
          <w:color w:val="000000"/>
        </w:rPr>
        <w:t xml:space="preserve">, &amp; Ngo </w:t>
      </w:r>
      <w:proofErr w:type="spellStart"/>
      <w:r>
        <w:rPr>
          <w:i/>
          <w:iCs/>
          <w:color w:val="000000"/>
        </w:rPr>
        <w:t>Thi</w:t>
      </w:r>
      <w:proofErr w:type="spellEnd"/>
      <w:r>
        <w:rPr>
          <w:i/>
          <w:iCs/>
          <w:color w:val="000000"/>
        </w:rPr>
        <w:t xml:space="preserve"> Thu Hien </w:t>
      </w:r>
      <w:r>
        <w:rPr>
          <w:i/>
          <w:iCs/>
          <w:color w:val="000000"/>
          <w:vertAlign w:val="superscript"/>
        </w:rPr>
        <w:footnoteReference w:id="2"/>
      </w:r>
    </w:p>
    <w:p w14:paraId="47D8CD36" w14:textId="77777777" w:rsidR="00242CD1" w:rsidRDefault="00242CD1">
      <w:pPr>
        <w:keepNext/>
        <w:pBdr>
          <w:top w:val="nil"/>
          <w:left w:val="nil"/>
          <w:bottom w:val="nil"/>
          <w:right w:val="nil"/>
          <w:between w:val="nil"/>
        </w:pBdr>
        <w:spacing w:before="240"/>
        <w:ind w:firstLine="0"/>
        <w:rPr>
          <w:b/>
          <w:bCs/>
          <w:color w:val="000000"/>
          <w:sz w:val="24"/>
          <w:szCs w:val="24"/>
        </w:rPr>
      </w:pPr>
    </w:p>
    <w:p w14:paraId="634568A8" w14:textId="77777777" w:rsidR="00242CD1" w:rsidRDefault="00000000">
      <w:pPr>
        <w:keepNext/>
        <w:pBdr>
          <w:top w:val="nil"/>
          <w:left w:val="nil"/>
          <w:bottom w:val="nil"/>
          <w:right w:val="nil"/>
          <w:between w:val="nil"/>
        </w:pBdr>
        <w:spacing w:before="240"/>
        <w:ind w:firstLine="0"/>
        <w:rPr>
          <w:b/>
          <w:bCs/>
          <w:color w:val="000000"/>
          <w:sz w:val="24"/>
          <w:szCs w:val="24"/>
        </w:rPr>
      </w:pPr>
      <w:r>
        <w:rPr>
          <w:b/>
          <w:bCs/>
          <w:color w:val="000000"/>
          <w:sz w:val="24"/>
          <w:szCs w:val="24"/>
        </w:rPr>
        <w:t>Abstract</w:t>
      </w:r>
    </w:p>
    <w:p w14:paraId="78CCDF47" w14:textId="2208326D" w:rsidR="00242CD1" w:rsidRDefault="00000000">
      <w:pPr>
        <w:shd w:val="clear" w:color="auto" w:fill="FFFFFF"/>
        <w:spacing w:before="0" w:after="0" w:line="240" w:lineRule="auto"/>
        <w:ind w:firstLine="0"/>
        <w:rPr>
          <w:sz w:val="24"/>
          <w:szCs w:val="24"/>
        </w:rPr>
      </w:pPr>
      <w:r>
        <w:rPr>
          <w:sz w:val="24"/>
          <w:szCs w:val="24"/>
        </w:rPr>
        <w:t xml:space="preserve">The integration of Artificial Intelligence (AI) tools in academic writing has expanded rapidly, bringing both opportunities and challenges to the field of teaching English as a foreign language (EFL). Although the use of AI has become increasingly common among Vietnamese university students, empirical research on how English majors are prepared to engage with AI in academic writing remains limited. To address this gap, the present study adopts a mixed-methods approach to </w:t>
      </w:r>
      <w:r w:rsidR="00A2037D">
        <w:rPr>
          <w:sz w:val="24"/>
          <w:szCs w:val="24"/>
        </w:rPr>
        <w:t>investigate</w:t>
      </w:r>
      <w:r>
        <w:rPr>
          <w:sz w:val="24"/>
          <w:szCs w:val="24"/>
        </w:rPr>
        <w:t xml:space="preserve"> English-major undergraduates’ readiness and their intention to use AI-supported tools for academic writing, drawing on a multidimensional construct comprising (1) cognitive-metacognitive readiness, (2) linguistic readiness, (3) ethical and responsible awareness, and (4) technology readiness. A questionnaire survey was administered to 93 third-year English majors at Ho Chi Minh City University of Foreign Languages – Information Technolog</w:t>
      </w:r>
      <w:r w:rsidR="00DE02AC">
        <w:rPr>
          <w:sz w:val="24"/>
          <w:szCs w:val="24"/>
        </w:rPr>
        <w:t xml:space="preserve">y. </w:t>
      </w:r>
      <w:r>
        <w:rPr>
          <w:sz w:val="24"/>
          <w:szCs w:val="24"/>
        </w:rPr>
        <w:t>Quantitative</w:t>
      </w:r>
      <w:r w:rsidR="00A2037D">
        <w:rPr>
          <w:sz w:val="24"/>
          <w:szCs w:val="24"/>
        </w:rPr>
        <w:t xml:space="preserve"> </w:t>
      </w:r>
      <w:r>
        <w:rPr>
          <w:sz w:val="24"/>
          <w:szCs w:val="24"/>
        </w:rPr>
        <w:t>data were analyzed using descriptive statistics, correlation, and multiple regression. The results indicate that not all readiness dimensions significantly predict students’ intention to use AI tools. In particular, technology enabler</w:t>
      </w:r>
      <w:r w:rsidR="00982A0A">
        <w:rPr>
          <w:sz w:val="24"/>
          <w:szCs w:val="24"/>
        </w:rPr>
        <w:t>s</w:t>
      </w:r>
      <w:r>
        <w:rPr>
          <w:sz w:val="24"/>
          <w:szCs w:val="24"/>
        </w:rPr>
        <w:t xml:space="preserve">, a sub-dimension of technology readiness, emerged as the </w:t>
      </w:r>
      <w:r w:rsidR="00982A0A">
        <w:rPr>
          <w:sz w:val="24"/>
          <w:szCs w:val="24"/>
        </w:rPr>
        <w:t xml:space="preserve">only </w:t>
      </w:r>
      <w:r>
        <w:rPr>
          <w:sz w:val="24"/>
          <w:szCs w:val="24"/>
        </w:rPr>
        <w:t>significant predictor, while other dimensions played a less decisive role. In addition, semi-structured interviews were conducted to explore students’ perceptions of AI-supported writing. Overall, the findings suggest that positive technological beliefs and supportive conditions outweigh perceived barriers in shaping intentions to use AI. The study contributes to TESOL research on AI-enhanced language learning and offers pedagogical implications for the responsible integration of AI tools in English academic writing instruction at Vietnamese universities.</w:t>
      </w:r>
    </w:p>
    <w:p w14:paraId="669E965C" w14:textId="77777777" w:rsidR="00242CD1" w:rsidRDefault="00242CD1">
      <w:pPr>
        <w:shd w:val="clear" w:color="auto" w:fill="FFFFFF"/>
        <w:spacing w:before="0" w:after="0" w:line="240" w:lineRule="auto"/>
        <w:ind w:firstLine="0"/>
        <w:rPr>
          <w:color w:val="333333"/>
          <w:sz w:val="24"/>
          <w:szCs w:val="24"/>
        </w:rPr>
      </w:pPr>
    </w:p>
    <w:p w14:paraId="6CFB3317" w14:textId="77777777" w:rsidR="00242CD1" w:rsidRDefault="00000000">
      <w:pPr>
        <w:spacing w:before="240"/>
        <w:rPr>
          <w:sz w:val="24"/>
          <w:szCs w:val="24"/>
        </w:rPr>
      </w:pPr>
      <w:r>
        <w:rPr>
          <w:b/>
          <w:bCs/>
          <w:i/>
          <w:iCs/>
          <w:sz w:val="24"/>
          <w:szCs w:val="24"/>
        </w:rPr>
        <w:t>Keywords:</w:t>
      </w:r>
      <w:r>
        <w:rPr>
          <w:sz w:val="24"/>
          <w:szCs w:val="24"/>
        </w:rPr>
        <w:t xml:space="preserve"> AI-supported academic writing; English-major undergraduates; multi-dimensional readiness; technology readiness; TESOL</w:t>
      </w:r>
    </w:p>
    <w:p w14:paraId="7BE3FA3B" w14:textId="77777777" w:rsidR="00242CD1" w:rsidRDefault="00242CD1">
      <w:pPr>
        <w:spacing w:before="240"/>
        <w:ind w:left="993" w:hanging="993"/>
        <w:rPr>
          <w:b/>
          <w:bCs/>
          <w:sz w:val="24"/>
          <w:szCs w:val="24"/>
        </w:rPr>
      </w:pPr>
    </w:p>
    <w:p w14:paraId="74039374" w14:textId="77777777" w:rsidR="00242CD1" w:rsidRDefault="00242CD1">
      <w:pPr>
        <w:spacing w:before="240"/>
        <w:ind w:left="993" w:hanging="993"/>
        <w:rPr>
          <w:b/>
          <w:bCs/>
          <w:sz w:val="24"/>
          <w:szCs w:val="24"/>
        </w:rPr>
      </w:pPr>
    </w:p>
    <w:p w14:paraId="483CCA3E" w14:textId="77777777" w:rsidR="00242CD1" w:rsidRDefault="00242CD1">
      <w:pPr>
        <w:spacing w:before="240"/>
        <w:ind w:left="993" w:hanging="993"/>
        <w:rPr>
          <w:b/>
          <w:bCs/>
          <w:sz w:val="24"/>
          <w:szCs w:val="24"/>
        </w:rPr>
      </w:pPr>
    </w:p>
    <w:p w14:paraId="5F278529" w14:textId="77777777" w:rsidR="00242CD1" w:rsidRDefault="00000000">
      <w:pPr>
        <w:keepNext/>
        <w:pBdr>
          <w:top w:val="nil"/>
          <w:left w:val="nil"/>
          <w:bottom w:val="nil"/>
          <w:right w:val="nil"/>
          <w:between w:val="nil"/>
        </w:pBdr>
        <w:spacing w:before="0" w:after="120" w:line="480" w:lineRule="auto"/>
        <w:ind w:left="284" w:hanging="284"/>
        <w:jc w:val="center"/>
        <w:rPr>
          <w:color w:val="000000"/>
          <w:sz w:val="24"/>
          <w:szCs w:val="24"/>
        </w:rPr>
      </w:pPr>
      <w:r>
        <w:rPr>
          <w:b/>
          <w:bCs/>
          <w:color w:val="000000"/>
          <w:sz w:val="24"/>
          <w:szCs w:val="24"/>
        </w:rPr>
        <w:lastRenderedPageBreak/>
        <w:t>1. Introduction</w:t>
      </w:r>
    </w:p>
    <w:p w14:paraId="0A2C7188" w14:textId="77777777" w:rsidR="00242CD1" w:rsidRDefault="00000000">
      <w:pPr>
        <w:spacing w:before="0" w:after="120" w:line="480" w:lineRule="auto"/>
        <w:rPr>
          <w:sz w:val="24"/>
          <w:szCs w:val="24"/>
        </w:rPr>
      </w:pPr>
      <w:r>
        <w:rPr>
          <w:sz w:val="24"/>
          <w:szCs w:val="24"/>
        </w:rPr>
        <w:t xml:space="preserve">In recent years, artificial intelligence (AI) has improved many aspects of academic writing, including idea creation, content organization, literature synthesis, data management, editing, and ethical compliance (Khalifa &amp; </w:t>
      </w:r>
      <w:proofErr w:type="spellStart"/>
      <w:r>
        <w:rPr>
          <w:sz w:val="24"/>
          <w:szCs w:val="24"/>
        </w:rPr>
        <w:t>Albadawy</w:t>
      </w:r>
      <w:proofErr w:type="spellEnd"/>
      <w:r>
        <w:rPr>
          <w:sz w:val="24"/>
          <w:szCs w:val="24"/>
        </w:rPr>
        <w:t xml:space="preserve">, 2024). For English undergraduates who are required to learn and </w:t>
      </w:r>
      <w:proofErr w:type="spellStart"/>
      <w:r>
        <w:rPr>
          <w:sz w:val="24"/>
          <w:szCs w:val="24"/>
        </w:rPr>
        <w:t>practise</w:t>
      </w:r>
      <w:proofErr w:type="spellEnd"/>
      <w:r>
        <w:rPr>
          <w:sz w:val="24"/>
          <w:szCs w:val="24"/>
        </w:rPr>
        <w:t xml:space="preserve"> advanced writing skills, AI tools support them not only to produce academic texts but also to reduce human errors (</w:t>
      </w:r>
      <w:proofErr w:type="spellStart"/>
      <w:r>
        <w:rPr>
          <w:sz w:val="24"/>
          <w:szCs w:val="24"/>
        </w:rPr>
        <w:t>Setiana</w:t>
      </w:r>
      <w:proofErr w:type="spellEnd"/>
      <w:r>
        <w:rPr>
          <w:sz w:val="24"/>
          <w:szCs w:val="24"/>
        </w:rPr>
        <w:t xml:space="preserve"> &amp; </w:t>
      </w:r>
      <w:proofErr w:type="spellStart"/>
      <w:r>
        <w:rPr>
          <w:sz w:val="24"/>
          <w:szCs w:val="24"/>
        </w:rPr>
        <w:t>Chamalah</w:t>
      </w:r>
      <w:proofErr w:type="spellEnd"/>
      <w:r>
        <w:rPr>
          <w:sz w:val="24"/>
          <w:szCs w:val="24"/>
        </w:rPr>
        <w:t>, 2025).</w:t>
      </w:r>
    </w:p>
    <w:p w14:paraId="660C16A4" w14:textId="77777777" w:rsidR="00242CD1" w:rsidRDefault="00000000">
      <w:pPr>
        <w:spacing w:before="0" w:after="120" w:line="480" w:lineRule="auto"/>
        <w:rPr>
          <w:sz w:val="24"/>
          <w:szCs w:val="24"/>
        </w:rPr>
      </w:pPr>
      <w:r>
        <w:rPr>
          <w:sz w:val="24"/>
          <w:szCs w:val="24"/>
        </w:rPr>
        <w:t>According to Akanda and Talukder (2026), AI tools play a significant role in academic writing by providing immediate feedback on grammar, spelling and structure, which may help learners with their writing. However, many students are increasingly dependent on AI usage, which leads to a decline in their critical and independent thinking and writing abilities (Liu et al., 2023). In addition, there are challenges to academic integrity, such as plagiarism (De Angelis et al., 2023). Considering these advantages and disadvantages, it is essential to examine the readiness of university students to apply AI to assist in writing academic essays.</w:t>
      </w:r>
    </w:p>
    <w:p w14:paraId="78CD802B" w14:textId="77777777" w:rsidR="00242CD1" w:rsidRDefault="00000000">
      <w:pPr>
        <w:spacing w:before="0" w:after="120" w:line="480" w:lineRule="auto"/>
        <w:rPr>
          <w:sz w:val="24"/>
          <w:szCs w:val="24"/>
        </w:rPr>
      </w:pPr>
      <w:r>
        <w:rPr>
          <w:sz w:val="24"/>
          <w:szCs w:val="24"/>
        </w:rPr>
        <w:t xml:space="preserve">Although the use of AI in academic writing has attracted substantial literature, empirical studies that investigate AI-supported writing practices in the context of Vietnamese EFL higher education remain limited. Furthermore, existing studies on attitudes and AI usage have not been able to provide multidimensional frameworks for comprehending learner readiness in academic writing with AI tools. Recent studies mainly concentrate on a single aspect of AI application, such as the level of technological competence or perceptions (Gonzalez-Torres et al., 2023; Rafida et al., 2024; </w:t>
      </w:r>
      <w:proofErr w:type="spellStart"/>
      <w:r>
        <w:rPr>
          <w:sz w:val="24"/>
          <w:szCs w:val="24"/>
        </w:rPr>
        <w:t>Sustaningrum</w:t>
      </w:r>
      <w:proofErr w:type="spellEnd"/>
      <w:r>
        <w:rPr>
          <w:sz w:val="24"/>
          <w:szCs w:val="24"/>
        </w:rPr>
        <w:t xml:space="preserve"> &amp; </w:t>
      </w:r>
      <w:proofErr w:type="spellStart"/>
      <w:r>
        <w:rPr>
          <w:sz w:val="24"/>
          <w:szCs w:val="24"/>
        </w:rPr>
        <w:t>Haldaka</w:t>
      </w:r>
      <w:proofErr w:type="spellEnd"/>
      <w:r>
        <w:rPr>
          <w:sz w:val="24"/>
          <w:szCs w:val="24"/>
        </w:rPr>
        <w:t>, 2025). However, there is a lack of studies examining readiness in relation to cognitive, metacognitive, linguistic, ethical, and technological factors.</w:t>
      </w:r>
    </w:p>
    <w:p w14:paraId="7EBAF5B7" w14:textId="77777777" w:rsidR="00242CD1" w:rsidRDefault="00000000">
      <w:pPr>
        <w:spacing w:before="0" w:after="120" w:line="480" w:lineRule="auto"/>
        <w:rPr>
          <w:sz w:val="24"/>
          <w:szCs w:val="24"/>
        </w:rPr>
      </w:pPr>
      <w:r>
        <w:rPr>
          <w:sz w:val="24"/>
          <w:szCs w:val="24"/>
        </w:rPr>
        <w:t xml:space="preserve">This study investigates the readiness of English-major undergraduates to engage in AI-supported academic writing. It also aims to explore the interrelationship between various </w:t>
      </w:r>
      <w:r>
        <w:rPr>
          <w:sz w:val="24"/>
          <w:szCs w:val="24"/>
        </w:rPr>
        <w:lastRenderedPageBreak/>
        <w:t>readiness elements, such as cognitive-metacognitive, linguistic, ethical, and technology readiness. Moreover, this study examines the predictive effects of these readiness factors on the intention of AI-supported writing tools among undergraduate English majors.</w:t>
      </w:r>
    </w:p>
    <w:p w14:paraId="657176AC" w14:textId="77777777" w:rsidR="00242CD1" w:rsidRDefault="00000000">
      <w:pPr>
        <w:spacing w:before="0" w:after="120" w:line="480" w:lineRule="auto"/>
        <w:rPr>
          <w:sz w:val="24"/>
          <w:szCs w:val="24"/>
        </w:rPr>
      </w:pPr>
      <w:r>
        <w:rPr>
          <w:sz w:val="24"/>
          <w:szCs w:val="24"/>
        </w:rPr>
        <w:t>To successfully achieve the study’s purposes, the following main research questions will be addressed:</w:t>
      </w:r>
    </w:p>
    <w:p w14:paraId="4CE294CD" w14:textId="77777777" w:rsidR="00242CD1" w:rsidRDefault="00000000">
      <w:pPr>
        <w:spacing w:before="0" w:after="120" w:line="480" w:lineRule="auto"/>
        <w:ind w:firstLine="0"/>
        <w:rPr>
          <w:sz w:val="24"/>
          <w:szCs w:val="24"/>
        </w:rPr>
      </w:pPr>
      <w:r>
        <w:rPr>
          <w:b/>
          <w:bCs/>
          <w:sz w:val="24"/>
          <w:szCs w:val="24"/>
        </w:rPr>
        <w:t>RQ1.</w:t>
      </w:r>
      <w:r>
        <w:rPr>
          <w:sz w:val="24"/>
          <w:szCs w:val="24"/>
        </w:rPr>
        <w:t xml:space="preserve"> To what extent are English-major undergraduates ready for AI-supported academic writing in terms of cognitive-metacognitive, linguistic, ethical, and technological dimensions?</w:t>
      </w:r>
    </w:p>
    <w:p w14:paraId="2B736107" w14:textId="77777777" w:rsidR="00242CD1" w:rsidRDefault="00000000">
      <w:pPr>
        <w:spacing w:before="0" w:after="120" w:line="480" w:lineRule="auto"/>
        <w:ind w:firstLine="0"/>
        <w:rPr>
          <w:sz w:val="24"/>
          <w:szCs w:val="24"/>
        </w:rPr>
      </w:pPr>
      <w:r>
        <w:rPr>
          <w:b/>
          <w:bCs/>
          <w:sz w:val="24"/>
          <w:szCs w:val="24"/>
        </w:rPr>
        <w:t>RQ2.</w:t>
      </w:r>
      <w:r>
        <w:rPr>
          <w:sz w:val="24"/>
          <w:szCs w:val="24"/>
        </w:rPr>
        <w:t xml:space="preserve"> What are the relationships between English-major undergraduates’ intention to use AI tools for academic writing and their cognitive–metacognitive readiness, linguistic readiness, ethical and responsible awareness, and technology readiness?</w:t>
      </w:r>
    </w:p>
    <w:p w14:paraId="045E1A3F" w14:textId="77777777" w:rsidR="00242CD1" w:rsidRDefault="00000000">
      <w:pPr>
        <w:spacing w:before="0" w:after="120" w:line="480" w:lineRule="auto"/>
        <w:ind w:firstLine="0"/>
        <w:rPr>
          <w:sz w:val="24"/>
          <w:szCs w:val="24"/>
        </w:rPr>
      </w:pPr>
      <w:r>
        <w:rPr>
          <w:b/>
          <w:bCs/>
          <w:sz w:val="24"/>
          <w:szCs w:val="24"/>
        </w:rPr>
        <w:t>RQ3.</w:t>
      </w:r>
      <w:r>
        <w:rPr>
          <w:sz w:val="24"/>
          <w:szCs w:val="24"/>
        </w:rPr>
        <w:t xml:space="preserve"> To what extent do cognitive–metacognitive readiness, linguistic readiness, ethical and responsible awareness, and technology readiness predict students’ intention to use AI tools?</w:t>
      </w:r>
    </w:p>
    <w:p w14:paraId="2921880E" w14:textId="77777777" w:rsidR="00242CD1" w:rsidRDefault="00000000">
      <w:pPr>
        <w:spacing w:before="0" w:after="120" w:line="480" w:lineRule="auto"/>
        <w:jc w:val="center"/>
        <w:rPr>
          <w:b/>
          <w:bCs/>
          <w:sz w:val="24"/>
          <w:szCs w:val="24"/>
        </w:rPr>
      </w:pPr>
      <w:r>
        <w:rPr>
          <w:b/>
          <w:bCs/>
          <w:sz w:val="24"/>
          <w:szCs w:val="24"/>
        </w:rPr>
        <w:t>2. Literature Review</w:t>
      </w:r>
    </w:p>
    <w:p w14:paraId="066D3829" w14:textId="77777777" w:rsidR="00242CD1" w:rsidRDefault="00000000">
      <w:pPr>
        <w:keepNext/>
        <w:pBdr>
          <w:top w:val="nil"/>
          <w:left w:val="nil"/>
          <w:bottom w:val="nil"/>
          <w:right w:val="nil"/>
          <w:between w:val="nil"/>
        </w:pBdr>
        <w:spacing w:before="0" w:after="120" w:line="480" w:lineRule="auto"/>
        <w:ind w:left="288" w:hanging="288"/>
        <w:rPr>
          <w:b/>
          <w:bCs/>
          <w:i/>
          <w:iCs/>
          <w:color w:val="000000"/>
          <w:sz w:val="24"/>
          <w:szCs w:val="24"/>
        </w:rPr>
      </w:pPr>
      <w:bookmarkStart w:id="0" w:name="_heading=h.ofxqhjdeen5h" w:colFirst="0" w:colLast="0"/>
      <w:bookmarkEnd w:id="0"/>
      <w:r>
        <w:rPr>
          <w:b/>
          <w:bCs/>
          <w:i/>
          <w:iCs/>
          <w:color w:val="000000"/>
          <w:sz w:val="24"/>
          <w:szCs w:val="24"/>
        </w:rPr>
        <w:t>2.1. AI-Supported Academic Writing in EFL Contexts</w:t>
      </w:r>
    </w:p>
    <w:p w14:paraId="271043C7" w14:textId="77777777" w:rsidR="00242CD1" w:rsidRDefault="00000000">
      <w:pPr>
        <w:spacing w:before="0" w:after="120" w:line="480" w:lineRule="auto"/>
        <w:rPr>
          <w:sz w:val="24"/>
          <w:szCs w:val="24"/>
        </w:rPr>
      </w:pPr>
      <w:r>
        <w:rPr>
          <w:sz w:val="24"/>
          <w:szCs w:val="24"/>
        </w:rPr>
        <w:t xml:space="preserve">Artificial intelligence (AI) integration into academic writing has grown rapidly in the English as a </w:t>
      </w:r>
      <w:proofErr w:type="gramStart"/>
      <w:r>
        <w:rPr>
          <w:sz w:val="24"/>
          <w:szCs w:val="24"/>
        </w:rPr>
        <w:t>Foreign Language (EFL) settings</w:t>
      </w:r>
      <w:proofErr w:type="gramEnd"/>
      <w:r>
        <w:rPr>
          <w:sz w:val="24"/>
          <w:szCs w:val="24"/>
        </w:rPr>
        <w:t xml:space="preserve">. According to Jasim et al. (2024) and </w:t>
      </w:r>
      <w:proofErr w:type="spellStart"/>
      <w:r>
        <w:rPr>
          <w:sz w:val="24"/>
          <w:szCs w:val="24"/>
        </w:rPr>
        <w:t>Thi</w:t>
      </w:r>
      <w:proofErr w:type="spellEnd"/>
      <w:r>
        <w:rPr>
          <w:sz w:val="24"/>
          <w:szCs w:val="24"/>
        </w:rPr>
        <w:t xml:space="preserve"> et al. (2025), AI applications enhance grammatical accuracy, structural coherence, and learning engagement as well as reduce writing anxiety.</w:t>
      </w:r>
    </w:p>
    <w:p w14:paraId="3604FCB0" w14:textId="77777777" w:rsidR="00242CD1" w:rsidRDefault="00000000">
      <w:pPr>
        <w:spacing w:before="0" w:after="120" w:line="480" w:lineRule="auto"/>
        <w:rPr>
          <w:sz w:val="24"/>
          <w:szCs w:val="24"/>
        </w:rPr>
      </w:pPr>
      <w:r>
        <w:rPr>
          <w:sz w:val="24"/>
          <w:szCs w:val="24"/>
        </w:rPr>
        <w:t>Despite these advantages, AI use in academic writing also raises concerns. Alarcón et al. (2025) highlighted the risk of over-reliance. Ethical issues, including privacy, discrimination, joblessness, and security threats, have also been reported (Huang et al., 2023). Furthermore, AI tools may produce inaccurate suggestions due to limited understanding of meaning and context (Ngo et al., 2024).</w:t>
      </w:r>
    </w:p>
    <w:p w14:paraId="785ECC24" w14:textId="77777777" w:rsidR="00242CD1" w:rsidRDefault="00000000">
      <w:pPr>
        <w:spacing w:before="0" w:after="120" w:line="480" w:lineRule="auto"/>
        <w:ind w:firstLine="0"/>
        <w:rPr>
          <w:b/>
          <w:bCs/>
          <w:i/>
          <w:iCs/>
          <w:sz w:val="24"/>
          <w:szCs w:val="24"/>
        </w:rPr>
      </w:pPr>
      <w:r>
        <w:rPr>
          <w:b/>
          <w:bCs/>
          <w:i/>
          <w:iCs/>
          <w:sz w:val="24"/>
          <w:szCs w:val="24"/>
        </w:rPr>
        <w:lastRenderedPageBreak/>
        <w:t>2.2. Learner Readiness</w:t>
      </w:r>
    </w:p>
    <w:p w14:paraId="67CA89F8" w14:textId="77777777" w:rsidR="00242CD1" w:rsidRDefault="00000000">
      <w:pPr>
        <w:spacing w:before="0" w:after="120" w:line="480" w:lineRule="auto"/>
        <w:ind w:firstLine="0"/>
        <w:rPr>
          <w:sz w:val="24"/>
          <w:szCs w:val="24"/>
        </w:rPr>
      </w:pPr>
      <w:r>
        <w:rPr>
          <w:sz w:val="24"/>
          <w:szCs w:val="24"/>
        </w:rPr>
        <w:tab/>
        <w:t>One of the factors that contributes to the effective use of educational technologies is learner readiness (</w:t>
      </w:r>
      <w:proofErr w:type="spellStart"/>
      <w:r>
        <w:rPr>
          <w:sz w:val="24"/>
          <w:szCs w:val="24"/>
        </w:rPr>
        <w:t>Almziad</w:t>
      </w:r>
      <w:proofErr w:type="spellEnd"/>
      <w:r>
        <w:rPr>
          <w:sz w:val="24"/>
          <w:szCs w:val="24"/>
        </w:rPr>
        <w:t>, 2025), which is regarded as a multidimensional construct. This implies that effective technology use requires not only technical capability but also cognitive competence, self-regulation, and awareness of ethical considerations. This multidimensional perspective enables a better idea of the way students interact with AI-supported academic writing.</w:t>
      </w:r>
    </w:p>
    <w:p w14:paraId="601BE9E6" w14:textId="77777777" w:rsidR="00242CD1" w:rsidRDefault="00000000">
      <w:pPr>
        <w:spacing w:before="0" w:after="120" w:line="480" w:lineRule="auto"/>
        <w:ind w:firstLine="0"/>
        <w:rPr>
          <w:b/>
          <w:bCs/>
          <w:i/>
          <w:iCs/>
          <w:sz w:val="24"/>
          <w:szCs w:val="24"/>
        </w:rPr>
      </w:pPr>
      <w:bookmarkStart w:id="1" w:name="_heading=h.5grx43jsz05k" w:colFirst="0" w:colLast="0"/>
      <w:bookmarkEnd w:id="1"/>
      <w:r>
        <w:rPr>
          <w:b/>
          <w:bCs/>
          <w:i/>
          <w:iCs/>
          <w:sz w:val="24"/>
          <w:szCs w:val="24"/>
        </w:rPr>
        <w:t>2.3. Dimensions of Readiness for AI-Supported Academic Writing</w:t>
      </w:r>
    </w:p>
    <w:p w14:paraId="29E91198" w14:textId="77777777" w:rsidR="00242CD1" w:rsidRDefault="00000000">
      <w:pPr>
        <w:spacing w:before="0" w:after="120" w:line="480" w:lineRule="auto"/>
        <w:ind w:firstLine="0"/>
        <w:rPr>
          <w:i/>
          <w:iCs/>
          <w:sz w:val="24"/>
          <w:szCs w:val="24"/>
        </w:rPr>
      </w:pPr>
      <w:r>
        <w:rPr>
          <w:i/>
          <w:iCs/>
          <w:sz w:val="24"/>
          <w:szCs w:val="24"/>
        </w:rPr>
        <w:t>2.3.1. Cognitive–Metacognitive Readiness</w:t>
      </w:r>
    </w:p>
    <w:p w14:paraId="6D54C36A" w14:textId="77777777" w:rsidR="00242CD1" w:rsidRDefault="00000000">
      <w:pPr>
        <w:spacing w:before="0" w:after="120" w:line="480" w:lineRule="auto"/>
        <w:rPr>
          <w:sz w:val="24"/>
          <w:szCs w:val="24"/>
        </w:rPr>
      </w:pPr>
      <w:r>
        <w:rPr>
          <w:sz w:val="24"/>
          <w:szCs w:val="24"/>
        </w:rPr>
        <w:t xml:space="preserve">The cognitive-metacognitive readiness is a notion that explains the ability of students to effectively use AI-facilitated technologies in academic writing through the implementation of cognitive and self-regulation strategies (Yurt, 2025). According to self-regulated learning theories, cognitive-metacognitive preparedness governs the manner in which learners plan, monitor and evaluate AI-supported writing (Teng </w:t>
      </w:r>
      <w:proofErr w:type="gramStart"/>
      <w:r>
        <w:rPr>
          <w:sz w:val="24"/>
          <w:szCs w:val="24"/>
        </w:rPr>
        <w:t>&amp;  Zhang</w:t>
      </w:r>
      <w:proofErr w:type="gramEnd"/>
      <w:r>
        <w:rPr>
          <w:sz w:val="24"/>
          <w:szCs w:val="24"/>
        </w:rPr>
        <w:t>, 2016; Zimmerman, 2002). Within the framework proposed by Teng and Zhang (2016), cognitive readiness is characterized as Text Processing and Course Memory, and metacognitive readiness as Idea Planning and Goal-oriented Monitoring and Evaluation. The AI usage in writing is controlled by cognitive-metacognitive readiness, but ethical or technology readiness may control the attitudes or access (Ng et al., 2024). In this way, students who are more cognitively-metacognitively prepared are likely to implement more purposeful, strategic, and ethical use of AI-assisted writing tools.</w:t>
      </w:r>
    </w:p>
    <w:p w14:paraId="67D9B97C" w14:textId="77777777" w:rsidR="00242CD1" w:rsidRDefault="00000000">
      <w:pPr>
        <w:spacing w:before="0" w:after="120" w:line="480" w:lineRule="auto"/>
        <w:ind w:firstLine="0"/>
        <w:rPr>
          <w:i/>
          <w:iCs/>
          <w:sz w:val="24"/>
          <w:szCs w:val="24"/>
        </w:rPr>
      </w:pPr>
      <w:r>
        <w:rPr>
          <w:i/>
          <w:iCs/>
          <w:sz w:val="24"/>
          <w:szCs w:val="24"/>
        </w:rPr>
        <w:t>2.3.2. Linguistic Readiness</w:t>
      </w:r>
    </w:p>
    <w:p w14:paraId="26ADAD2E" w14:textId="77777777" w:rsidR="00242CD1" w:rsidRDefault="00000000">
      <w:pPr>
        <w:spacing w:before="0" w:after="120" w:line="480" w:lineRule="auto"/>
        <w:rPr>
          <w:sz w:val="24"/>
          <w:szCs w:val="24"/>
        </w:rPr>
      </w:pPr>
      <w:r>
        <w:rPr>
          <w:sz w:val="24"/>
          <w:szCs w:val="24"/>
        </w:rPr>
        <w:t>Linguistic readiness can be defined as the ability of learners to utilize the language resources adequately (</w:t>
      </w:r>
      <w:proofErr w:type="spellStart"/>
      <w:r>
        <w:rPr>
          <w:sz w:val="24"/>
          <w:szCs w:val="24"/>
        </w:rPr>
        <w:t>Ruminar</w:t>
      </w:r>
      <w:proofErr w:type="spellEnd"/>
      <w:r>
        <w:rPr>
          <w:sz w:val="24"/>
          <w:szCs w:val="24"/>
        </w:rPr>
        <w:t xml:space="preserve"> &amp; </w:t>
      </w:r>
      <w:proofErr w:type="spellStart"/>
      <w:r>
        <w:rPr>
          <w:sz w:val="24"/>
          <w:szCs w:val="24"/>
        </w:rPr>
        <w:t>Gayatr</w:t>
      </w:r>
      <w:proofErr w:type="spellEnd"/>
      <w:r>
        <w:rPr>
          <w:sz w:val="24"/>
          <w:szCs w:val="24"/>
        </w:rPr>
        <w:t xml:space="preserve">, 2024). Linguistic readiness in AI-assisted writing is </w:t>
      </w:r>
      <w:r>
        <w:rPr>
          <w:sz w:val="24"/>
          <w:szCs w:val="24"/>
        </w:rPr>
        <w:lastRenderedPageBreak/>
        <w:t>imperative because learners need to actively analyze and improve AI-produced texts instead of passively receiving them (Cui, 2025).</w:t>
      </w:r>
    </w:p>
    <w:p w14:paraId="6FD97D19" w14:textId="77777777" w:rsidR="00242CD1" w:rsidRDefault="00000000">
      <w:pPr>
        <w:spacing w:before="0" w:after="120" w:line="480" w:lineRule="auto"/>
        <w:rPr>
          <w:sz w:val="24"/>
          <w:szCs w:val="24"/>
        </w:rPr>
      </w:pPr>
      <w:r>
        <w:rPr>
          <w:sz w:val="24"/>
          <w:szCs w:val="24"/>
        </w:rPr>
        <w:t xml:space="preserve">Linguistic readiness in the present study is </w:t>
      </w:r>
      <w:proofErr w:type="spellStart"/>
      <w:r>
        <w:rPr>
          <w:sz w:val="24"/>
          <w:szCs w:val="24"/>
        </w:rPr>
        <w:t>conceptualised</w:t>
      </w:r>
      <w:proofErr w:type="spellEnd"/>
      <w:r>
        <w:rPr>
          <w:sz w:val="24"/>
          <w:szCs w:val="24"/>
        </w:rPr>
        <w:t xml:space="preserve"> as </w:t>
      </w:r>
      <w:proofErr w:type="gramStart"/>
      <w:r>
        <w:rPr>
          <w:sz w:val="24"/>
          <w:szCs w:val="24"/>
        </w:rPr>
        <w:t>learners’</w:t>
      </w:r>
      <w:proofErr w:type="gramEnd"/>
      <w:r>
        <w:rPr>
          <w:sz w:val="24"/>
          <w:szCs w:val="24"/>
        </w:rPr>
        <w:t xml:space="preserve"> perceived capability to perform academic writing tasks in English. Rather than representing objective linguistic competence, this dimension is </w:t>
      </w:r>
      <w:proofErr w:type="spellStart"/>
      <w:r>
        <w:rPr>
          <w:sz w:val="24"/>
          <w:szCs w:val="24"/>
        </w:rPr>
        <w:t>operationalised</w:t>
      </w:r>
      <w:proofErr w:type="spellEnd"/>
      <w:r>
        <w:rPr>
          <w:sz w:val="24"/>
          <w:szCs w:val="24"/>
        </w:rPr>
        <w:t xml:space="preserve"> through writing self-efficacy, which reflects learners’ beliefs about their ability to generate ideas, </w:t>
      </w:r>
      <w:proofErr w:type="spellStart"/>
      <w:r>
        <w:rPr>
          <w:sz w:val="24"/>
          <w:szCs w:val="24"/>
        </w:rPr>
        <w:t>organise</w:t>
      </w:r>
      <w:proofErr w:type="spellEnd"/>
      <w:r>
        <w:rPr>
          <w:sz w:val="24"/>
          <w:szCs w:val="24"/>
        </w:rPr>
        <w:t xml:space="preserve"> content, and apply appropriate language resources in writing (Limpo &amp; Alves, 2017). </w:t>
      </w:r>
    </w:p>
    <w:p w14:paraId="05A11B8D" w14:textId="77777777" w:rsidR="00242CD1" w:rsidRDefault="00000000">
      <w:pPr>
        <w:spacing w:before="0" w:after="120" w:line="480" w:lineRule="auto"/>
        <w:ind w:firstLine="0"/>
        <w:rPr>
          <w:i/>
          <w:iCs/>
          <w:sz w:val="24"/>
          <w:szCs w:val="24"/>
        </w:rPr>
      </w:pPr>
      <w:r>
        <w:rPr>
          <w:i/>
          <w:iCs/>
          <w:sz w:val="24"/>
          <w:szCs w:val="24"/>
        </w:rPr>
        <w:t>2.3.3. Ethical and Responsible Awareness</w:t>
      </w:r>
    </w:p>
    <w:p w14:paraId="10AAA041" w14:textId="77777777" w:rsidR="00242CD1" w:rsidRDefault="00000000">
      <w:pPr>
        <w:spacing w:before="0" w:after="120" w:line="480" w:lineRule="auto"/>
        <w:rPr>
          <w:sz w:val="24"/>
          <w:szCs w:val="24"/>
        </w:rPr>
      </w:pPr>
      <w:r>
        <w:rPr>
          <w:sz w:val="24"/>
          <w:szCs w:val="24"/>
        </w:rPr>
        <w:t>According to Pramod (2025), ethical awareness can be understood as the cognitive awareness of the consequences of using AI tools in decisions related to society and justice. In academic writing, ethical awareness involves issues of academic integrity, plagiarism, authorship, and responsible usage of AI-generated content (</w:t>
      </w:r>
      <w:proofErr w:type="spellStart"/>
      <w:r>
        <w:rPr>
          <w:sz w:val="24"/>
          <w:szCs w:val="24"/>
        </w:rPr>
        <w:t>Kobrossy</w:t>
      </w:r>
      <w:proofErr w:type="spellEnd"/>
      <w:r>
        <w:rPr>
          <w:sz w:val="24"/>
          <w:szCs w:val="24"/>
        </w:rPr>
        <w:t xml:space="preserve"> et al., 2025)</w:t>
      </w:r>
    </w:p>
    <w:p w14:paraId="7CD2A1A5" w14:textId="77777777" w:rsidR="00242CD1" w:rsidRDefault="00000000">
      <w:pPr>
        <w:spacing w:before="0" w:after="120" w:line="480" w:lineRule="auto"/>
        <w:rPr>
          <w:sz w:val="24"/>
          <w:szCs w:val="24"/>
        </w:rPr>
      </w:pPr>
      <w:r>
        <w:rPr>
          <w:sz w:val="24"/>
          <w:szCs w:val="24"/>
        </w:rPr>
        <w:t xml:space="preserve">Based on recent research concerning AI literacy, ethical awareness does not only involve understanding AI regulations but also responsible AI use in educational contexts. Ng et al. (2023) suggested learners should be equipped with the ability to critically reflect on the ethical use of AI tools, which includes attribution, originality and responsible writing. </w:t>
      </w:r>
    </w:p>
    <w:p w14:paraId="37903472" w14:textId="77777777" w:rsidR="00242CD1" w:rsidRDefault="00000000">
      <w:pPr>
        <w:spacing w:before="0" w:after="120" w:line="480" w:lineRule="auto"/>
        <w:ind w:firstLine="0"/>
        <w:rPr>
          <w:i/>
          <w:iCs/>
          <w:sz w:val="24"/>
          <w:szCs w:val="24"/>
        </w:rPr>
      </w:pPr>
      <w:r>
        <w:rPr>
          <w:i/>
          <w:iCs/>
          <w:sz w:val="24"/>
          <w:szCs w:val="24"/>
        </w:rPr>
        <w:t xml:space="preserve">2.3.4. </w:t>
      </w:r>
      <w:proofErr w:type="gramStart"/>
      <w:r>
        <w:rPr>
          <w:i/>
          <w:iCs/>
          <w:sz w:val="24"/>
          <w:szCs w:val="24"/>
        </w:rPr>
        <w:t>Technology  Readiness</w:t>
      </w:r>
      <w:proofErr w:type="gramEnd"/>
    </w:p>
    <w:p w14:paraId="3238DCD8" w14:textId="77777777" w:rsidR="00242CD1" w:rsidRDefault="00000000">
      <w:pPr>
        <w:spacing w:before="0" w:after="120" w:line="480" w:lineRule="auto"/>
        <w:rPr>
          <w:sz w:val="24"/>
          <w:szCs w:val="24"/>
        </w:rPr>
      </w:pPr>
      <w:r>
        <w:rPr>
          <w:sz w:val="24"/>
          <w:szCs w:val="24"/>
        </w:rPr>
        <w:t>Technology readiness refers to an individual’s disposition toward context-specific behaviors, namely, using new technologies for accomplishing goals (Parasuraman &amp; Colby, 2015). The Tech Readiness Index (TRI) is based on this approach and is considered a gestalt of four personality scales: optimism and innovativeness are enablers, while discomfort and insecurity are inhibitors (</w:t>
      </w:r>
      <w:proofErr w:type="spellStart"/>
      <w:r>
        <w:rPr>
          <w:sz w:val="24"/>
          <w:szCs w:val="24"/>
        </w:rPr>
        <w:t>Godoe</w:t>
      </w:r>
      <w:proofErr w:type="spellEnd"/>
      <w:r>
        <w:rPr>
          <w:sz w:val="24"/>
          <w:szCs w:val="24"/>
        </w:rPr>
        <w:t xml:space="preserve"> &amp; Johansen, 2012; Parasuraman, 2000).</w:t>
      </w:r>
    </w:p>
    <w:p w14:paraId="4A7D25BB" w14:textId="77777777" w:rsidR="00242CD1" w:rsidRDefault="00000000">
      <w:pPr>
        <w:spacing w:before="0" w:after="120" w:line="480" w:lineRule="auto"/>
        <w:rPr>
          <w:sz w:val="24"/>
          <w:szCs w:val="24"/>
        </w:rPr>
      </w:pPr>
      <w:r>
        <w:rPr>
          <w:sz w:val="24"/>
          <w:szCs w:val="24"/>
        </w:rPr>
        <w:t xml:space="preserve">Students who are more optimistic and innovative will actively apply various AI tools, but less comfortable and less secure students might be reluctant to use them successfully </w:t>
      </w:r>
      <w:r>
        <w:rPr>
          <w:sz w:val="24"/>
          <w:szCs w:val="24"/>
        </w:rPr>
        <w:lastRenderedPageBreak/>
        <w:t>(Marimon, 2025). Therefore, technology readiness is important in shaping learners' intention to use AI when writing (Rahman et al., 2025).</w:t>
      </w:r>
    </w:p>
    <w:p w14:paraId="3E1D59EA" w14:textId="77777777" w:rsidR="00242CD1" w:rsidRDefault="00000000">
      <w:pPr>
        <w:spacing w:before="0" w:after="120" w:line="480" w:lineRule="auto"/>
        <w:ind w:firstLine="0"/>
        <w:rPr>
          <w:b/>
          <w:bCs/>
          <w:i/>
          <w:iCs/>
          <w:sz w:val="24"/>
          <w:szCs w:val="24"/>
        </w:rPr>
      </w:pPr>
      <w:r>
        <w:rPr>
          <w:b/>
          <w:bCs/>
          <w:i/>
          <w:iCs/>
          <w:sz w:val="24"/>
          <w:szCs w:val="24"/>
        </w:rPr>
        <w:t>2.4. Intention to Use AI-Supported Writing Tools</w:t>
      </w:r>
    </w:p>
    <w:p w14:paraId="070F3DD4" w14:textId="77777777" w:rsidR="00242CD1" w:rsidRDefault="00000000">
      <w:pPr>
        <w:spacing w:before="0" w:after="120" w:line="480" w:lineRule="auto"/>
        <w:rPr>
          <w:sz w:val="24"/>
          <w:szCs w:val="24"/>
        </w:rPr>
      </w:pPr>
      <w:bookmarkStart w:id="2" w:name="_heading=h.8xszml8zr2b8" w:colFirst="0" w:colLast="0"/>
      <w:bookmarkEnd w:id="2"/>
      <w:r>
        <w:rPr>
          <w:sz w:val="24"/>
          <w:szCs w:val="24"/>
        </w:rPr>
        <w:t>The Technology Acceptance Model (TAM) posits that users' intention is a direct predictor of actual technology use (Davis, 1989). Within the realm of AI-based academic writing, intention to use represents students' engagement in planning how they integrate AI tools, rather than occasional use. Although TAM typically focuses on perceived usefulness and perceived ease of use, our study broadens this approach by considering intention to use as a result of learner readiness, which encompasses cognitive-metacognitive, linguistic, ethical and technological dimensions. Therefore, TAM provides a theoretical basis for the dependent variables, but not a holistic framework.</w:t>
      </w:r>
    </w:p>
    <w:p w14:paraId="6EC39CFE" w14:textId="77777777" w:rsidR="00242CD1" w:rsidRDefault="00000000">
      <w:pPr>
        <w:spacing w:before="0" w:after="120" w:line="480" w:lineRule="auto"/>
        <w:ind w:firstLine="0"/>
        <w:rPr>
          <w:b/>
          <w:bCs/>
          <w:i/>
          <w:iCs/>
          <w:sz w:val="24"/>
          <w:szCs w:val="24"/>
        </w:rPr>
      </w:pPr>
      <w:bookmarkStart w:id="3" w:name="_heading=h.bvqmg2738krv" w:colFirst="0" w:colLast="0"/>
      <w:bookmarkEnd w:id="3"/>
      <w:r>
        <w:rPr>
          <w:b/>
          <w:bCs/>
          <w:i/>
          <w:iCs/>
          <w:sz w:val="24"/>
          <w:szCs w:val="24"/>
        </w:rPr>
        <w:t>2.5. Conceptual Framework</w:t>
      </w:r>
    </w:p>
    <w:p w14:paraId="616AB834" w14:textId="77777777" w:rsidR="00242CD1" w:rsidRDefault="00000000">
      <w:pPr>
        <w:spacing w:before="0" w:after="120" w:line="480" w:lineRule="auto"/>
        <w:rPr>
          <w:sz w:val="24"/>
          <w:szCs w:val="24"/>
        </w:rPr>
      </w:pPr>
      <w:bookmarkStart w:id="4" w:name="_heading=h.1reudf1dn70k" w:colFirst="0" w:colLast="0"/>
      <w:bookmarkEnd w:id="4"/>
      <w:r>
        <w:rPr>
          <w:sz w:val="24"/>
          <w:szCs w:val="24"/>
        </w:rPr>
        <w:t>Cognitive–metacognitive readiness was adapted from the self-regulated learning strategies proposed by Teng and Zhang (2016). Linguistic readiness drew on four components of the English Writing Self-Efficacy scales by Bi and Wang (2025). Ethical and responsible awareness was informed by Ng et al. (2023), while technology readiness was adapted from Cui (2025) and the Technology Readiness Index model (Parasuraman &amp; Colby, 2015). The outcome variable, intention to use AI, was adapted from the Technology Acceptance Model (Davis, 1989). This integrated framework was developed to provide a holistic assessment of undergraduates' readiness within the context of English language studies, while situating intention to use as an outcome construct rather than a full acceptance framework (see Figure 1).</w:t>
      </w:r>
    </w:p>
    <w:p w14:paraId="56298D83" w14:textId="77777777" w:rsidR="00242CD1" w:rsidRDefault="00242CD1">
      <w:pPr>
        <w:spacing w:before="0" w:after="120" w:line="480" w:lineRule="auto"/>
        <w:rPr>
          <w:sz w:val="24"/>
          <w:szCs w:val="24"/>
        </w:rPr>
      </w:pPr>
    </w:p>
    <w:p w14:paraId="1326C6A4" w14:textId="77777777" w:rsidR="00242CD1" w:rsidRDefault="00242CD1">
      <w:pPr>
        <w:spacing w:before="0" w:after="120" w:line="480" w:lineRule="auto"/>
        <w:rPr>
          <w:sz w:val="24"/>
          <w:szCs w:val="24"/>
        </w:rPr>
      </w:pPr>
    </w:p>
    <w:p w14:paraId="519F3235" w14:textId="77777777" w:rsidR="00242CD1" w:rsidRDefault="00000000">
      <w:pPr>
        <w:spacing w:before="0" w:after="120" w:line="240" w:lineRule="auto"/>
        <w:ind w:firstLine="0"/>
        <w:rPr>
          <w:b/>
          <w:bCs/>
          <w:sz w:val="24"/>
          <w:szCs w:val="24"/>
        </w:rPr>
      </w:pPr>
      <w:r>
        <w:rPr>
          <w:b/>
          <w:bCs/>
          <w:sz w:val="24"/>
          <w:szCs w:val="24"/>
        </w:rPr>
        <w:lastRenderedPageBreak/>
        <w:t>Figure 1</w:t>
      </w:r>
    </w:p>
    <w:p w14:paraId="6355F0AC" w14:textId="77777777" w:rsidR="00242CD1" w:rsidRDefault="00000000">
      <w:pPr>
        <w:spacing w:before="0" w:after="120" w:line="480" w:lineRule="auto"/>
        <w:ind w:firstLine="0"/>
      </w:pPr>
      <w:r>
        <w:rPr>
          <w:i/>
          <w:iCs/>
          <w:sz w:val="24"/>
          <w:szCs w:val="24"/>
        </w:rPr>
        <w:t>Conceptual Framework of Learner Readiness and Intention to Use AI-Supported Writing Tools</w:t>
      </w:r>
      <w:r>
        <w:t xml:space="preserve"> </w:t>
      </w:r>
    </w:p>
    <w:p w14:paraId="72FED305" w14:textId="77777777" w:rsidR="00242CD1" w:rsidRDefault="00000000">
      <w:pPr>
        <w:spacing w:before="0" w:after="120" w:line="480" w:lineRule="auto"/>
        <w:ind w:firstLine="0"/>
      </w:pPr>
      <w:r>
        <w:rPr>
          <w:noProof/>
        </w:rPr>
        <w:drawing>
          <wp:inline distT="0" distB="0" distL="0" distR="0" wp14:anchorId="551CBE28" wp14:editId="4AB7DB4C">
            <wp:extent cx="5467350" cy="3009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67350" cy="3009900"/>
                    </a:xfrm>
                    <a:prstGeom prst="rect">
                      <a:avLst/>
                    </a:prstGeom>
                    <a:ln/>
                  </pic:spPr>
                </pic:pic>
              </a:graphicData>
            </a:graphic>
          </wp:inline>
        </w:drawing>
      </w:r>
    </w:p>
    <w:p w14:paraId="34F24D2B" w14:textId="77777777" w:rsidR="00242CD1" w:rsidRDefault="00000000">
      <w:pPr>
        <w:spacing w:before="0" w:after="120" w:line="480" w:lineRule="auto"/>
        <w:ind w:firstLine="0"/>
        <w:rPr>
          <w:sz w:val="24"/>
          <w:szCs w:val="24"/>
        </w:rPr>
      </w:pPr>
      <w:r>
        <w:rPr>
          <w:i/>
          <w:iCs/>
        </w:rPr>
        <w:t xml:space="preserve">Note. </w:t>
      </w:r>
      <w:r>
        <w:t>H3 refers to the comparative predictive strength among the four readiness dimensions.</w:t>
      </w:r>
    </w:p>
    <w:p w14:paraId="4E874941" w14:textId="77777777" w:rsidR="00242CD1" w:rsidRDefault="00242CD1">
      <w:pPr>
        <w:spacing w:line="480" w:lineRule="auto"/>
        <w:ind w:firstLine="0"/>
        <w:rPr>
          <w:sz w:val="24"/>
          <w:szCs w:val="24"/>
        </w:rPr>
      </w:pPr>
    </w:p>
    <w:p w14:paraId="37122C43" w14:textId="77777777" w:rsidR="00242CD1" w:rsidRDefault="00000000">
      <w:pPr>
        <w:spacing w:before="0" w:after="0" w:line="480" w:lineRule="auto"/>
        <w:rPr>
          <w:sz w:val="24"/>
          <w:szCs w:val="24"/>
        </w:rPr>
      </w:pPr>
      <w:r>
        <w:rPr>
          <w:sz w:val="24"/>
          <w:szCs w:val="24"/>
        </w:rPr>
        <w:t xml:space="preserve">Based on this conceptual framework, this study proposes the following hypotheses: </w:t>
      </w:r>
    </w:p>
    <w:p w14:paraId="4F38E486" w14:textId="77777777" w:rsidR="00242CD1" w:rsidRDefault="00000000">
      <w:pPr>
        <w:spacing w:before="0" w:after="0" w:line="480" w:lineRule="auto"/>
        <w:ind w:firstLine="0"/>
        <w:rPr>
          <w:sz w:val="24"/>
          <w:szCs w:val="24"/>
        </w:rPr>
      </w:pPr>
      <w:r>
        <w:rPr>
          <w:b/>
          <w:bCs/>
          <w:sz w:val="24"/>
          <w:szCs w:val="24"/>
        </w:rPr>
        <w:t xml:space="preserve">H1. </w:t>
      </w:r>
      <w:r>
        <w:rPr>
          <w:sz w:val="24"/>
          <w:szCs w:val="24"/>
        </w:rPr>
        <w:t xml:space="preserve">The four readiness dimensions are expected to be positively associated with students’ intention to use AI-supported academic writing tools. </w:t>
      </w:r>
    </w:p>
    <w:p w14:paraId="54A3CEE2" w14:textId="77777777" w:rsidR="00242CD1" w:rsidRDefault="00000000">
      <w:pPr>
        <w:spacing w:before="0" w:after="0" w:line="480" w:lineRule="auto"/>
        <w:ind w:firstLine="0"/>
        <w:rPr>
          <w:sz w:val="24"/>
          <w:szCs w:val="24"/>
        </w:rPr>
      </w:pPr>
      <w:r>
        <w:rPr>
          <w:b/>
          <w:bCs/>
          <w:sz w:val="24"/>
          <w:szCs w:val="24"/>
        </w:rPr>
        <w:t>H2a.</w:t>
      </w:r>
      <w:r>
        <w:rPr>
          <w:sz w:val="24"/>
          <w:szCs w:val="24"/>
        </w:rPr>
        <w:t xml:space="preserve"> Cognitive–metacognitive readiness significantly predicts students’ intention to use AI-supported academic writing tools.</w:t>
      </w:r>
    </w:p>
    <w:p w14:paraId="2B4484A7" w14:textId="77777777" w:rsidR="00242CD1" w:rsidRDefault="00000000">
      <w:pPr>
        <w:spacing w:before="0" w:after="0" w:line="480" w:lineRule="auto"/>
        <w:ind w:firstLine="0"/>
        <w:rPr>
          <w:sz w:val="24"/>
          <w:szCs w:val="24"/>
        </w:rPr>
      </w:pPr>
      <w:r>
        <w:rPr>
          <w:b/>
          <w:bCs/>
          <w:sz w:val="24"/>
          <w:szCs w:val="24"/>
        </w:rPr>
        <w:t>H2b.</w:t>
      </w:r>
      <w:r>
        <w:rPr>
          <w:sz w:val="24"/>
          <w:szCs w:val="24"/>
        </w:rPr>
        <w:t xml:space="preserve"> Linguistic readiness significantly predicts students’ intention to use AI-supported academic writing tools.</w:t>
      </w:r>
    </w:p>
    <w:p w14:paraId="7EA1B841" w14:textId="77777777" w:rsidR="00242CD1" w:rsidRDefault="00000000">
      <w:pPr>
        <w:spacing w:before="0" w:after="0" w:line="480" w:lineRule="auto"/>
        <w:ind w:firstLine="0"/>
        <w:rPr>
          <w:sz w:val="24"/>
          <w:szCs w:val="24"/>
        </w:rPr>
      </w:pPr>
      <w:r>
        <w:rPr>
          <w:b/>
          <w:bCs/>
          <w:sz w:val="24"/>
          <w:szCs w:val="24"/>
        </w:rPr>
        <w:t>H2c.</w:t>
      </w:r>
      <w:r>
        <w:rPr>
          <w:sz w:val="24"/>
          <w:szCs w:val="24"/>
        </w:rPr>
        <w:t xml:space="preserve"> Ethical and responsible awareness significantly predicts students’ intention to use AI-supported academic writing tools.</w:t>
      </w:r>
    </w:p>
    <w:p w14:paraId="1D26A1A8" w14:textId="77777777" w:rsidR="00242CD1" w:rsidRDefault="00000000">
      <w:pPr>
        <w:spacing w:before="0" w:after="0" w:line="480" w:lineRule="auto"/>
        <w:ind w:firstLine="0"/>
        <w:rPr>
          <w:sz w:val="24"/>
          <w:szCs w:val="24"/>
        </w:rPr>
      </w:pPr>
      <w:r>
        <w:rPr>
          <w:b/>
          <w:bCs/>
          <w:sz w:val="24"/>
          <w:szCs w:val="24"/>
        </w:rPr>
        <w:t>H2d.</w:t>
      </w:r>
      <w:r>
        <w:rPr>
          <w:sz w:val="24"/>
          <w:szCs w:val="24"/>
        </w:rPr>
        <w:t xml:space="preserve"> Technology readiness significantly predicts students’ intention to use AI-supported academic writing tools.</w:t>
      </w:r>
    </w:p>
    <w:p w14:paraId="6E14703D" w14:textId="77777777" w:rsidR="00242CD1" w:rsidRDefault="00000000">
      <w:pPr>
        <w:spacing w:before="0" w:after="0" w:line="480" w:lineRule="auto"/>
        <w:ind w:firstLine="0"/>
        <w:rPr>
          <w:sz w:val="24"/>
          <w:szCs w:val="24"/>
        </w:rPr>
      </w:pPr>
      <w:r>
        <w:rPr>
          <w:b/>
          <w:bCs/>
          <w:sz w:val="24"/>
          <w:szCs w:val="24"/>
        </w:rPr>
        <w:lastRenderedPageBreak/>
        <w:t xml:space="preserve">H3. </w:t>
      </w:r>
      <w:r>
        <w:rPr>
          <w:sz w:val="24"/>
          <w:szCs w:val="24"/>
        </w:rPr>
        <w:t>Among the four readiness dimensions, cognitive–metacognitive readiness is hypothesized to exert the strongest predictive effect on students’ intention to use AI-supported academic writing tools.</w:t>
      </w:r>
    </w:p>
    <w:p w14:paraId="2122B592" w14:textId="77777777" w:rsidR="00242CD1" w:rsidRDefault="00000000">
      <w:pPr>
        <w:spacing w:before="0" w:after="120" w:line="480" w:lineRule="auto"/>
        <w:ind w:firstLine="0"/>
        <w:jc w:val="center"/>
        <w:rPr>
          <w:b/>
          <w:bCs/>
          <w:sz w:val="24"/>
          <w:szCs w:val="24"/>
        </w:rPr>
      </w:pPr>
      <w:r>
        <w:rPr>
          <w:b/>
          <w:bCs/>
          <w:sz w:val="24"/>
          <w:szCs w:val="24"/>
        </w:rPr>
        <w:t>3. Methodology</w:t>
      </w:r>
    </w:p>
    <w:p w14:paraId="4B9C5A9C" w14:textId="77777777" w:rsidR="00242CD1" w:rsidRDefault="00000000">
      <w:pPr>
        <w:spacing w:before="0" w:after="120" w:line="480" w:lineRule="auto"/>
        <w:ind w:firstLine="0"/>
        <w:rPr>
          <w:b/>
          <w:bCs/>
          <w:i/>
          <w:iCs/>
          <w:sz w:val="24"/>
          <w:szCs w:val="24"/>
        </w:rPr>
      </w:pPr>
      <w:bookmarkStart w:id="5" w:name="_heading=h.6nows61k854q" w:colFirst="0" w:colLast="0"/>
      <w:bookmarkEnd w:id="5"/>
      <w:r>
        <w:rPr>
          <w:b/>
          <w:bCs/>
          <w:i/>
          <w:iCs/>
          <w:sz w:val="24"/>
          <w:szCs w:val="24"/>
        </w:rPr>
        <w:t>3.1. Research Design</w:t>
      </w:r>
    </w:p>
    <w:p w14:paraId="484CF1D5" w14:textId="77777777" w:rsidR="00242CD1" w:rsidRDefault="00000000">
      <w:pPr>
        <w:spacing w:before="0" w:after="120" w:line="480" w:lineRule="auto"/>
        <w:rPr>
          <w:sz w:val="24"/>
          <w:szCs w:val="24"/>
        </w:rPr>
      </w:pPr>
      <w:r>
        <w:rPr>
          <w:sz w:val="24"/>
          <w:szCs w:val="24"/>
        </w:rPr>
        <w:t xml:space="preserve">This study employs a mixed-methods approach, incorporating both quantitative and qualitative methods. Quantitative data were collected through a structured questionnaire. Qualitative data were obtained from semi-structured interviews. </w:t>
      </w:r>
    </w:p>
    <w:p w14:paraId="4AE64614" w14:textId="77777777" w:rsidR="00242CD1" w:rsidRDefault="00000000">
      <w:pPr>
        <w:spacing w:before="0" w:after="120" w:line="480" w:lineRule="auto"/>
        <w:ind w:firstLine="0"/>
        <w:rPr>
          <w:b/>
          <w:bCs/>
          <w:i/>
          <w:iCs/>
          <w:sz w:val="24"/>
          <w:szCs w:val="24"/>
        </w:rPr>
      </w:pPr>
      <w:r>
        <w:rPr>
          <w:b/>
          <w:bCs/>
          <w:i/>
          <w:iCs/>
          <w:sz w:val="24"/>
          <w:szCs w:val="24"/>
        </w:rPr>
        <w:t>3.2. Participants</w:t>
      </w:r>
    </w:p>
    <w:p w14:paraId="7F1B54F6" w14:textId="23FD9C20" w:rsidR="00242CD1" w:rsidRDefault="00000000">
      <w:pPr>
        <w:spacing w:before="0" w:after="120" w:line="480" w:lineRule="auto"/>
        <w:rPr>
          <w:sz w:val="24"/>
          <w:szCs w:val="24"/>
        </w:rPr>
      </w:pPr>
      <w:bookmarkStart w:id="6" w:name="_heading=h.l8249dsnom5r" w:colFirst="0" w:colLast="0"/>
      <w:bookmarkEnd w:id="6"/>
      <w:r>
        <w:rPr>
          <w:sz w:val="24"/>
          <w:szCs w:val="24"/>
        </w:rPr>
        <w:t xml:space="preserve">The participants comprised 93 English-major undergraduate students at </w:t>
      </w:r>
      <w:r w:rsidR="00080E5D">
        <w:rPr>
          <w:sz w:val="24"/>
          <w:szCs w:val="24"/>
        </w:rPr>
        <w:t>Ho Chi Minh City University of Foreign Languages – Information Technology (HUFLIT)</w:t>
      </w:r>
      <w:r>
        <w:rPr>
          <w:sz w:val="24"/>
          <w:szCs w:val="24"/>
        </w:rPr>
        <w:t xml:space="preserve"> (see Table 1). </w:t>
      </w:r>
    </w:p>
    <w:p w14:paraId="5697708E" w14:textId="77777777" w:rsidR="00242CD1" w:rsidRDefault="00242CD1">
      <w:pPr>
        <w:spacing w:before="180"/>
        <w:ind w:firstLine="0"/>
        <w:rPr>
          <w:b/>
          <w:bCs/>
          <w:sz w:val="24"/>
          <w:szCs w:val="24"/>
        </w:rPr>
      </w:pPr>
    </w:p>
    <w:p w14:paraId="0AC5D5ED" w14:textId="77777777" w:rsidR="00242CD1" w:rsidRDefault="00000000">
      <w:pPr>
        <w:spacing w:before="0" w:after="120" w:line="240" w:lineRule="auto"/>
        <w:ind w:firstLine="0"/>
        <w:rPr>
          <w:b/>
          <w:bCs/>
          <w:sz w:val="24"/>
          <w:szCs w:val="24"/>
        </w:rPr>
      </w:pPr>
      <w:r>
        <w:rPr>
          <w:b/>
          <w:bCs/>
          <w:sz w:val="24"/>
          <w:szCs w:val="24"/>
        </w:rPr>
        <w:t>Table 1</w:t>
      </w:r>
    </w:p>
    <w:p w14:paraId="62AC8C82" w14:textId="77777777" w:rsidR="00242CD1" w:rsidRDefault="00000000">
      <w:pPr>
        <w:spacing w:before="0" w:after="120" w:line="240" w:lineRule="auto"/>
        <w:ind w:firstLine="0"/>
        <w:rPr>
          <w:sz w:val="24"/>
          <w:szCs w:val="24"/>
        </w:rPr>
      </w:pPr>
      <w:r>
        <w:rPr>
          <w:i/>
          <w:iCs/>
          <w:sz w:val="24"/>
          <w:szCs w:val="24"/>
        </w:rPr>
        <w:t>Participant Demographics (N = 93)</w:t>
      </w:r>
    </w:p>
    <w:tbl>
      <w:tblPr>
        <w:tblStyle w:val="a"/>
        <w:tblW w:w="873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763"/>
        <w:gridCol w:w="3717"/>
        <w:gridCol w:w="1170"/>
        <w:gridCol w:w="1080"/>
      </w:tblGrid>
      <w:tr w:rsidR="00242CD1" w14:paraId="75CB1528" w14:textId="77777777">
        <w:tc>
          <w:tcPr>
            <w:tcW w:w="2763" w:type="dxa"/>
            <w:tcBorders>
              <w:top w:val="single" w:sz="4" w:space="0" w:color="000000"/>
              <w:bottom w:val="single" w:sz="4" w:space="0" w:color="000000"/>
            </w:tcBorders>
          </w:tcPr>
          <w:p w14:paraId="109745E6" w14:textId="77777777" w:rsidR="00242CD1" w:rsidRDefault="00000000">
            <w:pPr>
              <w:spacing w:after="120"/>
              <w:ind w:firstLine="0"/>
              <w:jc w:val="left"/>
            </w:pPr>
            <w:r>
              <w:t>Variable</w:t>
            </w:r>
          </w:p>
        </w:tc>
        <w:tc>
          <w:tcPr>
            <w:tcW w:w="3717" w:type="dxa"/>
            <w:tcBorders>
              <w:top w:val="single" w:sz="4" w:space="0" w:color="000000"/>
              <w:bottom w:val="single" w:sz="4" w:space="0" w:color="000000"/>
            </w:tcBorders>
          </w:tcPr>
          <w:p w14:paraId="166146E6" w14:textId="77777777" w:rsidR="00242CD1" w:rsidRDefault="00000000">
            <w:pPr>
              <w:spacing w:after="120"/>
              <w:ind w:firstLine="0"/>
              <w:jc w:val="left"/>
            </w:pPr>
            <w:r>
              <w:t>Category</w:t>
            </w:r>
          </w:p>
        </w:tc>
        <w:tc>
          <w:tcPr>
            <w:tcW w:w="1170" w:type="dxa"/>
            <w:tcBorders>
              <w:top w:val="single" w:sz="4" w:space="0" w:color="000000"/>
              <w:bottom w:val="single" w:sz="4" w:space="0" w:color="000000"/>
            </w:tcBorders>
          </w:tcPr>
          <w:p w14:paraId="2CE99DD4" w14:textId="77777777" w:rsidR="00242CD1" w:rsidRDefault="00000000">
            <w:pPr>
              <w:spacing w:after="120"/>
              <w:ind w:firstLine="0"/>
              <w:jc w:val="left"/>
            </w:pPr>
            <w:r>
              <w:t>n</w:t>
            </w:r>
          </w:p>
        </w:tc>
        <w:tc>
          <w:tcPr>
            <w:tcW w:w="1080" w:type="dxa"/>
            <w:tcBorders>
              <w:top w:val="single" w:sz="4" w:space="0" w:color="000000"/>
              <w:bottom w:val="single" w:sz="4" w:space="0" w:color="000000"/>
            </w:tcBorders>
          </w:tcPr>
          <w:p w14:paraId="1958914E" w14:textId="77777777" w:rsidR="00242CD1" w:rsidRDefault="00000000">
            <w:pPr>
              <w:spacing w:after="120"/>
              <w:ind w:firstLine="0"/>
              <w:jc w:val="left"/>
            </w:pPr>
            <w:r>
              <w:t>%</w:t>
            </w:r>
          </w:p>
        </w:tc>
      </w:tr>
      <w:tr w:rsidR="00242CD1" w14:paraId="2F3E6E24" w14:textId="77777777">
        <w:tc>
          <w:tcPr>
            <w:tcW w:w="2763" w:type="dxa"/>
            <w:tcBorders>
              <w:top w:val="single" w:sz="4" w:space="0" w:color="000000"/>
            </w:tcBorders>
          </w:tcPr>
          <w:p w14:paraId="0AF785BD" w14:textId="77777777" w:rsidR="00242CD1" w:rsidRDefault="00000000">
            <w:pPr>
              <w:spacing w:after="120"/>
              <w:ind w:firstLine="0"/>
              <w:jc w:val="left"/>
            </w:pPr>
            <w:r>
              <w:t>Gender</w:t>
            </w:r>
          </w:p>
        </w:tc>
        <w:tc>
          <w:tcPr>
            <w:tcW w:w="3717" w:type="dxa"/>
            <w:tcBorders>
              <w:top w:val="single" w:sz="4" w:space="0" w:color="000000"/>
            </w:tcBorders>
          </w:tcPr>
          <w:p w14:paraId="54D24DD8" w14:textId="77777777" w:rsidR="00242CD1" w:rsidRDefault="00000000">
            <w:pPr>
              <w:spacing w:after="120"/>
              <w:ind w:firstLine="0"/>
              <w:jc w:val="left"/>
            </w:pPr>
            <w:r>
              <w:t>Male</w:t>
            </w:r>
          </w:p>
        </w:tc>
        <w:tc>
          <w:tcPr>
            <w:tcW w:w="1170" w:type="dxa"/>
            <w:tcBorders>
              <w:top w:val="single" w:sz="4" w:space="0" w:color="000000"/>
            </w:tcBorders>
          </w:tcPr>
          <w:p w14:paraId="23013B6D" w14:textId="77777777" w:rsidR="00242CD1" w:rsidRDefault="00000000">
            <w:pPr>
              <w:spacing w:after="120"/>
              <w:ind w:firstLine="0"/>
              <w:jc w:val="left"/>
            </w:pPr>
            <w:r>
              <w:t>67</w:t>
            </w:r>
          </w:p>
        </w:tc>
        <w:tc>
          <w:tcPr>
            <w:tcW w:w="1080" w:type="dxa"/>
            <w:tcBorders>
              <w:top w:val="single" w:sz="4" w:space="0" w:color="000000"/>
            </w:tcBorders>
          </w:tcPr>
          <w:p w14:paraId="015183EB" w14:textId="77777777" w:rsidR="00242CD1" w:rsidRDefault="00000000">
            <w:pPr>
              <w:spacing w:after="120"/>
              <w:ind w:firstLine="0"/>
              <w:jc w:val="left"/>
            </w:pPr>
            <w:r>
              <w:t>72</w:t>
            </w:r>
          </w:p>
        </w:tc>
      </w:tr>
      <w:tr w:rsidR="00242CD1" w14:paraId="35485191" w14:textId="77777777">
        <w:tc>
          <w:tcPr>
            <w:tcW w:w="2763" w:type="dxa"/>
          </w:tcPr>
          <w:p w14:paraId="09143585" w14:textId="77777777" w:rsidR="00242CD1" w:rsidRDefault="00242CD1">
            <w:pPr>
              <w:spacing w:after="120"/>
              <w:ind w:firstLine="0"/>
              <w:jc w:val="left"/>
            </w:pPr>
          </w:p>
        </w:tc>
        <w:tc>
          <w:tcPr>
            <w:tcW w:w="3717" w:type="dxa"/>
          </w:tcPr>
          <w:p w14:paraId="6755F782" w14:textId="77777777" w:rsidR="00242CD1" w:rsidRDefault="00000000">
            <w:pPr>
              <w:spacing w:after="120"/>
              <w:ind w:firstLine="0"/>
              <w:jc w:val="left"/>
            </w:pPr>
            <w:r>
              <w:t>Female</w:t>
            </w:r>
          </w:p>
        </w:tc>
        <w:tc>
          <w:tcPr>
            <w:tcW w:w="1170" w:type="dxa"/>
          </w:tcPr>
          <w:p w14:paraId="680523A8" w14:textId="77777777" w:rsidR="00242CD1" w:rsidRDefault="00000000">
            <w:pPr>
              <w:spacing w:after="120"/>
              <w:ind w:firstLine="0"/>
              <w:jc w:val="left"/>
            </w:pPr>
            <w:r>
              <w:t>26</w:t>
            </w:r>
          </w:p>
        </w:tc>
        <w:tc>
          <w:tcPr>
            <w:tcW w:w="1080" w:type="dxa"/>
          </w:tcPr>
          <w:p w14:paraId="2835DC11" w14:textId="77777777" w:rsidR="00242CD1" w:rsidRDefault="00000000">
            <w:pPr>
              <w:spacing w:after="120"/>
              <w:ind w:firstLine="0"/>
              <w:jc w:val="left"/>
            </w:pPr>
            <w:r>
              <w:t>28</w:t>
            </w:r>
          </w:p>
        </w:tc>
      </w:tr>
      <w:tr w:rsidR="00242CD1" w14:paraId="5DDD4145" w14:textId="77777777">
        <w:tc>
          <w:tcPr>
            <w:tcW w:w="2763" w:type="dxa"/>
          </w:tcPr>
          <w:p w14:paraId="326DF5E7" w14:textId="77777777" w:rsidR="00242CD1" w:rsidRDefault="00000000">
            <w:pPr>
              <w:spacing w:after="120"/>
              <w:ind w:firstLine="0"/>
              <w:jc w:val="left"/>
            </w:pPr>
            <w:r>
              <w:t>English proficiency</w:t>
            </w:r>
          </w:p>
        </w:tc>
        <w:tc>
          <w:tcPr>
            <w:tcW w:w="3717" w:type="dxa"/>
          </w:tcPr>
          <w:p w14:paraId="3F7F6AAC" w14:textId="77777777" w:rsidR="00242CD1" w:rsidRDefault="00000000">
            <w:pPr>
              <w:spacing w:after="120"/>
              <w:ind w:firstLine="0"/>
              <w:jc w:val="left"/>
            </w:pPr>
            <w:r>
              <w:t>Intermediate</w:t>
            </w:r>
          </w:p>
        </w:tc>
        <w:tc>
          <w:tcPr>
            <w:tcW w:w="1170" w:type="dxa"/>
          </w:tcPr>
          <w:p w14:paraId="162C1477" w14:textId="77777777" w:rsidR="00242CD1" w:rsidRDefault="00000000">
            <w:pPr>
              <w:spacing w:after="120"/>
              <w:ind w:firstLine="0"/>
              <w:jc w:val="left"/>
            </w:pPr>
            <w:r>
              <w:t>57</w:t>
            </w:r>
          </w:p>
        </w:tc>
        <w:tc>
          <w:tcPr>
            <w:tcW w:w="1080" w:type="dxa"/>
          </w:tcPr>
          <w:p w14:paraId="3419D3C0" w14:textId="77777777" w:rsidR="00242CD1" w:rsidRDefault="00000000">
            <w:pPr>
              <w:spacing w:after="120"/>
              <w:ind w:firstLine="0"/>
              <w:jc w:val="left"/>
            </w:pPr>
            <w:r>
              <w:t>61.3</w:t>
            </w:r>
          </w:p>
        </w:tc>
      </w:tr>
      <w:tr w:rsidR="00242CD1" w14:paraId="00558451" w14:textId="77777777">
        <w:tc>
          <w:tcPr>
            <w:tcW w:w="2763" w:type="dxa"/>
          </w:tcPr>
          <w:p w14:paraId="0C1DC9B7" w14:textId="77777777" w:rsidR="00242CD1" w:rsidRDefault="00242CD1">
            <w:pPr>
              <w:spacing w:after="120"/>
              <w:ind w:firstLine="0"/>
              <w:jc w:val="left"/>
            </w:pPr>
          </w:p>
        </w:tc>
        <w:tc>
          <w:tcPr>
            <w:tcW w:w="3717" w:type="dxa"/>
          </w:tcPr>
          <w:p w14:paraId="6DD01631" w14:textId="77777777" w:rsidR="00242CD1" w:rsidRDefault="00000000">
            <w:pPr>
              <w:spacing w:after="120"/>
              <w:ind w:firstLine="0"/>
              <w:jc w:val="left"/>
            </w:pPr>
            <w:r>
              <w:t>Upper-intermediate</w:t>
            </w:r>
          </w:p>
        </w:tc>
        <w:tc>
          <w:tcPr>
            <w:tcW w:w="1170" w:type="dxa"/>
          </w:tcPr>
          <w:p w14:paraId="62F05627" w14:textId="77777777" w:rsidR="00242CD1" w:rsidRDefault="00000000">
            <w:pPr>
              <w:spacing w:after="120"/>
              <w:ind w:firstLine="0"/>
              <w:jc w:val="left"/>
            </w:pPr>
            <w:r>
              <w:t>33</w:t>
            </w:r>
          </w:p>
        </w:tc>
        <w:tc>
          <w:tcPr>
            <w:tcW w:w="1080" w:type="dxa"/>
          </w:tcPr>
          <w:p w14:paraId="3925F5DA" w14:textId="77777777" w:rsidR="00242CD1" w:rsidRDefault="00000000">
            <w:pPr>
              <w:spacing w:after="120"/>
              <w:ind w:firstLine="0"/>
              <w:jc w:val="left"/>
            </w:pPr>
            <w:r>
              <w:t>35.5</w:t>
            </w:r>
          </w:p>
        </w:tc>
      </w:tr>
      <w:tr w:rsidR="00242CD1" w14:paraId="11B52681" w14:textId="77777777">
        <w:tc>
          <w:tcPr>
            <w:tcW w:w="2763" w:type="dxa"/>
          </w:tcPr>
          <w:p w14:paraId="6BC1BBEA" w14:textId="77777777" w:rsidR="00242CD1" w:rsidRDefault="00242CD1">
            <w:pPr>
              <w:spacing w:after="120"/>
              <w:ind w:firstLine="0"/>
              <w:jc w:val="left"/>
            </w:pPr>
          </w:p>
        </w:tc>
        <w:tc>
          <w:tcPr>
            <w:tcW w:w="3717" w:type="dxa"/>
          </w:tcPr>
          <w:p w14:paraId="0252EB76" w14:textId="77777777" w:rsidR="00242CD1" w:rsidRDefault="00000000">
            <w:pPr>
              <w:spacing w:after="120"/>
              <w:ind w:firstLine="0"/>
              <w:jc w:val="left"/>
            </w:pPr>
            <w:r>
              <w:t>Advanced</w:t>
            </w:r>
          </w:p>
        </w:tc>
        <w:tc>
          <w:tcPr>
            <w:tcW w:w="1170" w:type="dxa"/>
          </w:tcPr>
          <w:p w14:paraId="421FBB80" w14:textId="77777777" w:rsidR="00242CD1" w:rsidRDefault="00000000">
            <w:pPr>
              <w:spacing w:after="120"/>
              <w:ind w:firstLine="0"/>
              <w:jc w:val="left"/>
            </w:pPr>
            <w:r>
              <w:t>3</w:t>
            </w:r>
          </w:p>
        </w:tc>
        <w:tc>
          <w:tcPr>
            <w:tcW w:w="1080" w:type="dxa"/>
          </w:tcPr>
          <w:p w14:paraId="5668E8BB" w14:textId="77777777" w:rsidR="00242CD1" w:rsidRDefault="00000000">
            <w:pPr>
              <w:spacing w:after="120"/>
              <w:ind w:firstLine="0"/>
              <w:jc w:val="left"/>
            </w:pPr>
            <w:r>
              <w:t>3.2</w:t>
            </w:r>
          </w:p>
        </w:tc>
      </w:tr>
      <w:tr w:rsidR="00242CD1" w14:paraId="4B10BDE6" w14:textId="77777777">
        <w:tc>
          <w:tcPr>
            <w:tcW w:w="2763" w:type="dxa"/>
          </w:tcPr>
          <w:p w14:paraId="6D92CACC" w14:textId="77777777" w:rsidR="00242CD1" w:rsidRDefault="00000000">
            <w:pPr>
              <w:spacing w:after="120"/>
              <w:ind w:firstLine="0"/>
              <w:jc w:val="left"/>
            </w:pPr>
            <w:r>
              <w:t>Frequently used AI tools</w:t>
            </w:r>
          </w:p>
        </w:tc>
        <w:tc>
          <w:tcPr>
            <w:tcW w:w="3717" w:type="dxa"/>
          </w:tcPr>
          <w:p w14:paraId="337AED32" w14:textId="77777777" w:rsidR="00242CD1" w:rsidRDefault="00000000">
            <w:pPr>
              <w:spacing w:after="120"/>
              <w:ind w:firstLine="0"/>
              <w:jc w:val="left"/>
            </w:pPr>
            <w:r>
              <w:t>Generative AI tools (e.g., ChatGPT, Gemini, Claude)</w:t>
            </w:r>
          </w:p>
        </w:tc>
        <w:tc>
          <w:tcPr>
            <w:tcW w:w="1170" w:type="dxa"/>
          </w:tcPr>
          <w:p w14:paraId="0DEA5F06" w14:textId="77777777" w:rsidR="00242CD1" w:rsidRDefault="00000000">
            <w:pPr>
              <w:spacing w:after="120"/>
              <w:ind w:firstLine="0"/>
              <w:jc w:val="left"/>
            </w:pPr>
            <w:r>
              <w:t>88</w:t>
            </w:r>
          </w:p>
        </w:tc>
        <w:tc>
          <w:tcPr>
            <w:tcW w:w="1080" w:type="dxa"/>
          </w:tcPr>
          <w:p w14:paraId="734C2412" w14:textId="77777777" w:rsidR="00242CD1" w:rsidRDefault="00000000">
            <w:pPr>
              <w:spacing w:after="120"/>
              <w:ind w:firstLine="0"/>
              <w:jc w:val="left"/>
            </w:pPr>
            <w:r>
              <w:t>94.6</w:t>
            </w:r>
          </w:p>
        </w:tc>
      </w:tr>
      <w:tr w:rsidR="00242CD1" w14:paraId="28797B50" w14:textId="77777777">
        <w:tc>
          <w:tcPr>
            <w:tcW w:w="2763" w:type="dxa"/>
          </w:tcPr>
          <w:p w14:paraId="5C520807" w14:textId="77777777" w:rsidR="00242CD1" w:rsidRDefault="00242CD1">
            <w:pPr>
              <w:spacing w:after="120"/>
              <w:ind w:firstLine="0"/>
              <w:jc w:val="left"/>
            </w:pPr>
          </w:p>
        </w:tc>
        <w:tc>
          <w:tcPr>
            <w:tcW w:w="3717" w:type="dxa"/>
          </w:tcPr>
          <w:p w14:paraId="520AEED3" w14:textId="77777777" w:rsidR="00242CD1" w:rsidRDefault="00000000">
            <w:pPr>
              <w:spacing w:after="120"/>
              <w:ind w:firstLine="0"/>
              <w:jc w:val="left"/>
            </w:pPr>
            <w:r>
              <w:t xml:space="preserve">Grammar checking tools (e.g., Grammarly, </w:t>
            </w:r>
            <w:proofErr w:type="spellStart"/>
            <w:r>
              <w:t>ProWritingAid</w:t>
            </w:r>
            <w:proofErr w:type="spellEnd"/>
            <w:r>
              <w:t>)</w:t>
            </w:r>
          </w:p>
        </w:tc>
        <w:tc>
          <w:tcPr>
            <w:tcW w:w="1170" w:type="dxa"/>
          </w:tcPr>
          <w:p w14:paraId="0878FF47" w14:textId="77777777" w:rsidR="00242CD1" w:rsidRDefault="00000000">
            <w:pPr>
              <w:spacing w:after="120"/>
              <w:ind w:firstLine="0"/>
              <w:jc w:val="left"/>
            </w:pPr>
            <w:r>
              <w:t>54</w:t>
            </w:r>
          </w:p>
        </w:tc>
        <w:tc>
          <w:tcPr>
            <w:tcW w:w="1080" w:type="dxa"/>
          </w:tcPr>
          <w:p w14:paraId="24E60C7A" w14:textId="77777777" w:rsidR="00242CD1" w:rsidRDefault="00000000">
            <w:pPr>
              <w:spacing w:after="120"/>
              <w:ind w:firstLine="0"/>
              <w:jc w:val="left"/>
            </w:pPr>
            <w:r>
              <w:t>58.1</w:t>
            </w:r>
          </w:p>
        </w:tc>
      </w:tr>
      <w:tr w:rsidR="00242CD1" w14:paraId="782BEE97" w14:textId="77777777">
        <w:tc>
          <w:tcPr>
            <w:tcW w:w="2763" w:type="dxa"/>
          </w:tcPr>
          <w:p w14:paraId="577C817B" w14:textId="77777777" w:rsidR="00242CD1" w:rsidRDefault="00242CD1">
            <w:pPr>
              <w:spacing w:after="120"/>
              <w:ind w:firstLine="0"/>
              <w:jc w:val="left"/>
            </w:pPr>
          </w:p>
        </w:tc>
        <w:tc>
          <w:tcPr>
            <w:tcW w:w="3717" w:type="dxa"/>
          </w:tcPr>
          <w:p w14:paraId="5E802838" w14:textId="77777777" w:rsidR="00242CD1" w:rsidRDefault="00000000">
            <w:pPr>
              <w:spacing w:after="120"/>
              <w:ind w:firstLine="0"/>
              <w:jc w:val="left"/>
            </w:pPr>
            <w:r>
              <w:t xml:space="preserve">Paraphrasing tools (e.g., </w:t>
            </w:r>
            <w:proofErr w:type="spellStart"/>
            <w:r>
              <w:t>QuillBot</w:t>
            </w:r>
            <w:proofErr w:type="spellEnd"/>
            <w:r>
              <w:t>)</w:t>
            </w:r>
          </w:p>
        </w:tc>
        <w:tc>
          <w:tcPr>
            <w:tcW w:w="1170" w:type="dxa"/>
          </w:tcPr>
          <w:p w14:paraId="7593D2B1" w14:textId="77777777" w:rsidR="00242CD1" w:rsidRDefault="00000000">
            <w:pPr>
              <w:spacing w:after="120"/>
              <w:ind w:firstLine="0"/>
              <w:jc w:val="left"/>
            </w:pPr>
            <w:r>
              <w:t>43</w:t>
            </w:r>
          </w:p>
        </w:tc>
        <w:tc>
          <w:tcPr>
            <w:tcW w:w="1080" w:type="dxa"/>
          </w:tcPr>
          <w:p w14:paraId="4306D526" w14:textId="77777777" w:rsidR="00242CD1" w:rsidRDefault="00000000">
            <w:pPr>
              <w:spacing w:after="120"/>
              <w:ind w:firstLine="0"/>
              <w:jc w:val="left"/>
            </w:pPr>
            <w:r>
              <w:t>46.2</w:t>
            </w:r>
          </w:p>
        </w:tc>
      </w:tr>
      <w:tr w:rsidR="00242CD1" w14:paraId="77580153" w14:textId="77777777">
        <w:tc>
          <w:tcPr>
            <w:tcW w:w="2763" w:type="dxa"/>
          </w:tcPr>
          <w:p w14:paraId="486D0440" w14:textId="77777777" w:rsidR="00242CD1" w:rsidRDefault="00242CD1">
            <w:pPr>
              <w:spacing w:after="120"/>
              <w:ind w:firstLine="0"/>
              <w:jc w:val="left"/>
            </w:pPr>
          </w:p>
        </w:tc>
        <w:tc>
          <w:tcPr>
            <w:tcW w:w="3717" w:type="dxa"/>
          </w:tcPr>
          <w:p w14:paraId="1948EC96" w14:textId="77777777" w:rsidR="00242CD1" w:rsidRDefault="00000000">
            <w:pPr>
              <w:spacing w:after="120"/>
              <w:ind w:firstLine="0"/>
              <w:jc w:val="left"/>
            </w:pPr>
            <w:r>
              <w:t xml:space="preserve">Translation tools (e.g., </w:t>
            </w:r>
            <w:proofErr w:type="spellStart"/>
            <w:r>
              <w:t>DeepL</w:t>
            </w:r>
            <w:proofErr w:type="spellEnd"/>
            <w:r>
              <w:t>/Google Translate)</w:t>
            </w:r>
          </w:p>
        </w:tc>
        <w:tc>
          <w:tcPr>
            <w:tcW w:w="1170" w:type="dxa"/>
          </w:tcPr>
          <w:p w14:paraId="1DA8E819" w14:textId="77777777" w:rsidR="00242CD1" w:rsidRDefault="00000000">
            <w:pPr>
              <w:spacing w:after="120"/>
              <w:ind w:firstLine="0"/>
              <w:jc w:val="left"/>
            </w:pPr>
            <w:r>
              <w:t>29</w:t>
            </w:r>
          </w:p>
        </w:tc>
        <w:tc>
          <w:tcPr>
            <w:tcW w:w="1080" w:type="dxa"/>
          </w:tcPr>
          <w:p w14:paraId="73DCC3FF" w14:textId="77777777" w:rsidR="00242CD1" w:rsidRDefault="00000000">
            <w:pPr>
              <w:spacing w:after="120"/>
              <w:ind w:firstLine="0"/>
              <w:jc w:val="left"/>
            </w:pPr>
            <w:r>
              <w:t>31.2</w:t>
            </w:r>
          </w:p>
        </w:tc>
      </w:tr>
    </w:tbl>
    <w:p w14:paraId="0637B861" w14:textId="77777777" w:rsidR="00242CD1" w:rsidRDefault="00000000">
      <w:pPr>
        <w:spacing w:after="120" w:line="480" w:lineRule="auto"/>
        <w:ind w:firstLine="0"/>
      </w:pPr>
      <w:r>
        <w:rPr>
          <w:i/>
          <w:iCs/>
        </w:rPr>
        <w:t>Note.</w:t>
      </w:r>
      <w:r>
        <w:t xml:space="preserve"> Percentages for AI tools exceed 100% because participants could select multiple responses.</w:t>
      </w:r>
    </w:p>
    <w:p w14:paraId="22A91205" w14:textId="77777777" w:rsidR="00242CD1" w:rsidRDefault="00000000">
      <w:pPr>
        <w:spacing w:before="0" w:after="120" w:line="480" w:lineRule="auto"/>
        <w:rPr>
          <w:sz w:val="24"/>
          <w:szCs w:val="24"/>
        </w:rPr>
      </w:pPr>
      <w:r>
        <w:rPr>
          <w:sz w:val="24"/>
          <w:szCs w:val="24"/>
        </w:rPr>
        <w:lastRenderedPageBreak/>
        <w:t>All respondents were third-year students who had completed academic writing courses at the time of data collection.</w:t>
      </w:r>
    </w:p>
    <w:p w14:paraId="4B2506CF" w14:textId="77777777" w:rsidR="00242CD1" w:rsidRDefault="00000000">
      <w:pPr>
        <w:spacing w:before="0" w:after="120" w:line="480" w:lineRule="auto"/>
        <w:rPr>
          <w:sz w:val="24"/>
          <w:szCs w:val="24"/>
        </w:rPr>
      </w:pPr>
      <w:r>
        <w:rPr>
          <w:sz w:val="24"/>
          <w:szCs w:val="24"/>
        </w:rPr>
        <w:t>Participants in the study were selected using a convenient sampling technique. Participation was voluntary, and all participants provided informed consent before data collection. Regarding prior experience with AI tools, most participants reported familiarity with Generative AI and grammar checkers.</w:t>
      </w:r>
    </w:p>
    <w:p w14:paraId="6683077E" w14:textId="77777777" w:rsidR="00242CD1" w:rsidRDefault="00000000">
      <w:pPr>
        <w:spacing w:before="0" w:after="120" w:line="480" w:lineRule="auto"/>
        <w:ind w:firstLine="0"/>
        <w:rPr>
          <w:b/>
          <w:bCs/>
          <w:i/>
          <w:iCs/>
          <w:sz w:val="24"/>
          <w:szCs w:val="24"/>
        </w:rPr>
      </w:pPr>
      <w:r>
        <w:rPr>
          <w:b/>
          <w:bCs/>
          <w:i/>
          <w:iCs/>
          <w:sz w:val="24"/>
          <w:szCs w:val="24"/>
        </w:rPr>
        <w:t>3.3. Research Instruments</w:t>
      </w:r>
    </w:p>
    <w:p w14:paraId="4BC353E0" w14:textId="77777777" w:rsidR="00242CD1" w:rsidRDefault="00000000">
      <w:pPr>
        <w:spacing w:before="0" w:after="120" w:line="480" w:lineRule="auto"/>
        <w:rPr>
          <w:sz w:val="24"/>
          <w:szCs w:val="24"/>
        </w:rPr>
      </w:pPr>
      <w:r>
        <w:rPr>
          <w:sz w:val="24"/>
          <w:szCs w:val="24"/>
        </w:rPr>
        <w:t xml:space="preserve">Two research instruments were employed: a questionnaire and semi-structured interviews. </w:t>
      </w:r>
    </w:p>
    <w:p w14:paraId="1F758FD2" w14:textId="77777777" w:rsidR="00242CD1" w:rsidRDefault="00000000">
      <w:pPr>
        <w:spacing w:before="0" w:after="120" w:line="480" w:lineRule="auto"/>
        <w:rPr>
          <w:i/>
          <w:iCs/>
          <w:sz w:val="24"/>
          <w:szCs w:val="24"/>
        </w:rPr>
      </w:pPr>
      <w:r>
        <w:rPr>
          <w:sz w:val="24"/>
          <w:szCs w:val="24"/>
        </w:rPr>
        <w:t>The questionnaire included approximately 29 items measured on a five-point Likert scale ranging from strongly disagree to strongly agree. It was organized into seven sections: (1) introduction, (2) cognitive–metacognitive readiness, (3) linguistic</w:t>
      </w:r>
      <w:r>
        <w:rPr>
          <w:b/>
          <w:bCs/>
          <w:sz w:val="24"/>
          <w:szCs w:val="24"/>
        </w:rPr>
        <w:t xml:space="preserve"> </w:t>
      </w:r>
      <w:r>
        <w:rPr>
          <w:sz w:val="24"/>
          <w:szCs w:val="24"/>
        </w:rPr>
        <w:t>readiness, (4) ethical &amp; responsible AI awareness, (5) technology readiness, (6) intention to use AI in academic writing, (7) demographic information and AI usage background. To ensure linguistic accuracy and comprehensibility, the questionnaire was administered bilingually in English and Vietnamese using the back-translation technique. The overview of questionnaire dimensions, sources, and sample items</w:t>
      </w:r>
      <w:r>
        <w:rPr>
          <w:i/>
          <w:iCs/>
          <w:sz w:val="24"/>
          <w:szCs w:val="24"/>
        </w:rPr>
        <w:t xml:space="preserve"> </w:t>
      </w:r>
      <w:r>
        <w:rPr>
          <w:sz w:val="24"/>
          <w:szCs w:val="24"/>
        </w:rPr>
        <w:t xml:space="preserve">is provided in Appendix A. In addition, five semi-structured interviews were also conducted to further explore students’ experiences and perceptions of using AI in academic writing. </w:t>
      </w:r>
    </w:p>
    <w:p w14:paraId="7C1B1DCA" w14:textId="77777777" w:rsidR="00242CD1" w:rsidRDefault="00000000">
      <w:pPr>
        <w:spacing w:before="0" w:after="120" w:line="480" w:lineRule="auto"/>
        <w:ind w:firstLine="0"/>
        <w:rPr>
          <w:b/>
          <w:bCs/>
          <w:i/>
          <w:iCs/>
          <w:sz w:val="24"/>
          <w:szCs w:val="24"/>
        </w:rPr>
      </w:pPr>
      <w:r>
        <w:rPr>
          <w:b/>
          <w:bCs/>
          <w:i/>
          <w:iCs/>
          <w:sz w:val="24"/>
          <w:szCs w:val="24"/>
        </w:rPr>
        <w:t>3.4. Data Collection Procedure</w:t>
      </w:r>
    </w:p>
    <w:p w14:paraId="3752B88F" w14:textId="77777777" w:rsidR="00242CD1" w:rsidRDefault="00000000">
      <w:pPr>
        <w:spacing w:before="0" w:after="120" w:line="480" w:lineRule="auto"/>
        <w:rPr>
          <w:sz w:val="24"/>
          <w:szCs w:val="24"/>
        </w:rPr>
      </w:pPr>
      <w:bookmarkStart w:id="7" w:name="_heading=h.rlgyzq1a9iur" w:colFirst="0" w:colLast="0"/>
      <w:bookmarkEnd w:id="7"/>
      <w:r>
        <w:rPr>
          <w:sz w:val="24"/>
          <w:szCs w:val="24"/>
        </w:rPr>
        <w:t xml:space="preserve">The online survey was deployed using Google Forms. Students also had easy access to the questionnaire since it was distributed through a QR code and could submit their responses immediately. After the data collection period, 93 entries were retrieved and uploaded to SPSS Statistics Version 26 software for quantitative analysis. Additionally, five semi-structured </w:t>
      </w:r>
      <w:r>
        <w:rPr>
          <w:sz w:val="24"/>
          <w:szCs w:val="24"/>
        </w:rPr>
        <w:lastRenderedPageBreak/>
        <w:t xml:space="preserve">interviews were conducted through </w:t>
      </w:r>
      <w:proofErr w:type="spellStart"/>
      <w:r>
        <w:rPr>
          <w:sz w:val="24"/>
          <w:szCs w:val="24"/>
        </w:rPr>
        <w:t>Zalo</w:t>
      </w:r>
      <w:proofErr w:type="spellEnd"/>
      <w:r>
        <w:rPr>
          <w:sz w:val="24"/>
          <w:szCs w:val="24"/>
        </w:rPr>
        <w:t xml:space="preserve"> calls and recorded using the Audacity application. Each interview lasted approximately 20 minutes. </w:t>
      </w:r>
    </w:p>
    <w:p w14:paraId="7B7F0842" w14:textId="77777777" w:rsidR="00242CD1" w:rsidRDefault="00000000">
      <w:pPr>
        <w:spacing w:before="0" w:after="120" w:line="480" w:lineRule="auto"/>
        <w:ind w:firstLine="0"/>
        <w:rPr>
          <w:b/>
          <w:bCs/>
          <w:i/>
          <w:iCs/>
          <w:sz w:val="24"/>
          <w:szCs w:val="24"/>
        </w:rPr>
      </w:pPr>
      <w:r>
        <w:rPr>
          <w:b/>
          <w:bCs/>
          <w:i/>
          <w:iCs/>
          <w:sz w:val="24"/>
          <w:szCs w:val="24"/>
        </w:rPr>
        <w:t>3.5. Data Analysis</w:t>
      </w:r>
    </w:p>
    <w:p w14:paraId="536CC2AA" w14:textId="77777777" w:rsidR="00242CD1" w:rsidRDefault="00000000">
      <w:pPr>
        <w:spacing w:before="0" w:after="120" w:line="480" w:lineRule="auto"/>
        <w:rPr>
          <w:b/>
          <w:bCs/>
          <w:sz w:val="24"/>
          <w:szCs w:val="24"/>
        </w:rPr>
      </w:pPr>
      <w:r>
        <w:rPr>
          <w:sz w:val="24"/>
          <w:szCs w:val="24"/>
        </w:rPr>
        <w:t xml:space="preserve">Survey responses were obtained and summarized using descriptive statistics (mean and standard deviation). Moreover, Pearson correlation analysis was employed to test the relationship between variables, and the multiple regression analysis was conducted to determine predictors of students' intention to use AI-supported writing tools. </w:t>
      </w:r>
    </w:p>
    <w:p w14:paraId="0E74C2CF" w14:textId="77777777" w:rsidR="00242CD1" w:rsidRDefault="00000000">
      <w:pPr>
        <w:spacing w:before="0" w:after="120" w:line="480" w:lineRule="auto"/>
        <w:rPr>
          <w:sz w:val="24"/>
          <w:szCs w:val="24"/>
        </w:rPr>
      </w:pPr>
      <w:r>
        <w:rPr>
          <w:sz w:val="24"/>
          <w:szCs w:val="24"/>
        </w:rPr>
        <w:t>Qualitative data were analyzed using thematic analysis. Interview transcripts were coded and organized into themes in order to define the general trends and gain a more in-depth picture of the students’ perceptions. Due to the anonymity of the participants, the interviewed students are referred to as S1 (Student 1), S2 (Student 2), and so forth.</w:t>
      </w:r>
    </w:p>
    <w:p w14:paraId="30624AE1" w14:textId="77777777" w:rsidR="00242CD1" w:rsidRDefault="00000000">
      <w:pPr>
        <w:spacing w:before="0" w:after="120" w:line="480" w:lineRule="auto"/>
        <w:ind w:firstLine="0"/>
        <w:rPr>
          <w:b/>
          <w:bCs/>
          <w:i/>
          <w:iCs/>
          <w:sz w:val="24"/>
          <w:szCs w:val="24"/>
        </w:rPr>
      </w:pPr>
      <w:r>
        <w:rPr>
          <w:b/>
          <w:bCs/>
          <w:i/>
          <w:iCs/>
          <w:sz w:val="24"/>
          <w:szCs w:val="24"/>
        </w:rPr>
        <w:t>3.6. Reliability and Validity</w:t>
      </w:r>
    </w:p>
    <w:p w14:paraId="45DF5EBF" w14:textId="77777777" w:rsidR="00242CD1" w:rsidRDefault="00000000">
      <w:pPr>
        <w:spacing w:before="0" w:after="120" w:line="480" w:lineRule="auto"/>
        <w:rPr>
          <w:sz w:val="24"/>
          <w:szCs w:val="24"/>
        </w:rPr>
      </w:pPr>
      <w:r>
        <w:rPr>
          <w:sz w:val="24"/>
          <w:szCs w:val="24"/>
        </w:rPr>
        <w:t>To ensure internal consistency, Cronbach’s alpha coefficients were calculated for all sub-constructs in the questionnaire (see Appendix B). The results indicated acceptable reliability across the scales, with Cronbach’s alpha values exceeding the threshold (α &gt; .70) for most dimensions. Following the Technology Readiness Index framework, technology readiness was examined as two distinct subdimensions: Technology Enablers and Technology Inhibitors. While Technology Enablers demonstrated satisfactory internal consistency (α &gt; .70), the reliability coefficient for Technology Inhibitors was slightly below the recommended threshold (α = .69) but was still considered acceptable for an exploratory subscale (Hair et al., 2010; Taber, 2018).</w:t>
      </w:r>
    </w:p>
    <w:p w14:paraId="2542AA64" w14:textId="77777777" w:rsidR="00242CD1" w:rsidRDefault="00000000">
      <w:pPr>
        <w:spacing w:before="0" w:after="120" w:line="480" w:lineRule="auto"/>
        <w:rPr>
          <w:sz w:val="24"/>
          <w:szCs w:val="24"/>
        </w:rPr>
      </w:pPr>
      <w:r>
        <w:rPr>
          <w:sz w:val="24"/>
          <w:szCs w:val="24"/>
        </w:rPr>
        <w:t>Regarding validity, all measurement items were adapted from validated instruments in relevant studies. The questionnaire was administered bilingually in English and Vietnamese.</w:t>
      </w:r>
    </w:p>
    <w:p w14:paraId="098F927A" w14:textId="77777777" w:rsidR="00242CD1" w:rsidRDefault="00242CD1">
      <w:pPr>
        <w:spacing w:before="0" w:after="120" w:line="480" w:lineRule="auto"/>
        <w:rPr>
          <w:sz w:val="24"/>
          <w:szCs w:val="24"/>
        </w:rPr>
      </w:pPr>
    </w:p>
    <w:p w14:paraId="63F3051F" w14:textId="77777777" w:rsidR="00242CD1" w:rsidRDefault="00000000">
      <w:pPr>
        <w:spacing w:before="0" w:after="120" w:line="480" w:lineRule="auto"/>
        <w:ind w:firstLine="0"/>
        <w:jc w:val="center"/>
        <w:rPr>
          <w:b/>
          <w:bCs/>
          <w:sz w:val="24"/>
          <w:szCs w:val="24"/>
        </w:rPr>
      </w:pPr>
      <w:r>
        <w:rPr>
          <w:b/>
          <w:bCs/>
          <w:sz w:val="24"/>
          <w:szCs w:val="24"/>
        </w:rPr>
        <w:lastRenderedPageBreak/>
        <w:t>4. Results</w:t>
      </w:r>
    </w:p>
    <w:p w14:paraId="7D1855F1" w14:textId="77777777" w:rsidR="00242CD1" w:rsidRDefault="00000000">
      <w:pPr>
        <w:spacing w:before="0" w:after="120" w:line="480" w:lineRule="auto"/>
        <w:ind w:firstLine="0"/>
        <w:rPr>
          <w:b/>
          <w:bCs/>
          <w:i/>
          <w:iCs/>
          <w:sz w:val="24"/>
          <w:szCs w:val="24"/>
        </w:rPr>
      </w:pPr>
      <w:r>
        <w:rPr>
          <w:b/>
          <w:bCs/>
          <w:i/>
          <w:iCs/>
          <w:sz w:val="24"/>
          <w:szCs w:val="24"/>
        </w:rPr>
        <w:t>4.1. Quantitative Results</w:t>
      </w:r>
    </w:p>
    <w:p w14:paraId="29A5FD08" w14:textId="77777777" w:rsidR="00242CD1" w:rsidRDefault="00000000">
      <w:pPr>
        <w:spacing w:before="0" w:after="120" w:line="480" w:lineRule="auto"/>
        <w:ind w:firstLine="0"/>
        <w:rPr>
          <w:i/>
          <w:iCs/>
          <w:sz w:val="24"/>
          <w:szCs w:val="24"/>
        </w:rPr>
      </w:pPr>
      <w:r>
        <w:rPr>
          <w:i/>
          <w:iCs/>
          <w:sz w:val="24"/>
          <w:szCs w:val="24"/>
        </w:rPr>
        <w:t>4.1.1. Descriptive Statistics</w:t>
      </w:r>
    </w:p>
    <w:p w14:paraId="5FE8E6C2" w14:textId="77777777" w:rsidR="00242CD1" w:rsidRDefault="00000000">
      <w:pPr>
        <w:spacing w:before="0" w:after="120" w:line="480" w:lineRule="auto"/>
        <w:rPr>
          <w:sz w:val="24"/>
          <w:szCs w:val="24"/>
        </w:rPr>
      </w:pPr>
      <w:r>
        <w:rPr>
          <w:sz w:val="24"/>
          <w:szCs w:val="24"/>
        </w:rPr>
        <w:t xml:space="preserve">The descriptive analysis was employed to </w:t>
      </w:r>
      <w:proofErr w:type="spellStart"/>
      <w:r>
        <w:rPr>
          <w:sz w:val="24"/>
          <w:szCs w:val="24"/>
        </w:rPr>
        <w:t>analyse</w:t>
      </w:r>
      <w:proofErr w:type="spellEnd"/>
      <w:r>
        <w:rPr>
          <w:sz w:val="24"/>
          <w:szCs w:val="24"/>
        </w:rPr>
        <w:t xml:space="preserve"> the degree of readiness of English-major undergraduates to write academic papers with the assistance of AI, based on four dimensions: (1) Cognitive - Metacognitive Readiness, (2) Linguistic Readiness, (3) Ethical and Responsible Awareness, and (4) Technology Readiness. Additionally, Technology Readiness has been </w:t>
      </w:r>
      <w:proofErr w:type="spellStart"/>
      <w:r>
        <w:rPr>
          <w:sz w:val="24"/>
          <w:szCs w:val="24"/>
        </w:rPr>
        <w:t>categorised</w:t>
      </w:r>
      <w:proofErr w:type="spellEnd"/>
      <w:r>
        <w:rPr>
          <w:sz w:val="24"/>
          <w:szCs w:val="24"/>
        </w:rPr>
        <w:t xml:space="preserve"> into two sub-constructs, Technology Enablers and Technology Inhibitors, to be explored deeply as discussed in the Methodology. </w:t>
      </w:r>
    </w:p>
    <w:p w14:paraId="04E98BED" w14:textId="77777777" w:rsidR="00242CD1" w:rsidRDefault="00242CD1">
      <w:pPr>
        <w:spacing w:before="0" w:after="120" w:line="240" w:lineRule="auto"/>
        <w:ind w:firstLine="0"/>
        <w:rPr>
          <w:b/>
          <w:bCs/>
          <w:sz w:val="24"/>
          <w:szCs w:val="24"/>
        </w:rPr>
      </w:pPr>
    </w:p>
    <w:p w14:paraId="0EA9C8B6" w14:textId="77777777" w:rsidR="00242CD1" w:rsidRDefault="00000000">
      <w:pPr>
        <w:spacing w:before="0" w:after="120" w:line="240" w:lineRule="auto"/>
        <w:ind w:firstLine="0"/>
        <w:rPr>
          <w:b/>
          <w:bCs/>
          <w:sz w:val="24"/>
          <w:szCs w:val="24"/>
        </w:rPr>
      </w:pPr>
      <w:r>
        <w:rPr>
          <w:b/>
          <w:bCs/>
          <w:sz w:val="24"/>
          <w:szCs w:val="24"/>
        </w:rPr>
        <w:t>Table 2</w:t>
      </w:r>
    </w:p>
    <w:p w14:paraId="228597C8" w14:textId="77777777" w:rsidR="00242CD1" w:rsidRDefault="00000000">
      <w:pPr>
        <w:spacing w:before="0" w:after="120" w:line="240" w:lineRule="auto"/>
        <w:ind w:firstLine="0"/>
        <w:rPr>
          <w:i/>
          <w:iCs/>
          <w:sz w:val="24"/>
          <w:szCs w:val="24"/>
        </w:rPr>
      </w:pPr>
      <w:r>
        <w:rPr>
          <w:i/>
          <w:iCs/>
          <w:sz w:val="24"/>
          <w:szCs w:val="24"/>
        </w:rPr>
        <w:t>Descriptive Statistics of Readiness Dimensions (N=93)</w:t>
      </w:r>
    </w:p>
    <w:tbl>
      <w:tblPr>
        <w:tblStyle w:val="a0"/>
        <w:tblW w:w="6539" w:type="dxa"/>
        <w:tblInd w:w="0" w:type="dxa"/>
        <w:tblBorders>
          <w:top w:val="single" w:sz="4" w:space="0" w:color="000000"/>
          <w:bottom w:val="single" w:sz="4" w:space="0" w:color="000000"/>
        </w:tblBorders>
        <w:tblLayout w:type="fixed"/>
        <w:tblLook w:val="0400" w:firstRow="0" w:lastRow="0" w:firstColumn="0" w:lastColumn="0" w:noHBand="0" w:noVBand="1"/>
      </w:tblPr>
      <w:tblGrid>
        <w:gridCol w:w="2977"/>
        <w:gridCol w:w="1701"/>
        <w:gridCol w:w="1861"/>
      </w:tblGrid>
      <w:tr w:rsidR="00242CD1" w14:paraId="6E28EE31" w14:textId="77777777">
        <w:trPr>
          <w:trHeight w:val="580"/>
        </w:trPr>
        <w:tc>
          <w:tcPr>
            <w:tcW w:w="2977" w:type="dxa"/>
            <w:tcBorders>
              <w:top w:val="single" w:sz="4" w:space="0" w:color="000000"/>
              <w:bottom w:val="single" w:sz="4" w:space="0" w:color="000000"/>
            </w:tcBorders>
          </w:tcPr>
          <w:p w14:paraId="7A1C86D4" w14:textId="77777777" w:rsidR="00242CD1" w:rsidRDefault="00000000">
            <w:pPr>
              <w:spacing w:after="120" w:line="240" w:lineRule="auto"/>
              <w:ind w:firstLine="0"/>
            </w:pPr>
            <w:r>
              <w:t>Readiness Dimensions</w:t>
            </w:r>
          </w:p>
        </w:tc>
        <w:tc>
          <w:tcPr>
            <w:tcW w:w="1701" w:type="dxa"/>
            <w:tcBorders>
              <w:top w:val="single" w:sz="4" w:space="0" w:color="000000"/>
              <w:bottom w:val="single" w:sz="4" w:space="0" w:color="000000"/>
            </w:tcBorders>
          </w:tcPr>
          <w:p w14:paraId="336D758B" w14:textId="77777777" w:rsidR="00242CD1" w:rsidRDefault="00000000">
            <w:pPr>
              <w:spacing w:after="120" w:line="240" w:lineRule="auto"/>
              <w:ind w:firstLine="0"/>
            </w:pPr>
            <w:r>
              <w:t>Mean (M)</w:t>
            </w:r>
          </w:p>
        </w:tc>
        <w:tc>
          <w:tcPr>
            <w:tcW w:w="1861" w:type="dxa"/>
            <w:tcBorders>
              <w:top w:val="single" w:sz="4" w:space="0" w:color="000000"/>
              <w:bottom w:val="single" w:sz="4" w:space="0" w:color="000000"/>
            </w:tcBorders>
          </w:tcPr>
          <w:p w14:paraId="09431929" w14:textId="77777777" w:rsidR="00242CD1" w:rsidRDefault="00000000">
            <w:pPr>
              <w:spacing w:after="120" w:line="240" w:lineRule="auto"/>
              <w:ind w:firstLine="0"/>
            </w:pPr>
            <w:r>
              <w:t>Std.  Deviation (SD)</w:t>
            </w:r>
          </w:p>
        </w:tc>
      </w:tr>
      <w:tr w:rsidR="00242CD1" w14:paraId="01CEFD36" w14:textId="77777777">
        <w:trPr>
          <w:trHeight w:val="580"/>
        </w:trPr>
        <w:tc>
          <w:tcPr>
            <w:tcW w:w="2977" w:type="dxa"/>
            <w:tcBorders>
              <w:top w:val="single" w:sz="4" w:space="0" w:color="000000"/>
            </w:tcBorders>
          </w:tcPr>
          <w:p w14:paraId="3346C5C3" w14:textId="77777777" w:rsidR="00242CD1" w:rsidRDefault="00000000">
            <w:pPr>
              <w:spacing w:after="120" w:line="240" w:lineRule="auto"/>
              <w:ind w:firstLine="0"/>
            </w:pPr>
            <w:r>
              <w:t>Cognitive-Metacognitive</w:t>
            </w:r>
          </w:p>
        </w:tc>
        <w:tc>
          <w:tcPr>
            <w:tcW w:w="1701" w:type="dxa"/>
            <w:tcBorders>
              <w:top w:val="single" w:sz="4" w:space="0" w:color="000000"/>
            </w:tcBorders>
          </w:tcPr>
          <w:p w14:paraId="3D1D9C56" w14:textId="77777777" w:rsidR="00242CD1" w:rsidRDefault="00000000">
            <w:pPr>
              <w:spacing w:after="120" w:line="240" w:lineRule="auto"/>
              <w:ind w:firstLine="0"/>
            </w:pPr>
            <w:r>
              <w:t>4.169</w:t>
            </w:r>
          </w:p>
        </w:tc>
        <w:tc>
          <w:tcPr>
            <w:tcW w:w="1861" w:type="dxa"/>
            <w:tcBorders>
              <w:top w:val="single" w:sz="4" w:space="0" w:color="000000"/>
            </w:tcBorders>
          </w:tcPr>
          <w:p w14:paraId="3403688F" w14:textId="77777777" w:rsidR="00242CD1" w:rsidRDefault="00000000">
            <w:pPr>
              <w:spacing w:after="120" w:line="240" w:lineRule="auto"/>
              <w:ind w:firstLine="0"/>
            </w:pPr>
            <w:r>
              <w:t>.570</w:t>
            </w:r>
          </w:p>
        </w:tc>
      </w:tr>
      <w:tr w:rsidR="00242CD1" w14:paraId="4F9C4D66" w14:textId="77777777">
        <w:trPr>
          <w:trHeight w:val="580"/>
        </w:trPr>
        <w:tc>
          <w:tcPr>
            <w:tcW w:w="2977" w:type="dxa"/>
          </w:tcPr>
          <w:p w14:paraId="7CD4AA20" w14:textId="77777777" w:rsidR="00242CD1" w:rsidRDefault="00000000">
            <w:pPr>
              <w:spacing w:after="120" w:line="240" w:lineRule="auto"/>
              <w:ind w:firstLine="0"/>
            </w:pPr>
            <w:r>
              <w:t>Technology Enablers</w:t>
            </w:r>
          </w:p>
        </w:tc>
        <w:tc>
          <w:tcPr>
            <w:tcW w:w="1701" w:type="dxa"/>
          </w:tcPr>
          <w:p w14:paraId="058F7F99" w14:textId="77777777" w:rsidR="00242CD1" w:rsidRDefault="00000000">
            <w:pPr>
              <w:spacing w:after="120" w:line="240" w:lineRule="auto"/>
              <w:ind w:firstLine="0"/>
            </w:pPr>
            <w:r>
              <w:t>4.149</w:t>
            </w:r>
          </w:p>
        </w:tc>
        <w:tc>
          <w:tcPr>
            <w:tcW w:w="1861" w:type="dxa"/>
          </w:tcPr>
          <w:p w14:paraId="6D1EBF43" w14:textId="77777777" w:rsidR="00242CD1" w:rsidRDefault="00000000">
            <w:pPr>
              <w:spacing w:after="120" w:line="240" w:lineRule="auto"/>
              <w:ind w:firstLine="0"/>
            </w:pPr>
            <w:r>
              <w:t>.069</w:t>
            </w:r>
          </w:p>
        </w:tc>
      </w:tr>
      <w:tr w:rsidR="00242CD1" w14:paraId="790C615B" w14:textId="77777777">
        <w:trPr>
          <w:trHeight w:val="580"/>
        </w:trPr>
        <w:tc>
          <w:tcPr>
            <w:tcW w:w="2977" w:type="dxa"/>
          </w:tcPr>
          <w:p w14:paraId="3A5216CD" w14:textId="77777777" w:rsidR="00242CD1" w:rsidRDefault="00000000">
            <w:pPr>
              <w:spacing w:after="120" w:line="240" w:lineRule="auto"/>
              <w:ind w:firstLine="0"/>
            </w:pPr>
            <w:r>
              <w:t>Ethical Awareness</w:t>
            </w:r>
          </w:p>
        </w:tc>
        <w:tc>
          <w:tcPr>
            <w:tcW w:w="1701" w:type="dxa"/>
          </w:tcPr>
          <w:p w14:paraId="7A417AA7" w14:textId="77777777" w:rsidR="00242CD1" w:rsidRDefault="00000000">
            <w:pPr>
              <w:spacing w:after="120" w:line="240" w:lineRule="auto"/>
              <w:ind w:firstLine="0"/>
            </w:pPr>
            <w:r>
              <w:t>4.141</w:t>
            </w:r>
          </w:p>
        </w:tc>
        <w:tc>
          <w:tcPr>
            <w:tcW w:w="1861" w:type="dxa"/>
          </w:tcPr>
          <w:p w14:paraId="3D0B641C" w14:textId="77777777" w:rsidR="00242CD1" w:rsidRDefault="00000000">
            <w:pPr>
              <w:spacing w:after="120" w:line="240" w:lineRule="auto"/>
              <w:ind w:firstLine="0"/>
            </w:pPr>
            <w:r>
              <w:t>.628</w:t>
            </w:r>
          </w:p>
        </w:tc>
      </w:tr>
      <w:tr w:rsidR="00242CD1" w14:paraId="2F41EABC" w14:textId="77777777">
        <w:trPr>
          <w:trHeight w:val="580"/>
        </w:trPr>
        <w:tc>
          <w:tcPr>
            <w:tcW w:w="2977" w:type="dxa"/>
          </w:tcPr>
          <w:p w14:paraId="6AFFE26E" w14:textId="77777777" w:rsidR="00242CD1" w:rsidRDefault="00000000">
            <w:pPr>
              <w:spacing w:after="120" w:line="240" w:lineRule="auto"/>
              <w:ind w:firstLine="0"/>
            </w:pPr>
            <w:r>
              <w:t>Technology Inhibitors</w:t>
            </w:r>
          </w:p>
        </w:tc>
        <w:tc>
          <w:tcPr>
            <w:tcW w:w="1701" w:type="dxa"/>
          </w:tcPr>
          <w:p w14:paraId="759E9842" w14:textId="77777777" w:rsidR="00242CD1" w:rsidRDefault="00000000">
            <w:pPr>
              <w:spacing w:after="120" w:line="240" w:lineRule="auto"/>
              <w:ind w:firstLine="0"/>
            </w:pPr>
            <w:r>
              <w:t>3.844</w:t>
            </w:r>
          </w:p>
        </w:tc>
        <w:tc>
          <w:tcPr>
            <w:tcW w:w="1861" w:type="dxa"/>
          </w:tcPr>
          <w:p w14:paraId="60441762" w14:textId="77777777" w:rsidR="00242CD1" w:rsidRDefault="00000000">
            <w:pPr>
              <w:spacing w:after="120" w:line="240" w:lineRule="auto"/>
              <w:ind w:firstLine="0"/>
            </w:pPr>
            <w:r>
              <w:t>.893</w:t>
            </w:r>
          </w:p>
        </w:tc>
      </w:tr>
      <w:tr w:rsidR="00242CD1" w14:paraId="436FF0F3" w14:textId="77777777">
        <w:trPr>
          <w:trHeight w:val="580"/>
        </w:trPr>
        <w:tc>
          <w:tcPr>
            <w:tcW w:w="2977" w:type="dxa"/>
          </w:tcPr>
          <w:p w14:paraId="0ED709DD" w14:textId="77777777" w:rsidR="00242CD1" w:rsidRDefault="00000000">
            <w:pPr>
              <w:spacing w:after="120" w:line="240" w:lineRule="auto"/>
              <w:ind w:firstLine="0"/>
            </w:pPr>
            <w:r>
              <w:t>Linguistic Readiness</w:t>
            </w:r>
          </w:p>
        </w:tc>
        <w:tc>
          <w:tcPr>
            <w:tcW w:w="1701" w:type="dxa"/>
          </w:tcPr>
          <w:p w14:paraId="6AA21569" w14:textId="77777777" w:rsidR="00242CD1" w:rsidRDefault="00000000">
            <w:pPr>
              <w:spacing w:after="120" w:line="240" w:lineRule="auto"/>
              <w:ind w:firstLine="0"/>
            </w:pPr>
            <w:r>
              <w:t>3.688</w:t>
            </w:r>
          </w:p>
        </w:tc>
        <w:tc>
          <w:tcPr>
            <w:tcW w:w="1861" w:type="dxa"/>
          </w:tcPr>
          <w:p w14:paraId="671C4AD6" w14:textId="77777777" w:rsidR="00242CD1" w:rsidRDefault="00000000">
            <w:pPr>
              <w:spacing w:after="120" w:line="240" w:lineRule="auto"/>
              <w:ind w:firstLine="0"/>
            </w:pPr>
            <w:r>
              <w:t>.732</w:t>
            </w:r>
          </w:p>
        </w:tc>
      </w:tr>
      <w:tr w:rsidR="00242CD1" w14:paraId="57FF2E82" w14:textId="77777777">
        <w:trPr>
          <w:trHeight w:val="580"/>
        </w:trPr>
        <w:tc>
          <w:tcPr>
            <w:tcW w:w="2977" w:type="dxa"/>
          </w:tcPr>
          <w:p w14:paraId="387B61C2" w14:textId="77777777" w:rsidR="00242CD1" w:rsidRDefault="00000000">
            <w:pPr>
              <w:spacing w:after="120" w:line="240" w:lineRule="auto"/>
              <w:ind w:firstLine="0"/>
            </w:pPr>
            <w:r>
              <w:t>Intention to Use</w:t>
            </w:r>
          </w:p>
        </w:tc>
        <w:tc>
          <w:tcPr>
            <w:tcW w:w="1701" w:type="dxa"/>
          </w:tcPr>
          <w:p w14:paraId="70623441" w14:textId="77777777" w:rsidR="00242CD1" w:rsidRDefault="00000000">
            <w:pPr>
              <w:spacing w:after="120" w:line="240" w:lineRule="auto"/>
              <w:ind w:firstLine="0"/>
            </w:pPr>
            <w:r>
              <w:t>4.096</w:t>
            </w:r>
          </w:p>
        </w:tc>
        <w:tc>
          <w:tcPr>
            <w:tcW w:w="1861" w:type="dxa"/>
          </w:tcPr>
          <w:p w14:paraId="027B8738" w14:textId="77777777" w:rsidR="00242CD1" w:rsidRDefault="00000000">
            <w:pPr>
              <w:spacing w:after="120" w:line="240" w:lineRule="auto"/>
              <w:ind w:firstLine="0"/>
            </w:pPr>
            <w:r>
              <w:t>.613</w:t>
            </w:r>
          </w:p>
        </w:tc>
      </w:tr>
    </w:tbl>
    <w:p w14:paraId="73A80FC9" w14:textId="77777777" w:rsidR="00242CD1" w:rsidRDefault="00000000">
      <w:pPr>
        <w:spacing w:after="120" w:line="480" w:lineRule="auto"/>
        <w:ind w:firstLine="0"/>
      </w:pPr>
      <w:bookmarkStart w:id="8" w:name="_heading=h.th9a062yrrb8" w:colFirst="0" w:colLast="0"/>
      <w:bookmarkEnd w:id="8"/>
      <w:r>
        <w:rPr>
          <w:i/>
          <w:iCs/>
        </w:rPr>
        <w:t>Note.</w:t>
      </w:r>
      <w:r>
        <w:t xml:space="preserve"> Interpretation of Mean scores is based on the interval scale suggested by Pimentel (2010): 1.00–1.80 (Very Low); 1.81–2.60 (Low); 2.61–3.40 (Moderate); 3.41–4.20 (High); 4.21–5.00 (Very High).</w:t>
      </w:r>
    </w:p>
    <w:p w14:paraId="11728BB5" w14:textId="77777777" w:rsidR="00242CD1" w:rsidRDefault="00242CD1">
      <w:pPr>
        <w:spacing w:before="0" w:after="120" w:line="480" w:lineRule="auto"/>
        <w:ind w:firstLine="0"/>
        <w:rPr>
          <w:sz w:val="24"/>
          <w:szCs w:val="24"/>
        </w:rPr>
      </w:pPr>
    </w:p>
    <w:p w14:paraId="726651A1" w14:textId="77777777" w:rsidR="00242CD1" w:rsidRDefault="00000000">
      <w:pPr>
        <w:spacing w:before="0" w:after="120" w:line="480" w:lineRule="auto"/>
        <w:rPr>
          <w:sz w:val="24"/>
          <w:szCs w:val="24"/>
        </w:rPr>
      </w:pPr>
      <w:r>
        <w:rPr>
          <w:sz w:val="24"/>
          <w:szCs w:val="24"/>
        </w:rPr>
        <w:t xml:space="preserve">The results in Table 2 revealed that the mean scores for all readiness dimensions ranged from 3.688 to 4.169. Cognitive-Metacognitive Readiness obtained the highest mean score (M = 4.169, SD = .570), although only marginally higher than Ethical Awareness (M = 4.141, SD </w:t>
      </w:r>
      <w:r>
        <w:rPr>
          <w:sz w:val="24"/>
          <w:szCs w:val="24"/>
        </w:rPr>
        <w:lastRenderedPageBreak/>
        <w:t xml:space="preserve">= .628) and Technology Enablers (M = 4.149, SD = .069). Technology Inhibitors recorded a mean score of 3.844. The lowest mean score among the four dimensions was observed in Linguistic Readiness (M = 3.688, SD = .732). Regarding the dependent variable, the mean score for Intention to Use AI tools in academic writing was 4.096. </w:t>
      </w:r>
    </w:p>
    <w:p w14:paraId="5A567424" w14:textId="77777777" w:rsidR="00242CD1" w:rsidRDefault="00000000">
      <w:pPr>
        <w:spacing w:before="0" w:after="120" w:line="480" w:lineRule="auto"/>
        <w:ind w:firstLine="0"/>
        <w:rPr>
          <w:b/>
          <w:bCs/>
          <w:i/>
          <w:iCs/>
          <w:sz w:val="24"/>
          <w:szCs w:val="24"/>
        </w:rPr>
      </w:pPr>
      <w:r>
        <w:rPr>
          <w:i/>
          <w:iCs/>
          <w:sz w:val="24"/>
          <w:szCs w:val="24"/>
        </w:rPr>
        <w:t>4.1.2. Correlation Analysis</w:t>
      </w:r>
    </w:p>
    <w:p w14:paraId="41B25D39" w14:textId="77777777" w:rsidR="00242CD1" w:rsidRDefault="00000000">
      <w:pPr>
        <w:spacing w:before="0" w:after="120" w:line="480" w:lineRule="auto"/>
        <w:rPr>
          <w:sz w:val="24"/>
          <w:szCs w:val="24"/>
        </w:rPr>
      </w:pPr>
      <w:r>
        <w:rPr>
          <w:sz w:val="24"/>
          <w:szCs w:val="24"/>
        </w:rPr>
        <w:t xml:space="preserve">The Pearson correlation results (see Table 3) indicated that all readiness dimensions, except Technology Inhibitors, had significant positive relationships with English major students' intention to use AI tools. </w:t>
      </w:r>
    </w:p>
    <w:p w14:paraId="72AF2CDE" w14:textId="77777777" w:rsidR="00242CD1" w:rsidRDefault="00000000" w:rsidP="00DE02AC">
      <w:pPr>
        <w:spacing w:before="0" w:after="0" w:line="480" w:lineRule="auto"/>
        <w:rPr>
          <w:sz w:val="24"/>
          <w:szCs w:val="24"/>
        </w:rPr>
      </w:pPr>
      <w:r>
        <w:rPr>
          <w:sz w:val="24"/>
          <w:szCs w:val="24"/>
        </w:rPr>
        <w:t>The strongest correlation was found between Technology Enablers and Intention (</w:t>
      </w:r>
      <m:oMath>
        <m:r>
          <w:rPr>
            <w:rFonts w:ascii="Cambria Math" w:eastAsia="Cambria Math" w:hAnsi="Cambria Math" w:cs="Cambria Math"/>
            <w:sz w:val="24"/>
            <w:szCs w:val="24"/>
          </w:rPr>
          <m:t xml:space="preserve">r </m:t>
        </m:r>
      </m:oMath>
      <w:r>
        <w:rPr>
          <w:sz w:val="24"/>
          <w:szCs w:val="24"/>
        </w:rPr>
        <w:t xml:space="preserve">= .635, </w:t>
      </w:r>
      <m:oMath>
        <m:r>
          <w:rPr>
            <w:rFonts w:ascii="Cambria Math" w:eastAsia="Cambria Math" w:hAnsi="Cambria Math" w:cs="Cambria Math"/>
            <w:sz w:val="24"/>
            <w:szCs w:val="24"/>
          </w:rPr>
          <m:t xml:space="preserve">p </m:t>
        </m:r>
      </m:oMath>
      <w:r>
        <w:rPr>
          <w:sz w:val="24"/>
          <w:szCs w:val="24"/>
        </w:rPr>
        <w:t>&lt; .001), followed by Cognitive–metacognitive Readiness (</w:t>
      </w:r>
      <m:oMath>
        <m:r>
          <w:rPr>
            <w:rFonts w:ascii="Cambria Math" w:eastAsia="Cambria Math" w:hAnsi="Cambria Math" w:cs="Cambria Math"/>
            <w:sz w:val="24"/>
            <w:szCs w:val="24"/>
          </w:rPr>
          <m:t xml:space="preserve">r </m:t>
        </m:r>
      </m:oMath>
      <w:r>
        <w:rPr>
          <w:sz w:val="24"/>
          <w:szCs w:val="24"/>
        </w:rPr>
        <w:t xml:space="preserve">= .525, </w:t>
      </w:r>
      <m:oMath>
        <m:r>
          <w:rPr>
            <w:rFonts w:ascii="Cambria Math" w:eastAsia="Cambria Math" w:hAnsi="Cambria Math" w:cs="Cambria Math"/>
            <w:sz w:val="24"/>
            <w:szCs w:val="24"/>
          </w:rPr>
          <m:t>p</m:t>
        </m:r>
      </m:oMath>
      <w:r>
        <w:rPr>
          <w:sz w:val="24"/>
          <w:szCs w:val="24"/>
        </w:rPr>
        <w:t xml:space="preserve"> &lt; .001), Linguistic Readiness (</w:t>
      </w:r>
      <m:oMath>
        <m:r>
          <w:rPr>
            <w:rFonts w:ascii="Cambria Math" w:eastAsia="Cambria Math" w:hAnsi="Cambria Math" w:cs="Cambria Math"/>
            <w:sz w:val="24"/>
            <w:szCs w:val="24"/>
          </w:rPr>
          <m:t>r</m:t>
        </m:r>
      </m:oMath>
      <w:r>
        <w:rPr>
          <w:sz w:val="24"/>
          <w:szCs w:val="24"/>
        </w:rPr>
        <w:t xml:space="preserve"> = .450, </w:t>
      </w:r>
      <m:oMath>
        <m:r>
          <w:rPr>
            <w:rFonts w:ascii="Cambria Math" w:eastAsia="Cambria Math" w:hAnsi="Cambria Math" w:cs="Cambria Math"/>
            <w:sz w:val="24"/>
            <w:szCs w:val="24"/>
          </w:rPr>
          <m:t>p</m:t>
        </m:r>
      </m:oMath>
      <w:r>
        <w:rPr>
          <w:sz w:val="24"/>
          <w:szCs w:val="24"/>
        </w:rPr>
        <w:t xml:space="preserve"> &lt; .001), and Ethical Awareness (</w:t>
      </w:r>
      <m:oMath>
        <m:r>
          <w:rPr>
            <w:rFonts w:ascii="Cambria Math" w:eastAsia="Cambria Math" w:hAnsi="Cambria Math" w:cs="Cambria Math"/>
            <w:sz w:val="24"/>
            <w:szCs w:val="24"/>
          </w:rPr>
          <m:t xml:space="preserve">r </m:t>
        </m:r>
      </m:oMath>
      <w:r>
        <w:rPr>
          <w:sz w:val="24"/>
          <w:szCs w:val="24"/>
        </w:rPr>
        <w:t xml:space="preserve">= .448, </w:t>
      </w:r>
      <m:oMath>
        <m:r>
          <w:rPr>
            <w:rFonts w:ascii="Cambria Math" w:eastAsia="Cambria Math" w:hAnsi="Cambria Math" w:cs="Cambria Math"/>
            <w:sz w:val="24"/>
            <w:szCs w:val="24"/>
          </w:rPr>
          <m:t>p</m:t>
        </m:r>
      </m:oMath>
      <w:r>
        <w:rPr>
          <w:sz w:val="24"/>
          <w:szCs w:val="24"/>
        </w:rPr>
        <w:t xml:space="preserve"> &lt; .001).  Notably, Technology Inhibitors did not show a statistically significant correlation with intention (</w:t>
      </w:r>
      <m:oMath>
        <m:r>
          <w:rPr>
            <w:rFonts w:ascii="Cambria Math" w:eastAsia="Cambria Math" w:hAnsi="Cambria Math" w:cs="Cambria Math"/>
            <w:sz w:val="24"/>
            <w:szCs w:val="24"/>
          </w:rPr>
          <m:t>r</m:t>
        </m:r>
      </m:oMath>
      <w:r>
        <w:rPr>
          <w:sz w:val="24"/>
          <w:szCs w:val="24"/>
        </w:rPr>
        <w:t xml:space="preserve"> = .167, </w:t>
      </w:r>
      <m:oMath>
        <m:r>
          <w:rPr>
            <w:rFonts w:ascii="Cambria Math" w:eastAsia="Cambria Math" w:hAnsi="Cambria Math" w:cs="Cambria Math"/>
            <w:sz w:val="24"/>
            <w:szCs w:val="24"/>
          </w:rPr>
          <m:t>p</m:t>
        </m:r>
      </m:oMath>
      <w:r>
        <w:rPr>
          <w:sz w:val="24"/>
          <w:szCs w:val="24"/>
        </w:rPr>
        <w:t xml:space="preserve"> = .111).</w:t>
      </w:r>
    </w:p>
    <w:p w14:paraId="217A2425" w14:textId="77777777" w:rsidR="00DE02AC" w:rsidRDefault="00DE02AC" w:rsidP="00DE02AC">
      <w:pPr>
        <w:spacing w:before="200" w:after="0" w:line="480" w:lineRule="auto"/>
        <w:rPr>
          <w:sz w:val="24"/>
          <w:szCs w:val="24"/>
        </w:rPr>
      </w:pPr>
    </w:p>
    <w:p w14:paraId="455946B2" w14:textId="77777777" w:rsidR="00242CD1" w:rsidRDefault="00000000" w:rsidP="00DE02AC">
      <w:pPr>
        <w:spacing w:before="200" w:after="0"/>
        <w:ind w:firstLine="0"/>
        <w:rPr>
          <w:b/>
          <w:bCs/>
          <w:sz w:val="24"/>
          <w:szCs w:val="24"/>
        </w:rPr>
      </w:pPr>
      <w:r>
        <w:rPr>
          <w:b/>
          <w:bCs/>
          <w:sz w:val="24"/>
          <w:szCs w:val="24"/>
        </w:rPr>
        <w:t>Table 3</w:t>
      </w:r>
    </w:p>
    <w:p w14:paraId="0CF9F2DC" w14:textId="77777777" w:rsidR="00242CD1" w:rsidRDefault="00000000">
      <w:pPr>
        <w:spacing w:before="180"/>
        <w:ind w:firstLine="0"/>
        <w:rPr>
          <w:i/>
          <w:iCs/>
          <w:sz w:val="24"/>
          <w:szCs w:val="24"/>
        </w:rPr>
      </w:pPr>
      <w:r>
        <w:rPr>
          <w:i/>
          <w:iCs/>
          <w:sz w:val="24"/>
          <w:szCs w:val="24"/>
        </w:rPr>
        <w:t>Pearson Correlation Matrix between Readiness Dimensions and Intention to Use AI (N=93)</w:t>
      </w:r>
    </w:p>
    <w:tbl>
      <w:tblPr>
        <w:tblStyle w:val="a1"/>
        <w:tblW w:w="8234" w:type="dxa"/>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060"/>
        <w:gridCol w:w="990"/>
        <w:gridCol w:w="900"/>
        <w:gridCol w:w="810"/>
        <w:gridCol w:w="900"/>
        <w:gridCol w:w="810"/>
        <w:gridCol w:w="764"/>
      </w:tblGrid>
      <w:tr w:rsidR="00242CD1" w14:paraId="4DCDE4E8" w14:textId="77777777">
        <w:tc>
          <w:tcPr>
            <w:tcW w:w="3060" w:type="dxa"/>
            <w:tcBorders>
              <w:top w:val="single" w:sz="4" w:space="0" w:color="000000"/>
              <w:left w:val="nil"/>
              <w:bottom w:val="single" w:sz="4" w:space="0" w:color="000000"/>
              <w:right w:val="nil"/>
            </w:tcBorders>
          </w:tcPr>
          <w:p w14:paraId="6BE68D61" w14:textId="77777777" w:rsidR="00242CD1" w:rsidRDefault="00000000">
            <w:pPr>
              <w:spacing w:after="120" w:line="240" w:lineRule="auto"/>
              <w:ind w:firstLine="0"/>
            </w:pPr>
            <w:r>
              <w:t>Variables</w:t>
            </w:r>
          </w:p>
        </w:tc>
        <w:tc>
          <w:tcPr>
            <w:tcW w:w="990" w:type="dxa"/>
            <w:tcBorders>
              <w:top w:val="single" w:sz="4" w:space="0" w:color="000000"/>
              <w:left w:val="nil"/>
              <w:bottom w:val="single" w:sz="4" w:space="0" w:color="000000"/>
              <w:right w:val="nil"/>
            </w:tcBorders>
          </w:tcPr>
          <w:p w14:paraId="06CAA991" w14:textId="77777777" w:rsidR="00242CD1" w:rsidRDefault="00000000">
            <w:pPr>
              <w:spacing w:after="120" w:line="240" w:lineRule="auto"/>
              <w:ind w:firstLine="0"/>
            </w:pPr>
            <w:r>
              <w:t>1</w:t>
            </w:r>
          </w:p>
        </w:tc>
        <w:tc>
          <w:tcPr>
            <w:tcW w:w="900" w:type="dxa"/>
            <w:tcBorders>
              <w:top w:val="single" w:sz="4" w:space="0" w:color="000000"/>
              <w:left w:val="nil"/>
              <w:bottom w:val="single" w:sz="4" w:space="0" w:color="000000"/>
              <w:right w:val="nil"/>
            </w:tcBorders>
          </w:tcPr>
          <w:p w14:paraId="27D7E5BC" w14:textId="77777777" w:rsidR="00242CD1" w:rsidRDefault="00000000">
            <w:pPr>
              <w:spacing w:after="120" w:line="240" w:lineRule="auto"/>
              <w:ind w:firstLine="0"/>
            </w:pPr>
            <w:r>
              <w:t>2</w:t>
            </w:r>
          </w:p>
        </w:tc>
        <w:tc>
          <w:tcPr>
            <w:tcW w:w="810" w:type="dxa"/>
            <w:tcBorders>
              <w:top w:val="single" w:sz="4" w:space="0" w:color="000000"/>
              <w:left w:val="nil"/>
              <w:bottom w:val="single" w:sz="4" w:space="0" w:color="000000"/>
              <w:right w:val="nil"/>
            </w:tcBorders>
          </w:tcPr>
          <w:p w14:paraId="209530C5" w14:textId="77777777" w:rsidR="00242CD1" w:rsidRDefault="00000000">
            <w:pPr>
              <w:spacing w:after="120" w:line="240" w:lineRule="auto"/>
              <w:ind w:firstLine="0"/>
            </w:pPr>
            <w:r>
              <w:t>3</w:t>
            </w:r>
          </w:p>
        </w:tc>
        <w:tc>
          <w:tcPr>
            <w:tcW w:w="900" w:type="dxa"/>
            <w:tcBorders>
              <w:top w:val="single" w:sz="4" w:space="0" w:color="000000"/>
              <w:left w:val="nil"/>
              <w:bottom w:val="single" w:sz="4" w:space="0" w:color="000000"/>
              <w:right w:val="nil"/>
            </w:tcBorders>
          </w:tcPr>
          <w:p w14:paraId="167CB662" w14:textId="77777777" w:rsidR="00242CD1" w:rsidRDefault="00000000">
            <w:pPr>
              <w:spacing w:after="120" w:line="240" w:lineRule="auto"/>
              <w:ind w:firstLine="0"/>
            </w:pPr>
            <w:r>
              <w:t>4</w:t>
            </w:r>
          </w:p>
        </w:tc>
        <w:tc>
          <w:tcPr>
            <w:tcW w:w="810" w:type="dxa"/>
            <w:tcBorders>
              <w:top w:val="single" w:sz="4" w:space="0" w:color="000000"/>
              <w:left w:val="nil"/>
              <w:bottom w:val="single" w:sz="4" w:space="0" w:color="000000"/>
              <w:right w:val="nil"/>
            </w:tcBorders>
          </w:tcPr>
          <w:p w14:paraId="496D85A6" w14:textId="77777777" w:rsidR="00242CD1" w:rsidRDefault="00000000">
            <w:pPr>
              <w:spacing w:after="120" w:line="240" w:lineRule="auto"/>
              <w:ind w:firstLine="0"/>
            </w:pPr>
            <w:r>
              <w:t>5</w:t>
            </w:r>
          </w:p>
        </w:tc>
        <w:tc>
          <w:tcPr>
            <w:tcW w:w="764" w:type="dxa"/>
            <w:tcBorders>
              <w:top w:val="single" w:sz="4" w:space="0" w:color="000000"/>
              <w:left w:val="nil"/>
              <w:bottom w:val="single" w:sz="4" w:space="0" w:color="000000"/>
              <w:right w:val="nil"/>
            </w:tcBorders>
          </w:tcPr>
          <w:p w14:paraId="09AD060D" w14:textId="77777777" w:rsidR="00242CD1" w:rsidRDefault="00000000">
            <w:pPr>
              <w:spacing w:after="120" w:line="240" w:lineRule="auto"/>
              <w:ind w:firstLine="0"/>
            </w:pPr>
            <w:r>
              <w:t>6</w:t>
            </w:r>
          </w:p>
        </w:tc>
      </w:tr>
      <w:tr w:rsidR="00242CD1" w14:paraId="332F6D6A" w14:textId="77777777">
        <w:tc>
          <w:tcPr>
            <w:tcW w:w="3060" w:type="dxa"/>
            <w:tcBorders>
              <w:top w:val="single" w:sz="4" w:space="0" w:color="000000"/>
              <w:left w:val="nil"/>
              <w:bottom w:val="nil"/>
              <w:right w:val="nil"/>
            </w:tcBorders>
          </w:tcPr>
          <w:p w14:paraId="6ED37D5B" w14:textId="77777777" w:rsidR="00242CD1" w:rsidRDefault="00000000">
            <w:pPr>
              <w:numPr>
                <w:ilvl w:val="0"/>
                <w:numId w:val="1"/>
              </w:numPr>
              <w:spacing w:after="120" w:line="240" w:lineRule="auto"/>
              <w:ind w:left="341"/>
            </w:pPr>
            <w:r>
              <w:t>Cognitive-Metacognitive</w:t>
            </w:r>
          </w:p>
        </w:tc>
        <w:tc>
          <w:tcPr>
            <w:tcW w:w="990" w:type="dxa"/>
            <w:tcBorders>
              <w:top w:val="single" w:sz="4" w:space="0" w:color="000000"/>
              <w:left w:val="nil"/>
              <w:bottom w:val="nil"/>
              <w:right w:val="nil"/>
            </w:tcBorders>
          </w:tcPr>
          <w:p w14:paraId="427D0D89" w14:textId="77777777" w:rsidR="00242CD1" w:rsidRDefault="00000000">
            <w:pPr>
              <w:spacing w:after="120" w:line="240" w:lineRule="auto"/>
              <w:ind w:firstLine="0"/>
            </w:pPr>
            <w:r>
              <w:t>1</w:t>
            </w:r>
          </w:p>
        </w:tc>
        <w:tc>
          <w:tcPr>
            <w:tcW w:w="900" w:type="dxa"/>
            <w:tcBorders>
              <w:top w:val="single" w:sz="4" w:space="0" w:color="000000"/>
              <w:left w:val="nil"/>
              <w:bottom w:val="nil"/>
              <w:right w:val="nil"/>
            </w:tcBorders>
          </w:tcPr>
          <w:p w14:paraId="527D15D0" w14:textId="77777777" w:rsidR="00242CD1" w:rsidRDefault="00242CD1">
            <w:pPr>
              <w:spacing w:after="120" w:line="240" w:lineRule="auto"/>
              <w:ind w:firstLine="0"/>
            </w:pPr>
          </w:p>
        </w:tc>
        <w:tc>
          <w:tcPr>
            <w:tcW w:w="810" w:type="dxa"/>
            <w:tcBorders>
              <w:top w:val="single" w:sz="4" w:space="0" w:color="000000"/>
              <w:left w:val="nil"/>
              <w:bottom w:val="nil"/>
              <w:right w:val="nil"/>
            </w:tcBorders>
          </w:tcPr>
          <w:p w14:paraId="23BAAC9F" w14:textId="77777777" w:rsidR="00242CD1" w:rsidRDefault="00242CD1">
            <w:pPr>
              <w:spacing w:after="120" w:line="240" w:lineRule="auto"/>
              <w:ind w:firstLine="0"/>
            </w:pPr>
          </w:p>
        </w:tc>
        <w:tc>
          <w:tcPr>
            <w:tcW w:w="900" w:type="dxa"/>
            <w:tcBorders>
              <w:top w:val="single" w:sz="4" w:space="0" w:color="000000"/>
              <w:left w:val="nil"/>
              <w:bottom w:val="nil"/>
              <w:right w:val="nil"/>
            </w:tcBorders>
          </w:tcPr>
          <w:p w14:paraId="4B7D245B" w14:textId="77777777" w:rsidR="00242CD1" w:rsidRDefault="00242CD1">
            <w:pPr>
              <w:spacing w:after="120" w:line="240" w:lineRule="auto"/>
              <w:ind w:firstLine="0"/>
            </w:pPr>
          </w:p>
        </w:tc>
        <w:tc>
          <w:tcPr>
            <w:tcW w:w="810" w:type="dxa"/>
            <w:tcBorders>
              <w:top w:val="single" w:sz="4" w:space="0" w:color="000000"/>
              <w:left w:val="nil"/>
              <w:bottom w:val="nil"/>
              <w:right w:val="nil"/>
            </w:tcBorders>
          </w:tcPr>
          <w:p w14:paraId="1AE893AC" w14:textId="77777777" w:rsidR="00242CD1" w:rsidRDefault="00242CD1">
            <w:pPr>
              <w:spacing w:after="120" w:line="240" w:lineRule="auto"/>
              <w:ind w:firstLine="0"/>
            </w:pPr>
          </w:p>
        </w:tc>
        <w:tc>
          <w:tcPr>
            <w:tcW w:w="764" w:type="dxa"/>
            <w:tcBorders>
              <w:top w:val="single" w:sz="4" w:space="0" w:color="000000"/>
              <w:left w:val="nil"/>
              <w:bottom w:val="nil"/>
              <w:right w:val="nil"/>
            </w:tcBorders>
          </w:tcPr>
          <w:p w14:paraId="6775F470" w14:textId="77777777" w:rsidR="00242CD1" w:rsidRDefault="00242CD1">
            <w:pPr>
              <w:spacing w:after="120" w:line="240" w:lineRule="auto"/>
              <w:ind w:firstLine="0"/>
            </w:pPr>
          </w:p>
        </w:tc>
      </w:tr>
      <w:tr w:rsidR="00242CD1" w14:paraId="448CE866" w14:textId="77777777">
        <w:tc>
          <w:tcPr>
            <w:tcW w:w="3060" w:type="dxa"/>
            <w:tcBorders>
              <w:top w:val="nil"/>
              <w:left w:val="nil"/>
              <w:bottom w:val="nil"/>
              <w:right w:val="nil"/>
            </w:tcBorders>
          </w:tcPr>
          <w:p w14:paraId="3D855798" w14:textId="77777777" w:rsidR="00242CD1" w:rsidRDefault="00000000">
            <w:pPr>
              <w:numPr>
                <w:ilvl w:val="0"/>
                <w:numId w:val="1"/>
              </w:numPr>
              <w:spacing w:after="120" w:line="240" w:lineRule="auto"/>
              <w:ind w:left="341"/>
            </w:pPr>
            <w:r>
              <w:t>Linguistic Readiness</w:t>
            </w:r>
          </w:p>
        </w:tc>
        <w:tc>
          <w:tcPr>
            <w:tcW w:w="990" w:type="dxa"/>
            <w:tcBorders>
              <w:top w:val="nil"/>
              <w:left w:val="nil"/>
              <w:bottom w:val="nil"/>
              <w:right w:val="nil"/>
            </w:tcBorders>
          </w:tcPr>
          <w:p w14:paraId="3F7E4520" w14:textId="77777777" w:rsidR="00242CD1" w:rsidRDefault="00000000">
            <w:pPr>
              <w:spacing w:after="120" w:line="240" w:lineRule="auto"/>
              <w:ind w:firstLine="0"/>
            </w:pPr>
            <w:r>
              <w:t>.352**</w:t>
            </w:r>
          </w:p>
        </w:tc>
        <w:tc>
          <w:tcPr>
            <w:tcW w:w="900" w:type="dxa"/>
            <w:tcBorders>
              <w:top w:val="nil"/>
              <w:left w:val="nil"/>
              <w:bottom w:val="nil"/>
              <w:right w:val="nil"/>
            </w:tcBorders>
          </w:tcPr>
          <w:p w14:paraId="6A2EAD78" w14:textId="77777777" w:rsidR="00242CD1" w:rsidRDefault="00000000">
            <w:pPr>
              <w:spacing w:after="120" w:line="240" w:lineRule="auto"/>
              <w:ind w:firstLine="0"/>
            </w:pPr>
            <w:r>
              <w:t>1</w:t>
            </w:r>
          </w:p>
        </w:tc>
        <w:tc>
          <w:tcPr>
            <w:tcW w:w="810" w:type="dxa"/>
            <w:tcBorders>
              <w:top w:val="nil"/>
              <w:left w:val="nil"/>
              <w:bottom w:val="nil"/>
              <w:right w:val="nil"/>
            </w:tcBorders>
          </w:tcPr>
          <w:p w14:paraId="1BC1D46D" w14:textId="77777777" w:rsidR="00242CD1" w:rsidRDefault="00242CD1">
            <w:pPr>
              <w:spacing w:after="120" w:line="240" w:lineRule="auto"/>
              <w:ind w:firstLine="0"/>
            </w:pPr>
          </w:p>
        </w:tc>
        <w:tc>
          <w:tcPr>
            <w:tcW w:w="900" w:type="dxa"/>
            <w:tcBorders>
              <w:top w:val="nil"/>
              <w:left w:val="nil"/>
              <w:bottom w:val="nil"/>
              <w:right w:val="nil"/>
            </w:tcBorders>
          </w:tcPr>
          <w:p w14:paraId="75FF086D" w14:textId="77777777" w:rsidR="00242CD1" w:rsidRDefault="00242CD1">
            <w:pPr>
              <w:spacing w:after="120" w:line="240" w:lineRule="auto"/>
              <w:ind w:firstLine="0"/>
            </w:pPr>
          </w:p>
        </w:tc>
        <w:tc>
          <w:tcPr>
            <w:tcW w:w="810" w:type="dxa"/>
            <w:tcBorders>
              <w:top w:val="nil"/>
              <w:left w:val="nil"/>
              <w:bottom w:val="nil"/>
              <w:right w:val="nil"/>
            </w:tcBorders>
          </w:tcPr>
          <w:p w14:paraId="53F32B97" w14:textId="77777777" w:rsidR="00242CD1" w:rsidRDefault="00242CD1">
            <w:pPr>
              <w:spacing w:after="120" w:line="240" w:lineRule="auto"/>
              <w:ind w:firstLine="0"/>
            </w:pPr>
          </w:p>
        </w:tc>
        <w:tc>
          <w:tcPr>
            <w:tcW w:w="764" w:type="dxa"/>
            <w:tcBorders>
              <w:top w:val="nil"/>
              <w:left w:val="nil"/>
              <w:bottom w:val="nil"/>
              <w:right w:val="nil"/>
            </w:tcBorders>
          </w:tcPr>
          <w:p w14:paraId="32DC3292" w14:textId="77777777" w:rsidR="00242CD1" w:rsidRDefault="00242CD1">
            <w:pPr>
              <w:spacing w:after="120" w:line="240" w:lineRule="auto"/>
              <w:ind w:firstLine="0"/>
            </w:pPr>
          </w:p>
        </w:tc>
      </w:tr>
      <w:tr w:rsidR="00242CD1" w14:paraId="360BBE6D" w14:textId="77777777">
        <w:tc>
          <w:tcPr>
            <w:tcW w:w="3060" w:type="dxa"/>
            <w:tcBorders>
              <w:top w:val="nil"/>
              <w:left w:val="nil"/>
              <w:bottom w:val="nil"/>
              <w:right w:val="nil"/>
            </w:tcBorders>
          </w:tcPr>
          <w:p w14:paraId="6CBC7754" w14:textId="77777777" w:rsidR="00242CD1" w:rsidRDefault="00000000">
            <w:pPr>
              <w:numPr>
                <w:ilvl w:val="0"/>
                <w:numId w:val="1"/>
              </w:numPr>
              <w:spacing w:after="120" w:line="240" w:lineRule="auto"/>
              <w:ind w:left="341"/>
            </w:pPr>
            <w:r>
              <w:t>Ethical Awareness</w:t>
            </w:r>
          </w:p>
        </w:tc>
        <w:tc>
          <w:tcPr>
            <w:tcW w:w="990" w:type="dxa"/>
            <w:tcBorders>
              <w:top w:val="nil"/>
              <w:left w:val="nil"/>
              <w:bottom w:val="nil"/>
              <w:right w:val="nil"/>
            </w:tcBorders>
          </w:tcPr>
          <w:p w14:paraId="153ACF66" w14:textId="77777777" w:rsidR="00242CD1" w:rsidRDefault="00000000">
            <w:pPr>
              <w:spacing w:after="120" w:line="240" w:lineRule="auto"/>
              <w:ind w:firstLine="0"/>
            </w:pPr>
            <w:r>
              <w:t>.419**</w:t>
            </w:r>
          </w:p>
        </w:tc>
        <w:tc>
          <w:tcPr>
            <w:tcW w:w="900" w:type="dxa"/>
            <w:tcBorders>
              <w:top w:val="nil"/>
              <w:left w:val="nil"/>
              <w:bottom w:val="nil"/>
              <w:right w:val="nil"/>
            </w:tcBorders>
          </w:tcPr>
          <w:p w14:paraId="0C333587" w14:textId="77777777" w:rsidR="00242CD1" w:rsidRDefault="00000000">
            <w:pPr>
              <w:spacing w:after="120" w:line="240" w:lineRule="auto"/>
              <w:ind w:firstLine="0"/>
            </w:pPr>
            <w:r>
              <w:t>.374**</w:t>
            </w:r>
          </w:p>
        </w:tc>
        <w:tc>
          <w:tcPr>
            <w:tcW w:w="810" w:type="dxa"/>
            <w:tcBorders>
              <w:top w:val="nil"/>
              <w:left w:val="nil"/>
              <w:bottom w:val="nil"/>
              <w:right w:val="nil"/>
            </w:tcBorders>
          </w:tcPr>
          <w:p w14:paraId="23993BBC" w14:textId="77777777" w:rsidR="00242CD1" w:rsidRDefault="00000000">
            <w:pPr>
              <w:spacing w:after="120" w:line="240" w:lineRule="auto"/>
              <w:ind w:firstLine="0"/>
            </w:pPr>
            <w:r>
              <w:t>1</w:t>
            </w:r>
          </w:p>
        </w:tc>
        <w:tc>
          <w:tcPr>
            <w:tcW w:w="900" w:type="dxa"/>
            <w:tcBorders>
              <w:top w:val="nil"/>
              <w:left w:val="nil"/>
              <w:bottom w:val="nil"/>
              <w:right w:val="nil"/>
            </w:tcBorders>
          </w:tcPr>
          <w:p w14:paraId="48955DE8" w14:textId="77777777" w:rsidR="00242CD1" w:rsidRDefault="00242CD1">
            <w:pPr>
              <w:spacing w:after="120" w:line="240" w:lineRule="auto"/>
              <w:ind w:firstLine="0"/>
            </w:pPr>
          </w:p>
        </w:tc>
        <w:tc>
          <w:tcPr>
            <w:tcW w:w="810" w:type="dxa"/>
            <w:tcBorders>
              <w:top w:val="nil"/>
              <w:left w:val="nil"/>
              <w:bottom w:val="nil"/>
              <w:right w:val="nil"/>
            </w:tcBorders>
          </w:tcPr>
          <w:p w14:paraId="2540797B" w14:textId="77777777" w:rsidR="00242CD1" w:rsidRDefault="00242CD1">
            <w:pPr>
              <w:spacing w:after="120" w:line="240" w:lineRule="auto"/>
              <w:ind w:firstLine="0"/>
            </w:pPr>
          </w:p>
        </w:tc>
        <w:tc>
          <w:tcPr>
            <w:tcW w:w="764" w:type="dxa"/>
            <w:tcBorders>
              <w:top w:val="nil"/>
              <w:left w:val="nil"/>
              <w:bottom w:val="nil"/>
              <w:right w:val="nil"/>
            </w:tcBorders>
          </w:tcPr>
          <w:p w14:paraId="35812240" w14:textId="77777777" w:rsidR="00242CD1" w:rsidRDefault="00242CD1">
            <w:pPr>
              <w:spacing w:after="120" w:line="240" w:lineRule="auto"/>
              <w:ind w:firstLine="0"/>
            </w:pPr>
          </w:p>
        </w:tc>
      </w:tr>
      <w:tr w:rsidR="00242CD1" w14:paraId="2D7C320F" w14:textId="77777777">
        <w:tc>
          <w:tcPr>
            <w:tcW w:w="3060" w:type="dxa"/>
            <w:tcBorders>
              <w:top w:val="nil"/>
              <w:left w:val="nil"/>
              <w:bottom w:val="nil"/>
              <w:right w:val="nil"/>
            </w:tcBorders>
          </w:tcPr>
          <w:p w14:paraId="7B9538E1" w14:textId="77777777" w:rsidR="00242CD1" w:rsidRDefault="00000000">
            <w:pPr>
              <w:numPr>
                <w:ilvl w:val="0"/>
                <w:numId w:val="1"/>
              </w:numPr>
              <w:spacing w:after="120" w:line="240" w:lineRule="auto"/>
              <w:ind w:left="341"/>
            </w:pPr>
            <w:r>
              <w:t>Technology Enablers</w:t>
            </w:r>
          </w:p>
        </w:tc>
        <w:tc>
          <w:tcPr>
            <w:tcW w:w="990" w:type="dxa"/>
            <w:tcBorders>
              <w:top w:val="nil"/>
              <w:left w:val="nil"/>
              <w:bottom w:val="nil"/>
              <w:right w:val="nil"/>
            </w:tcBorders>
          </w:tcPr>
          <w:p w14:paraId="26B4156A" w14:textId="77777777" w:rsidR="00242CD1" w:rsidRDefault="00000000">
            <w:pPr>
              <w:spacing w:after="120" w:line="240" w:lineRule="auto"/>
              <w:ind w:firstLine="0"/>
            </w:pPr>
            <w:r>
              <w:t>.552**</w:t>
            </w:r>
          </w:p>
        </w:tc>
        <w:tc>
          <w:tcPr>
            <w:tcW w:w="900" w:type="dxa"/>
            <w:tcBorders>
              <w:top w:val="nil"/>
              <w:left w:val="nil"/>
              <w:bottom w:val="nil"/>
              <w:right w:val="nil"/>
            </w:tcBorders>
          </w:tcPr>
          <w:p w14:paraId="65A638C8" w14:textId="77777777" w:rsidR="00242CD1" w:rsidRDefault="00000000">
            <w:pPr>
              <w:spacing w:after="120" w:line="240" w:lineRule="auto"/>
              <w:ind w:firstLine="0"/>
            </w:pPr>
            <w:r>
              <w:t>.483**</w:t>
            </w:r>
          </w:p>
        </w:tc>
        <w:tc>
          <w:tcPr>
            <w:tcW w:w="810" w:type="dxa"/>
            <w:tcBorders>
              <w:top w:val="nil"/>
              <w:left w:val="nil"/>
              <w:bottom w:val="nil"/>
              <w:right w:val="nil"/>
            </w:tcBorders>
          </w:tcPr>
          <w:p w14:paraId="34DD301E" w14:textId="77777777" w:rsidR="00242CD1" w:rsidRDefault="00000000">
            <w:pPr>
              <w:spacing w:after="120" w:line="240" w:lineRule="auto"/>
              <w:ind w:firstLine="0"/>
            </w:pPr>
            <w:r>
              <w:t>.512**</w:t>
            </w:r>
          </w:p>
        </w:tc>
        <w:tc>
          <w:tcPr>
            <w:tcW w:w="900" w:type="dxa"/>
            <w:tcBorders>
              <w:top w:val="nil"/>
              <w:left w:val="nil"/>
              <w:bottom w:val="nil"/>
              <w:right w:val="nil"/>
            </w:tcBorders>
          </w:tcPr>
          <w:p w14:paraId="248BB21C" w14:textId="77777777" w:rsidR="00242CD1" w:rsidRDefault="00000000">
            <w:pPr>
              <w:spacing w:after="120" w:line="240" w:lineRule="auto"/>
              <w:ind w:firstLine="0"/>
            </w:pPr>
            <w:r>
              <w:t>1</w:t>
            </w:r>
          </w:p>
        </w:tc>
        <w:tc>
          <w:tcPr>
            <w:tcW w:w="810" w:type="dxa"/>
            <w:tcBorders>
              <w:top w:val="nil"/>
              <w:left w:val="nil"/>
              <w:bottom w:val="nil"/>
              <w:right w:val="nil"/>
            </w:tcBorders>
          </w:tcPr>
          <w:p w14:paraId="1E3CB364" w14:textId="77777777" w:rsidR="00242CD1" w:rsidRDefault="00242CD1">
            <w:pPr>
              <w:spacing w:after="120" w:line="240" w:lineRule="auto"/>
              <w:ind w:firstLine="0"/>
            </w:pPr>
          </w:p>
        </w:tc>
        <w:tc>
          <w:tcPr>
            <w:tcW w:w="764" w:type="dxa"/>
            <w:tcBorders>
              <w:top w:val="nil"/>
              <w:left w:val="nil"/>
              <w:bottom w:val="nil"/>
              <w:right w:val="nil"/>
            </w:tcBorders>
          </w:tcPr>
          <w:p w14:paraId="19BAC74A" w14:textId="77777777" w:rsidR="00242CD1" w:rsidRDefault="00242CD1">
            <w:pPr>
              <w:spacing w:after="120" w:line="240" w:lineRule="auto"/>
              <w:ind w:firstLine="0"/>
            </w:pPr>
          </w:p>
        </w:tc>
      </w:tr>
      <w:tr w:rsidR="00242CD1" w14:paraId="3F119FED" w14:textId="77777777">
        <w:tc>
          <w:tcPr>
            <w:tcW w:w="3060" w:type="dxa"/>
            <w:tcBorders>
              <w:top w:val="nil"/>
              <w:left w:val="nil"/>
              <w:bottom w:val="nil"/>
              <w:right w:val="nil"/>
            </w:tcBorders>
          </w:tcPr>
          <w:p w14:paraId="10992A91" w14:textId="77777777" w:rsidR="00242CD1" w:rsidRDefault="00000000">
            <w:pPr>
              <w:numPr>
                <w:ilvl w:val="0"/>
                <w:numId w:val="1"/>
              </w:numPr>
              <w:spacing w:after="120" w:line="240" w:lineRule="auto"/>
              <w:ind w:left="341"/>
            </w:pPr>
            <w:r>
              <w:t>Technology Inhibitors</w:t>
            </w:r>
          </w:p>
        </w:tc>
        <w:tc>
          <w:tcPr>
            <w:tcW w:w="990" w:type="dxa"/>
            <w:tcBorders>
              <w:top w:val="nil"/>
              <w:left w:val="nil"/>
              <w:bottom w:val="nil"/>
              <w:right w:val="nil"/>
            </w:tcBorders>
          </w:tcPr>
          <w:p w14:paraId="5F02AA3B" w14:textId="77777777" w:rsidR="00242CD1" w:rsidRDefault="00000000">
            <w:pPr>
              <w:spacing w:after="120" w:line="240" w:lineRule="auto"/>
              <w:ind w:firstLine="0"/>
            </w:pPr>
            <w:r>
              <w:t>.227*</w:t>
            </w:r>
          </w:p>
        </w:tc>
        <w:tc>
          <w:tcPr>
            <w:tcW w:w="900" w:type="dxa"/>
            <w:tcBorders>
              <w:top w:val="nil"/>
              <w:left w:val="nil"/>
              <w:bottom w:val="nil"/>
              <w:right w:val="nil"/>
            </w:tcBorders>
          </w:tcPr>
          <w:p w14:paraId="0449840F" w14:textId="77777777" w:rsidR="00242CD1" w:rsidRDefault="00000000">
            <w:pPr>
              <w:spacing w:after="120" w:line="240" w:lineRule="auto"/>
              <w:ind w:firstLine="0"/>
            </w:pPr>
            <w:r>
              <w:t>.292**</w:t>
            </w:r>
          </w:p>
        </w:tc>
        <w:tc>
          <w:tcPr>
            <w:tcW w:w="810" w:type="dxa"/>
            <w:tcBorders>
              <w:top w:val="nil"/>
              <w:left w:val="nil"/>
              <w:bottom w:val="nil"/>
              <w:right w:val="nil"/>
            </w:tcBorders>
          </w:tcPr>
          <w:p w14:paraId="135BF923" w14:textId="77777777" w:rsidR="00242CD1" w:rsidRDefault="00000000">
            <w:pPr>
              <w:spacing w:after="120" w:line="240" w:lineRule="auto"/>
              <w:ind w:firstLine="0"/>
            </w:pPr>
            <w:r>
              <w:t>.297**</w:t>
            </w:r>
          </w:p>
        </w:tc>
        <w:tc>
          <w:tcPr>
            <w:tcW w:w="900" w:type="dxa"/>
            <w:tcBorders>
              <w:top w:val="nil"/>
              <w:left w:val="nil"/>
              <w:bottom w:val="nil"/>
              <w:right w:val="nil"/>
            </w:tcBorders>
          </w:tcPr>
          <w:p w14:paraId="4A716458" w14:textId="77777777" w:rsidR="00242CD1" w:rsidRDefault="00000000">
            <w:pPr>
              <w:spacing w:after="120" w:line="240" w:lineRule="auto"/>
              <w:ind w:firstLine="0"/>
            </w:pPr>
            <w:r>
              <w:t>.298**</w:t>
            </w:r>
          </w:p>
        </w:tc>
        <w:tc>
          <w:tcPr>
            <w:tcW w:w="810" w:type="dxa"/>
            <w:tcBorders>
              <w:top w:val="nil"/>
              <w:left w:val="nil"/>
              <w:bottom w:val="nil"/>
              <w:right w:val="nil"/>
            </w:tcBorders>
          </w:tcPr>
          <w:p w14:paraId="7B235962" w14:textId="77777777" w:rsidR="00242CD1" w:rsidRDefault="00000000">
            <w:pPr>
              <w:spacing w:after="120" w:line="240" w:lineRule="auto"/>
              <w:ind w:firstLine="0"/>
            </w:pPr>
            <w:r>
              <w:t>1</w:t>
            </w:r>
          </w:p>
        </w:tc>
        <w:tc>
          <w:tcPr>
            <w:tcW w:w="764" w:type="dxa"/>
            <w:tcBorders>
              <w:top w:val="nil"/>
              <w:left w:val="nil"/>
              <w:bottom w:val="nil"/>
              <w:right w:val="nil"/>
            </w:tcBorders>
          </w:tcPr>
          <w:p w14:paraId="16290781" w14:textId="77777777" w:rsidR="00242CD1" w:rsidRDefault="00242CD1">
            <w:pPr>
              <w:spacing w:after="120" w:line="240" w:lineRule="auto"/>
              <w:ind w:firstLine="0"/>
            </w:pPr>
          </w:p>
        </w:tc>
      </w:tr>
      <w:tr w:rsidR="00242CD1" w14:paraId="2EEBF461" w14:textId="77777777">
        <w:tc>
          <w:tcPr>
            <w:tcW w:w="3060" w:type="dxa"/>
            <w:tcBorders>
              <w:top w:val="nil"/>
              <w:left w:val="nil"/>
              <w:bottom w:val="single" w:sz="4" w:space="0" w:color="000000"/>
              <w:right w:val="nil"/>
            </w:tcBorders>
          </w:tcPr>
          <w:p w14:paraId="22312C8D" w14:textId="77777777" w:rsidR="00242CD1" w:rsidRDefault="00000000">
            <w:pPr>
              <w:numPr>
                <w:ilvl w:val="0"/>
                <w:numId w:val="1"/>
              </w:numPr>
              <w:spacing w:after="120" w:line="240" w:lineRule="auto"/>
              <w:ind w:left="341"/>
            </w:pPr>
            <w:r>
              <w:t>Intention to Use</w:t>
            </w:r>
          </w:p>
        </w:tc>
        <w:tc>
          <w:tcPr>
            <w:tcW w:w="990" w:type="dxa"/>
            <w:tcBorders>
              <w:top w:val="nil"/>
              <w:left w:val="nil"/>
              <w:bottom w:val="single" w:sz="4" w:space="0" w:color="000000"/>
              <w:right w:val="nil"/>
            </w:tcBorders>
          </w:tcPr>
          <w:p w14:paraId="5386F4D0" w14:textId="77777777" w:rsidR="00242CD1" w:rsidRDefault="00000000">
            <w:pPr>
              <w:spacing w:after="120" w:line="240" w:lineRule="auto"/>
              <w:ind w:firstLine="0"/>
            </w:pPr>
            <w:r>
              <w:t>.525**</w:t>
            </w:r>
          </w:p>
        </w:tc>
        <w:tc>
          <w:tcPr>
            <w:tcW w:w="900" w:type="dxa"/>
            <w:tcBorders>
              <w:top w:val="nil"/>
              <w:left w:val="nil"/>
              <w:bottom w:val="single" w:sz="4" w:space="0" w:color="000000"/>
              <w:right w:val="nil"/>
            </w:tcBorders>
          </w:tcPr>
          <w:p w14:paraId="7B6AB65C" w14:textId="77777777" w:rsidR="00242CD1" w:rsidRDefault="00000000">
            <w:pPr>
              <w:spacing w:after="120" w:line="240" w:lineRule="auto"/>
              <w:ind w:firstLine="0"/>
            </w:pPr>
            <w:r>
              <w:t>.450**</w:t>
            </w:r>
          </w:p>
        </w:tc>
        <w:tc>
          <w:tcPr>
            <w:tcW w:w="810" w:type="dxa"/>
            <w:tcBorders>
              <w:top w:val="nil"/>
              <w:left w:val="nil"/>
              <w:bottom w:val="single" w:sz="4" w:space="0" w:color="000000"/>
              <w:right w:val="nil"/>
            </w:tcBorders>
          </w:tcPr>
          <w:p w14:paraId="47E2EFB7" w14:textId="77777777" w:rsidR="00242CD1" w:rsidRDefault="00000000">
            <w:pPr>
              <w:spacing w:after="120" w:line="240" w:lineRule="auto"/>
              <w:ind w:firstLine="0"/>
            </w:pPr>
            <w:r>
              <w:t>.448**</w:t>
            </w:r>
          </w:p>
        </w:tc>
        <w:tc>
          <w:tcPr>
            <w:tcW w:w="900" w:type="dxa"/>
            <w:tcBorders>
              <w:top w:val="nil"/>
              <w:left w:val="nil"/>
              <w:bottom w:val="single" w:sz="4" w:space="0" w:color="000000"/>
              <w:right w:val="nil"/>
            </w:tcBorders>
          </w:tcPr>
          <w:p w14:paraId="681328E7" w14:textId="77777777" w:rsidR="00242CD1" w:rsidRDefault="00000000">
            <w:pPr>
              <w:spacing w:after="120" w:line="240" w:lineRule="auto"/>
              <w:ind w:firstLine="0"/>
            </w:pPr>
            <w:r>
              <w:t>.635**</w:t>
            </w:r>
          </w:p>
        </w:tc>
        <w:tc>
          <w:tcPr>
            <w:tcW w:w="810" w:type="dxa"/>
            <w:tcBorders>
              <w:top w:val="nil"/>
              <w:left w:val="nil"/>
              <w:bottom w:val="single" w:sz="4" w:space="0" w:color="000000"/>
              <w:right w:val="nil"/>
            </w:tcBorders>
          </w:tcPr>
          <w:p w14:paraId="42151590" w14:textId="77777777" w:rsidR="00242CD1" w:rsidRDefault="00000000">
            <w:pPr>
              <w:spacing w:after="120" w:line="240" w:lineRule="auto"/>
              <w:ind w:firstLine="0"/>
            </w:pPr>
            <w:r>
              <w:t>.167</w:t>
            </w:r>
          </w:p>
        </w:tc>
        <w:tc>
          <w:tcPr>
            <w:tcW w:w="764" w:type="dxa"/>
            <w:tcBorders>
              <w:top w:val="nil"/>
              <w:left w:val="nil"/>
              <w:bottom w:val="single" w:sz="4" w:space="0" w:color="000000"/>
              <w:right w:val="nil"/>
            </w:tcBorders>
          </w:tcPr>
          <w:p w14:paraId="3DE90184" w14:textId="77777777" w:rsidR="00242CD1" w:rsidRDefault="00000000">
            <w:pPr>
              <w:spacing w:after="120" w:line="240" w:lineRule="auto"/>
              <w:ind w:firstLine="0"/>
            </w:pPr>
            <w:r>
              <w:t>1</w:t>
            </w:r>
          </w:p>
        </w:tc>
      </w:tr>
      <w:tr w:rsidR="00242CD1" w14:paraId="7E938431" w14:textId="77777777">
        <w:tc>
          <w:tcPr>
            <w:tcW w:w="3060" w:type="dxa"/>
            <w:tcBorders>
              <w:top w:val="single" w:sz="4" w:space="0" w:color="000000"/>
              <w:left w:val="nil"/>
              <w:bottom w:val="single" w:sz="4" w:space="0" w:color="000000"/>
              <w:right w:val="nil"/>
            </w:tcBorders>
          </w:tcPr>
          <w:p w14:paraId="2D0AF565" w14:textId="77777777" w:rsidR="00242CD1" w:rsidRDefault="00000000">
            <w:pPr>
              <w:spacing w:after="120" w:line="240" w:lineRule="auto"/>
              <w:ind w:left="341" w:firstLine="0"/>
            </w:pPr>
            <w:r>
              <w:t>Sig. (2-tailed)</w:t>
            </w:r>
          </w:p>
        </w:tc>
        <w:tc>
          <w:tcPr>
            <w:tcW w:w="990" w:type="dxa"/>
            <w:tcBorders>
              <w:top w:val="single" w:sz="4" w:space="0" w:color="000000"/>
              <w:left w:val="nil"/>
              <w:bottom w:val="single" w:sz="4" w:space="0" w:color="000000"/>
              <w:right w:val="nil"/>
            </w:tcBorders>
          </w:tcPr>
          <w:p w14:paraId="1874FA76" w14:textId="77777777" w:rsidR="00242CD1" w:rsidRDefault="00000000">
            <w:pPr>
              <w:spacing w:after="120" w:line="240" w:lineRule="auto"/>
              <w:ind w:firstLine="0"/>
            </w:pPr>
            <w:r>
              <w:t>.000</w:t>
            </w:r>
          </w:p>
        </w:tc>
        <w:tc>
          <w:tcPr>
            <w:tcW w:w="900" w:type="dxa"/>
            <w:tcBorders>
              <w:top w:val="single" w:sz="4" w:space="0" w:color="000000"/>
              <w:left w:val="nil"/>
              <w:bottom w:val="single" w:sz="4" w:space="0" w:color="000000"/>
              <w:right w:val="nil"/>
            </w:tcBorders>
          </w:tcPr>
          <w:p w14:paraId="5AB94161" w14:textId="77777777" w:rsidR="00242CD1" w:rsidRDefault="00000000">
            <w:pPr>
              <w:spacing w:after="120" w:line="240" w:lineRule="auto"/>
              <w:ind w:firstLine="0"/>
            </w:pPr>
            <w:r>
              <w:t>.000</w:t>
            </w:r>
          </w:p>
        </w:tc>
        <w:tc>
          <w:tcPr>
            <w:tcW w:w="810" w:type="dxa"/>
            <w:tcBorders>
              <w:top w:val="single" w:sz="4" w:space="0" w:color="000000"/>
              <w:left w:val="nil"/>
              <w:bottom w:val="single" w:sz="4" w:space="0" w:color="000000"/>
              <w:right w:val="nil"/>
            </w:tcBorders>
          </w:tcPr>
          <w:p w14:paraId="100E0F24" w14:textId="77777777" w:rsidR="00242CD1" w:rsidRDefault="00000000">
            <w:pPr>
              <w:spacing w:after="120" w:line="240" w:lineRule="auto"/>
              <w:ind w:firstLine="0"/>
            </w:pPr>
            <w:r>
              <w:t>.000</w:t>
            </w:r>
          </w:p>
        </w:tc>
        <w:tc>
          <w:tcPr>
            <w:tcW w:w="900" w:type="dxa"/>
            <w:tcBorders>
              <w:top w:val="single" w:sz="4" w:space="0" w:color="000000"/>
              <w:left w:val="nil"/>
              <w:bottom w:val="single" w:sz="4" w:space="0" w:color="000000"/>
              <w:right w:val="nil"/>
            </w:tcBorders>
          </w:tcPr>
          <w:p w14:paraId="066796F2" w14:textId="77777777" w:rsidR="00242CD1" w:rsidRDefault="00000000">
            <w:pPr>
              <w:spacing w:after="120" w:line="240" w:lineRule="auto"/>
              <w:ind w:firstLine="0"/>
            </w:pPr>
            <w:r>
              <w:t>.000</w:t>
            </w:r>
          </w:p>
        </w:tc>
        <w:tc>
          <w:tcPr>
            <w:tcW w:w="810" w:type="dxa"/>
            <w:tcBorders>
              <w:top w:val="single" w:sz="4" w:space="0" w:color="000000"/>
              <w:left w:val="nil"/>
              <w:bottom w:val="single" w:sz="4" w:space="0" w:color="000000"/>
              <w:right w:val="nil"/>
            </w:tcBorders>
          </w:tcPr>
          <w:p w14:paraId="4F16849A" w14:textId="77777777" w:rsidR="00242CD1" w:rsidRDefault="00000000">
            <w:pPr>
              <w:spacing w:after="120" w:line="240" w:lineRule="auto"/>
              <w:ind w:firstLine="0"/>
            </w:pPr>
            <w:r>
              <w:t>.111</w:t>
            </w:r>
          </w:p>
        </w:tc>
        <w:tc>
          <w:tcPr>
            <w:tcW w:w="764" w:type="dxa"/>
            <w:tcBorders>
              <w:top w:val="single" w:sz="4" w:space="0" w:color="000000"/>
              <w:left w:val="nil"/>
              <w:bottom w:val="single" w:sz="4" w:space="0" w:color="000000"/>
              <w:right w:val="nil"/>
            </w:tcBorders>
          </w:tcPr>
          <w:p w14:paraId="2DE9D4C0" w14:textId="77777777" w:rsidR="00242CD1" w:rsidRDefault="00242CD1">
            <w:pPr>
              <w:spacing w:after="120" w:line="240" w:lineRule="auto"/>
              <w:ind w:firstLine="0"/>
            </w:pPr>
          </w:p>
        </w:tc>
      </w:tr>
    </w:tbl>
    <w:p w14:paraId="7C433FB6" w14:textId="77777777" w:rsidR="00242CD1" w:rsidRDefault="00000000">
      <w:pPr>
        <w:spacing w:after="120" w:line="240" w:lineRule="auto"/>
        <w:ind w:firstLine="0"/>
      </w:pPr>
      <w:r>
        <w:rPr>
          <w:i/>
          <w:iCs/>
        </w:rPr>
        <w:t>Note.</w:t>
      </w:r>
      <w:r>
        <w:t xml:space="preserve"> </w:t>
      </w:r>
      <m:oMath>
        <m:r>
          <w:rPr>
            <w:rFonts w:ascii="Cambria Math" w:eastAsia="Cambria Math" w:hAnsi="Cambria Math" w:cs="Cambria Math"/>
          </w:rPr>
          <m:t>p</m:t>
        </m:r>
      </m:oMath>
      <w:r>
        <w:t xml:space="preserve"> = Pearson’s correlation coefficient; **(2-tailed): </w:t>
      </w:r>
      <m:oMath>
        <m:r>
          <w:rPr>
            <w:rFonts w:ascii="Cambria Math" w:eastAsia="Cambria Math" w:hAnsi="Cambria Math" w:cs="Cambria Math"/>
          </w:rPr>
          <m:t>p</m:t>
        </m:r>
      </m:oMath>
      <w:r>
        <w:t xml:space="preserve">-values &lt; .01, *(2-tailed): </w:t>
      </w:r>
      <m:oMath>
        <m:r>
          <w:rPr>
            <w:rFonts w:ascii="Cambria Math" w:eastAsia="Cambria Math" w:hAnsi="Cambria Math" w:cs="Cambria Math"/>
          </w:rPr>
          <m:t>p</m:t>
        </m:r>
      </m:oMath>
      <w:r>
        <w:t>-values &lt; .05</w:t>
      </w:r>
    </w:p>
    <w:p w14:paraId="3AF02952" w14:textId="77777777" w:rsidR="00242CD1" w:rsidRDefault="00242CD1">
      <w:pPr>
        <w:spacing w:before="0" w:after="120" w:line="480" w:lineRule="auto"/>
        <w:rPr>
          <w:sz w:val="24"/>
          <w:szCs w:val="24"/>
        </w:rPr>
      </w:pPr>
    </w:p>
    <w:p w14:paraId="2A6E008A" w14:textId="77777777" w:rsidR="00242CD1" w:rsidRDefault="00000000">
      <w:pPr>
        <w:spacing w:before="0" w:after="120" w:line="480" w:lineRule="auto"/>
        <w:ind w:firstLine="0"/>
        <w:rPr>
          <w:i/>
          <w:iCs/>
          <w:sz w:val="24"/>
          <w:szCs w:val="24"/>
        </w:rPr>
      </w:pPr>
      <w:r>
        <w:rPr>
          <w:i/>
          <w:iCs/>
          <w:sz w:val="24"/>
          <w:szCs w:val="24"/>
        </w:rPr>
        <w:t>4.1.3. Multiple Regression Analysis</w:t>
      </w:r>
    </w:p>
    <w:p w14:paraId="59176820" w14:textId="77777777" w:rsidR="00242CD1" w:rsidRDefault="00000000">
      <w:pPr>
        <w:spacing w:before="0" w:after="120" w:line="480" w:lineRule="auto"/>
        <w:rPr>
          <w:sz w:val="24"/>
          <w:szCs w:val="24"/>
        </w:rPr>
      </w:pPr>
      <w:r>
        <w:rPr>
          <w:sz w:val="24"/>
          <w:szCs w:val="24"/>
        </w:rPr>
        <w:t xml:space="preserve">A multiple regression was conducted to identify the strongest predictors of intention. The model was statistically significant, </w:t>
      </w:r>
      <m:oMath>
        <m:r>
          <w:rPr>
            <w:rFonts w:ascii="Cambria Math" w:eastAsia="Cambria Math" w:hAnsi="Cambria Math" w:cs="Cambria Math"/>
            <w:sz w:val="24"/>
            <w:szCs w:val="24"/>
          </w:rPr>
          <m:t>F</m:t>
        </m:r>
      </m:oMath>
      <w:r>
        <w:rPr>
          <w:sz w:val="24"/>
          <w:szCs w:val="24"/>
        </w:rPr>
        <w:t xml:space="preserve">(5, 87) = 16.064, </w:t>
      </w:r>
      <m:oMath>
        <m:r>
          <w:rPr>
            <w:rFonts w:ascii="Cambria Math" w:eastAsia="Cambria Math" w:hAnsi="Cambria Math" w:cs="Cambria Math"/>
            <w:sz w:val="24"/>
            <w:szCs w:val="24"/>
          </w:rPr>
          <m:t>p</m:t>
        </m:r>
      </m:oMath>
      <w:r>
        <w:rPr>
          <w:sz w:val="24"/>
          <w:szCs w:val="24"/>
        </w:rPr>
        <w:t xml:space="preserve"> &lt; .001, explaining 48% of the variance in students' intention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R</m:t>
            </m:r>
          </m:e>
          <m:sup>
            <m:r>
              <w:rPr>
                <w:rFonts w:ascii="Cambria Math" w:eastAsia="Cambria Math" w:hAnsi="Cambria Math" w:cs="Cambria Math"/>
                <w:sz w:val="24"/>
                <w:szCs w:val="24"/>
              </w:rPr>
              <m:t>2</m:t>
            </m:r>
          </m:sup>
        </m:sSup>
        <m:r>
          <w:rPr>
            <w:rFonts w:ascii="Cambria Math" w:eastAsia="Cambria Math" w:hAnsi="Cambria Math" w:cs="Cambria Math"/>
            <w:sz w:val="24"/>
            <w:szCs w:val="24"/>
          </w:rPr>
          <m:t xml:space="preserve"> </m:t>
        </m:r>
      </m:oMath>
      <w:r>
        <w:rPr>
          <w:sz w:val="24"/>
          <w:szCs w:val="24"/>
        </w:rPr>
        <w:t xml:space="preserve">= .480). </w:t>
      </w:r>
    </w:p>
    <w:p w14:paraId="72028417" w14:textId="77777777" w:rsidR="00242CD1" w:rsidRDefault="00000000">
      <w:pPr>
        <w:spacing w:before="0" w:after="120" w:line="480" w:lineRule="auto"/>
        <w:rPr>
          <w:sz w:val="24"/>
          <w:szCs w:val="24"/>
        </w:rPr>
      </w:pPr>
      <w:r>
        <w:rPr>
          <w:sz w:val="24"/>
          <w:szCs w:val="24"/>
        </w:rPr>
        <w:t>As shown in Table 4, Technology Enablers (</w:t>
      </w:r>
      <w:r>
        <w:rPr>
          <w:i/>
          <w:iCs/>
          <w:sz w:val="24"/>
          <w:szCs w:val="24"/>
        </w:rPr>
        <w:t>β</w:t>
      </w:r>
      <w:r>
        <w:rPr>
          <w:sz w:val="24"/>
          <w:szCs w:val="24"/>
        </w:rPr>
        <w:t xml:space="preserve"> = .404, </w:t>
      </w:r>
      <m:oMath>
        <m:r>
          <w:rPr>
            <w:rFonts w:ascii="Cambria Math" w:eastAsia="Cambria Math" w:hAnsi="Cambria Math" w:cs="Cambria Math"/>
            <w:sz w:val="24"/>
            <w:szCs w:val="24"/>
          </w:rPr>
          <m:t>p</m:t>
        </m:r>
      </m:oMath>
      <w:r>
        <w:rPr>
          <w:sz w:val="24"/>
          <w:szCs w:val="24"/>
        </w:rPr>
        <w:t xml:space="preserve"> &lt; .001) and Cognitive-Metacognitive Readiness (</w:t>
      </w:r>
      <w:r>
        <w:rPr>
          <w:i/>
          <w:iCs/>
          <w:sz w:val="24"/>
          <w:szCs w:val="24"/>
        </w:rPr>
        <w:t>β</w:t>
      </w:r>
      <w:r>
        <w:rPr>
          <w:sz w:val="24"/>
          <w:szCs w:val="24"/>
        </w:rPr>
        <w:t xml:space="preserve">= .216, </w:t>
      </w:r>
      <m:oMath>
        <m:r>
          <w:rPr>
            <w:rFonts w:ascii="Cambria Math" w:eastAsia="Cambria Math" w:hAnsi="Cambria Math" w:cs="Cambria Math"/>
            <w:sz w:val="24"/>
            <w:szCs w:val="24"/>
          </w:rPr>
          <m:t>p</m:t>
        </m:r>
      </m:oMath>
      <w:r>
        <w:rPr>
          <w:sz w:val="24"/>
          <w:szCs w:val="24"/>
        </w:rPr>
        <w:t xml:space="preserve"> = .025) were the only two significant predictors. Other factors, including Linguistic Readiness, Ethical Awareness, and Technology Inhibitors, did not substantially contribute to the model (</w:t>
      </w:r>
      <m:oMath>
        <m:r>
          <w:rPr>
            <w:rFonts w:ascii="Cambria Math" w:eastAsia="Cambria Math" w:hAnsi="Cambria Math" w:cs="Cambria Math"/>
            <w:sz w:val="24"/>
            <w:szCs w:val="24"/>
          </w:rPr>
          <m:t>p</m:t>
        </m:r>
      </m:oMath>
      <w:r>
        <w:rPr>
          <w:sz w:val="24"/>
          <w:szCs w:val="24"/>
        </w:rPr>
        <w:t xml:space="preserve"> &gt; .05). All VIF values were under 2.0, indicating that there are no issues related to multicollinearity.</w:t>
      </w:r>
    </w:p>
    <w:p w14:paraId="659258D8" w14:textId="77777777" w:rsidR="00242CD1" w:rsidRDefault="00242CD1">
      <w:pPr>
        <w:spacing w:before="0" w:after="120" w:line="480" w:lineRule="auto"/>
        <w:rPr>
          <w:sz w:val="24"/>
          <w:szCs w:val="24"/>
        </w:rPr>
      </w:pPr>
    </w:p>
    <w:p w14:paraId="3A67454A" w14:textId="77777777" w:rsidR="00242CD1" w:rsidRDefault="00000000">
      <w:pPr>
        <w:spacing w:before="180"/>
        <w:ind w:firstLine="0"/>
        <w:rPr>
          <w:b/>
          <w:bCs/>
          <w:sz w:val="24"/>
          <w:szCs w:val="24"/>
        </w:rPr>
      </w:pPr>
      <w:r>
        <w:rPr>
          <w:b/>
          <w:bCs/>
          <w:sz w:val="24"/>
          <w:szCs w:val="24"/>
        </w:rPr>
        <w:t>Table 4</w:t>
      </w:r>
    </w:p>
    <w:p w14:paraId="26D9F429" w14:textId="77777777" w:rsidR="00242CD1" w:rsidRDefault="00000000">
      <w:pPr>
        <w:spacing w:before="180"/>
        <w:ind w:firstLine="0"/>
        <w:rPr>
          <w:i/>
          <w:iCs/>
          <w:sz w:val="24"/>
          <w:szCs w:val="24"/>
        </w:rPr>
      </w:pPr>
      <w:r>
        <w:rPr>
          <w:i/>
          <w:iCs/>
          <w:sz w:val="24"/>
          <w:szCs w:val="24"/>
        </w:rPr>
        <w:t>Multiple Regression Analysis Predicting Intention to Use AI (N=93)</w:t>
      </w:r>
    </w:p>
    <w:tbl>
      <w:tblPr>
        <w:tblStyle w:val="a2"/>
        <w:tblW w:w="8190" w:type="dxa"/>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3150"/>
        <w:gridCol w:w="1260"/>
        <w:gridCol w:w="1350"/>
        <w:gridCol w:w="1260"/>
        <w:gridCol w:w="1170"/>
      </w:tblGrid>
      <w:tr w:rsidR="00242CD1" w14:paraId="63F4A75A" w14:textId="77777777">
        <w:tc>
          <w:tcPr>
            <w:tcW w:w="3150" w:type="dxa"/>
            <w:tcBorders>
              <w:top w:val="single" w:sz="4" w:space="0" w:color="000000"/>
              <w:left w:val="nil"/>
              <w:bottom w:val="single" w:sz="4" w:space="0" w:color="000000"/>
              <w:right w:val="nil"/>
            </w:tcBorders>
          </w:tcPr>
          <w:p w14:paraId="12789F4A" w14:textId="77777777" w:rsidR="00242CD1" w:rsidRDefault="00000000">
            <w:pPr>
              <w:spacing w:after="120" w:line="240" w:lineRule="auto"/>
              <w:ind w:firstLine="0"/>
            </w:pPr>
            <w:r>
              <w:t>Predictors</w:t>
            </w:r>
          </w:p>
        </w:tc>
        <w:tc>
          <w:tcPr>
            <w:tcW w:w="1260" w:type="dxa"/>
            <w:tcBorders>
              <w:top w:val="single" w:sz="4" w:space="0" w:color="000000"/>
              <w:left w:val="nil"/>
              <w:bottom w:val="single" w:sz="4" w:space="0" w:color="000000"/>
              <w:right w:val="nil"/>
            </w:tcBorders>
          </w:tcPr>
          <w:p w14:paraId="38839DEB" w14:textId="77777777" w:rsidR="00242CD1" w:rsidRDefault="00000000">
            <w:pPr>
              <w:spacing w:after="120" w:line="240" w:lineRule="auto"/>
              <w:ind w:firstLine="0"/>
              <w:rPr>
                <w:i/>
                <w:iCs/>
              </w:rPr>
            </w:pPr>
            <w:r>
              <w:rPr>
                <w:i/>
                <w:iCs/>
              </w:rPr>
              <w:t>β</w:t>
            </w:r>
          </w:p>
        </w:tc>
        <w:tc>
          <w:tcPr>
            <w:tcW w:w="1350" w:type="dxa"/>
            <w:tcBorders>
              <w:top w:val="single" w:sz="4" w:space="0" w:color="000000"/>
              <w:left w:val="nil"/>
              <w:bottom w:val="single" w:sz="4" w:space="0" w:color="000000"/>
              <w:right w:val="nil"/>
            </w:tcBorders>
          </w:tcPr>
          <w:p w14:paraId="2C4E1784" w14:textId="77777777" w:rsidR="00242CD1" w:rsidRDefault="00000000">
            <w:pPr>
              <w:spacing w:after="120" w:line="240" w:lineRule="auto"/>
              <w:ind w:firstLine="0"/>
            </w:pPr>
            <w:r>
              <w:t>t</w:t>
            </w:r>
          </w:p>
        </w:tc>
        <w:tc>
          <w:tcPr>
            <w:tcW w:w="1260" w:type="dxa"/>
            <w:tcBorders>
              <w:top w:val="single" w:sz="4" w:space="0" w:color="000000"/>
              <w:left w:val="nil"/>
              <w:bottom w:val="single" w:sz="4" w:space="0" w:color="000000"/>
              <w:right w:val="nil"/>
            </w:tcBorders>
          </w:tcPr>
          <w:p w14:paraId="4AE8DFF2" w14:textId="77777777" w:rsidR="00242CD1" w:rsidRDefault="00000000">
            <w:pPr>
              <w:jc w:val="left"/>
              <w:rPr>
                <w:rFonts w:ascii="Cambria Math" w:eastAsia="Cambria Math" w:hAnsi="Cambria Math" w:cs="Cambria Math"/>
              </w:rPr>
            </w:pPr>
            <m:oMathPara>
              <m:oMath>
                <m:r>
                  <w:rPr>
                    <w:rFonts w:ascii="Cambria Math" w:eastAsia="Cambria Math" w:hAnsi="Cambria Math" w:cs="Cambria Math"/>
                  </w:rPr>
                  <m:t>p</m:t>
                </m:r>
              </m:oMath>
            </m:oMathPara>
          </w:p>
        </w:tc>
        <w:tc>
          <w:tcPr>
            <w:tcW w:w="1170" w:type="dxa"/>
            <w:tcBorders>
              <w:top w:val="single" w:sz="4" w:space="0" w:color="000000"/>
              <w:left w:val="nil"/>
              <w:bottom w:val="single" w:sz="4" w:space="0" w:color="000000"/>
              <w:right w:val="nil"/>
            </w:tcBorders>
          </w:tcPr>
          <w:p w14:paraId="62E41B35" w14:textId="77777777" w:rsidR="00242CD1" w:rsidRDefault="00000000">
            <w:pPr>
              <w:spacing w:after="120" w:line="240" w:lineRule="auto"/>
              <w:ind w:firstLine="0"/>
            </w:pPr>
            <w:r>
              <w:t>VIF</w:t>
            </w:r>
          </w:p>
        </w:tc>
      </w:tr>
      <w:tr w:rsidR="00242CD1" w14:paraId="73BA6FED" w14:textId="77777777">
        <w:tc>
          <w:tcPr>
            <w:tcW w:w="3150" w:type="dxa"/>
            <w:tcBorders>
              <w:top w:val="single" w:sz="4" w:space="0" w:color="000000"/>
              <w:left w:val="nil"/>
              <w:bottom w:val="single" w:sz="4" w:space="0" w:color="000000"/>
              <w:right w:val="nil"/>
            </w:tcBorders>
          </w:tcPr>
          <w:p w14:paraId="3BC52580" w14:textId="77777777" w:rsidR="00242CD1" w:rsidRDefault="00000000">
            <w:pPr>
              <w:spacing w:after="120" w:line="240" w:lineRule="auto"/>
              <w:ind w:firstLine="0"/>
            </w:pPr>
            <w:r>
              <w:t xml:space="preserve">Cognitive-Metacognitive </w:t>
            </w:r>
          </w:p>
        </w:tc>
        <w:tc>
          <w:tcPr>
            <w:tcW w:w="1260" w:type="dxa"/>
            <w:tcBorders>
              <w:top w:val="single" w:sz="4" w:space="0" w:color="000000"/>
              <w:left w:val="nil"/>
              <w:bottom w:val="single" w:sz="4" w:space="0" w:color="000000"/>
              <w:right w:val="nil"/>
            </w:tcBorders>
          </w:tcPr>
          <w:p w14:paraId="153C785E" w14:textId="77777777" w:rsidR="00242CD1" w:rsidRDefault="00000000">
            <w:pPr>
              <w:spacing w:after="120" w:line="240" w:lineRule="auto"/>
              <w:ind w:firstLine="0"/>
            </w:pPr>
            <w:r>
              <w:t>.216</w:t>
            </w:r>
          </w:p>
        </w:tc>
        <w:tc>
          <w:tcPr>
            <w:tcW w:w="1350" w:type="dxa"/>
            <w:tcBorders>
              <w:top w:val="single" w:sz="4" w:space="0" w:color="000000"/>
              <w:left w:val="nil"/>
              <w:bottom w:val="single" w:sz="4" w:space="0" w:color="000000"/>
              <w:right w:val="nil"/>
            </w:tcBorders>
          </w:tcPr>
          <w:p w14:paraId="4BE271F5" w14:textId="77777777" w:rsidR="00242CD1" w:rsidRDefault="00000000">
            <w:pPr>
              <w:spacing w:after="120" w:line="240" w:lineRule="auto"/>
              <w:ind w:firstLine="0"/>
            </w:pPr>
            <w:r>
              <w:t>2.28</w:t>
            </w:r>
          </w:p>
        </w:tc>
        <w:tc>
          <w:tcPr>
            <w:tcW w:w="1260" w:type="dxa"/>
            <w:tcBorders>
              <w:top w:val="single" w:sz="4" w:space="0" w:color="000000"/>
              <w:left w:val="nil"/>
              <w:bottom w:val="single" w:sz="4" w:space="0" w:color="000000"/>
              <w:right w:val="nil"/>
            </w:tcBorders>
          </w:tcPr>
          <w:p w14:paraId="493AAC9B" w14:textId="77777777" w:rsidR="00242CD1" w:rsidRDefault="00000000">
            <w:pPr>
              <w:spacing w:after="120" w:line="240" w:lineRule="auto"/>
              <w:ind w:firstLine="0"/>
            </w:pPr>
            <w:r>
              <w:t>.025</w:t>
            </w:r>
          </w:p>
        </w:tc>
        <w:tc>
          <w:tcPr>
            <w:tcW w:w="1170" w:type="dxa"/>
            <w:tcBorders>
              <w:top w:val="single" w:sz="4" w:space="0" w:color="000000"/>
              <w:left w:val="nil"/>
              <w:bottom w:val="single" w:sz="4" w:space="0" w:color="000000"/>
              <w:right w:val="nil"/>
            </w:tcBorders>
          </w:tcPr>
          <w:p w14:paraId="6AFC7FA9" w14:textId="77777777" w:rsidR="00242CD1" w:rsidRDefault="00000000">
            <w:pPr>
              <w:spacing w:after="120" w:line="240" w:lineRule="auto"/>
              <w:ind w:firstLine="0"/>
            </w:pPr>
            <w:r>
              <w:t>1.505</w:t>
            </w:r>
          </w:p>
        </w:tc>
      </w:tr>
      <w:tr w:rsidR="00242CD1" w14:paraId="2CA55068" w14:textId="77777777">
        <w:tc>
          <w:tcPr>
            <w:tcW w:w="3150" w:type="dxa"/>
            <w:tcBorders>
              <w:top w:val="single" w:sz="4" w:space="0" w:color="000000"/>
              <w:left w:val="nil"/>
              <w:bottom w:val="single" w:sz="4" w:space="0" w:color="000000"/>
              <w:right w:val="nil"/>
            </w:tcBorders>
          </w:tcPr>
          <w:p w14:paraId="5264C8EA" w14:textId="77777777" w:rsidR="00242CD1" w:rsidRDefault="00000000">
            <w:pPr>
              <w:spacing w:after="120" w:line="240" w:lineRule="auto"/>
              <w:ind w:firstLine="0"/>
            </w:pPr>
            <w:r>
              <w:t xml:space="preserve">Linguistic Readiness </w:t>
            </w:r>
          </w:p>
        </w:tc>
        <w:tc>
          <w:tcPr>
            <w:tcW w:w="1260" w:type="dxa"/>
            <w:tcBorders>
              <w:top w:val="single" w:sz="4" w:space="0" w:color="000000"/>
              <w:left w:val="nil"/>
              <w:bottom w:val="single" w:sz="4" w:space="0" w:color="000000"/>
              <w:right w:val="nil"/>
            </w:tcBorders>
          </w:tcPr>
          <w:p w14:paraId="7F7C8F8C" w14:textId="77777777" w:rsidR="00242CD1" w:rsidRDefault="00000000">
            <w:pPr>
              <w:spacing w:after="120" w:line="240" w:lineRule="auto"/>
              <w:ind w:firstLine="0"/>
            </w:pPr>
            <w:r>
              <w:t>.16</w:t>
            </w:r>
          </w:p>
        </w:tc>
        <w:tc>
          <w:tcPr>
            <w:tcW w:w="1350" w:type="dxa"/>
            <w:tcBorders>
              <w:top w:val="single" w:sz="4" w:space="0" w:color="000000"/>
              <w:left w:val="nil"/>
              <w:bottom w:val="single" w:sz="4" w:space="0" w:color="000000"/>
              <w:right w:val="nil"/>
            </w:tcBorders>
          </w:tcPr>
          <w:p w14:paraId="689BE631" w14:textId="77777777" w:rsidR="00242CD1" w:rsidRDefault="00000000">
            <w:pPr>
              <w:spacing w:after="120" w:line="240" w:lineRule="auto"/>
              <w:ind w:firstLine="0"/>
            </w:pPr>
            <w:r>
              <w:t>1.762</w:t>
            </w:r>
          </w:p>
        </w:tc>
        <w:tc>
          <w:tcPr>
            <w:tcW w:w="1260" w:type="dxa"/>
            <w:tcBorders>
              <w:top w:val="single" w:sz="4" w:space="0" w:color="000000"/>
              <w:left w:val="nil"/>
              <w:bottom w:val="single" w:sz="4" w:space="0" w:color="000000"/>
              <w:right w:val="nil"/>
            </w:tcBorders>
          </w:tcPr>
          <w:p w14:paraId="3FDADB37" w14:textId="77777777" w:rsidR="00242CD1" w:rsidRDefault="00000000">
            <w:pPr>
              <w:spacing w:after="120" w:line="240" w:lineRule="auto"/>
              <w:ind w:firstLine="0"/>
            </w:pPr>
            <w:r>
              <w:t>.082</w:t>
            </w:r>
          </w:p>
        </w:tc>
        <w:tc>
          <w:tcPr>
            <w:tcW w:w="1170" w:type="dxa"/>
            <w:tcBorders>
              <w:top w:val="single" w:sz="4" w:space="0" w:color="000000"/>
              <w:left w:val="nil"/>
              <w:bottom w:val="single" w:sz="4" w:space="0" w:color="000000"/>
              <w:right w:val="nil"/>
            </w:tcBorders>
          </w:tcPr>
          <w:p w14:paraId="4A1898A8" w14:textId="77777777" w:rsidR="00242CD1" w:rsidRDefault="00000000">
            <w:pPr>
              <w:spacing w:after="120" w:line="240" w:lineRule="auto"/>
              <w:ind w:firstLine="0"/>
            </w:pPr>
            <w:r>
              <w:t>1.383</w:t>
            </w:r>
          </w:p>
        </w:tc>
      </w:tr>
      <w:tr w:rsidR="00242CD1" w14:paraId="066AD3F3" w14:textId="77777777">
        <w:tc>
          <w:tcPr>
            <w:tcW w:w="3150" w:type="dxa"/>
            <w:tcBorders>
              <w:top w:val="single" w:sz="4" w:space="0" w:color="000000"/>
              <w:left w:val="nil"/>
              <w:bottom w:val="single" w:sz="4" w:space="0" w:color="000000"/>
              <w:right w:val="nil"/>
            </w:tcBorders>
          </w:tcPr>
          <w:p w14:paraId="5D0A646B" w14:textId="77777777" w:rsidR="00242CD1" w:rsidRDefault="00000000">
            <w:pPr>
              <w:spacing w:after="120" w:line="240" w:lineRule="auto"/>
              <w:ind w:firstLine="0"/>
            </w:pPr>
            <w:r>
              <w:t xml:space="preserve">Ethical Awareness </w:t>
            </w:r>
          </w:p>
        </w:tc>
        <w:tc>
          <w:tcPr>
            <w:tcW w:w="1260" w:type="dxa"/>
            <w:tcBorders>
              <w:top w:val="single" w:sz="4" w:space="0" w:color="000000"/>
              <w:left w:val="nil"/>
              <w:bottom w:val="single" w:sz="4" w:space="0" w:color="000000"/>
              <w:right w:val="nil"/>
            </w:tcBorders>
          </w:tcPr>
          <w:p w14:paraId="72BB5760" w14:textId="77777777" w:rsidR="00242CD1" w:rsidRDefault="00000000">
            <w:pPr>
              <w:spacing w:after="120" w:line="240" w:lineRule="auto"/>
              <w:ind w:firstLine="0"/>
            </w:pPr>
            <w:r>
              <w:t>.115</w:t>
            </w:r>
          </w:p>
        </w:tc>
        <w:tc>
          <w:tcPr>
            <w:tcW w:w="1350" w:type="dxa"/>
            <w:tcBorders>
              <w:top w:val="single" w:sz="4" w:space="0" w:color="000000"/>
              <w:left w:val="nil"/>
              <w:bottom w:val="single" w:sz="4" w:space="0" w:color="000000"/>
              <w:right w:val="nil"/>
            </w:tcBorders>
          </w:tcPr>
          <w:p w14:paraId="1813FD68" w14:textId="77777777" w:rsidR="00242CD1" w:rsidRDefault="00000000">
            <w:pPr>
              <w:spacing w:after="120" w:line="240" w:lineRule="auto"/>
              <w:ind w:firstLine="0"/>
            </w:pPr>
            <w:r>
              <w:t>1.23</w:t>
            </w:r>
          </w:p>
        </w:tc>
        <w:tc>
          <w:tcPr>
            <w:tcW w:w="1260" w:type="dxa"/>
            <w:tcBorders>
              <w:top w:val="single" w:sz="4" w:space="0" w:color="000000"/>
              <w:left w:val="nil"/>
              <w:bottom w:val="single" w:sz="4" w:space="0" w:color="000000"/>
              <w:right w:val="nil"/>
            </w:tcBorders>
          </w:tcPr>
          <w:p w14:paraId="51ED3840" w14:textId="77777777" w:rsidR="00242CD1" w:rsidRDefault="00000000">
            <w:pPr>
              <w:spacing w:after="120" w:line="240" w:lineRule="auto"/>
              <w:ind w:firstLine="0"/>
            </w:pPr>
            <w:r>
              <w:t>.222</w:t>
            </w:r>
          </w:p>
        </w:tc>
        <w:tc>
          <w:tcPr>
            <w:tcW w:w="1170" w:type="dxa"/>
            <w:tcBorders>
              <w:top w:val="single" w:sz="4" w:space="0" w:color="000000"/>
              <w:left w:val="nil"/>
              <w:bottom w:val="single" w:sz="4" w:space="0" w:color="000000"/>
              <w:right w:val="nil"/>
            </w:tcBorders>
          </w:tcPr>
          <w:p w14:paraId="1493D54E" w14:textId="77777777" w:rsidR="00242CD1" w:rsidRDefault="00000000">
            <w:pPr>
              <w:spacing w:after="120" w:line="240" w:lineRule="auto"/>
              <w:ind w:firstLine="0"/>
            </w:pPr>
            <w:r>
              <w:t>1.469</w:t>
            </w:r>
          </w:p>
        </w:tc>
      </w:tr>
      <w:tr w:rsidR="00242CD1" w14:paraId="2A9BBFA1" w14:textId="77777777">
        <w:tc>
          <w:tcPr>
            <w:tcW w:w="3150" w:type="dxa"/>
            <w:tcBorders>
              <w:top w:val="single" w:sz="4" w:space="0" w:color="000000"/>
              <w:left w:val="nil"/>
              <w:bottom w:val="single" w:sz="4" w:space="0" w:color="000000"/>
              <w:right w:val="nil"/>
            </w:tcBorders>
          </w:tcPr>
          <w:p w14:paraId="4B51D71C" w14:textId="77777777" w:rsidR="00242CD1" w:rsidRDefault="00000000">
            <w:pPr>
              <w:spacing w:after="120" w:line="240" w:lineRule="auto"/>
              <w:ind w:firstLine="0"/>
            </w:pPr>
            <w:r>
              <w:t xml:space="preserve">Technology: Enablers </w:t>
            </w:r>
          </w:p>
        </w:tc>
        <w:tc>
          <w:tcPr>
            <w:tcW w:w="1260" w:type="dxa"/>
            <w:tcBorders>
              <w:top w:val="single" w:sz="4" w:space="0" w:color="000000"/>
              <w:left w:val="nil"/>
              <w:bottom w:val="single" w:sz="4" w:space="0" w:color="000000"/>
              <w:right w:val="nil"/>
            </w:tcBorders>
          </w:tcPr>
          <w:p w14:paraId="1DB6321A" w14:textId="77777777" w:rsidR="00242CD1" w:rsidRDefault="00000000">
            <w:pPr>
              <w:spacing w:after="120" w:line="240" w:lineRule="auto"/>
              <w:ind w:firstLine="0"/>
            </w:pPr>
            <w:r>
              <w:t>.404</w:t>
            </w:r>
          </w:p>
        </w:tc>
        <w:tc>
          <w:tcPr>
            <w:tcW w:w="1350" w:type="dxa"/>
            <w:tcBorders>
              <w:top w:val="single" w:sz="4" w:space="0" w:color="000000"/>
              <w:left w:val="nil"/>
              <w:bottom w:val="single" w:sz="4" w:space="0" w:color="000000"/>
              <w:right w:val="nil"/>
            </w:tcBorders>
          </w:tcPr>
          <w:p w14:paraId="71ACDC9E" w14:textId="77777777" w:rsidR="00242CD1" w:rsidRDefault="00000000">
            <w:pPr>
              <w:spacing w:after="120" w:line="240" w:lineRule="auto"/>
              <w:ind w:firstLine="0"/>
            </w:pPr>
            <w:r>
              <w:t>3.841</w:t>
            </w:r>
          </w:p>
        </w:tc>
        <w:tc>
          <w:tcPr>
            <w:tcW w:w="1260" w:type="dxa"/>
            <w:tcBorders>
              <w:top w:val="single" w:sz="4" w:space="0" w:color="000000"/>
              <w:left w:val="nil"/>
              <w:bottom w:val="single" w:sz="4" w:space="0" w:color="000000"/>
              <w:right w:val="nil"/>
            </w:tcBorders>
          </w:tcPr>
          <w:p w14:paraId="0F989D0D" w14:textId="77777777" w:rsidR="00242CD1" w:rsidRDefault="00000000">
            <w:pPr>
              <w:spacing w:after="120" w:line="240" w:lineRule="auto"/>
              <w:ind w:firstLine="0"/>
            </w:pPr>
            <w:r>
              <w:t>.000</w:t>
            </w:r>
          </w:p>
        </w:tc>
        <w:tc>
          <w:tcPr>
            <w:tcW w:w="1170" w:type="dxa"/>
            <w:tcBorders>
              <w:top w:val="single" w:sz="4" w:space="0" w:color="000000"/>
              <w:left w:val="nil"/>
              <w:bottom w:val="single" w:sz="4" w:space="0" w:color="000000"/>
              <w:right w:val="nil"/>
            </w:tcBorders>
          </w:tcPr>
          <w:p w14:paraId="6CCDB4BE" w14:textId="77777777" w:rsidR="00242CD1" w:rsidRDefault="00000000">
            <w:pPr>
              <w:spacing w:after="120" w:line="240" w:lineRule="auto"/>
              <w:ind w:firstLine="0"/>
            </w:pPr>
            <w:r>
              <w:t>1.851</w:t>
            </w:r>
          </w:p>
        </w:tc>
      </w:tr>
      <w:tr w:rsidR="00242CD1" w14:paraId="36E845E6" w14:textId="77777777">
        <w:tc>
          <w:tcPr>
            <w:tcW w:w="3150" w:type="dxa"/>
            <w:tcBorders>
              <w:top w:val="single" w:sz="4" w:space="0" w:color="000000"/>
              <w:left w:val="nil"/>
              <w:bottom w:val="single" w:sz="4" w:space="0" w:color="000000"/>
              <w:right w:val="nil"/>
            </w:tcBorders>
          </w:tcPr>
          <w:p w14:paraId="34135ED4" w14:textId="77777777" w:rsidR="00242CD1" w:rsidRDefault="00000000">
            <w:pPr>
              <w:spacing w:after="120" w:line="240" w:lineRule="auto"/>
              <w:ind w:firstLine="0"/>
            </w:pPr>
            <w:r>
              <w:t xml:space="preserve">Technology: Inhibitors </w:t>
            </w:r>
          </w:p>
        </w:tc>
        <w:tc>
          <w:tcPr>
            <w:tcW w:w="1260" w:type="dxa"/>
            <w:tcBorders>
              <w:top w:val="single" w:sz="4" w:space="0" w:color="000000"/>
              <w:left w:val="nil"/>
              <w:bottom w:val="single" w:sz="4" w:space="0" w:color="000000"/>
              <w:right w:val="nil"/>
            </w:tcBorders>
          </w:tcPr>
          <w:p w14:paraId="6629AE99" w14:textId="77777777" w:rsidR="00242CD1" w:rsidRDefault="00000000">
            <w:pPr>
              <w:spacing w:after="120" w:line="240" w:lineRule="auto"/>
              <w:ind w:firstLine="0"/>
            </w:pPr>
            <w:r>
              <w:t>-.084</w:t>
            </w:r>
          </w:p>
        </w:tc>
        <w:tc>
          <w:tcPr>
            <w:tcW w:w="1350" w:type="dxa"/>
            <w:tcBorders>
              <w:top w:val="single" w:sz="4" w:space="0" w:color="000000"/>
              <w:left w:val="nil"/>
              <w:bottom w:val="single" w:sz="4" w:space="0" w:color="000000"/>
              <w:right w:val="nil"/>
            </w:tcBorders>
          </w:tcPr>
          <w:p w14:paraId="681C1DA3" w14:textId="77777777" w:rsidR="00242CD1" w:rsidRDefault="00000000">
            <w:pPr>
              <w:spacing w:after="120" w:line="240" w:lineRule="auto"/>
              <w:ind w:firstLine="0"/>
            </w:pPr>
            <w:r>
              <w:t>-1.007</w:t>
            </w:r>
          </w:p>
        </w:tc>
        <w:tc>
          <w:tcPr>
            <w:tcW w:w="1260" w:type="dxa"/>
            <w:tcBorders>
              <w:top w:val="single" w:sz="4" w:space="0" w:color="000000"/>
              <w:left w:val="nil"/>
              <w:bottom w:val="single" w:sz="4" w:space="0" w:color="000000"/>
              <w:right w:val="nil"/>
            </w:tcBorders>
          </w:tcPr>
          <w:p w14:paraId="19A9F24C" w14:textId="77777777" w:rsidR="00242CD1" w:rsidRDefault="00000000">
            <w:pPr>
              <w:spacing w:after="120" w:line="240" w:lineRule="auto"/>
              <w:ind w:firstLine="0"/>
            </w:pPr>
            <w:r>
              <w:t>.317</w:t>
            </w:r>
          </w:p>
        </w:tc>
        <w:tc>
          <w:tcPr>
            <w:tcW w:w="1170" w:type="dxa"/>
            <w:tcBorders>
              <w:top w:val="single" w:sz="4" w:space="0" w:color="000000"/>
              <w:left w:val="nil"/>
              <w:bottom w:val="single" w:sz="4" w:space="0" w:color="000000"/>
              <w:right w:val="nil"/>
            </w:tcBorders>
          </w:tcPr>
          <w:p w14:paraId="27C11FA8" w14:textId="77777777" w:rsidR="00242CD1" w:rsidRDefault="00000000">
            <w:pPr>
              <w:spacing w:after="120" w:line="240" w:lineRule="auto"/>
              <w:ind w:firstLine="0"/>
            </w:pPr>
            <w:r>
              <w:t>1.161</w:t>
            </w:r>
          </w:p>
        </w:tc>
      </w:tr>
    </w:tbl>
    <w:p w14:paraId="07CE688B" w14:textId="77777777" w:rsidR="00242CD1" w:rsidRDefault="00000000">
      <w:pPr>
        <w:spacing w:after="120" w:line="240" w:lineRule="auto"/>
        <w:ind w:firstLine="0"/>
      </w:pPr>
      <w:r>
        <w:t xml:space="preserve"> </w:t>
      </w:r>
      <w:r>
        <w:rPr>
          <w:i/>
          <w:iCs/>
        </w:rPr>
        <w:t>Note.</w:t>
      </w:r>
      <w:r>
        <w:t xml:space="preserve"> Model Statistics:</w:t>
      </w:r>
      <w:r>
        <w:rPr>
          <w:i/>
          <w:iCs/>
        </w:rPr>
        <w:t xml:space="preserve"> </w:t>
      </w:r>
      <m:oMath>
        <m:r>
          <w:rPr>
            <w:rFonts w:ascii="Cambria Math" w:eastAsia="Cambria Math" w:hAnsi="Cambria Math" w:cs="Cambria Math"/>
          </w:rPr>
          <m:t xml:space="preserve">R </m:t>
        </m:r>
      </m:oMath>
      <w:r>
        <w:t xml:space="preserve">= .693; </w:t>
      </w:r>
      <m:oMath>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eastAsia="Cambria Math" w:hAnsi="Cambria Math" w:cs="Cambria Math"/>
          </w:rPr>
          <m:t xml:space="preserve"> </m:t>
        </m:r>
      </m:oMath>
      <w:r>
        <w:t xml:space="preserve">= .480; Adjusted </w:t>
      </w:r>
      <m:oMath>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oMath>
      <w:r>
        <w:t xml:space="preserve"> = .450; </w:t>
      </w:r>
      <m:oMath>
        <m:r>
          <w:rPr>
            <w:rFonts w:ascii="Cambria Math" w:eastAsia="Cambria Math" w:hAnsi="Cambria Math" w:cs="Cambria Math"/>
          </w:rPr>
          <m:t>F</m:t>
        </m:r>
      </m:oMath>
      <w:r>
        <w:t xml:space="preserve"> = 16.052; </w:t>
      </w:r>
      <m:oMath>
        <m:r>
          <w:rPr>
            <w:rFonts w:ascii="Cambria Math" w:eastAsia="Cambria Math" w:hAnsi="Cambria Math" w:cs="Cambria Math"/>
          </w:rPr>
          <m:t>p</m:t>
        </m:r>
      </m:oMath>
      <w:r>
        <w:t xml:space="preserve"> &lt; .001.</w:t>
      </w:r>
    </w:p>
    <w:p w14:paraId="148D43C3" w14:textId="77777777" w:rsidR="00242CD1" w:rsidRDefault="00242CD1">
      <w:pPr>
        <w:spacing w:before="0" w:after="120" w:line="480" w:lineRule="auto"/>
        <w:ind w:firstLine="0"/>
        <w:rPr>
          <w:sz w:val="24"/>
          <w:szCs w:val="24"/>
        </w:rPr>
      </w:pPr>
    </w:p>
    <w:p w14:paraId="0A6D4A36" w14:textId="77777777" w:rsidR="00242CD1" w:rsidRDefault="00000000">
      <w:pPr>
        <w:spacing w:before="0" w:after="120" w:line="480" w:lineRule="auto"/>
        <w:ind w:firstLine="0"/>
        <w:rPr>
          <w:b/>
          <w:bCs/>
          <w:i/>
          <w:iCs/>
          <w:sz w:val="24"/>
          <w:szCs w:val="24"/>
        </w:rPr>
      </w:pPr>
      <w:r>
        <w:rPr>
          <w:b/>
          <w:bCs/>
          <w:i/>
          <w:iCs/>
          <w:sz w:val="24"/>
          <w:szCs w:val="24"/>
        </w:rPr>
        <w:t>4.2. Qualitative results</w:t>
      </w:r>
    </w:p>
    <w:p w14:paraId="1DC4C034" w14:textId="77777777" w:rsidR="00242CD1" w:rsidRDefault="00000000">
      <w:pPr>
        <w:spacing w:before="0" w:after="120" w:line="480" w:lineRule="auto"/>
        <w:ind w:firstLine="0"/>
        <w:rPr>
          <w:b/>
          <w:bCs/>
          <w:i/>
          <w:iCs/>
          <w:sz w:val="24"/>
          <w:szCs w:val="24"/>
        </w:rPr>
      </w:pPr>
      <w:r>
        <w:rPr>
          <w:i/>
          <w:iCs/>
          <w:sz w:val="24"/>
          <w:szCs w:val="24"/>
        </w:rPr>
        <w:t>4.2.1. Cognitive–Metacognitive Readiness in AI-Supported Writing</w:t>
      </w:r>
    </w:p>
    <w:p w14:paraId="200E426A" w14:textId="77777777" w:rsidR="00242CD1" w:rsidRDefault="00000000">
      <w:pPr>
        <w:spacing w:before="0" w:after="120" w:line="480" w:lineRule="auto"/>
        <w:rPr>
          <w:sz w:val="24"/>
          <w:szCs w:val="24"/>
        </w:rPr>
      </w:pPr>
      <w:r>
        <w:rPr>
          <w:sz w:val="24"/>
          <w:szCs w:val="24"/>
        </w:rPr>
        <w:t xml:space="preserve">All participants demonstrated clear awareness of the AI’s limitations and mentioned critical thinking as an indispensable part of their writing process. However, clear differences </w:t>
      </w:r>
      <w:r>
        <w:rPr>
          <w:sz w:val="24"/>
          <w:szCs w:val="24"/>
        </w:rPr>
        <w:lastRenderedPageBreak/>
        <w:t>emerged across proficiency levels. Upper-intermediate students (S1 and S5) exhibited strong metacognitive readiness through initiating questioning of the output reliability and establishing personal benchmarks.</w:t>
      </w:r>
    </w:p>
    <w:p w14:paraId="5E16A6D6" w14:textId="77777777" w:rsidR="00242CD1" w:rsidRDefault="00000000">
      <w:pPr>
        <w:spacing w:before="0" w:after="120" w:line="480" w:lineRule="auto"/>
        <w:ind w:left="720" w:firstLine="0"/>
        <w:rPr>
          <w:i/>
          <w:iCs/>
          <w:sz w:val="24"/>
          <w:szCs w:val="24"/>
        </w:rPr>
      </w:pPr>
      <w:r>
        <w:rPr>
          <w:i/>
          <w:iCs/>
          <w:sz w:val="24"/>
          <w:szCs w:val="24"/>
        </w:rPr>
        <w:t>“I use AI to assist me with brainstorming ideas. Right from the start, … I need to refine that topic to see if it's practically suitable, as well as get ideas on what exactly I should cover within that topic.” (S1)</w:t>
      </w:r>
    </w:p>
    <w:p w14:paraId="260B40C7" w14:textId="77777777" w:rsidR="00242CD1" w:rsidRDefault="00000000">
      <w:pPr>
        <w:spacing w:before="0" w:after="120" w:line="480" w:lineRule="auto"/>
        <w:ind w:left="720" w:firstLine="0"/>
        <w:rPr>
          <w:i/>
          <w:iCs/>
          <w:sz w:val="24"/>
          <w:szCs w:val="24"/>
        </w:rPr>
      </w:pPr>
      <w:r>
        <w:rPr>
          <w:i/>
          <w:iCs/>
          <w:sz w:val="24"/>
          <w:szCs w:val="24"/>
        </w:rPr>
        <w:t>“Typically, I'm confident with a 70-30 ratio, where 70% comes from personal effort, and the remaining 30% comes from AI.” (S5)</w:t>
      </w:r>
    </w:p>
    <w:p w14:paraId="18C0CE63" w14:textId="77777777" w:rsidR="00242CD1" w:rsidRDefault="00000000">
      <w:pPr>
        <w:spacing w:before="0" w:after="120" w:line="480" w:lineRule="auto"/>
        <w:rPr>
          <w:sz w:val="24"/>
          <w:szCs w:val="24"/>
        </w:rPr>
      </w:pPr>
      <w:r>
        <w:rPr>
          <w:sz w:val="24"/>
          <w:szCs w:val="24"/>
        </w:rPr>
        <w:t>Conversely, intermediate students (S2 and S3) were more inclined to interact with AI tools through direct experience instead of anticipatory planning. Both S2 and S3 described the cases when AI provided them with inaccurate information and responded by cross-referencing with Google or other AI platforms.</w:t>
      </w:r>
    </w:p>
    <w:p w14:paraId="37BA795E" w14:textId="77777777" w:rsidR="00242CD1" w:rsidRDefault="00000000">
      <w:pPr>
        <w:spacing w:before="0" w:after="120" w:line="480" w:lineRule="auto"/>
        <w:ind w:firstLine="0"/>
        <w:rPr>
          <w:b/>
          <w:bCs/>
          <w:sz w:val="24"/>
          <w:szCs w:val="24"/>
        </w:rPr>
      </w:pPr>
      <w:r>
        <w:rPr>
          <w:i/>
          <w:iCs/>
          <w:sz w:val="24"/>
          <w:szCs w:val="24"/>
        </w:rPr>
        <w:t>4.2.2. Linguistic Readiness for AI Usage</w:t>
      </w:r>
    </w:p>
    <w:p w14:paraId="07CED6FB" w14:textId="77777777" w:rsidR="00242CD1" w:rsidRDefault="00000000">
      <w:pPr>
        <w:spacing w:before="0" w:after="120" w:line="480" w:lineRule="auto"/>
        <w:rPr>
          <w:sz w:val="24"/>
          <w:szCs w:val="24"/>
        </w:rPr>
      </w:pPr>
      <w:r>
        <w:rPr>
          <w:sz w:val="24"/>
          <w:szCs w:val="24"/>
        </w:rPr>
        <w:t xml:space="preserve">The results of the interview illustrated the greatest distinction between the two proficiency groups. The upper-intermediate students </w:t>
      </w:r>
      <w:proofErr w:type="spellStart"/>
      <w:r>
        <w:rPr>
          <w:sz w:val="24"/>
          <w:szCs w:val="24"/>
        </w:rPr>
        <w:t>emphasised</w:t>
      </w:r>
      <w:proofErr w:type="spellEnd"/>
      <w:r>
        <w:rPr>
          <w:sz w:val="24"/>
          <w:szCs w:val="24"/>
        </w:rPr>
        <w:t xml:space="preserve"> that they primarily utilized AI to polish their expression and enhance academic writing skills, whereas the intermediate-proficiency students considered AI as one of the means to compensate for their language shortcomings.</w:t>
      </w:r>
    </w:p>
    <w:p w14:paraId="251A07C5" w14:textId="77777777" w:rsidR="00242CD1" w:rsidRDefault="00000000">
      <w:pPr>
        <w:spacing w:before="0" w:after="120" w:line="480" w:lineRule="auto"/>
        <w:ind w:left="720" w:firstLine="0"/>
        <w:rPr>
          <w:i/>
          <w:iCs/>
          <w:sz w:val="24"/>
          <w:szCs w:val="24"/>
        </w:rPr>
      </w:pPr>
      <w:r>
        <w:rPr>
          <w:i/>
          <w:iCs/>
          <w:sz w:val="24"/>
          <w:szCs w:val="24"/>
        </w:rPr>
        <w:t>“I could say I have to use AI to ask it things like, "How can I write this more formally?", and it guides me in several ways … AI is just there to support and give suggestions.” (S1)</w:t>
      </w:r>
    </w:p>
    <w:p w14:paraId="72A8C6F6" w14:textId="77777777" w:rsidR="00242CD1" w:rsidRDefault="00000000">
      <w:pPr>
        <w:spacing w:before="0" w:after="120" w:line="480" w:lineRule="auto"/>
        <w:rPr>
          <w:sz w:val="24"/>
          <w:szCs w:val="24"/>
        </w:rPr>
      </w:pPr>
      <w:r>
        <w:rPr>
          <w:sz w:val="24"/>
          <w:szCs w:val="24"/>
        </w:rPr>
        <w:t>Specifically, S2 conveyed feelings of insecurity when comparing their own work to AI-generated texts and uncertainty about their ability to achieve the required score without that assistance.</w:t>
      </w:r>
    </w:p>
    <w:p w14:paraId="4FE5C6A0" w14:textId="77777777" w:rsidR="00242CD1" w:rsidRDefault="00000000">
      <w:pPr>
        <w:spacing w:before="0" w:after="120" w:line="480" w:lineRule="auto"/>
        <w:ind w:left="720" w:firstLine="0"/>
        <w:rPr>
          <w:i/>
          <w:iCs/>
          <w:sz w:val="24"/>
          <w:szCs w:val="24"/>
        </w:rPr>
      </w:pPr>
      <w:r>
        <w:rPr>
          <w:i/>
          <w:iCs/>
          <w:sz w:val="24"/>
          <w:szCs w:val="24"/>
        </w:rPr>
        <w:lastRenderedPageBreak/>
        <w:t>“Sometimes, I feel like I'm becoming too dependent on this AI. And without it, I don't know how long it would take me to achieve my target score.” (S2)</w:t>
      </w:r>
    </w:p>
    <w:p w14:paraId="3D01BA52" w14:textId="77777777" w:rsidR="00242CD1" w:rsidRDefault="00000000">
      <w:pPr>
        <w:spacing w:before="0" w:after="120" w:line="480" w:lineRule="auto"/>
        <w:ind w:firstLine="0"/>
        <w:rPr>
          <w:b/>
          <w:bCs/>
          <w:sz w:val="24"/>
          <w:szCs w:val="24"/>
        </w:rPr>
      </w:pPr>
      <w:r>
        <w:rPr>
          <w:i/>
          <w:iCs/>
          <w:sz w:val="24"/>
          <w:szCs w:val="24"/>
        </w:rPr>
        <w:t>4.2.3. Ethical and Responsible Awareness in AI Use</w:t>
      </w:r>
    </w:p>
    <w:p w14:paraId="0655BF99" w14:textId="77777777" w:rsidR="00242CD1" w:rsidRDefault="00000000">
      <w:pPr>
        <w:spacing w:before="0" w:after="120" w:line="480" w:lineRule="auto"/>
        <w:rPr>
          <w:sz w:val="24"/>
          <w:szCs w:val="24"/>
        </w:rPr>
      </w:pPr>
      <w:r>
        <w:rPr>
          <w:sz w:val="24"/>
          <w:szCs w:val="24"/>
        </w:rPr>
        <w:t>All participants set boundaries on their AI usage, but their self-regulation mechanisms differed considerably. S1 made a clear distinction between “the application of AI tools to support” and “copy-paste”. Additionally, S1 added “human perspectives” to prevent a mechanical writing style. S2 established a technical indicator of AI under 30 per cent. S3 used metaphors, the pillars and the roof, to illustrate a real sense of the border between support and replacement.</w:t>
      </w:r>
    </w:p>
    <w:p w14:paraId="22A401F6" w14:textId="77777777" w:rsidR="00242CD1" w:rsidRDefault="00000000">
      <w:pPr>
        <w:spacing w:before="0" w:after="120" w:line="480" w:lineRule="auto"/>
        <w:ind w:left="720" w:firstLine="0"/>
        <w:rPr>
          <w:i/>
          <w:iCs/>
          <w:sz w:val="24"/>
          <w:szCs w:val="24"/>
        </w:rPr>
      </w:pPr>
      <w:r>
        <w:rPr>
          <w:i/>
          <w:iCs/>
          <w:sz w:val="24"/>
          <w:szCs w:val="24"/>
        </w:rPr>
        <w:t>“The principle I always apply is that AI provides the foundation for my work. I just need to step up and build the pillars and roof myself to complete my part.” (S3)</w:t>
      </w:r>
    </w:p>
    <w:p w14:paraId="08EC08BF" w14:textId="77777777" w:rsidR="00242CD1" w:rsidRDefault="00000000">
      <w:pPr>
        <w:spacing w:before="0" w:after="120" w:line="480" w:lineRule="auto"/>
        <w:rPr>
          <w:sz w:val="24"/>
          <w:szCs w:val="24"/>
        </w:rPr>
      </w:pPr>
      <w:r>
        <w:rPr>
          <w:sz w:val="24"/>
          <w:szCs w:val="24"/>
        </w:rPr>
        <w:t>S5 applied the principle of using AI for one section, then independently wrote the following sections, demonstrating a remarkable finding regarding the structured self-regulation mechanism and practical applications of AI in academic writing.</w:t>
      </w:r>
    </w:p>
    <w:p w14:paraId="62183AB6" w14:textId="77777777" w:rsidR="00242CD1" w:rsidRDefault="00000000">
      <w:pPr>
        <w:spacing w:before="0" w:after="120" w:line="480" w:lineRule="auto"/>
        <w:ind w:firstLine="0"/>
        <w:rPr>
          <w:b/>
          <w:bCs/>
          <w:sz w:val="24"/>
          <w:szCs w:val="24"/>
        </w:rPr>
      </w:pPr>
      <w:r>
        <w:rPr>
          <w:i/>
          <w:iCs/>
          <w:sz w:val="24"/>
          <w:szCs w:val="24"/>
        </w:rPr>
        <w:t>4.2.4. Technology Readiness</w:t>
      </w:r>
    </w:p>
    <w:p w14:paraId="56914237" w14:textId="77777777" w:rsidR="00242CD1" w:rsidRDefault="00000000">
      <w:pPr>
        <w:spacing w:before="0" w:after="120" w:line="480" w:lineRule="auto"/>
        <w:rPr>
          <w:sz w:val="24"/>
          <w:szCs w:val="24"/>
        </w:rPr>
      </w:pPr>
      <w:r>
        <w:rPr>
          <w:sz w:val="24"/>
          <w:szCs w:val="24"/>
        </w:rPr>
        <w:t>All participants were in a positive state and ready to experiment with new tools. The approach to new tools was consistent, including trying with simple questions first, comparing with the old tools, and then applying it to the actual task (S2, S3, and S4). S1 focused on paid work and "training" AI according to individual needs.</w:t>
      </w:r>
    </w:p>
    <w:p w14:paraId="1DA6199D" w14:textId="77777777" w:rsidR="00242CD1" w:rsidRDefault="00000000">
      <w:pPr>
        <w:spacing w:before="0" w:after="120" w:line="480" w:lineRule="auto"/>
        <w:ind w:left="720" w:firstLine="0"/>
        <w:rPr>
          <w:i/>
          <w:iCs/>
          <w:sz w:val="24"/>
          <w:szCs w:val="24"/>
        </w:rPr>
      </w:pPr>
      <w:r>
        <w:rPr>
          <w:i/>
          <w:iCs/>
          <w:sz w:val="24"/>
          <w:szCs w:val="24"/>
        </w:rPr>
        <w:t>“I have to train and evaluate AI’s authenticity through data, difficult problems or things I pose for it to solve.” (S1)</w:t>
      </w:r>
    </w:p>
    <w:p w14:paraId="08316984" w14:textId="77777777" w:rsidR="00242CD1" w:rsidRDefault="00000000">
      <w:pPr>
        <w:spacing w:before="0" w:after="120" w:line="480" w:lineRule="auto"/>
        <w:rPr>
          <w:sz w:val="24"/>
          <w:szCs w:val="24"/>
        </w:rPr>
      </w:pPr>
      <w:r>
        <w:rPr>
          <w:sz w:val="24"/>
          <w:szCs w:val="24"/>
        </w:rPr>
        <w:t xml:space="preserve">While S2 was the only case showing genuine concern about how much time they needed to reach their expected score without the AI support, the other participants perceived </w:t>
      </w:r>
      <w:r>
        <w:rPr>
          <w:sz w:val="24"/>
          <w:szCs w:val="24"/>
        </w:rPr>
        <w:lastRenderedPageBreak/>
        <w:t>the risk of dependence but were not overly anxious. By contrast, neither upper-intermediate English learner was worried about AI disappearing.</w:t>
      </w:r>
    </w:p>
    <w:p w14:paraId="6AA99962" w14:textId="77777777" w:rsidR="00242CD1" w:rsidRDefault="00000000">
      <w:pPr>
        <w:spacing w:before="0" w:after="120" w:line="480" w:lineRule="auto"/>
        <w:ind w:firstLine="0"/>
        <w:jc w:val="center"/>
        <w:rPr>
          <w:b/>
          <w:bCs/>
          <w:sz w:val="24"/>
          <w:szCs w:val="24"/>
        </w:rPr>
      </w:pPr>
      <w:r>
        <w:rPr>
          <w:b/>
          <w:bCs/>
          <w:sz w:val="24"/>
          <w:szCs w:val="24"/>
        </w:rPr>
        <w:t>5. Discussion</w:t>
      </w:r>
    </w:p>
    <w:p w14:paraId="076E39CB" w14:textId="77777777" w:rsidR="00242CD1" w:rsidRDefault="00000000">
      <w:pPr>
        <w:spacing w:before="0" w:after="120" w:line="480" w:lineRule="auto"/>
        <w:ind w:firstLine="0"/>
        <w:rPr>
          <w:b/>
          <w:bCs/>
          <w:i/>
          <w:iCs/>
          <w:sz w:val="24"/>
          <w:szCs w:val="24"/>
        </w:rPr>
      </w:pPr>
      <w:r>
        <w:rPr>
          <w:b/>
          <w:bCs/>
          <w:i/>
          <w:iCs/>
          <w:sz w:val="24"/>
          <w:szCs w:val="24"/>
        </w:rPr>
        <w:t>5.1. Students’ Readiness for AI-Supported Academic Writing</w:t>
      </w:r>
    </w:p>
    <w:p w14:paraId="2AABD785" w14:textId="77777777" w:rsidR="00242CD1" w:rsidRDefault="00000000">
      <w:pPr>
        <w:spacing w:before="0" w:after="120" w:line="480" w:lineRule="auto"/>
        <w:rPr>
          <w:sz w:val="24"/>
          <w:szCs w:val="24"/>
        </w:rPr>
      </w:pPr>
      <w:r>
        <w:rPr>
          <w:sz w:val="24"/>
          <w:szCs w:val="24"/>
        </w:rPr>
        <w:t>Notably, the highest mean score (M = 4.17) of Cognitive-Metacognitive Readiness indicates that participants have self-regulated learning abilities, which entail the process of planning, monitoring, and evaluating AI-generated content. This result is consistent with the study of Tezer (2025), which showed that AI systems promote metacognitive engagement, an essential process that allows learners to acquire knowledge actively and adjust their learning methods strategically.</w:t>
      </w:r>
    </w:p>
    <w:p w14:paraId="1D77DAB1" w14:textId="77777777" w:rsidR="00242CD1" w:rsidRDefault="00000000">
      <w:pPr>
        <w:spacing w:before="0" w:after="120" w:line="480" w:lineRule="auto"/>
        <w:rPr>
          <w:sz w:val="24"/>
          <w:szCs w:val="24"/>
        </w:rPr>
      </w:pPr>
      <w:r>
        <w:rPr>
          <w:sz w:val="24"/>
          <w:szCs w:val="24"/>
        </w:rPr>
        <w:t>Simultaneously, the relatively high scores for Technology Enablers and Ethical Awareness dimensions suggested that students’ intention to use AI may be associated not only with access to technology but also with responsible engagement with AI tools. This finding represents a broader understanding of AI literacy among EFL undergraduates, beyond technical proficiency, entailing the scope of evaluation, metacognition, and ethical responsibility in AI-supported academic writing practices (</w:t>
      </w:r>
      <w:proofErr w:type="spellStart"/>
      <w:r>
        <w:rPr>
          <w:sz w:val="24"/>
          <w:szCs w:val="24"/>
        </w:rPr>
        <w:t>Adamakis</w:t>
      </w:r>
      <w:proofErr w:type="spellEnd"/>
      <w:r>
        <w:rPr>
          <w:sz w:val="24"/>
          <w:szCs w:val="24"/>
        </w:rPr>
        <w:t xml:space="preserve"> &amp; Rachiotis, 2025).</w:t>
      </w:r>
    </w:p>
    <w:p w14:paraId="1A0D75D2" w14:textId="77777777" w:rsidR="00242CD1" w:rsidRDefault="00000000">
      <w:pPr>
        <w:spacing w:before="0" w:after="120" w:line="480" w:lineRule="auto"/>
        <w:rPr>
          <w:sz w:val="24"/>
          <w:szCs w:val="24"/>
        </w:rPr>
      </w:pPr>
      <w:r>
        <w:rPr>
          <w:sz w:val="24"/>
          <w:szCs w:val="24"/>
        </w:rPr>
        <w:t xml:space="preserve">However, the mean score of the Technology Inhibitors was relatively low, suggesting that a group of learners still experienced digital anxiety and insecurity. This finding aligns with a study by </w:t>
      </w:r>
      <w:proofErr w:type="spellStart"/>
      <w:r>
        <w:rPr>
          <w:sz w:val="24"/>
          <w:szCs w:val="24"/>
        </w:rPr>
        <w:t>Almusharraf</w:t>
      </w:r>
      <w:proofErr w:type="spellEnd"/>
      <w:r>
        <w:rPr>
          <w:sz w:val="24"/>
          <w:szCs w:val="24"/>
        </w:rPr>
        <w:t xml:space="preserve"> (2026), which shows that learner anxiety is a relevant factor in the context of AI-assisted writing, where perceived usefulness is coupled with increased anxiety when using AI chatbots for writing in English as a second language.</w:t>
      </w:r>
    </w:p>
    <w:p w14:paraId="116DB1A3" w14:textId="77777777" w:rsidR="00242CD1" w:rsidRDefault="00000000">
      <w:pPr>
        <w:spacing w:before="0" w:after="120" w:line="480" w:lineRule="auto"/>
        <w:rPr>
          <w:sz w:val="24"/>
          <w:szCs w:val="24"/>
        </w:rPr>
      </w:pPr>
      <w:r>
        <w:rPr>
          <w:sz w:val="24"/>
          <w:szCs w:val="24"/>
        </w:rPr>
        <w:t xml:space="preserve">The difference in mean values between Cognitive-Metacognitive Readiness and Linguistic Readiness can be interpreted through the self-regulated learning theory (Zimmerman, 2002), which assumes that learners become more sensitive to their linguistic </w:t>
      </w:r>
      <w:r>
        <w:rPr>
          <w:sz w:val="24"/>
          <w:szCs w:val="24"/>
        </w:rPr>
        <w:lastRenderedPageBreak/>
        <w:t>constraints as they become more strategically aware. Recent studies indicate that students with an advanced metacognitive capacity are more readily engaged in the process of critical evaluation, revision, and strategic adaptation; thus, they are also more likely to become aware of the gaps in their linguistic accuracy and sensitivity (Sun &amp; Wang, 2020; Teng, 2025).</w:t>
      </w:r>
    </w:p>
    <w:p w14:paraId="38448478" w14:textId="77777777" w:rsidR="00242CD1" w:rsidRDefault="00000000">
      <w:pPr>
        <w:spacing w:before="0" w:after="120" w:line="480" w:lineRule="auto"/>
        <w:rPr>
          <w:sz w:val="24"/>
          <w:szCs w:val="24"/>
        </w:rPr>
      </w:pPr>
      <w:r>
        <w:rPr>
          <w:sz w:val="24"/>
          <w:szCs w:val="24"/>
        </w:rPr>
        <w:t xml:space="preserve">The variations in AI readiness dimensions were further illuminated by qualitative data from participants with different levels of English proficiency. Even though all interviewees were conscious of the constraints of AI tools and the significance of critical thinking, upper-intermediate-English-level students displayed a greater level of self-management through the process of developing outlines, testing reliability and setting personal benchmarks. The intermediate-English-level students, in turn, were more passive in their attitude towards AI, as they mostly verified AI-generated texts only when they suddenly detected a potential error. </w:t>
      </w:r>
    </w:p>
    <w:p w14:paraId="379AC9A9" w14:textId="77777777" w:rsidR="00242CD1" w:rsidRDefault="00000000">
      <w:pPr>
        <w:spacing w:before="0" w:after="120" w:line="480" w:lineRule="auto"/>
        <w:ind w:firstLine="0"/>
        <w:rPr>
          <w:b/>
          <w:bCs/>
          <w:i/>
          <w:iCs/>
          <w:sz w:val="24"/>
          <w:szCs w:val="24"/>
        </w:rPr>
      </w:pPr>
      <w:r>
        <w:rPr>
          <w:b/>
          <w:bCs/>
          <w:i/>
          <w:iCs/>
          <w:sz w:val="24"/>
          <w:szCs w:val="24"/>
        </w:rPr>
        <w:t>5.2. Relationships among Readiness Dimensions and Intention to Use AI</w:t>
      </w:r>
    </w:p>
    <w:p w14:paraId="4837189C" w14:textId="77777777" w:rsidR="00242CD1" w:rsidRDefault="00000000">
      <w:pPr>
        <w:spacing w:before="0" w:after="120" w:line="480" w:lineRule="auto"/>
        <w:rPr>
          <w:sz w:val="24"/>
          <w:szCs w:val="24"/>
        </w:rPr>
      </w:pPr>
      <w:r>
        <w:rPr>
          <w:sz w:val="24"/>
          <w:szCs w:val="24"/>
        </w:rPr>
        <w:t xml:space="preserve">The results of the Pearson correlation analysis largely confirm Hypothesis H1, indicating that most aspects of readiness examined in this study are positively correlated with students’ intention to use AI tools in academic writing. Specifically, the strongest bivariate association between Technology Enablers and Intention to Use implies that a positive and active approach toward technology identifies the willingness of students to adopt AI tools. This finding is aligned with the study </w:t>
      </w:r>
      <w:proofErr w:type="gramStart"/>
      <w:r>
        <w:rPr>
          <w:sz w:val="24"/>
          <w:szCs w:val="24"/>
        </w:rPr>
        <w:t>of  Dahri</w:t>
      </w:r>
      <w:proofErr w:type="gramEnd"/>
      <w:r>
        <w:rPr>
          <w:sz w:val="24"/>
          <w:szCs w:val="24"/>
        </w:rPr>
        <w:t xml:space="preserve"> et al. (2024), who propose that the enabling conditions and the perceived self-efficacy within the AI-interacting environment are crucial determinants of AI adoption.</w:t>
      </w:r>
    </w:p>
    <w:p w14:paraId="04B7E5B4" w14:textId="77777777" w:rsidR="00242CD1" w:rsidRDefault="00000000">
      <w:pPr>
        <w:spacing w:before="0" w:after="120" w:line="480" w:lineRule="auto"/>
        <w:rPr>
          <w:sz w:val="24"/>
          <w:szCs w:val="24"/>
        </w:rPr>
      </w:pPr>
      <w:r>
        <w:rPr>
          <w:sz w:val="24"/>
          <w:szCs w:val="24"/>
        </w:rPr>
        <w:t xml:space="preserve">The fact that there was no statistically significant correlation between Technology Inhibitors and Intention to Use is further clarified by qualitative data. In other words, technological barriers do not seem sufficient to influence English major undergraduates’ intention to use AI. For upper intermediate-level students (S1, S5), AI tools play a more </w:t>
      </w:r>
      <w:r>
        <w:rPr>
          <w:sz w:val="24"/>
          <w:szCs w:val="24"/>
        </w:rPr>
        <w:lastRenderedPageBreak/>
        <w:t xml:space="preserve">supportive than essential role; as a result, these students expressed little concern if AI becomes unavailable. Conversely, S2, an intermediate-level student, was particularly concerned that his grades might be affected without the support of AI tools. </w:t>
      </w:r>
    </w:p>
    <w:p w14:paraId="1DF3D361" w14:textId="77777777" w:rsidR="00242CD1" w:rsidRDefault="00000000">
      <w:pPr>
        <w:spacing w:before="0" w:after="120" w:line="480" w:lineRule="auto"/>
        <w:rPr>
          <w:sz w:val="24"/>
          <w:szCs w:val="24"/>
        </w:rPr>
      </w:pPr>
      <w:r>
        <w:rPr>
          <w:sz w:val="24"/>
          <w:szCs w:val="24"/>
        </w:rPr>
        <w:t xml:space="preserve">Moreover, the relationship between Intention to Use and Ethical Awareness was further contextualized by the qualitative results. In particular, the interviewees demonstrated multiple attitudes towards the ethical responsibility of AI usage, such as balancing human-AI cooperation and complying with the principle of less than 30% AI content. </w:t>
      </w:r>
    </w:p>
    <w:p w14:paraId="2E00F16D" w14:textId="77777777" w:rsidR="00242CD1" w:rsidRDefault="00000000">
      <w:pPr>
        <w:spacing w:before="0" w:after="120" w:line="480" w:lineRule="auto"/>
        <w:ind w:firstLine="0"/>
        <w:rPr>
          <w:b/>
          <w:bCs/>
          <w:i/>
          <w:iCs/>
          <w:sz w:val="24"/>
          <w:szCs w:val="24"/>
        </w:rPr>
      </w:pPr>
      <w:r>
        <w:rPr>
          <w:b/>
          <w:bCs/>
          <w:i/>
          <w:iCs/>
          <w:sz w:val="24"/>
          <w:szCs w:val="24"/>
        </w:rPr>
        <w:t>5.3. Predictive Power of Readiness Dimensions</w:t>
      </w:r>
    </w:p>
    <w:p w14:paraId="753ABD7C" w14:textId="77777777" w:rsidR="00242CD1" w:rsidRDefault="00000000">
      <w:pPr>
        <w:spacing w:before="0" w:after="120" w:line="480" w:lineRule="auto"/>
        <w:rPr>
          <w:sz w:val="24"/>
          <w:szCs w:val="24"/>
        </w:rPr>
      </w:pPr>
      <w:r>
        <w:rPr>
          <w:sz w:val="24"/>
          <w:szCs w:val="24"/>
        </w:rPr>
        <w:t>The regression analysis results showed a differentiated pattern when considering the predictive power of readiness dimensions on EFL undergraduates’ intention to adopt AI tools for academic writing. The regression coefficient of Cognitive-Metacognitive Readiness showed significant influence on Intention to Use, thus confirming Hypothesis H2a. Nevertheless, contrary to Hypothesis H3, which suggested that Cognitive-Metacognitive Readiness is the strongest predictor of Intention to Use, the regression results demonstrated that Technology Enablers had a more substantial predictive effect.</w:t>
      </w:r>
    </w:p>
    <w:p w14:paraId="6984248C" w14:textId="77777777" w:rsidR="00242CD1" w:rsidRDefault="00000000">
      <w:pPr>
        <w:spacing w:before="0" w:after="120" w:line="480" w:lineRule="auto"/>
        <w:rPr>
          <w:sz w:val="24"/>
          <w:szCs w:val="24"/>
        </w:rPr>
      </w:pPr>
      <w:r>
        <w:rPr>
          <w:sz w:val="24"/>
          <w:szCs w:val="24"/>
        </w:rPr>
        <w:t>On the other hand, Technology Inhibitors did not have a statistically significant effect on Intention to Use, which implies that the sentiment of discomfort or insecurity can be alleviated by perceived benefits and increased familiarity with AI tools. Based on the current findings, optimism and willingness to experiment with AI appeared to be driving factors for technology use; this is in line with the Technology Readiness Index (Parasuraman, 2000), which suggests that a lack of anxiety does not necessarily mean that learners do not perceive barriers, such as concerns about reliability or over-reliance on AI. Additionally, these results correspond to a recent study that highlights the crucial role of positive beliefs about technology in influencing the intention to use AI (</w:t>
      </w:r>
      <w:proofErr w:type="spellStart"/>
      <w:r>
        <w:rPr>
          <w:sz w:val="24"/>
          <w:szCs w:val="24"/>
        </w:rPr>
        <w:t>Sustangingrum</w:t>
      </w:r>
      <w:proofErr w:type="spellEnd"/>
      <w:r>
        <w:rPr>
          <w:sz w:val="24"/>
          <w:szCs w:val="24"/>
        </w:rPr>
        <w:t xml:space="preserve"> &amp; </w:t>
      </w:r>
      <w:proofErr w:type="spellStart"/>
      <w:r>
        <w:rPr>
          <w:sz w:val="24"/>
          <w:szCs w:val="24"/>
        </w:rPr>
        <w:t>Haldaka</w:t>
      </w:r>
      <w:proofErr w:type="spellEnd"/>
      <w:r>
        <w:rPr>
          <w:sz w:val="24"/>
          <w:szCs w:val="24"/>
        </w:rPr>
        <w:t>, 2025).</w:t>
      </w:r>
    </w:p>
    <w:p w14:paraId="0D7AFB49" w14:textId="77777777" w:rsidR="00242CD1" w:rsidRDefault="00000000">
      <w:pPr>
        <w:spacing w:before="0" w:after="120" w:line="480" w:lineRule="auto"/>
        <w:rPr>
          <w:sz w:val="24"/>
          <w:szCs w:val="24"/>
        </w:rPr>
      </w:pPr>
      <w:r>
        <w:rPr>
          <w:sz w:val="24"/>
          <w:szCs w:val="24"/>
        </w:rPr>
        <w:lastRenderedPageBreak/>
        <w:t xml:space="preserve">In opposition to hypotheses H2b and H2c, Linguistic Readiness and Ethical Awareness were not significant predictors of Intention to Use in the multivariate model, even though both dimensions were significantly correlated with Intention to Use in the bivariate correlation analysis. </w:t>
      </w:r>
    </w:p>
    <w:p w14:paraId="4206CCA0" w14:textId="77777777" w:rsidR="00242CD1" w:rsidRDefault="00000000">
      <w:pPr>
        <w:spacing w:before="0" w:after="120" w:line="480" w:lineRule="auto"/>
        <w:rPr>
          <w:sz w:val="24"/>
          <w:szCs w:val="24"/>
        </w:rPr>
      </w:pPr>
      <w:r>
        <w:rPr>
          <w:sz w:val="24"/>
          <w:szCs w:val="24"/>
        </w:rPr>
        <w:t xml:space="preserve">Taken together, these findings suggest that cognitive-metacognitive and ethical preparation play an essential role in guiding how AI is used, rather than directly determining students’ intention to adopt AI. Nevertheless, EFL undergraduates’ intention to apply AI in academic writing appears to be largely dependent on their attitudes towards technological support, previous positive experiences, and self-regulation in the use of AI tools. </w:t>
      </w:r>
    </w:p>
    <w:p w14:paraId="19E4FD4E" w14:textId="77777777" w:rsidR="00242CD1" w:rsidRDefault="00000000">
      <w:pPr>
        <w:spacing w:before="0" w:after="120" w:line="480" w:lineRule="auto"/>
        <w:ind w:firstLine="0"/>
        <w:jc w:val="center"/>
        <w:rPr>
          <w:sz w:val="24"/>
          <w:szCs w:val="24"/>
        </w:rPr>
      </w:pPr>
      <w:r>
        <w:rPr>
          <w:b/>
          <w:bCs/>
          <w:sz w:val="24"/>
          <w:szCs w:val="24"/>
        </w:rPr>
        <w:t>6.</w:t>
      </w:r>
      <w:r>
        <w:rPr>
          <w:sz w:val="24"/>
          <w:szCs w:val="24"/>
        </w:rPr>
        <w:t xml:space="preserve"> </w:t>
      </w:r>
      <w:r>
        <w:rPr>
          <w:b/>
          <w:bCs/>
          <w:sz w:val="24"/>
          <w:szCs w:val="24"/>
        </w:rPr>
        <w:t>Conclusion</w:t>
      </w:r>
    </w:p>
    <w:p w14:paraId="00D65163" w14:textId="77777777" w:rsidR="00242CD1" w:rsidRDefault="00000000">
      <w:pPr>
        <w:spacing w:before="0" w:after="120" w:line="480" w:lineRule="auto"/>
        <w:rPr>
          <w:sz w:val="24"/>
          <w:szCs w:val="24"/>
        </w:rPr>
      </w:pPr>
      <w:r>
        <w:rPr>
          <w:sz w:val="24"/>
          <w:szCs w:val="24"/>
        </w:rPr>
        <w:t>In general, the descriptive results showed that the participants reported relatively high levels of readiness across the examined dimensions. Meanwhile, the findings of correlation analysis revealed that the majority of readiness dimensions were positively associated with the intention to use AI. However, the regression analysis results unveiled that the cognitive-metacognitive aspect did not exhibit the strongest predictive power. The technological enabling factor was found to have the highest predictive coefficient on the intention to use AI. On the other hand, linguistic readiness and ethical awareness, which are the critical factors of responsible use, did not significantly influence the adoption decisions.</w:t>
      </w:r>
    </w:p>
    <w:p w14:paraId="38FCF159" w14:textId="77777777" w:rsidR="00242CD1" w:rsidRDefault="00000000">
      <w:pPr>
        <w:spacing w:before="0" w:after="120" w:line="480" w:lineRule="auto"/>
        <w:rPr>
          <w:sz w:val="24"/>
          <w:szCs w:val="24"/>
        </w:rPr>
      </w:pPr>
      <w:r>
        <w:rPr>
          <w:sz w:val="24"/>
          <w:szCs w:val="24"/>
        </w:rPr>
        <w:t>Based on qualitative interview results, the study found that technological competence and positive attitude are the driving factors behind the intention of EFL students to utilize AI in writing academic papers, yet cognitive and ethical preparation function as moderating and controlling factors in how AI is used rather than whether it is adopted.</w:t>
      </w:r>
    </w:p>
    <w:p w14:paraId="277FE67A" w14:textId="77777777" w:rsidR="00DE02AC" w:rsidRDefault="00DE02AC">
      <w:pPr>
        <w:spacing w:before="0" w:after="120" w:line="480" w:lineRule="auto"/>
        <w:rPr>
          <w:sz w:val="24"/>
          <w:szCs w:val="24"/>
        </w:rPr>
      </w:pPr>
    </w:p>
    <w:p w14:paraId="1AC55351" w14:textId="77777777" w:rsidR="00DE02AC" w:rsidRDefault="00DE02AC">
      <w:pPr>
        <w:spacing w:before="0" w:after="120" w:line="480" w:lineRule="auto"/>
        <w:rPr>
          <w:sz w:val="24"/>
          <w:szCs w:val="24"/>
        </w:rPr>
      </w:pPr>
    </w:p>
    <w:p w14:paraId="5AC3A784" w14:textId="77777777" w:rsidR="00242CD1" w:rsidRDefault="00000000">
      <w:pPr>
        <w:spacing w:before="0" w:after="120" w:line="480" w:lineRule="auto"/>
        <w:ind w:firstLine="0"/>
        <w:jc w:val="center"/>
        <w:rPr>
          <w:b/>
          <w:bCs/>
          <w:sz w:val="24"/>
          <w:szCs w:val="24"/>
        </w:rPr>
      </w:pPr>
      <w:r>
        <w:rPr>
          <w:b/>
          <w:bCs/>
          <w:sz w:val="24"/>
          <w:szCs w:val="24"/>
        </w:rPr>
        <w:lastRenderedPageBreak/>
        <w:t>7. Implications and Limitations</w:t>
      </w:r>
    </w:p>
    <w:p w14:paraId="1EFE637F" w14:textId="77777777" w:rsidR="00242CD1" w:rsidRDefault="00000000">
      <w:pPr>
        <w:spacing w:before="0" w:after="120" w:line="480" w:lineRule="auto"/>
        <w:ind w:firstLine="0"/>
        <w:rPr>
          <w:b/>
          <w:bCs/>
          <w:i/>
          <w:iCs/>
          <w:sz w:val="24"/>
          <w:szCs w:val="24"/>
        </w:rPr>
      </w:pPr>
      <w:r>
        <w:rPr>
          <w:b/>
          <w:bCs/>
          <w:i/>
          <w:iCs/>
          <w:sz w:val="24"/>
          <w:szCs w:val="24"/>
        </w:rPr>
        <w:t>7.1. Theoretical Implications</w:t>
      </w:r>
    </w:p>
    <w:p w14:paraId="203BD23C" w14:textId="77777777" w:rsidR="00242CD1" w:rsidRDefault="00000000">
      <w:pPr>
        <w:spacing w:before="0" w:after="120" w:line="480" w:lineRule="auto"/>
        <w:rPr>
          <w:sz w:val="24"/>
          <w:szCs w:val="24"/>
        </w:rPr>
      </w:pPr>
      <w:r>
        <w:rPr>
          <w:sz w:val="24"/>
          <w:szCs w:val="24"/>
        </w:rPr>
        <w:t>The present study offers preliminary evidence that AI readiness in TESOL is a multidimensional construct, which needs to distinguish between cognitive-metacognitive readiness and technological support in predicting the intention of learners to use AI. Although metacognitive preparedness is the guarantee of the quality and integrity of AI-supported writing, positive beliefs and supporting technological aspects are the main factors that can influence the choice of learners to adopt AI, and future theoretical models should consider both the ability to exert influence and the support conditions offered by technology.</w:t>
      </w:r>
    </w:p>
    <w:p w14:paraId="31FD0C22" w14:textId="77777777" w:rsidR="00242CD1" w:rsidRDefault="00000000">
      <w:pPr>
        <w:spacing w:before="0" w:after="120" w:line="480" w:lineRule="auto"/>
        <w:ind w:firstLine="0"/>
        <w:rPr>
          <w:b/>
          <w:bCs/>
          <w:i/>
          <w:iCs/>
          <w:sz w:val="24"/>
          <w:szCs w:val="24"/>
        </w:rPr>
      </w:pPr>
      <w:r>
        <w:rPr>
          <w:b/>
          <w:bCs/>
          <w:i/>
          <w:iCs/>
          <w:sz w:val="24"/>
          <w:szCs w:val="24"/>
        </w:rPr>
        <w:t>7.2. Pedagogical Implications</w:t>
      </w:r>
    </w:p>
    <w:p w14:paraId="53C74101" w14:textId="77777777" w:rsidR="00242CD1" w:rsidRDefault="00000000">
      <w:pPr>
        <w:spacing w:before="0" w:after="120" w:line="480" w:lineRule="auto"/>
        <w:rPr>
          <w:sz w:val="24"/>
          <w:szCs w:val="24"/>
        </w:rPr>
      </w:pPr>
      <w:r>
        <w:rPr>
          <w:sz w:val="24"/>
          <w:szCs w:val="24"/>
        </w:rPr>
        <w:t xml:space="preserve">Given that students’ intention to adopt AI is primarily driven by positive beliefs toward technological affordances, English writing instructors should design learning tasks that allow students to experience, compare, and evaluate multiple AI tools in academic writing contexts. To prevent overreliance, AI should be positioned as a controlled support mechanism at specific stages of the writing process, such as outlining, checking coherence, or editing. These tasks should be accompanied by structured reflection requirements, including short reflective writing (approximately 150–200 words) or an AI Use Declaration. Through these practices, learners are encouraged to regulate their AI usage and align technological affordances with ethical judgment. On an institutional level, universities should offer consistent directions on how AI can be utilized in academic writing and provide students with access to credible AI platforms. </w:t>
      </w:r>
    </w:p>
    <w:p w14:paraId="1E15963D" w14:textId="77777777" w:rsidR="00242CD1" w:rsidRDefault="00000000">
      <w:pPr>
        <w:spacing w:before="0" w:after="120" w:line="480" w:lineRule="auto"/>
        <w:ind w:firstLine="0"/>
        <w:rPr>
          <w:b/>
          <w:bCs/>
          <w:i/>
          <w:iCs/>
          <w:sz w:val="24"/>
          <w:szCs w:val="24"/>
        </w:rPr>
      </w:pPr>
      <w:r>
        <w:rPr>
          <w:b/>
          <w:bCs/>
          <w:i/>
          <w:iCs/>
          <w:sz w:val="24"/>
          <w:szCs w:val="24"/>
        </w:rPr>
        <w:t>7.3. Limitations and Future Research</w:t>
      </w:r>
    </w:p>
    <w:p w14:paraId="3D315197" w14:textId="77777777" w:rsidR="00242CD1" w:rsidRDefault="00000000">
      <w:pPr>
        <w:spacing w:before="0" w:after="120" w:line="480" w:lineRule="auto"/>
        <w:rPr>
          <w:sz w:val="24"/>
          <w:szCs w:val="24"/>
        </w:rPr>
      </w:pPr>
      <w:r>
        <w:rPr>
          <w:sz w:val="24"/>
          <w:szCs w:val="24"/>
        </w:rPr>
        <w:t xml:space="preserve">Despite the significance of the contributions to the study, there are still limitations that need to be considered. Firstly, the sample size and the scope of the institution are limited, as only EFL students of one institution of higher learning were used. This may affect the </w:t>
      </w:r>
      <w:r>
        <w:rPr>
          <w:sz w:val="24"/>
          <w:szCs w:val="24"/>
        </w:rPr>
        <w:lastRenderedPageBreak/>
        <w:t>generalizability to other learning contexts. Second, the cross-sectional design fails to provide the opportunity to monitor the transformation of the perceptions, attitudes, and behavior of learners towards the use of AI over time.</w:t>
      </w:r>
    </w:p>
    <w:p w14:paraId="2813E6DF" w14:textId="77777777" w:rsidR="00242CD1" w:rsidRDefault="00000000">
      <w:pPr>
        <w:spacing w:before="0" w:after="120" w:line="480" w:lineRule="auto"/>
        <w:rPr>
          <w:sz w:val="24"/>
          <w:szCs w:val="24"/>
        </w:rPr>
      </w:pPr>
      <w:r>
        <w:rPr>
          <w:sz w:val="24"/>
          <w:szCs w:val="24"/>
        </w:rPr>
        <w:t xml:space="preserve">Consequently, future studies should extend to longitudinal studies to examine how AI readiness and intentions to use AI evolve during a course or training program. Moreover, empirical or quasi-experimental research may be performed to evaluate the effects of various models of AI integration in the teaching of academic writing. </w:t>
      </w:r>
    </w:p>
    <w:p w14:paraId="1E8CCAC3" w14:textId="77777777" w:rsidR="00242CD1" w:rsidRDefault="00000000">
      <w:pPr>
        <w:spacing w:before="0" w:after="120" w:line="480" w:lineRule="auto"/>
        <w:ind w:firstLine="0"/>
        <w:rPr>
          <w:b/>
          <w:bCs/>
          <w:sz w:val="24"/>
          <w:szCs w:val="24"/>
        </w:rPr>
      </w:pPr>
      <w:r>
        <w:rPr>
          <w:b/>
          <w:bCs/>
          <w:sz w:val="24"/>
          <w:szCs w:val="24"/>
        </w:rPr>
        <w:t>Acknowledgments</w:t>
      </w:r>
    </w:p>
    <w:p w14:paraId="1A4B54D6" w14:textId="46F52A87" w:rsidR="00242CD1" w:rsidRDefault="00000000">
      <w:pPr>
        <w:spacing w:before="0" w:after="120" w:line="480" w:lineRule="auto"/>
        <w:ind w:firstLine="0"/>
        <w:rPr>
          <w:sz w:val="24"/>
          <w:szCs w:val="24"/>
        </w:rPr>
      </w:pPr>
      <w:r>
        <w:rPr>
          <w:sz w:val="24"/>
          <w:szCs w:val="24"/>
        </w:rPr>
        <w:t xml:space="preserve">The authors would like to express sincere gratitude to third-year students majoring in Business English, who voluntarily took part in this study. Special thanks are extended to </w:t>
      </w:r>
      <w:proofErr w:type="spellStart"/>
      <w:r>
        <w:rPr>
          <w:sz w:val="24"/>
          <w:szCs w:val="24"/>
        </w:rPr>
        <w:t>Mr</w:t>
      </w:r>
      <w:proofErr w:type="spellEnd"/>
      <w:r>
        <w:rPr>
          <w:sz w:val="24"/>
          <w:szCs w:val="24"/>
        </w:rPr>
        <w:t xml:space="preserve"> Tran Thanh Tu, the lecturer of the Introduction to Business subject at HUFLIT, for allowing the survey to be conducted in his classes and</w:t>
      </w:r>
      <w:r w:rsidR="00DE02AC">
        <w:rPr>
          <w:sz w:val="24"/>
          <w:szCs w:val="24"/>
        </w:rPr>
        <w:t xml:space="preserve"> for</w:t>
      </w:r>
      <w:r>
        <w:rPr>
          <w:sz w:val="24"/>
          <w:szCs w:val="24"/>
        </w:rPr>
        <w:t xml:space="preserve"> his constructive feedback.</w:t>
      </w:r>
      <w:r>
        <w:br w:type="page"/>
      </w:r>
    </w:p>
    <w:p w14:paraId="57025FD8" w14:textId="77777777" w:rsidR="00242CD1" w:rsidRDefault="00000000">
      <w:pPr>
        <w:spacing w:before="0" w:after="120" w:line="480" w:lineRule="auto"/>
        <w:ind w:firstLine="0"/>
        <w:rPr>
          <w:b/>
          <w:bCs/>
          <w:sz w:val="24"/>
          <w:szCs w:val="24"/>
        </w:rPr>
      </w:pPr>
      <w:r>
        <w:rPr>
          <w:b/>
          <w:bCs/>
          <w:sz w:val="24"/>
          <w:szCs w:val="24"/>
        </w:rPr>
        <w:lastRenderedPageBreak/>
        <w:t>References</w:t>
      </w:r>
    </w:p>
    <w:p w14:paraId="1123D3F6" w14:textId="77777777" w:rsidR="00242CD1" w:rsidRDefault="00000000">
      <w:pPr>
        <w:spacing w:before="0" w:after="120" w:line="480" w:lineRule="auto"/>
        <w:ind w:left="720" w:hanging="720"/>
        <w:jc w:val="left"/>
        <w:rPr>
          <w:sz w:val="24"/>
          <w:szCs w:val="24"/>
        </w:rPr>
      </w:pPr>
      <w:r>
        <w:rPr>
          <w:sz w:val="24"/>
          <w:szCs w:val="24"/>
        </w:rPr>
        <w:t xml:space="preserve">Adamakis, M., &amp; Rachiotis, T. (2025). Artificial intelligence in higher education: A state-of-the-art overview of pedagogical integrity, artificial intelligence literacy, and policy integration. </w:t>
      </w:r>
      <w:r>
        <w:rPr>
          <w:i/>
          <w:iCs/>
          <w:sz w:val="24"/>
          <w:szCs w:val="24"/>
        </w:rPr>
        <w:t>Encyclopedia, 5</w:t>
      </w:r>
      <w:r>
        <w:rPr>
          <w:sz w:val="24"/>
          <w:szCs w:val="24"/>
        </w:rPr>
        <w:t>(4), 180. https://doi.org/10.3390/encyclopedia5040180</w:t>
      </w:r>
    </w:p>
    <w:p w14:paraId="26874CD3" w14:textId="77777777" w:rsidR="00242CD1" w:rsidRDefault="00000000">
      <w:pPr>
        <w:spacing w:before="0" w:after="120" w:line="480" w:lineRule="auto"/>
        <w:ind w:left="720" w:hanging="720"/>
        <w:jc w:val="left"/>
        <w:rPr>
          <w:sz w:val="24"/>
          <w:szCs w:val="24"/>
        </w:rPr>
      </w:pPr>
      <w:r>
        <w:rPr>
          <w:sz w:val="24"/>
          <w:szCs w:val="24"/>
        </w:rPr>
        <w:t xml:space="preserve">Akanda, F., &amp; Talukder, T. (2026). AI writing tools in English writing: Reviewing teachers' and students’ views on benefits and concerns. </w:t>
      </w:r>
      <w:r>
        <w:rPr>
          <w:i/>
          <w:iCs/>
          <w:sz w:val="24"/>
          <w:szCs w:val="24"/>
        </w:rPr>
        <w:t>Social Sciences &amp; Humanities Open, 13</w:t>
      </w:r>
      <w:r>
        <w:rPr>
          <w:sz w:val="24"/>
          <w:szCs w:val="24"/>
        </w:rPr>
        <w:t>. https://doi.org/10.1016/j.ssaho.2026.102437</w:t>
      </w:r>
    </w:p>
    <w:p w14:paraId="2F9B06EE" w14:textId="77777777" w:rsidR="00242CD1" w:rsidRDefault="00000000">
      <w:pPr>
        <w:spacing w:before="0" w:after="120" w:line="480" w:lineRule="auto"/>
        <w:ind w:left="720" w:hanging="720"/>
        <w:jc w:val="left"/>
        <w:rPr>
          <w:sz w:val="24"/>
          <w:szCs w:val="24"/>
        </w:rPr>
      </w:pPr>
      <w:r>
        <w:rPr>
          <w:sz w:val="24"/>
          <w:szCs w:val="24"/>
        </w:rPr>
        <w:t xml:space="preserve">Alarcón, C. M. M., </w:t>
      </w:r>
      <w:proofErr w:type="spellStart"/>
      <w:r>
        <w:rPr>
          <w:sz w:val="24"/>
          <w:szCs w:val="24"/>
        </w:rPr>
        <w:t>Lasekan</w:t>
      </w:r>
      <w:proofErr w:type="spellEnd"/>
      <w:r>
        <w:rPr>
          <w:sz w:val="24"/>
          <w:szCs w:val="24"/>
        </w:rPr>
        <w:t xml:space="preserve">, O. A., &amp; Pena, M. T. G. (2025). AI concerns among educators: A thematic analysis. </w:t>
      </w:r>
      <w:r>
        <w:rPr>
          <w:i/>
          <w:iCs/>
          <w:sz w:val="24"/>
          <w:szCs w:val="24"/>
        </w:rPr>
        <w:t>International Research Journal of Multidisciplinary Scope, 6</w:t>
      </w:r>
      <w:r>
        <w:rPr>
          <w:sz w:val="24"/>
          <w:szCs w:val="24"/>
        </w:rPr>
        <w:t>(1). https://doi.org/10.47857/irjms.2025.v06i01.01929</w:t>
      </w:r>
    </w:p>
    <w:p w14:paraId="6965AEDA" w14:textId="77777777" w:rsidR="00242CD1" w:rsidRDefault="00000000">
      <w:pPr>
        <w:spacing w:before="0" w:after="120" w:line="480" w:lineRule="auto"/>
        <w:ind w:left="720" w:hanging="720"/>
        <w:jc w:val="left"/>
        <w:rPr>
          <w:sz w:val="24"/>
          <w:szCs w:val="24"/>
        </w:rPr>
      </w:pPr>
      <w:proofErr w:type="spellStart"/>
      <w:r>
        <w:rPr>
          <w:sz w:val="24"/>
          <w:szCs w:val="24"/>
        </w:rPr>
        <w:t>Almusharraf</w:t>
      </w:r>
      <w:proofErr w:type="spellEnd"/>
      <w:r>
        <w:rPr>
          <w:sz w:val="24"/>
          <w:szCs w:val="24"/>
        </w:rPr>
        <w:t xml:space="preserve">, A. (2026). AI chatbots in L2 writing: Anxiety, usefulness, and writing outcome. </w:t>
      </w:r>
      <w:r>
        <w:rPr>
          <w:i/>
          <w:iCs/>
          <w:sz w:val="24"/>
          <w:szCs w:val="24"/>
        </w:rPr>
        <w:t>Humanities and Social Sciences Communications, 13</w:t>
      </w:r>
      <w:r>
        <w:rPr>
          <w:sz w:val="24"/>
          <w:szCs w:val="24"/>
        </w:rPr>
        <w:t>. https://doi.org/10.1057/s41599-026-06816-w</w:t>
      </w:r>
    </w:p>
    <w:p w14:paraId="7CF1CB97" w14:textId="77777777" w:rsidR="00242CD1" w:rsidRDefault="00000000">
      <w:pPr>
        <w:spacing w:before="0" w:after="120" w:line="480" w:lineRule="auto"/>
        <w:ind w:left="720" w:hanging="720"/>
        <w:jc w:val="left"/>
        <w:rPr>
          <w:sz w:val="24"/>
          <w:szCs w:val="24"/>
        </w:rPr>
      </w:pPr>
      <w:r>
        <w:rPr>
          <w:sz w:val="24"/>
          <w:szCs w:val="24"/>
        </w:rPr>
        <w:t xml:space="preserve">Cui, Y. (2025). What influences college students using AI for academic writing? – A quantitative analysis based on HISAM and TRI theory. </w:t>
      </w:r>
      <w:r>
        <w:rPr>
          <w:i/>
          <w:iCs/>
          <w:sz w:val="24"/>
          <w:szCs w:val="24"/>
        </w:rPr>
        <w:t>Computers and Education: Artificial Intelligence, 8</w:t>
      </w:r>
      <w:r>
        <w:rPr>
          <w:sz w:val="24"/>
          <w:szCs w:val="24"/>
        </w:rPr>
        <w:t>. https://doi.org/10.1016/j.caeai.2025.100391</w:t>
      </w:r>
    </w:p>
    <w:p w14:paraId="631C5D5C" w14:textId="77777777" w:rsidR="00242CD1" w:rsidRDefault="00000000">
      <w:pPr>
        <w:spacing w:before="0" w:after="120" w:line="480" w:lineRule="auto"/>
        <w:ind w:left="720" w:hanging="720"/>
        <w:jc w:val="left"/>
        <w:rPr>
          <w:sz w:val="24"/>
          <w:szCs w:val="24"/>
        </w:rPr>
      </w:pPr>
      <w:r>
        <w:rPr>
          <w:sz w:val="24"/>
          <w:szCs w:val="24"/>
        </w:rPr>
        <w:t xml:space="preserve">Dahri, N. A., Yahaya, N., Al-Rahmi, W. M., </w:t>
      </w:r>
      <w:proofErr w:type="spellStart"/>
      <w:r>
        <w:rPr>
          <w:sz w:val="24"/>
          <w:szCs w:val="24"/>
        </w:rPr>
        <w:t>Aldraiweesh</w:t>
      </w:r>
      <w:proofErr w:type="spellEnd"/>
      <w:r>
        <w:rPr>
          <w:sz w:val="24"/>
          <w:szCs w:val="24"/>
        </w:rPr>
        <w:t xml:space="preserve">, A., </w:t>
      </w:r>
      <w:proofErr w:type="spellStart"/>
      <w:r>
        <w:rPr>
          <w:sz w:val="24"/>
          <w:szCs w:val="24"/>
        </w:rPr>
        <w:t>Alturki</w:t>
      </w:r>
      <w:proofErr w:type="spellEnd"/>
      <w:r>
        <w:rPr>
          <w:sz w:val="24"/>
          <w:szCs w:val="24"/>
        </w:rPr>
        <w:t xml:space="preserve">, U., </w:t>
      </w:r>
      <w:proofErr w:type="spellStart"/>
      <w:r>
        <w:rPr>
          <w:sz w:val="24"/>
          <w:szCs w:val="24"/>
        </w:rPr>
        <w:t>Almutairy</w:t>
      </w:r>
      <w:proofErr w:type="spellEnd"/>
      <w:r>
        <w:rPr>
          <w:sz w:val="24"/>
          <w:szCs w:val="24"/>
        </w:rPr>
        <w:t xml:space="preserve">, S., </w:t>
      </w:r>
      <w:proofErr w:type="spellStart"/>
      <w:r>
        <w:rPr>
          <w:sz w:val="24"/>
          <w:szCs w:val="24"/>
        </w:rPr>
        <w:t>Shutaleva</w:t>
      </w:r>
      <w:proofErr w:type="spellEnd"/>
      <w:r>
        <w:rPr>
          <w:sz w:val="24"/>
          <w:szCs w:val="24"/>
        </w:rPr>
        <w:t>, A., &amp; Soomro, R. B. (2024). Extended TAM based acceptance of AI-Powered ChatGPT for supporting metacognitive self-regulated learning in education: A mixed-methods study</w:t>
      </w:r>
      <w:r>
        <w:rPr>
          <w:i/>
          <w:iCs/>
          <w:sz w:val="24"/>
          <w:szCs w:val="24"/>
        </w:rPr>
        <w:t xml:space="preserve">. </w:t>
      </w:r>
      <w:proofErr w:type="spellStart"/>
      <w:r>
        <w:rPr>
          <w:i/>
          <w:iCs/>
          <w:sz w:val="24"/>
          <w:szCs w:val="24"/>
        </w:rPr>
        <w:t>Heliyon</w:t>
      </w:r>
      <w:proofErr w:type="spellEnd"/>
      <w:r>
        <w:rPr>
          <w:i/>
          <w:iCs/>
          <w:sz w:val="24"/>
          <w:szCs w:val="24"/>
        </w:rPr>
        <w:t>, 10</w:t>
      </w:r>
      <w:r>
        <w:rPr>
          <w:sz w:val="24"/>
          <w:szCs w:val="24"/>
        </w:rPr>
        <w:t xml:space="preserve">(8). https://doi.org/10.1016/j.heliyon.2024.e29317 </w:t>
      </w:r>
    </w:p>
    <w:p w14:paraId="523675DA" w14:textId="77777777" w:rsidR="00242CD1" w:rsidRDefault="00000000">
      <w:pPr>
        <w:spacing w:before="0" w:after="120" w:line="480" w:lineRule="auto"/>
        <w:ind w:left="720" w:hanging="720"/>
        <w:jc w:val="left"/>
        <w:rPr>
          <w:sz w:val="24"/>
          <w:szCs w:val="24"/>
        </w:rPr>
      </w:pPr>
      <w:r>
        <w:rPr>
          <w:sz w:val="24"/>
          <w:szCs w:val="24"/>
        </w:rPr>
        <w:t xml:space="preserve">Davis, F. (1989). Perceived usefulness, perceived ease of use, and user acceptance of information technology. </w:t>
      </w:r>
      <w:r>
        <w:rPr>
          <w:i/>
          <w:iCs/>
          <w:sz w:val="24"/>
          <w:szCs w:val="24"/>
        </w:rPr>
        <w:t>MIS Quarterly, 13</w:t>
      </w:r>
      <w:r>
        <w:rPr>
          <w:sz w:val="24"/>
          <w:szCs w:val="24"/>
        </w:rPr>
        <w:t>, 319-340. https://doi.org/10.2307/249008</w:t>
      </w:r>
    </w:p>
    <w:p w14:paraId="0E540776" w14:textId="77777777" w:rsidR="00242CD1" w:rsidRDefault="00000000">
      <w:pPr>
        <w:spacing w:before="0" w:after="120" w:line="480" w:lineRule="auto"/>
        <w:ind w:left="720" w:hanging="720"/>
        <w:jc w:val="left"/>
        <w:rPr>
          <w:sz w:val="24"/>
          <w:szCs w:val="24"/>
        </w:rPr>
      </w:pPr>
      <w:r>
        <w:rPr>
          <w:sz w:val="24"/>
          <w:szCs w:val="24"/>
        </w:rPr>
        <w:lastRenderedPageBreak/>
        <w:t xml:space="preserve">De Angelis, L., Baglivo, F., Arzilli, G., Privitera, G. P., </w:t>
      </w:r>
      <w:proofErr w:type="spellStart"/>
      <w:r>
        <w:rPr>
          <w:sz w:val="24"/>
          <w:szCs w:val="24"/>
        </w:rPr>
        <w:t>Ferragina</w:t>
      </w:r>
      <w:proofErr w:type="spellEnd"/>
      <w:r>
        <w:rPr>
          <w:sz w:val="24"/>
          <w:szCs w:val="24"/>
        </w:rPr>
        <w:t xml:space="preserve">, P., Tozzi, A. E., &amp; Rizzo, C. (2023). ChatGPT and the rise of large language models: The new AI-driven infodemic threat in public health. </w:t>
      </w:r>
      <w:r>
        <w:rPr>
          <w:i/>
          <w:iCs/>
          <w:sz w:val="24"/>
          <w:szCs w:val="24"/>
        </w:rPr>
        <w:t>Frontiers in Public Health, 11</w:t>
      </w:r>
      <w:r>
        <w:rPr>
          <w:sz w:val="24"/>
          <w:szCs w:val="24"/>
        </w:rPr>
        <w:t>. https://doi.org/10.3389/fpubh.2023.1166120</w:t>
      </w:r>
    </w:p>
    <w:p w14:paraId="48AEF67C" w14:textId="77777777" w:rsidR="00242CD1" w:rsidRDefault="00000000">
      <w:pPr>
        <w:spacing w:before="0" w:after="120" w:line="480" w:lineRule="auto"/>
        <w:ind w:left="720" w:hanging="720"/>
        <w:jc w:val="left"/>
        <w:rPr>
          <w:sz w:val="24"/>
          <w:szCs w:val="24"/>
        </w:rPr>
      </w:pPr>
      <w:proofErr w:type="spellStart"/>
      <w:r>
        <w:rPr>
          <w:sz w:val="24"/>
          <w:szCs w:val="24"/>
        </w:rPr>
        <w:t>Godoe</w:t>
      </w:r>
      <w:proofErr w:type="spellEnd"/>
      <w:r>
        <w:rPr>
          <w:sz w:val="24"/>
          <w:szCs w:val="24"/>
        </w:rPr>
        <w:t xml:space="preserve">, P., &amp; Johansen, T. S. (2012). Understanding adoption of new technologies: Technology readiness and technology acceptance as an integrated concept. </w:t>
      </w:r>
      <w:r>
        <w:rPr>
          <w:i/>
          <w:iCs/>
          <w:sz w:val="24"/>
          <w:szCs w:val="24"/>
        </w:rPr>
        <w:t>Journal of European Psychology Students, 3</w:t>
      </w:r>
      <w:r>
        <w:rPr>
          <w:sz w:val="24"/>
          <w:szCs w:val="24"/>
        </w:rPr>
        <w:t>(1), 38–52. https://doi.org/10.5334/jeps.aq</w:t>
      </w:r>
    </w:p>
    <w:p w14:paraId="7B32CADC" w14:textId="77777777" w:rsidR="00242CD1" w:rsidRDefault="00000000">
      <w:pPr>
        <w:spacing w:before="0" w:after="120" w:line="480" w:lineRule="auto"/>
        <w:ind w:left="720" w:hanging="720"/>
        <w:jc w:val="left"/>
        <w:rPr>
          <w:sz w:val="24"/>
          <w:szCs w:val="24"/>
        </w:rPr>
      </w:pPr>
      <w:r>
        <w:rPr>
          <w:sz w:val="24"/>
          <w:szCs w:val="24"/>
        </w:rPr>
        <w:t>González-Torres, P., Cabrera-Solano, P., &amp; Castillo-Cuesta, L. (2023). Stakeholders’ perceptions of teaching and technological skills in EFL vocabulary instruction: Implications for remote learning. International Journal of Learning,</w:t>
      </w:r>
      <w:r>
        <w:rPr>
          <w:i/>
          <w:iCs/>
          <w:sz w:val="24"/>
          <w:szCs w:val="24"/>
        </w:rPr>
        <w:t xml:space="preserve"> Teaching and Educational Research, 22</w:t>
      </w:r>
      <w:r>
        <w:rPr>
          <w:sz w:val="24"/>
          <w:szCs w:val="24"/>
        </w:rPr>
        <w:t>(7). https://doi.org/10.26803/ijlter.22.7.10</w:t>
      </w:r>
    </w:p>
    <w:p w14:paraId="669D55A0" w14:textId="77777777" w:rsidR="00242CD1" w:rsidRDefault="00000000">
      <w:pPr>
        <w:spacing w:before="0" w:after="120" w:line="480" w:lineRule="auto"/>
        <w:ind w:left="720" w:hanging="720"/>
        <w:jc w:val="left"/>
        <w:rPr>
          <w:sz w:val="24"/>
          <w:szCs w:val="24"/>
        </w:rPr>
      </w:pPr>
      <w:r>
        <w:rPr>
          <w:sz w:val="24"/>
          <w:szCs w:val="24"/>
        </w:rPr>
        <w:t xml:space="preserve">Hair (2010). </w:t>
      </w:r>
      <w:r>
        <w:rPr>
          <w:i/>
          <w:iCs/>
          <w:sz w:val="24"/>
          <w:szCs w:val="24"/>
        </w:rPr>
        <w:t>Multivariate data analysis: A global perspective</w:t>
      </w:r>
      <w:r>
        <w:rPr>
          <w:sz w:val="24"/>
          <w:szCs w:val="24"/>
        </w:rPr>
        <w:t>. London, Upper Saddle River, NJ: Pearson Education.</w:t>
      </w:r>
    </w:p>
    <w:p w14:paraId="3CEAD722" w14:textId="77777777" w:rsidR="00242CD1" w:rsidRDefault="00000000">
      <w:pPr>
        <w:spacing w:before="0" w:after="120" w:line="480" w:lineRule="auto"/>
        <w:ind w:left="720" w:hanging="720"/>
        <w:jc w:val="left"/>
        <w:rPr>
          <w:sz w:val="24"/>
          <w:szCs w:val="24"/>
        </w:rPr>
      </w:pPr>
      <w:r>
        <w:rPr>
          <w:sz w:val="24"/>
          <w:szCs w:val="24"/>
        </w:rPr>
        <w:t xml:space="preserve">Huang, C., Zhang, Z., Mao, B., &amp; Yao, X. (2023). An overview of artificial intelligence ethics. </w:t>
      </w:r>
      <w:r>
        <w:rPr>
          <w:i/>
          <w:iCs/>
          <w:sz w:val="24"/>
          <w:szCs w:val="24"/>
        </w:rPr>
        <w:t>IEEE Transactions on Artificial Intelligence, 4</w:t>
      </w:r>
      <w:r>
        <w:rPr>
          <w:sz w:val="24"/>
          <w:szCs w:val="24"/>
        </w:rPr>
        <w:t>(4). https://doi.org/10.1109/TAI.2022.3194503</w:t>
      </w:r>
    </w:p>
    <w:p w14:paraId="184BFE6F" w14:textId="77777777" w:rsidR="00242CD1" w:rsidRDefault="00000000">
      <w:pPr>
        <w:spacing w:before="0" w:after="120" w:line="480" w:lineRule="auto"/>
        <w:ind w:left="720" w:hanging="720"/>
        <w:jc w:val="left"/>
        <w:rPr>
          <w:sz w:val="24"/>
          <w:szCs w:val="24"/>
        </w:rPr>
      </w:pPr>
      <w:r>
        <w:rPr>
          <w:sz w:val="24"/>
          <w:szCs w:val="24"/>
        </w:rPr>
        <w:t xml:space="preserve">Jasim, M. Y., Musa, Z. H., Asim, Z. A., &amp; Salman, A. R. (2024). Developing EFL writing with AI: Balancing benefits and challenges. </w:t>
      </w:r>
      <w:r>
        <w:rPr>
          <w:i/>
          <w:iCs/>
          <w:sz w:val="24"/>
          <w:szCs w:val="24"/>
        </w:rPr>
        <w:t>Technology Assisted Language Education, 2</w:t>
      </w:r>
      <w:r>
        <w:rPr>
          <w:sz w:val="24"/>
          <w:szCs w:val="24"/>
        </w:rPr>
        <w:t>(2), 80-93. https://doi.org/10.22126/tale.2024.10953.1052</w:t>
      </w:r>
    </w:p>
    <w:p w14:paraId="366C9BF3" w14:textId="77777777" w:rsidR="00242CD1" w:rsidRDefault="00000000">
      <w:pPr>
        <w:spacing w:before="0" w:after="120" w:line="480" w:lineRule="auto"/>
        <w:ind w:left="720" w:hanging="720"/>
        <w:jc w:val="left"/>
        <w:rPr>
          <w:sz w:val="24"/>
          <w:szCs w:val="24"/>
        </w:rPr>
      </w:pPr>
      <w:r>
        <w:rPr>
          <w:sz w:val="24"/>
          <w:szCs w:val="24"/>
        </w:rPr>
        <w:t xml:space="preserve">Khalifa, M., &amp; </w:t>
      </w:r>
      <w:proofErr w:type="spellStart"/>
      <w:r>
        <w:rPr>
          <w:sz w:val="24"/>
          <w:szCs w:val="24"/>
        </w:rPr>
        <w:t>Albadawy</w:t>
      </w:r>
      <w:proofErr w:type="spellEnd"/>
      <w:r>
        <w:rPr>
          <w:sz w:val="24"/>
          <w:szCs w:val="24"/>
        </w:rPr>
        <w:t xml:space="preserve">, M. (2024). Using artificial intelligence in academic writing and research: An essential productivity tool. </w:t>
      </w:r>
      <w:r>
        <w:rPr>
          <w:i/>
          <w:iCs/>
          <w:sz w:val="24"/>
          <w:szCs w:val="24"/>
        </w:rPr>
        <w:t>Computer Methods and Programs in Biomedicine Update, 5</w:t>
      </w:r>
      <w:r>
        <w:rPr>
          <w:sz w:val="24"/>
          <w:szCs w:val="24"/>
        </w:rPr>
        <w:t>. https://doi.org/10.1016/j.cmpbup.2024.100145</w:t>
      </w:r>
    </w:p>
    <w:p w14:paraId="7FA798E2" w14:textId="77777777" w:rsidR="00242CD1" w:rsidRDefault="00000000">
      <w:pPr>
        <w:spacing w:before="0" w:after="120" w:line="480" w:lineRule="auto"/>
        <w:ind w:left="720" w:hanging="720"/>
        <w:jc w:val="left"/>
        <w:rPr>
          <w:sz w:val="24"/>
          <w:szCs w:val="24"/>
        </w:rPr>
      </w:pPr>
      <w:proofErr w:type="spellStart"/>
      <w:r>
        <w:rPr>
          <w:sz w:val="24"/>
          <w:szCs w:val="24"/>
        </w:rPr>
        <w:t>Kobrossy</w:t>
      </w:r>
      <w:proofErr w:type="spellEnd"/>
      <w:r>
        <w:rPr>
          <w:sz w:val="24"/>
          <w:szCs w:val="24"/>
        </w:rPr>
        <w:t xml:space="preserve">, S., Jasim, Y., Ismail, I. A., Goud, N. N., Jasim, S., &amp; </w:t>
      </w:r>
      <w:proofErr w:type="spellStart"/>
      <w:r>
        <w:rPr>
          <w:sz w:val="24"/>
          <w:szCs w:val="24"/>
        </w:rPr>
        <w:t>Awqati</w:t>
      </w:r>
      <w:proofErr w:type="spellEnd"/>
      <w:r>
        <w:rPr>
          <w:sz w:val="24"/>
          <w:szCs w:val="24"/>
        </w:rPr>
        <w:t xml:space="preserve">, A. (2025). Artificial intelligence and the development of academic authorship: Analyzing AI-generated </w:t>
      </w:r>
      <w:r>
        <w:rPr>
          <w:sz w:val="24"/>
          <w:szCs w:val="24"/>
        </w:rPr>
        <w:lastRenderedPageBreak/>
        <w:t xml:space="preserve">content, ethical issues, and intellectual property challenges. </w:t>
      </w:r>
      <w:r>
        <w:rPr>
          <w:i/>
          <w:iCs/>
          <w:sz w:val="24"/>
          <w:szCs w:val="24"/>
        </w:rPr>
        <w:t>International Journal of Management and Data Analytics, 5</w:t>
      </w:r>
      <w:r>
        <w:rPr>
          <w:sz w:val="24"/>
          <w:szCs w:val="24"/>
        </w:rPr>
        <w:t>(1), 253–270. https://ijmada.com/index.php/ijmada/article/view/99</w:t>
      </w:r>
    </w:p>
    <w:p w14:paraId="5BA10D9C" w14:textId="77777777" w:rsidR="00242CD1" w:rsidRDefault="00000000">
      <w:pPr>
        <w:spacing w:before="0" w:after="120" w:line="480" w:lineRule="auto"/>
        <w:ind w:left="720" w:hanging="720"/>
        <w:jc w:val="left"/>
        <w:rPr>
          <w:sz w:val="24"/>
          <w:szCs w:val="24"/>
        </w:rPr>
      </w:pPr>
      <w:r>
        <w:rPr>
          <w:sz w:val="24"/>
          <w:szCs w:val="24"/>
        </w:rPr>
        <w:t>Limpo, T., &amp; Alves, R. A. (2017). Relating beliefs in writing skill malleability to writing performance: The mediating role of achievement goals and self-efficacy.</w:t>
      </w:r>
      <w:r>
        <w:rPr>
          <w:i/>
          <w:iCs/>
          <w:sz w:val="24"/>
          <w:szCs w:val="24"/>
        </w:rPr>
        <w:t xml:space="preserve"> Journal of Writing Research, 9</w:t>
      </w:r>
      <w:r>
        <w:rPr>
          <w:sz w:val="24"/>
          <w:szCs w:val="24"/>
        </w:rPr>
        <w:t>(2), 97-125. https://doi.org/10.17239/jowr-2017.09.02.01</w:t>
      </w:r>
    </w:p>
    <w:p w14:paraId="4C940F16" w14:textId="77777777" w:rsidR="00242CD1" w:rsidRDefault="00000000">
      <w:pPr>
        <w:spacing w:before="0" w:after="120" w:line="480" w:lineRule="auto"/>
        <w:ind w:left="720" w:hanging="720"/>
        <w:jc w:val="left"/>
        <w:rPr>
          <w:sz w:val="24"/>
          <w:szCs w:val="24"/>
        </w:rPr>
      </w:pPr>
      <w:r>
        <w:rPr>
          <w:sz w:val="24"/>
          <w:szCs w:val="24"/>
        </w:rPr>
        <w:t xml:space="preserve">Liu, C., Hou, J., Tu, Y.-F., Wang, Y., &amp; Hwang, G.-J. (2021). Incorporating a reflective thinking promoting mechanism into artificial intelligence-supported English writing environments. </w:t>
      </w:r>
      <w:r>
        <w:rPr>
          <w:i/>
          <w:iCs/>
          <w:sz w:val="24"/>
          <w:szCs w:val="24"/>
        </w:rPr>
        <w:t>Interactive Learning Environments, 31</w:t>
      </w:r>
      <w:r>
        <w:rPr>
          <w:sz w:val="24"/>
          <w:szCs w:val="24"/>
        </w:rPr>
        <w:t xml:space="preserve">(9), 5614–5632. </w:t>
      </w:r>
      <w:hyperlink r:id="rId9">
        <w:r w:rsidR="00242CD1">
          <w:rPr>
            <w:color w:val="000000"/>
            <w:sz w:val="24"/>
            <w:szCs w:val="24"/>
          </w:rPr>
          <w:t>https://doi.org/10.1080/10494820.2021.2012812</w:t>
        </w:r>
      </w:hyperlink>
    </w:p>
    <w:p w14:paraId="67138AAB" w14:textId="77777777" w:rsidR="00242CD1" w:rsidRDefault="00000000">
      <w:pPr>
        <w:spacing w:before="0" w:after="120" w:line="480" w:lineRule="auto"/>
        <w:ind w:left="720" w:hanging="720"/>
        <w:jc w:val="left"/>
        <w:rPr>
          <w:sz w:val="24"/>
          <w:szCs w:val="24"/>
        </w:rPr>
      </w:pPr>
      <w:r>
        <w:rPr>
          <w:sz w:val="24"/>
          <w:szCs w:val="24"/>
        </w:rPr>
        <w:t xml:space="preserve">Marimon, F., Arias Valle, M. B., Coria Augusto, C. J., &amp; Larrea Arnau, C. M. (2025). From optimism to trust: How ChatGPT is reshaping student confidence in AI-driven learning. </w:t>
      </w:r>
      <w:r>
        <w:rPr>
          <w:i/>
          <w:iCs/>
          <w:sz w:val="24"/>
          <w:szCs w:val="24"/>
        </w:rPr>
        <w:t>RIED-</w:t>
      </w:r>
      <w:proofErr w:type="spellStart"/>
      <w:r>
        <w:rPr>
          <w:i/>
          <w:iCs/>
          <w:sz w:val="24"/>
          <w:szCs w:val="24"/>
        </w:rPr>
        <w:t>Revista</w:t>
      </w:r>
      <w:proofErr w:type="spellEnd"/>
      <w:r>
        <w:rPr>
          <w:i/>
          <w:iCs/>
          <w:sz w:val="24"/>
          <w:szCs w:val="24"/>
        </w:rPr>
        <w:t xml:space="preserve"> Iberoamericana de </w:t>
      </w:r>
      <w:proofErr w:type="spellStart"/>
      <w:r>
        <w:rPr>
          <w:i/>
          <w:iCs/>
          <w:sz w:val="24"/>
          <w:szCs w:val="24"/>
        </w:rPr>
        <w:t>Educación</w:t>
      </w:r>
      <w:proofErr w:type="spellEnd"/>
      <w:r>
        <w:rPr>
          <w:i/>
          <w:iCs/>
          <w:sz w:val="24"/>
          <w:szCs w:val="24"/>
        </w:rPr>
        <w:t xml:space="preserve"> a Distancia, 28</w:t>
      </w:r>
      <w:r>
        <w:rPr>
          <w:sz w:val="24"/>
          <w:szCs w:val="24"/>
        </w:rPr>
        <w:t>(2), 131–153. https://doi.org/10.5944/ried.28.2.43238</w:t>
      </w:r>
    </w:p>
    <w:p w14:paraId="73BBAD7E" w14:textId="77777777" w:rsidR="00242CD1" w:rsidRDefault="00000000">
      <w:pPr>
        <w:spacing w:before="0" w:after="120" w:line="480" w:lineRule="auto"/>
        <w:ind w:left="720" w:hanging="720"/>
        <w:jc w:val="left"/>
        <w:rPr>
          <w:sz w:val="24"/>
          <w:szCs w:val="24"/>
        </w:rPr>
      </w:pPr>
      <w:r>
        <w:rPr>
          <w:sz w:val="24"/>
          <w:szCs w:val="24"/>
        </w:rPr>
        <w:t xml:space="preserve">Ng, D. T. K., Wu, W., Leung, J. K. L., Chiu, T. K. F., &amp; Chu, S. K. W. (2023). Design and validation of the AI literacy questionnaire: The affective, </w:t>
      </w:r>
      <w:proofErr w:type="spellStart"/>
      <w:r>
        <w:rPr>
          <w:sz w:val="24"/>
          <w:szCs w:val="24"/>
        </w:rPr>
        <w:t>behavioural</w:t>
      </w:r>
      <w:proofErr w:type="spellEnd"/>
      <w:r>
        <w:rPr>
          <w:sz w:val="24"/>
          <w:szCs w:val="24"/>
        </w:rPr>
        <w:t xml:space="preserve">, cognitive and ethical approach. </w:t>
      </w:r>
      <w:r>
        <w:rPr>
          <w:i/>
          <w:iCs/>
          <w:sz w:val="24"/>
          <w:szCs w:val="24"/>
        </w:rPr>
        <w:t>British Journal of Educational Technology, 55</w:t>
      </w:r>
      <w:r>
        <w:rPr>
          <w:sz w:val="24"/>
          <w:szCs w:val="24"/>
        </w:rPr>
        <w:t xml:space="preserve">(3), 1082-1104. https://doi.org/10.1111/bjet.13411 </w:t>
      </w:r>
    </w:p>
    <w:p w14:paraId="01FB9FC8" w14:textId="77777777" w:rsidR="00242CD1" w:rsidRDefault="00000000">
      <w:pPr>
        <w:spacing w:before="0" w:after="120" w:line="480" w:lineRule="auto"/>
        <w:ind w:left="720" w:hanging="720"/>
        <w:jc w:val="left"/>
        <w:rPr>
          <w:sz w:val="24"/>
          <w:szCs w:val="24"/>
        </w:rPr>
      </w:pPr>
      <w:r>
        <w:rPr>
          <w:sz w:val="24"/>
          <w:szCs w:val="24"/>
        </w:rPr>
        <w:t xml:space="preserve">Ngo, A., Gupta, S., Perrine, O., Reddy, R., Ershadi, S., &amp; Remick, D. (2024). ChatGPT 3.5 fails to write appropriate multiple choice practice exam questions. </w:t>
      </w:r>
      <w:r>
        <w:rPr>
          <w:i/>
          <w:iCs/>
          <w:sz w:val="24"/>
          <w:szCs w:val="24"/>
        </w:rPr>
        <w:t>Academic Pathology, 11</w:t>
      </w:r>
      <w:r>
        <w:rPr>
          <w:sz w:val="24"/>
          <w:szCs w:val="24"/>
        </w:rPr>
        <w:t xml:space="preserve">(1), Article 100099. </w:t>
      </w:r>
      <w:hyperlink r:id="rId10">
        <w:r w:rsidR="00242CD1">
          <w:rPr>
            <w:color w:val="000000"/>
            <w:sz w:val="24"/>
            <w:szCs w:val="24"/>
          </w:rPr>
          <w:t>https://doi.org/10.1016/j.acpath.2023.100099</w:t>
        </w:r>
      </w:hyperlink>
    </w:p>
    <w:p w14:paraId="2D2D6970" w14:textId="77777777" w:rsidR="00242CD1" w:rsidRDefault="00000000">
      <w:pPr>
        <w:spacing w:before="0" w:after="120" w:line="480" w:lineRule="auto"/>
        <w:ind w:left="720" w:hanging="720"/>
        <w:jc w:val="left"/>
        <w:rPr>
          <w:sz w:val="24"/>
          <w:szCs w:val="24"/>
        </w:rPr>
      </w:pPr>
      <w:r>
        <w:rPr>
          <w:sz w:val="24"/>
          <w:szCs w:val="24"/>
        </w:rPr>
        <w:t xml:space="preserve">Parasuraman, A. (2000). Technology readiness index (TRI): A multiple-item scale to measure readiness to embrace new technologies. </w:t>
      </w:r>
      <w:r>
        <w:rPr>
          <w:i/>
          <w:iCs/>
          <w:sz w:val="24"/>
          <w:szCs w:val="24"/>
        </w:rPr>
        <w:t>Journal of Service Research, 2</w:t>
      </w:r>
      <w:r>
        <w:rPr>
          <w:sz w:val="24"/>
          <w:szCs w:val="24"/>
        </w:rPr>
        <w:t>(4), 307–320. http://doi:10.1177/109467050024001.</w:t>
      </w:r>
    </w:p>
    <w:p w14:paraId="4232C6DB" w14:textId="77777777" w:rsidR="00242CD1" w:rsidRDefault="00000000">
      <w:pPr>
        <w:spacing w:before="0" w:after="120" w:line="480" w:lineRule="auto"/>
        <w:ind w:left="720" w:hanging="720"/>
        <w:jc w:val="left"/>
        <w:rPr>
          <w:sz w:val="24"/>
          <w:szCs w:val="24"/>
        </w:rPr>
      </w:pPr>
      <w:r>
        <w:rPr>
          <w:sz w:val="24"/>
          <w:szCs w:val="24"/>
        </w:rPr>
        <w:lastRenderedPageBreak/>
        <w:t xml:space="preserve">Parasuraman, A., &amp; Colby, C. L. (2015). An updated and streamlined Technology Readiness Index: TRI 2.0. </w:t>
      </w:r>
      <w:r>
        <w:rPr>
          <w:i/>
          <w:iCs/>
          <w:sz w:val="24"/>
          <w:szCs w:val="24"/>
        </w:rPr>
        <w:t>Journal of Service Research, 18</w:t>
      </w:r>
      <w:r>
        <w:rPr>
          <w:sz w:val="24"/>
          <w:szCs w:val="24"/>
        </w:rPr>
        <w:t>(1), 59–74. https://doi.org/10.1177/1094670514539730</w:t>
      </w:r>
    </w:p>
    <w:p w14:paraId="31038FE2" w14:textId="77777777" w:rsidR="00242CD1" w:rsidRDefault="00000000">
      <w:pPr>
        <w:spacing w:before="0" w:after="120" w:line="480" w:lineRule="auto"/>
        <w:ind w:left="720" w:hanging="720"/>
        <w:jc w:val="left"/>
        <w:rPr>
          <w:sz w:val="24"/>
          <w:szCs w:val="24"/>
        </w:rPr>
      </w:pPr>
      <w:r>
        <w:rPr>
          <w:sz w:val="24"/>
          <w:szCs w:val="24"/>
        </w:rPr>
        <w:t xml:space="preserve">Pramod, D. (2025). Decoding responsible AI use: The influence of digital literacy and ethical awareness. </w:t>
      </w:r>
      <w:r>
        <w:rPr>
          <w:i/>
          <w:iCs/>
          <w:sz w:val="24"/>
          <w:szCs w:val="24"/>
        </w:rPr>
        <w:t>Cogent Education, 12</w:t>
      </w:r>
      <w:r>
        <w:rPr>
          <w:sz w:val="24"/>
          <w:szCs w:val="24"/>
        </w:rPr>
        <w:t>(1). https://doi.org/10.1080/2331186X.2025.2592371</w:t>
      </w:r>
    </w:p>
    <w:p w14:paraId="70B3A026" w14:textId="77777777" w:rsidR="00242CD1" w:rsidRDefault="00000000">
      <w:pPr>
        <w:spacing w:before="0" w:after="120" w:line="480" w:lineRule="auto"/>
        <w:ind w:left="720" w:hanging="720"/>
        <w:jc w:val="left"/>
        <w:rPr>
          <w:sz w:val="24"/>
          <w:szCs w:val="24"/>
        </w:rPr>
      </w:pPr>
      <w:r>
        <w:rPr>
          <w:sz w:val="24"/>
          <w:szCs w:val="24"/>
        </w:rPr>
        <w:t xml:space="preserve">Rafida, T., Suwandi, S., &amp; Ananda, R. (2024). EFL Students’ perception in Indonesia and Taiwan on using artificial intelligence to enhance writing skills. </w:t>
      </w:r>
      <w:proofErr w:type="spellStart"/>
      <w:r>
        <w:rPr>
          <w:i/>
          <w:iCs/>
          <w:sz w:val="24"/>
          <w:szCs w:val="24"/>
        </w:rPr>
        <w:t>Jurnal</w:t>
      </w:r>
      <w:proofErr w:type="spellEnd"/>
      <w:r>
        <w:rPr>
          <w:i/>
          <w:iCs/>
          <w:sz w:val="24"/>
          <w:szCs w:val="24"/>
        </w:rPr>
        <w:t xml:space="preserve"> </w:t>
      </w:r>
      <w:proofErr w:type="spellStart"/>
      <w:r>
        <w:rPr>
          <w:i/>
          <w:iCs/>
          <w:sz w:val="24"/>
          <w:szCs w:val="24"/>
        </w:rPr>
        <w:t>Ilmiah</w:t>
      </w:r>
      <w:proofErr w:type="spellEnd"/>
      <w:r>
        <w:rPr>
          <w:i/>
          <w:iCs/>
          <w:sz w:val="24"/>
          <w:szCs w:val="24"/>
        </w:rPr>
        <w:t xml:space="preserve"> Peuradeun, 12</w:t>
      </w:r>
      <w:r>
        <w:rPr>
          <w:sz w:val="24"/>
          <w:szCs w:val="24"/>
        </w:rPr>
        <w:t>(3). https://doi.org/10.26811/peuradeun.v12i3.1520</w:t>
      </w:r>
    </w:p>
    <w:p w14:paraId="3613C3D9" w14:textId="77777777" w:rsidR="00242CD1" w:rsidRDefault="00000000">
      <w:pPr>
        <w:spacing w:before="0" w:after="120" w:line="480" w:lineRule="auto"/>
        <w:ind w:left="720" w:hanging="720"/>
        <w:jc w:val="left"/>
        <w:rPr>
          <w:sz w:val="24"/>
          <w:szCs w:val="24"/>
        </w:rPr>
      </w:pPr>
      <w:r>
        <w:rPr>
          <w:sz w:val="24"/>
          <w:szCs w:val="24"/>
        </w:rPr>
        <w:t xml:space="preserve">Rahman, M. K., Hossain, M. A., Ismail, N. A., Hossen, M. S., &amp; Sultana, M. (2025). Determinants of students’ adoption of AI chatbots in higher education: The moderating role of tech readiness. </w:t>
      </w:r>
      <w:r>
        <w:rPr>
          <w:i/>
          <w:iCs/>
          <w:sz w:val="24"/>
          <w:szCs w:val="24"/>
        </w:rPr>
        <w:t>Interactive Technology and Smart Education, 22</w:t>
      </w:r>
      <w:r>
        <w:rPr>
          <w:sz w:val="24"/>
          <w:szCs w:val="24"/>
        </w:rPr>
        <w:t>(3), 448–480. https://doi.org/10.1108/ITSE-12-2024-0312</w:t>
      </w:r>
    </w:p>
    <w:p w14:paraId="2F4D20FE" w14:textId="77777777" w:rsidR="00242CD1" w:rsidRDefault="00000000">
      <w:pPr>
        <w:spacing w:before="0" w:after="120" w:line="480" w:lineRule="auto"/>
        <w:ind w:left="720" w:hanging="720"/>
        <w:jc w:val="left"/>
        <w:rPr>
          <w:sz w:val="24"/>
          <w:szCs w:val="24"/>
        </w:rPr>
      </w:pPr>
      <w:proofErr w:type="spellStart"/>
      <w:r>
        <w:rPr>
          <w:sz w:val="24"/>
          <w:szCs w:val="24"/>
        </w:rPr>
        <w:t>Ruminar</w:t>
      </w:r>
      <w:proofErr w:type="spellEnd"/>
      <w:r>
        <w:rPr>
          <w:sz w:val="24"/>
          <w:szCs w:val="24"/>
        </w:rPr>
        <w:t xml:space="preserve">, H. &amp; Gayatri, P. (2024). Linguistic readiness of doctoral candidates: A case study of TOEFL policy at the faculty of agriculture. </w:t>
      </w:r>
      <w:r>
        <w:rPr>
          <w:i/>
          <w:iCs/>
          <w:sz w:val="24"/>
          <w:szCs w:val="24"/>
        </w:rPr>
        <w:t>E-Structural (English Studies on Translation, Culture, Literature, and Linguistics). 7</w:t>
      </w:r>
      <w:r>
        <w:rPr>
          <w:sz w:val="24"/>
          <w:szCs w:val="24"/>
        </w:rPr>
        <w:t>(02), 78─94. https://doi.org/10.33633/es.v7i02.10933</w:t>
      </w:r>
    </w:p>
    <w:p w14:paraId="3CF77CDA" w14:textId="77777777" w:rsidR="00242CD1" w:rsidRDefault="00000000">
      <w:pPr>
        <w:spacing w:before="0" w:after="120" w:line="480" w:lineRule="auto"/>
        <w:ind w:left="720" w:hanging="720"/>
        <w:jc w:val="left"/>
        <w:rPr>
          <w:sz w:val="24"/>
          <w:szCs w:val="24"/>
        </w:rPr>
      </w:pPr>
      <w:proofErr w:type="spellStart"/>
      <w:r>
        <w:rPr>
          <w:sz w:val="24"/>
          <w:szCs w:val="24"/>
        </w:rPr>
        <w:t>Setiana</w:t>
      </w:r>
      <w:proofErr w:type="spellEnd"/>
      <w:r>
        <w:rPr>
          <w:sz w:val="24"/>
          <w:szCs w:val="24"/>
        </w:rPr>
        <w:t xml:space="preserve">, L. N., &amp; </w:t>
      </w:r>
      <w:proofErr w:type="spellStart"/>
      <w:r>
        <w:rPr>
          <w:sz w:val="24"/>
          <w:szCs w:val="24"/>
        </w:rPr>
        <w:t>Chamalah</w:t>
      </w:r>
      <w:proofErr w:type="spellEnd"/>
      <w:r>
        <w:rPr>
          <w:sz w:val="24"/>
          <w:szCs w:val="24"/>
        </w:rPr>
        <w:t xml:space="preserve">, E. (2025). Revolutionizing scientific writing: The role of AI in enhancing efficiency, accuracy, and creativity. </w:t>
      </w:r>
      <w:r>
        <w:rPr>
          <w:i/>
          <w:iCs/>
          <w:sz w:val="24"/>
          <w:szCs w:val="24"/>
        </w:rPr>
        <w:t>Journal of Language, Literature, and Cultural Dynamics, 2</w:t>
      </w:r>
      <w:r>
        <w:rPr>
          <w:sz w:val="24"/>
          <w:szCs w:val="24"/>
        </w:rPr>
        <w:t>(01), 40-47.  https://doi.org/10.65840/jllcd.v2i01.30</w:t>
      </w:r>
    </w:p>
    <w:p w14:paraId="7D7D8318" w14:textId="77777777" w:rsidR="00242CD1" w:rsidRDefault="00000000">
      <w:pPr>
        <w:spacing w:before="0" w:after="120" w:line="480" w:lineRule="auto"/>
        <w:ind w:left="720" w:hanging="720"/>
        <w:jc w:val="left"/>
        <w:rPr>
          <w:sz w:val="24"/>
          <w:szCs w:val="24"/>
        </w:rPr>
      </w:pPr>
      <w:r>
        <w:rPr>
          <w:sz w:val="24"/>
          <w:szCs w:val="24"/>
        </w:rPr>
        <w:t xml:space="preserve">Sun, T., &amp; Wang, C. (2020). College students’ writing self-efficacy and writing self-regulated learning strategies in learning English as a foreign language. </w:t>
      </w:r>
      <w:r>
        <w:rPr>
          <w:i/>
          <w:iCs/>
          <w:sz w:val="24"/>
          <w:szCs w:val="24"/>
        </w:rPr>
        <w:t>System, 90</w:t>
      </w:r>
      <w:r>
        <w:rPr>
          <w:sz w:val="24"/>
          <w:szCs w:val="24"/>
        </w:rPr>
        <w:t xml:space="preserve">. https://doi.org/10.1016/j.system.2020.102221 </w:t>
      </w:r>
    </w:p>
    <w:p w14:paraId="531B2FFF" w14:textId="77777777" w:rsidR="00242CD1" w:rsidRDefault="00000000">
      <w:pPr>
        <w:spacing w:before="0" w:after="120" w:line="480" w:lineRule="auto"/>
        <w:ind w:left="720" w:hanging="720"/>
        <w:jc w:val="left"/>
        <w:rPr>
          <w:sz w:val="24"/>
          <w:szCs w:val="24"/>
        </w:rPr>
      </w:pPr>
      <w:proofErr w:type="spellStart"/>
      <w:r>
        <w:rPr>
          <w:sz w:val="24"/>
          <w:szCs w:val="24"/>
        </w:rPr>
        <w:lastRenderedPageBreak/>
        <w:t>Sustaningrum</w:t>
      </w:r>
      <w:proofErr w:type="spellEnd"/>
      <w:r>
        <w:rPr>
          <w:sz w:val="24"/>
          <w:szCs w:val="24"/>
        </w:rPr>
        <w:t xml:space="preserve">, R., &amp; </w:t>
      </w:r>
      <w:proofErr w:type="spellStart"/>
      <w:r>
        <w:rPr>
          <w:sz w:val="24"/>
          <w:szCs w:val="24"/>
        </w:rPr>
        <w:t>Haldaka</w:t>
      </w:r>
      <w:proofErr w:type="spellEnd"/>
      <w:r>
        <w:rPr>
          <w:sz w:val="24"/>
          <w:szCs w:val="24"/>
        </w:rPr>
        <w:t xml:space="preserve">, M. (2025). Student utilization and perceptions of AI technology for academic purposes: </w:t>
      </w:r>
      <w:r>
        <w:rPr>
          <w:i/>
          <w:iCs/>
          <w:sz w:val="24"/>
          <w:szCs w:val="24"/>
        </w:rPr>
        <w:t>A mixed-method analysis. Cogent Education, 12</w:t>
      </w:r>
      <w:r>
        <w:rPr>
          <w:sz w:val="24"/>
          <w:szCs w:val="24"/>
        </w:rPr>
        <w:t>(1). https://doi.org/10.1080/2331186X.2025.2553835</w:t>
      </w:r>
    </w:p>
    <w:p w14:paraId="550D2247" w14:textId="77777777" w:rsidR="00242CD1" w:rsidRDefault="00000000">
      <w:pPr>
        <w:spacing w:before="0" w:after="120" w:line="480" w:lineRule="auto"/>
        <w:ind w:left="720" w:hanging="720"/>
        <w:jc w:val="left"/>
        <w:rPr>
          <w:sz w:val="24"/>
          <w:szCs w:val="24"/>
        </w:rPr>
      </w:pPr>
      <w:r>
        <w:rPr>
          <w:sz w:val="24"/>
          <w:szCs w:val="24"/>
        </w:rPr>
        <w:t xml:space="preserve">Taber, K. T. (2018). The use of Cronbach’s Alpha when developing and reporting research instruments in science education. </w:t>
      </w:r>
      <w:r>
        <w:rPr>
          <w:i/>
          <w:iCs/>
          <w:sz w:val="24"/>
          <w:szCs w:val="24"/>
        </w:rPr>
        <w:t>Research in Science Education, 48</w:t>
      </w:r>
      <w:r>
        <w:rPr>
          <w:sz w:val="24"/>
          <w:szCs w:val="24"/>
        </w:rPr>
        <w:t>, 1273-1296. https://doi.org/10.1007/s11165-016-9602-2</w:t>
      </w:r>
    </w:p>
    <w:p w14:paraId="73E8D30F" w14:textId="77777777" w:rsidR="00242CD1" w:rsidRDefault="00000000">
      <w:pPr>
        <w:spacing w:before="0" w:after="120" w:line="480" w:lineRule="auto"/>
        <w:ind w:left="720" w:hanging="720"/>
        <w:jc w:val="left"/>
        <w:rPr>
          <w:sz w:val="24"/>
          <w:szCs w:val="24"/>
        </w:rPr>
      </w:pPr>
      <w:r>
        <w:rPr>
          <w:sz w:val="24"/>
          <w:szCs w:val="24"/>
        </w:rPr>
        <w:t xml:space="preserve">Teng, L. S., &amp; Zhang, L. J. (2016). A questionnaire-based validation of multidimensional models of self-regulated learning strategies. </w:t>
      </w:r>
      <w:r>
        <w:rPr>
          <w:i/>
          <w:iCs/>
          <w:sz w:val="24"/>
          <w:szCs w:val="24"/>
        </w:rPr>
        <w:t>Modern Language Journal, 100</w:t>
      </w:r>
      <w:r>
        <w:rPr>
          <w:sz w:val="24"/>
          <w:szCs w:val="24"/>
        </w:rPr>
        <w:t xml:space="preserve">(3). https://doi.org/10.1111/modl.12339 </w:t>
      </w:r>
    </w:p>
    <w:p w14:paraId="45F5DB6A" w14:textId="77777777" w:rsidR="00242CD1" w:rsidRDefault="00000000">
      <w:pPr>
        <w:spacing w:before="0" w:after="120" w:line="480" w:lineRule="auto"/>
        <w:ind w:left="720" w:hanging="720"/>
        <w:jc w:val="left"/>
        <w:rPr>
          <w:sz w:val="24"/>
          <w:szCs w:val="24"/>
        </w:rPr>
      </w:pPr>
      <w:r>
        <w:rPr>
          <w:sz w:val="24"/>
          <w:szCs w:val="24"/>
        </w:rPr>
        <w:t xml:space="preserve">Teng, M. F. (2025). Understanding EFL student writers’ metacognitive awareness in utilizing ChatGPT. </w:t>
      </w:r>
      <w:r>
        <w:rPr>
          <w:i/>
          <w:iCs/>
          <w:sz w:val="24"/>
          <w:szCs w:val="24"/>
        </w:rPr>
        <w:t>System, 135</w:t>
      </w:r>
      <w:r>
        <w:rPr>
          <w:sz w:val="24"/>
          <w:szCs w:val="24"/>
        </w:rPr>
        <w:t>. https://doi.org/10.1016/j.system.2025.103848</w:t>
      </w:r>
    </w:p>
    <w:p w14:paraId="03EF39D1" w14:textId="77777777" w:rsidR="00242CD1" w:rsidRDefault="00000000">
      <w:pPr>
        <w:spacing w:before="0" w:after="120" w:line="480" w:lineRule="auto"/>
        <w:ind w:left="720" w:hanging="720"/>
        <w:jc w:val="left"/>
        <w:rPr>
          <w:sz w:val="24"/>
          <w:szCs w:val="24"/>
        </w:rPr>
      </w:pPr>
      <w:r>
        <w:rPr>
          <w:sz w:val="24"/>
          <w:szCs w:val="24"/>
        </w:rPr>
        <w:t xml:space="preserve">Tezer, M. (2025). Metacognitive engagement in AI-supported learning: Frameworks, challenges, and transformations. In Education and Human Development. </w:t>
      </w:r>
      <w:proofErr w:type="spellStart"/>
      <w:r>
        <w:rPr>
          <w:i/>
          <w:iCs/>
          <w:sz w:val="24"/>
          <w:szCs w:val="24"/>
        </w:rPr>
        <w:t>IntechOpen</w:t>
      </w:r>
      <w:proofErr w:type="spellEnd"/>
      <w:r>
        <w:rPr>
          <w:sz w:val="24"/>
          <w:szCs w:val="24"/>
        </w:rPr>
        <w:t>. https://doi.org/10.5772/intechopen.1012658</w:t>
      </w:r>
    </w:p>
    <w:p w14:paraId="0B89C545" w14:textId="77777777" w:rsidR="00242CD1" w:rsidRDefault="00000000">
      <w:pPr>
        <w:spacing w:before="0" w:after="120" w:line="480" w:lineRule="auto"/>
        <w:ind w:left="720" w:hanging="720"/>
        <w:jc w:val="left"/>
        <w:rPr>
          <w:sz w:val="24"/>
          <w:szCs w:val="24"/>
        </w:rPr>
      </w:pPr>
      <w:proofErr w:type="spellStart"/>
      <w:r>
        <w:rPr>
          <w:sz w:val="24"/>
          <w:szCs w:val="24"/>
        </w:rPr>
        <w:t>Thi</w:t>
      </w:r>
      <w:proofErr w:type="spellEnd"/>
      <w:r>
        <w:rPr>
          <w:sz w:val="24"/>
          <w:szCs w:val="24"/>
        </w:rPr>
        <w:t xml:space="preserve">, X. H. N., Thien, H. V. H., Vuong, K. N., &amp; Nguyen, T. T. (2025). Enhancing writing skills through AI-powered tools: perceived benefits and challenges among Vietnamese EFL students. </w:t>
      </w:r>
      <w:r>
        <w:rPr>
          <w:i/>
          <w:iCs/>
          <w:sz w:val="24"/>
          <w:szCs w:val="24"/>
        </w:rPr>
        <w:t>Discover Education, 4</w:t>
      </w:r>
      <w:r>
        <w:rPr>
          <w:sz w:val="24"/>
          <w:szCs w:val="24"/>
        </w:rPr>
        <w:t>(1). https://doi.org/10.1007/s44217-025-00905-9</w:t>
      </w:r>
    </w:p>
    <w:p w14:paraId="3F61A057" w14:textId="77777777" w:rsidR="00242CD1" w:rsidRDefault="00000000">
      <w:pPr>
        <w:spacing w:before="0" w:after="120" w:line="480" w:lineRule="auto"/>
        <w:ind w:left="720" w:hanging="720"/>
        <w:jc w:val="left"/>
        <w:rPr>
          <w:sz w:val="24"/>
          <w:szCs w:val="24"/>
        </w:rPr>
      </w:pPr>
      <w:r>
        <w:rPr>
          <w:sz w:val="24"/>
          <w:szCs w:val="24"/>
        </w:rPr>
        <w:t xml:space="preserve">Yurt, E. (2025). The self-regulation for AI-based learning scale: Psychometric properties and validation. </w:t>
      </w:r>
      <w:r>
        <w:rPr>
          <w:i/>
          <w:iCs/>
          <w:sz w:val="24"/>
          <w:szCs w:val="24"/>
        </w:rPr>
        <w:t>International Journal of Current Education Studies (IJCES), 4</w:t>
      </w:r>
      <w:r>
        <w:rPr>
          <w:sz w:val="24"/>
          <w:szCs w:val="24"/>
        </w:rPr>
        <w:t>(1), 95-118. https://doi.org/10.46328/ijces.176</w:t>
      </w:r>
    </w:p>
    <w:p w14:paraId="1F50ECE5" w14:textId="77777777" w:rsidR="00242CD1" w:rsidRDefault="00000000">
      <w:pPr>
        <w:spacing w:before="0" w:after="120" w:line="480" w:lineRule="auto"/>
        <w:ind w:left="720" w:hanging="720"/>
        <w:jc w:val="left"/>
        <w:rPr>
          <w:sz w:val="24"/>
          <w:szCs w:val="24"/>
        </w:rPr>
      </w:pPr>
      <w:r>
        <w:rPr>
          <w:sz w:val="24"/>
          <w:szCs w:val="24"/>
        </w:rPr>
        <w:t xml:space="preserve">Zimmerman, B. J. (2002). Becoming a self-regulated learner: An overview. </w:t>
      </w:r>
      <w:r>
        <w:rPr>
          <w:i/>
          <w:iCs/>
          <w:sz w:val="24"/>
          <w:szCs w:val="24"/>
        </w:rPr>
        <w:t>Theory Into Practice, 41</w:t>
      </w:r>
      <w:r>
        <w:rPr>
          <w:sz w:val="24"/>
          <w:szCs w:val="24"/>
        </w:rPr>
        <w:t xml:space="preserve">(2), 64–70. </w:t>
      </w:r>
      <w:hyperlink r:id="rId11">
        <w:r w:rsidR="00242CD1">
          <w:rPr>
            <w:color w:val="000000"/>
            <w:sz w:val="24"/>
            <w:szCs w:val="24"/>
          </w:rPr>
          <w:t>https://doi.org/10.1207/s15430421tip4102_2</w:t>
        </w:r>
      </w:hyperlink>
    </w:p>
    <w:p w14:paraId="7E9CC502" w14:textId="77777777" w:rsidR="00242CD1" w:rsidRDefault="00000000">
      <w:pPr>
        <w:spacing w:before="0" w:after="120" w:line="480" w:lineRule="auto"/>
        <w:ind w:firstLine="0"/>
        <w:rPr>
          <w:sz w:val="24"/>
          <w:szCs w:val="24"/>
        </w:rPr>
      </w:pPr>
      <w:r>
        <w:br w:type="page"/>
      </w:r>
    </w:p>
    <w:p w14:paraId="5F3EEA4A" w14:textId="77777777" w:rsidR="00242CD1" w:rsidRDefault="00000000">
      <w:pPr>
        <w:spacing w:before="0" w:after="120" w:line="480" w:lineRule="auto"/>
        <w:ind w:firstLine="0"/>
        <w:rPr>
          <w:b/>
          <w:bCs/>
          <w:sz w:val="24"/>
          <w:szCs w:val="24"/>
        </w:rPr>
      </w:pPr>
      <w:proofErr w:type="spellStart"/>
      <w:r>
        <w:rPr>
          <w:b/>
          <w:bCs/>
          <w:sz w:val="24"/>
          <w:szCs w:val="24"/>
        </w:rPr>
        <w:lastRenderedPageBreak/>
        <w:t>Bionote</w:t>
      </w:r>
      <w:proofErr w:type="spellEnd"/>
    </w:p>
    <w:p w14:paraId="0BAF0FCC" w14:textId="3A78BEDF" w:rsidR="00242CD1" w:rsidRDefault="00DE02AC">
      <w:pPr>
        <w:spacing w:before="0" w:after="120" w:line="480" w:lineRule="auto"/>
        <w:ind w:firstLine="0"/>
        <w:rPr>
          <w:sz w:val="24"/>
          <w:szCs w:val="24"/>
        </w:rPr>
      </w:pPr>
      <w:r>
        <w:rPr>
          <w:i/>
          <w:iCs/>
          <w:sz w:val="24"/>
          <w:szCs w:val="24"/>
        </w:rPr>
        <w:t xml:space="preserve">Tran Phuong Anh </w:t>
      </w:r>
      <w:r>
        <w:rPr>
          <w:sz w:val="24"/>
          <w:szCs w:val="24"/>
        </w:rPr>
        <w:t>is an EFL teacher and researcher</w:t>
      </w:r>
      <w:r w:rsidR="002D043D">
        <w:rPr>
          <w:sz w:val="24"/>
          <w:szCs w:val="24"/>
        </w:rPr>
        <w:t xml:space="preserve">. </w:t>
      </w:r>
      <w:r w:rsidR="002D043D" w:rsidRPr="002D043D">
        <w:rPr>
          <w:sz w:val="24"/>
          <w:szCs w:val="24"/>
        </w:rPr>
        <w:t xml:space="preserve">She </w:t>
      </w:r>
      <w:r w:rsidR="00A46101">
        <w:rPr>
          <w:sz w:val="24"/>
          <w:szCs w:val="24"/>
        </w:rPr>
        <w:t>holds</w:t>
      </w:r>
      <w:r w:rsidR="002D043D" w:rsidRPr="002D043D">
        <w:rPr>
          <w:sz w:val="24"/>
          <w:szCs w:val="24"/>
        </w:rPr>
        <w:t xml:space="preserve"> </w:t>
      </w:r>
      <w:r>
        <w:rPr>
          <w:sz w:val="24"/>
          <w:szCs w:val="24"/>
        </w:rPr>
        <w:t xml:space="preserve">a </w:t>
      </w:r>
      <w:r w:rsidR="002D043D">
        <w:rPr>
          <w:sz w:val="24"/>
          <w:szCs w:val="24"/>
        </w:rPr>
        <w:t>M</w:t>
      </w:r>
      <w:r>
        <w:rPr>
          <w:sz w:val="24"/>
          <w:szCs w:val="24"/>
        </w:rPr>
        <w:t>aster's degree in English Linguistics</w:t>
      </w:r>
      <w:r w:rsidR="002D043D">
        <w:rPr>
          <w:sz w:val="24"/>
          <w:szCs w:val="24"/>
        </w:rPr>
        <w:t xml:space="preserve"> from Ho Chi Minh City University of Foreign Languages and Information Technology</w:t>
      </w:r>
      <w:r>
        <w:rPr>
          <w:sz w:val="24"/>
          <w:szCs w:val="24"/>
        </w:rPr>
        <w:t>. She is interested in academic essay writing and AI-assisted learning. She is dedicated to developing learner autonomy in English classrooms. She aspires to pursue a PhD in TESOL and Applied Linguistics, with a concentration in academic literacy and technology-enhanced language learning.</w:t>
      </w:r>
    </w:p>
    <w:p w14:paraId="55FDC2B3" w14:textId="77968BED" w:rsidR="00242CD1" w:rsidRDefault="00DE02AC">
      <w:pPr>
        <w:spacing w:before="0" w:after="120" w:line="480" w:lineRule="auto"/>
        <w:ind w:firstLine="0"/>
        <w:rPr>
          <w:sz w:val="24"/>
          <w:szCs w:val="24"/>
        </w:rPr>
      </w:pPr>
      <w:r>
        <w:rPr>
          <w:i/>
          <w:iCs/>
          <w:sz w:val="24"/>
          <w:szCs w:val="24"/>
        </w:rPr>
        <w:t xml:space="preserve">Ngo </w:t>
      </w:r>
      <w:proofErr w:type="spellStart"/>
      <w:r>
        <w:rPr>
          <w:i/>
          <w:iCs/>
          <w:sz w:val="24"/>
          <w:szCs w:val="24"/>
        </w:rPr>
        <w:t>Thi</w:t>
      </w:r>
      <w:proofErr w:type="spellEnd"/>
      <w:r>
        <w:rPr>
          <w:i/>
          <w:iCs/>
          <w:sz w:val="24"/>
          <w:szCs w:val="24"/>
        </w:rPr>
        <w:t xml:space="preserve"> Thu Hien</w:t>
      </w:r>
      <w:r>
        <w:rPr>
          <w:sz w:val="24"/>
          <w:szCs w:val="24"/>
        </w:rPr>
        <w:t xml:space="preserve"> is a master’s graduate in English Language from Ho Chi Minh City University of Foreign Languages and Information Technology. She is now teaching online from home, including the Cambridge English program. She helps students build language competence and prepare for exams. She has also delivered a conference paper, advancing research in English language teaching methods. Her research includes language teaching, motivation, and classroom techniques.</w:t>
      </w:r>
      <w:r>
        <w:br w:type="page"/>
      </w:r>
    </w:p>
    <w:p w14:paraId="032332B6" w14:textId="77777777" w:rsidR="00242CD1" w:rsidRDefault="00000000">
      <w:pPr>
        <w:keepNext/>
        <w:pBdr>
          <w:top w:val="nil"/>
          <w:left w:val="nil"/>
          <w:bottom w:val="nil"/>
          <w:right w:val="nil"/>
          <w:between w:val="nil"/>
        </w:pBdr>
        <w:spacing w:before="240" w:after="0" w:line="480" w:lineRule="auto"/>
        <w:ind w:left="284" w:hanging="284"/>
        <w:rPr>
          <w:b/>
          <w:bCs/>
          <w:color w:val="000000"/>
          <w:sz w:val="24"/>
          <w:szCs w:val="24"/>
        </w:rPr>
      </w:pPr>
      <w:r>
        <w:rPr>
          <w:b/>
          <w:bCs/>
          <w:color w:val="000000"/>
          <w:sz w:val="24"/>
          <w:szCs w:val="24"/>
        </w:rPr>
        <w:lastRenderedPageBreak/>
        <w:t>Appendix A</w:t>
      </w:r>
    </w:p>
    <w:p w14:paraId="785D0FE2" w14:textId="77777777" w:rsidR="00242CD1" w:rsidRDefault="00000000">
      <w:pPr>
        <w:keepNext/>
        <w:pBdr>
          <w:top w:val="nil"/>
          <w:left w:val="nil"/>
          <w:bottom w:val="nil"/>
          <w:right w:val="nil"/>
          <w:between w:val="nil"/>
        </w:pBdr>
        <w:spacing w:before="240" w:after="0" w:line="480" w:lineRule="auto"/>
        <w:ind w:left="284" w:hanging="284"/>
        <w:rPr>
          <w:color w:val="000000"/>
          <w:sz w:val="24"/>
          <w:szCs w:val="24"/>
        </w:rPr>
      </w:pPr>
      <w:r>
        <w:rPr>
          <w:color w:val="000000"/>
          <w:sz w:val="24"/>
          <w:szCs w:val="24"/>
        </w:rPr>
        <w:t xml:space="preserve">This appendix presents an overview of the questionnaire dimensions used in the study. </w:t>
      </w:r>
    </w:p>
    <w:p w14:paraId="253751E8" w14:textId="77777777" w:rsidR="00242CD1" w:rsidRDefault="00000000">
      <w:pPr>
        <w:spacing w:line="480" w:lineRule="auto"/>
        <w:ind w:firstLine="0"/>
        <w:rPr>
          <w:b/>
          <w:bCs/>
          <w:sz w:val="24"/>
          <w:szCs w:val="24"/>
        </w:rPr>
      </w:pPr>
      <w:r>
        <w:rPr>
          <w:b/>
          <w:bCs/>
          <w:sz w:val="24"/>
          <w:szCs w:val="24"/>
        </w:rPr>
        <w:t>Table A1</w:t>
      </w:r>
    </w:p>
    <w:p w14:paraId="564E04FA" w14:textId="77777777" w:rsidR="00242CD1" w:rsidRDefault="00000000">
      <w:pPr>
        <w:spacing w:line="480" w:lineRule="auto"/>
        <w:ind w:firstLine="0"/>
        <w:rPr>
          <w:i/>
          <w:iCs/>
          <w:sz w:val="24"/>
          <w:szCs w:val="24"/>
        </w:rPr>
      </w:pPr>
      <w:r>
        <w:rPr>
          <w:i/>
          <w:iCs/>
          <w:sz w:val="24"/>
          <w:szCs w:val="24"/>
        </w:rPr>
        <w:t>Questionnaire Dimensions, Sources, and Sample Items</w:t>
      </w:r>
    </w:p>
    <w:tbl>
      <w:tblPr>
        <w:tblStyle w:val="a3"/>
        <w:tblW w:w="927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54"/>
        <w:gridCol w:w="2606"/>
        <w:gridCol w:w="1342"/>
        <w:gridCol w:w="3068"/>
      </w:tblGrid>
      <w:tr w:rsidR="00242CD1" w14:paraId="51179660" w14:textId="77777777">
        <w:tc>
          <w:tcPr>
            <w:tcW w:w="2254" w:type="dxa"/>
            <w:tcBorders>
              <w:top w:val="single" w:sz="4" w:space="0" w:color="000000"/>
              <w:bottom w:val="single" w:sz="4" w:space="0" w:color="000000"/>
            </w:tcBorders>
          </w:tcPr>
          <w:p w14:paraId="0A21C08B" w14:textId="77777777" w:rsidR="00242CD1" w:rsidRDefault="00000000">
            <w:pPr>
              <w:spacing w:before="0" w:line="480" w:lineRule="auto"/>
              <w:ind w:firstLine="0"/>
              <w:jc w:val="left"/>
              <w:rPr>
                <w:b/>
                <w:bCs/>
              </w:rPr>
            </w:pPr>
            <w:r>
              <w:rPr>
                <w:b/>
                <w:bCs/>
              </w:rPr>
              <w:t>Dimension</w:t>
            </w:r>
          </w:p>
        </w:tc>
        <w:tc>
          <w:tcPr>
            <w:tcW w:w="2606" w:type="dxa"/>
            <w:tcBorders>
              <w:top w:val="single" w:sz="4" w:space="0" w:color="000000"/>
              <w:bottom w:val="single" w:sz="4" w:space="0" w:color="000000"/>
            </w:tcBorders>
          </w:tcPr>
          <w:p w14:paraId="4BE4402E" w14:textId="77777777" w:rsidR="00242CD1" w:rsidRDefault="00000000">
            <w:pPr>
              <w:spacing w:before="0" w:line="480" w:lineRule="auto"/>
              <w:ind w:firstLine="0"/>
              <w:jc w:val="left"/>
              <w:rPr>
                <w:b/>
                <w:bCs/>
              </w:rPr>
            </w:pPr>
            <w:r>
              <w:rPr>
                <w:b/>
                <w:bCs/>
              </w:rPr>
              <w:t>Theoretical Source(s)</w:t>
            </w:r>
          </w:p>
        </w:tc>
        <w:tc>
          <w:tcPr>
            <w:tcW w:w="1342" w:type="dxa"/>
            <w:tcBorders>
              <w:top w:val="single" w:sz="4" w:space="0" w:color="000000"/>
              <w:bottom w:val="single" w:sz="4" w:space="0" w:color="000000"/>
            </w:tcBorders>
          </w:tcPr>
          <w:p w14:paraId="0E7EFA95" w14:textId="77777777" w:rsidR="00242CD1" w:rsidRDefault="00000000">
            <w:pPr>
              <w:spacing w:before="0" w:line="480" w:lineRule="auto"/>
              <w:ind w:firstLine="0"/>
              <w:jc w:val="left"/>
              <w:rPr>
                <w:b/>
                <w:bCs/>
              </w:rPr>
            </w:pPr>
            <w:r>
              <w:rPr>
                <w:b/>
                <w:bCs/>
              </w:rPr>
              <w:t>No. of Items</w:t>
            </w:r>
          </w:p>
        </w:tc>
        <w:tc>
          <w:tcPr>
            <w:tcW w:w="3068" w:type="dxa"/>
            <w:tcBorders>
              <w:top w:val="single" w:sz="4" w:space="0" w:color="000000"/>
              <w:bottom w:val="single" w:sz="4" w:space="0" w:color="000000"/>
            </w:tcBorders>
          </w:tcPr>
          <w:p w14:paraId="385FDFC0" w14:textId="77777777" w:rsidR="00242CD1" w:rsidRDefault="00000000">
            <w:pPr>
              <w:spacing w:before="0" w:line="480" w:lineRule="auto"/>
              <w:ind w:firstLine="0"/>
              <w:jc w:val="left"/>
              <w:rPr>
                <w:b/>
                <w:bCs/>
              </w:rPr>
            </w:pPr>
            <w:r>
              <w:rPr>
                <w:b/>
                <w:bCs/>
              </w:rPr>
              <w:t>Sample Item</w:t>
            </w:r>
          </w:p>
        </w:tc>
      </w:tr>
      <w:tr w:rsidR="00242CD1" w14:paraId="0C2CA4EC" w14:textId="77777777">
        <w:tc>
          <w:tcPr>
            <w:tcW w:w="2254" w:type="dxa"/>
            <w:tcBorders>
              <w:top w:val="single" w:sz="4" w:space="0" w:color="000000"/>
            </w:tcBorders>
          </w:tcPr>
          <w:p w14:paraId="10F0C19C" w14:textId="77777777" w:rsidR="00242CD1" w:rsidRDefault="00000000">
            <w:pPr>
              <w:spacing w:line="480" w:lineRule="auto"/>
              <w:ind w:firstLine="0"/>
              <w:jc w:val="left"/>
            </w:pPr>
            <w:r>
              <w:t>Cognitive–Metacognitive Readiness</w:t>
            </w:r>
          </w:p>
        </w:tc>
        <w:tc>
          <w:tcPr>
            <w:tcW w:w="2606" w:type="dxa"/>
            <w:tcBorders>
              <w:top w:val="single" w:sz="4" w:space="0" w:color="000000"/>
            </w:tcBorders>
          </w:tcPr>
          <w:p w14:paraId="7F404440" w14:textId="77777777" w:rsidR="00242CD1" w:rsidRDefault="00000000">
            <w:pPr>
              <w:spacing w:line="480" w:lineRule="auto"/>
              <w:ind w:firstLine="0"/>
              <w:jc w:val="left"/>
            </w:pPr>
            <w:r>
              <w:t>Zimmerman (2002); Teng and Zhang (2016)</w:t>
            </w:r>
          </w:p>
        </w:tc>
        <w:tc>
          <w:tcPr>
            <w:tcW w:w="1342" w:type="dxa"/>
            <w:tcBorders>
              <w:top w:val="single" w:sz="4" w:space="0" w:color="000000"/>
            </w:tcBorders>
          </w:tcPr>
          <w:p w14:paraId="5F874F7F" w14:textId="77777777" w:rsidR="00242CD1" w:rsidRDefault="00000000">
            <w:pPr>
              <w:spacing w:line="480" w:lineRule="auto"/>
              <w:ind w:firstLine="0"/>
              <w:jc w:val="left"/>
            </w:pPr>
            <w:r>
              <w:t>7</w:t>
            </w:r>
          </w:p>
        </w:tc>
        <w:tc>
          <w:tcPr>
            <w:tcW w:w="3068" w:type="dxa"/>
            <w:tcBorders>
              <w:top w:val="single" w:sz="4" w:space="0" w:color="000000"/>
            </w:tcBorders>
          </w:tcPr>
          <w:p w14:paraId="6501ABE7" w14:textId="77777777" w:rsidR="00242CD1" w:rsidRDefault="00000000">
            <w:pPr>
              <w:spacing w:line="480" w:lineRule="auto"/>
              <w:ind w:firstLine="0"/>
              <w:rPr>
                <w:i/>
                <w:iCs/>
              </w:rPr>
            </w:pPr>
            <w:r>
              <w:rPr>
                <w:i/>
                <w:iCs/>
              </w:rPr>
              <w:t>Before writing, I use AI to search for related ideas and information to help me plan my composition.</w:t>
            </w:r>
          </w:p>
        </w:tc>
      </w:tr>
      <w:tr w:rsidR="00242CD1" w14:paraId="0EB843CC" w14:textId="77777777">
        <w:tc>
          <w:tcPr>
            <w:tcW w:w="2254" w:type="dxa"/>
          </w:tcPr>
          <w:p w14:paraId="27BFA9B5" w14:textId="77777777" w:rsidR="00242CD1" w:rsidRDefault="00000000">
            <w:pPr>
              <w:spacing w:line="480" w:lineRule="auto"/>
              <w:ind w:firstLine="0"/>
              <w:jc w:val="left"/>
            </w:pPr>
            <w:r>
              <w:t>Linguistic Readiness</w:t>
            </w:r>
          </w:p>
        </w:tc>
        <w:tc>
          <w:tcPr>
            <w:tcW w:w="2606" w:type="dxa"/>
          </w:tcPr>
          <w:p w14:paraId="7EDE5287" w14:textId="77777777" w:rsidR="00242CD1" w:rsidRDefault="00000000">
            <w:pPr>
              <w:spacing w:line="480" w:lineRule="auto"/>
              <w:ind w:firstLine="0"/>
              <w:jc w:val="left"/>
            </w:pPr>
            <w:r>
              <w:t xml:space="preserve">Bi and Wang (2025) </w:t>
            </w:r>
          </w:p>
        </w:tc>
        <w:tc>
          <w:tcPr>
            <w:tcW w:w="1342" w:type="dxa"/>
          </w:tcPr>
          <w:p w14:paraId="3210F3B7" w14:textId="77777777" w:rsidR="00242CD1" w:rsidRDefault="00000000">
            <w:pPr>
              <w:spacing w:line="480" w:lineRule="auto"/>
              <w:ind w:firstLine="0"/>
              <w:jc w:val="left"/>
            </w:pPr>
            <w:r>
              <w:t>7</w:t>
            </w:r>
          </w:p>
        </w:tc>
        <w:tc>
          <w:tcPr>
            <w:tcW w:w="3068" w:type="dxa"/>
          </w:tcPr>
          <w:p w14:paraId="4F6271E5" w14:textId="77777777" w:rsidR="00242CD1" w:rsidRDefault="00000000">
            <w:pPr>
              <w:spacing w:line="480" w:lineRule="auto"/>
              <w:ind w:firstLine="0"/>
              <w:rPr>
                <w:i/>
                <w:iCs/>
              </w:rPr>
            </w:pPr>
            <w:r>
              <w:rPr>
                <w:i/>
                <w:iCs/>
              </w:rPr>
              <w:t>I can organize AI-generated sentences into a logical and cohesive academic paragraph.</w:t>
            </w:r>
          </w:p>
        </w:tc>
      </w:tr>
      <w:tr w:rsidR="00242CD1" w14:paraId="4B379C98" w14:textId="77777777">
        <w:tc>
          <w:tcPr>
            <w:tcW w:w="2254" w:type="dxa"/>
          </w:tcPr>
          <w:p w14:paraId="4E0DA846" w14:textId="77777777" w:rsidR="00242CD1" w:rsidRDefault="00000000">
            <w:pPr>
              <w:spacing w:line="480" w:lineRule="auto"/>
              <w:ind w:firstLine="0"/>
              <w:jc w:val="left"/>
            </w:pPr>
            <w:r>
              <w:t>Ethical Awareness</w:t>
            </w:r>
          </w:p>
        </w:tc>
        <w:tc>
          <w:tcPr>
            <w:tcW w:w="2606" w:type="dxa"/>
          </w:tcPr>
          <w:p w14:paraId="7CFD63FC" w14:textId="77777777" w:rsidR="00242CD1" w:rsidRDefault="00000000">
            <w:pPr>
              <w:spacing w:line="480" w:lineRule="auto"/>
              <w:ind w:firstLine="0"/>
              <w:jc w:val="left"/>
            </w:pPr>
            <w:r>
              <w:t>Ng et al. (2023);</w:t>
            </w:r>
          </w:p>
        </w:tc>
        <w:tc>
          <w:tcPr>
            <w:tcW w:w="1342" w:type="dxa"/>
          </w:tcPr>
          <w:p w14:paraId="1FF1C398" w14:textId="77777777" w:rsidR="00242CD1" w:rsidRDefault="00000000">
            <w:pPr>
              <w:spacing w:line="480" w:lineRule="auto"/>
              <w:ind w:firstLine="0"/>
              <w:jc w:val="left"/>
            </w:pPr>
            <w:r>
              <w:t>5</w:t>
            </w:r>
          </w:p>
        </w:tc>
        <w:tc>
          <w:tcPr>
            <w:tcW w:w="3068" w:type="dxa"/>
          </w:tcPr>
          <w:p w14:paraId="18E95A3D" w14:textId="77777777" w:rsidR="00242CD1" w:rsidRDefault="00000000">
            <w:pPr>
              <w:spacing w:line="480" w:lineRule="auto"/>
              <w:ind w:firstLine="0"/>
              <w:rPr>
                <w:i/>
                <w:iCs/>
              </w:rPr>
            </w:pPr>
            <w:r>
              <w:rPr>
                <w:i/>
                <w:iCs/>
              </w:rPr>
              <w:t>I evaluate whether the AI-generated information is derived from reliable and credible sources.</w:t>
            </w:r>
          </w:p>
        </w:tc>
      </w:tr>
      <w:tr w:rsidR="00242CD1" w14:paraId="45B4343D" w14:textId="77777777">
        <w:tc>
          <w:tcPr>
            <w:tcW w:w="2254" w:type="dxa"/>
          </w:tcPr>
          <w:p w14:paraId="2F7F432B" w14:textId="77777777" w:rsidR="00242CD1" w:rsidRDefault="00000000">
            <w:pPr>
              <w:spacing w:line="480" w:lineRule="auto"/>
              <w:ind w:firstLine="0"/>
              <w:jc w:val="left"/>
            </w:pPr>
            <w:r>
              <w:t>Technology Enablers</w:t>
            </w:r>
          </w:p>
        </w:tc>
        <w:tc>
          <w:tcPr>
            <w:tcW w:w="2606" w:type="dxa"/>
          </w:tcPr>
          <w:p w14:paraId="40409B31" w14:textId="77777777" w:rsidR="00242CD1" w:rsidRDefault="00000000">
            <w:pPr>
              <w:spacing w:line="480" w:lineRule="auto"/>
              <w:ind w:firstLine="0"/>
              <w:jc w:val="left"/>
            </w:pPr>
            <w:r>
              <w:t xml:space="preserve">Parasuraman and Colby (2015) </w:t>
            </w:r>
          </w:p>
        </w:tc>
        <w:tc>
          <w:tcPr>
            <w:tcW w:w="1342" w:type="dxa"/>
          </w:tcPr>
          <w:p w14:paraId="098E8716" w14:textId="77777777" w:rsidR="00242CD1" w:rsidRDefault="00000000">
            <w:pPr>
              <w:spacing w:line="480" w:lineRule="auto"/>
              <w:ind w:firstLine="0"/>
              <w:jc w:val="left"/>
            </w:pPr>
            <w:r>
              <w:t>4</w:t>
            </w:r>
          </w:p>
        </w:tc>
        <w:tc>
          <w:tcPr>
            <w:tcW w:w="3068" w:type="dxa"/>
          </w:tcPr>
          <w:p w14:paraId="3BE11A21" w14:textId="77777777" w:rsidR="00242CD1" w:rsidRDefault="00000000">
            <w:pPr>
              <w:spacing w:line="480" w:lineRule="auto"/>
              <w:ind w:firstLine="0"/>
              <w:rPr>
                <w:i/>
                <w:iCs/>
              </w:rPr>
            </w:pPr>
            <w:r>
              <w:rPr>
                <w:i/>
                <w:iCs/>
              </w:rPr>
              <w:t>I actively keep up with the latest AI developments to enhance my English learning and writing.</w:t>
            </w:r>
          </w:p>
        </w:tc>
      </w:tr>
      <w:tr w:rsidR="00242CD1" w14:paraId="69976E3E" w14:textId="77777777">
        <w:tc>
          <w:tcPr>
            <w:tcW w:w="2254" w:type="dxa"/>
          </w:tcPr>
          <w:p w14:paraId="2D44D03E" w14:textId="77777777" w:rsidR="00242CD1" w:rsidRDefault="00000000">
            <w:pPr>
              <w:spacing w:line="480" w:lineRule="auto"/>
              <w:ind w:firstLine="0"/>
              <w:jc w:val="left"/>
            </w:pPr>
            <w:r>
              <w:t>Technology Inhibitors</w:t>
            </w:r>
          </w:p>
        </w:tc>
        <w:tc>
          <w:tcPr>
            <w:tcW w:w="2606" w:type="dxa"/>
          </w:tcPr>
          <w:p w14:paraId="43F5AA52" w14:textId="77777777" w:rsidR="00242CD1" w:rsidRDefault="00000000">
            <w:pPr>
              <w:spacing w:line="480" w:lineRule="auto"/>
              <w:ind w:firstLine="0"/>
              <w:jc w:val="left"/>
            </w:pPr>
            <w:r>
              <w:t xml:space="preserve">Parasuraman and Colby (2015) </w:t>
            </w:r>
          </w:p>
        </w:tc>
        <w:tc>
          <w:tcPr>
            <w:tcW w:w="1342" w:type="dxa"/>
          </w:tcPr>
          <w:p w14:paraId="4293F6C9" w14:textId="77777777" w:rsidR="00242CD1" w:rsidRDefault="00000000">
            <w:pPr>
              <w:spacing w:line="480" w:lineRule="auto"/>
              <w:ind w:firstLine="0"/>
              <w:jc w:val="left"/>
            </w:pPr>
            <w:r>
              <w:t>2</w:t>
            </w:r>
          </w:p>
        </w:tc>
        <w:tc>
          <w:tcPr>
            <w:tcW w:w="3068" w:type="dxa"/>
          </w:tcPr>
          <w:p w14:paraId="416F658B" w14:textId="77777777" w:rsidR="00242CD1" w:rsidRDefault="00000000">
            <w:pPr>
              <w:spacing w:line="480" w:lineRule="auto"/>
              <w:ind w:firstLine="0"/>
              <w:rPr>
                <w:i/>
                <w:iCs/>
              </w:rPr>
            </w:pPr>
            <w:r>
              <w:rPr>
                <w:i/>
                <w:iCs/>
              </w:rPr>
              <w:t>I sometimes feel that AI tools are not helpful because they cannot explain writing concepts in a way I can understand.</w:t>
            </w:r>
          </w:p>
        </w:tc>
      </w:tr>
      <w:tr w:rsidR="00242CD1" w14:paraId="32746201" w14:textId="77777777">
        <w:tc>
          <w:tcPr>
            <w:tcW w:w="2254" w:type="dxa"/>
          </w:tcPr>
          <w:p w14:paraId="716D3E2D" w14:textId="77777777" w:rsidR="00242CD1" w:rsidRDefault="00000000">
            <w:pPr>
              <w:spacing w:line="480" w:lineRule="auto"/>
              <w:ind w:firstLine="0"/>
              <w:jc w:val="left"/>
            </w:pPr>
            <w:r>
              <w:t>Intention to Use AI</w:t>
            </w:r>
          </w:p>
        </w:tc>
        <w:tc>
          <w:tcPr>
            <w:tcW w:w="2606" w:type="dxa"/>
          </w:tcPr>
          <w:p w14:paraId="06F735A5" w14:textId="77777777" w:rsidR="00242CD1" w:rsidRDefault="00000000">
            <w:pPr>
              <w:spacing w:line="480" w:lineRule="auto"/>
              <w:ind w:firstLine="0"/>
              <w:jc w:val="left"/>
            </w:pPr>
            <w:r>
              <w:t>Davis (1989)</w:t>
            </w:r>
          </w:p>
        </w:tc>
        <w:tc>
          <w:tcPr>
            <w:tcW w:w="1342" w:type="dxa"/>
          </w:tcPr>
          <w:p w14:paraId="54D1A0A1" w14:textId="77777777" w:rsidR="00242CD1" w:rsidRDefault="00000000">
            <w:pPr>
              <w:spacing w:line="480" w:lineRule="auto"/>
              <w:ind w:firstLine="0"/>
              <w:jc w:val="left"/>
            </w:pPr>
            <w:r>
              <w:t>4</w:t>
            </w:r>
          </w:p>
        </w:tc>
        <w:tc>
          <w:tcPr>
            <w:tcW w:w="3068" w:type="dxa"/>
          </w:tcPr>
          <w:p w14:paraId="090C2858" w14:textId="77777777" w:rsidR="00242CD1" w:rsidRDefault="00000000">
            <w:pPr>
              <w:spacing w:line="480" w:lineRule="auto"/>
              <w:ind w:firstLine="0"/>
              <w:rPr>
                <w:i/>
                <w:iCs/>
              </w:rPr>
            </w:pPr>
            <w:r>
              <w:rPr>
                <w:i/>
                <w:iCs/>
              </w:rPr>
              <w:t>I intend to use AI tools to support my English academic writing in the next semester.</w:t>
            </w:r>
          </w:p>
        </w:tc>
      </w:tr>
    </w:tbl>
    <w:p w14:paraId="35E09662" w14:textId="77777777" w:rsidR="00242CD1" w:rsidRDefault="00000000">
      <w:pPr>
        <w:spacing w:line="480" w:lineRule="auto"/>
        <w:ind w:firstLine="0"/>
      </w:pPr>
      <w:r>
        <w:rPr>
          <w:i/>
          <w:iCs/>
        </w:rPr>
        <w:t>Note.</w:t>
      </w:r>
      <w:r>
        <w:t xml:space="preserve"> Table A1 summarizes the adapted theoretical source for each dimension, the number of items, and a typical sample survey question for each dimension. The full questionnaire is available upon request.</w:t>
      </w:r>
    </w:p>
    <w:p w14:paraId="03F5F529" w14:textId="77777777" w:rsidR="00242CD1" w:rsidRDefault="00000000">
      <w:pPr>
        <w:spacing w:line="480" w:lineRule="auto"/>
        <w:ind w:firstLine="0"/>
        <w:rPr>
          <w:b/>
          <w:bCs/>
          <w:sz w:val="24"/>
          <w:szCs w:val="24"/>
        </w:rPr>
      </w:pPr>
      <w:r>
        <w:br w:type="page"/>
      </w:r>
      <w:r>
        <w:rPr>
          <w:b/>
          <w:bCs/>
          <w:sz w:val="24"/>
          <w:szCs w:val="24"/>
        </w:rPr>
        <w:lastRenderedPageBreak/>
        <w:t>Appendix B</w:t>
      </w:r>
    </w:p>
    <w:p w14:paraId="0DCAEB48" w14:textId="77777777" w:rsidR="00242CD1" w:rsidRDefault="00000000">
      <w:pPr>
        <w:pBdr>
          <w:top w:val="nil"/>
          <w:left w:val="nil"/>
          <w:bottom w:val="nil"/>
          <w:right w:val="nil"/>
          <w:between w:val="nil"/>
        </w:pBdr>
        <w:spacing w:line="480" w:lineRule="auto"/>
        <w:ind w:firstLine="0"/>
        <w:rPr>
          <w:color w:val="000000"/>
          <w:sz w:val="24"/>
          <w:szCs w:val="24"/>
        </w:rPr>
      </w:pPr>
      <w:r>
        <w:rPr>
          <w:color w:val="000000"/>
          <w:sz w:val="24"/>
          <w:szCs w:val="24"/>
        </w:rPr>
        <w:t>This appendix reports the reliability of the dimensions.</w:t>
      </w:r>
    </w:p>
    <w:p w14:paraId="3CB0E446" w14:textId="77777777" w:rsidR="00242CD1" w:rsidRDefault="00000000">
      <w:pPr>
        <w:pBdr>
          <w:top w:val="nil"/>
          <w:left w:val="nil"/>
          <w:bottom w:val="nil"/>
          <w:right w:val="nil"/>
          <w:between w:val="nil"/>
        </w:pBdr>
        <w:spacing w:line="480" w:lineRule="auto"/>
        <w:ind w:firstLine="0"/>
        <w:rPr>
          <w:b/>
          <w:bCs/>
          <w:color w:val="000000"/>
          <w:sz w:val="24"/>
          <w:szCs w:val="24"/>
        </w:rPr>
      </w:pPr>
      <w:r>
        <w:rPr>
          <w:b/>
          <w:bCs/>
          <w:color w:val="000000"/>
          <w:sz w:val="24"/>
          <w:szCs w:val="24"/>
        </w:rPr>
        <w:t>Table B1</w:t>
      </w:r>
    </w:p>
    <w:p w14:paraId="69323754" w14:textId="77777777" w:rsidR="00242CD1" w:rsidRDefault="00000000">
      <w:pPr>
        <w:pBdr>
          <w:top w:val="nil"/>
          <w:left w:val="nil"/>
          <w:bottom w:val="nil"/>
          <w:right w:val="nil"/>
          <w:between w:val="nil"/>
        </w:pBdr>
        <w:spacing w:line="480" w:lineRule="auto"/>
        <w:ind w:firstLine="0"/>
        <w:rPr>
          <w:i/>
          <w:iCs/>
          <w:color w:val="000000"/>
          <w:sz w:val="24"/>
          <w:szCs w:val="24"/>
        </w:rPr>
      </w:pPr>
      <w:r>
        <w:rPr>
          <w:i/>
          <w:iCs/>
          <w:color w:val="000000"/>
          <w:sz w:val="24"/>
          <w:szCs w:val="24"/>
        </w:rPr>
        <w:t>The Reliability of Questionnaire Constructs</w:t>
      </w:r>
    </w:p>
    <w:tbl>
      <w:tblPr>
        <w:tblStyle w:val="a4"/>
        <w:tblW w:w="6942" w:type="dxa"/>
        <w:tblInd w:w="0" w:type="dxa"/>
        <w:tblBorders>
          <w:top w:val="single" w:sz="4" w:space="0" w:color="000000"/>
          <w:bottom w:val="single" w:sz="4" w:space="0" w:color="000000"/>
        </w:tblBorders>
        <w:tblLayout w:type="fixed"/>
        <w:tblLook w:val="0400" w:firstRow="0" w:lastRow="0" w:firstColumn="0" w:lastColumn="0" w:noHBand="0" w:noVBand="1"/>
      </w:tblPr>
      <w:tblGrid>
        <w:gridCol w:w="2980"/>
        <w:gridCol w:w="2019"/>
        <w:gridCol w:w="1943"/>
      </w:tblGrid>
      <w:tr w:rsidR="00242CD1" w14:paraId="5FF9D783" w14:textId="77777777">
        <w:trPr>
          <w:tblHeader/>
        </w:trPr>
        <w:tc>
          <w:tcPr>
            <w:tcW w:w="2980" w:type="dxa"/>
            <w:tcBorders>
              <w:top w:val="nil"/>
              <w:bottom w:val="single" w:sz="4" w:space="0" w:color="000000"/>
            </w:tcBorders>
            <w:vAlign w:val="center"/>
          </w:tcPr>
          <w:p w14:paraId="468192EB" w14:textId="77777777" w:rsidR="00242CD1" w:rsidRDefault="00000000">
            <w:pPr>
              <w:pBdr>
                <w:top w:val="nil"/>
                <w:left w:val="nil"/>
                <w:bottom w:val="nil"/>
                <w:right w:val="nil"/>
                <w:between w:val="nil"/>
              </w:pBdr>
              <w:spacing w:line="480" w:lineRule="auto"/>
              <w:ind w:right="-105" w:firstLine="0"/>
              <w:rPr>
                <w:b/>
                <w:bCs/>
                <w:color w:val="000000"/>
              </w:rPr>
            </w:pPr>
            <w:r>
              <w:rPr>
                <w:b/>
                <w:bCs/>
                <w:color w:val="000000"/>
              </w:rPr>
              <w:t>Construct</w:t>
            </w:r>
          </w:p>
        </w:tc>
        <w:tc>
          <w:tcPr>
            <w:tcW w:w="2019" w:type="dxa"/>
            <w:tcBorders>
              <w:top w:val="nil"/>
              <w:bottom w:val="single" w:sz="4" w:space="0" w:color="000000"/>
            </w:tcBorders>
            <w:vAlign w:val="center"/>
          </w:tcPr>
          <w:p w14:paraId="73EE0F72" w14:textId="77777777" w:rsidR="00242CD1" w:rsidRDefault="00000000">
            <w:pPr>
              <w:pBdr>
                <w:top w:val="nil"/>
                <w:left w:val="nil"/>
                <w:bottom w:val="nil"/>
                <w:right w:val="nil"/>
                <w:between w:val="nil"/>
              </w:pBdr>
              <w:spacing w:line="480" w:lineRule="auto"/>
              <w:ind w:left="405" w:firstLine="0"/>
              <w:rPr>
                <w:b/>
                <w:bCs/>
                <w:color w:val="000000"/>
              </w:rPr>
            </w:pPr>
            <w:r>
              <w:rPr>
                <w:b/>
                <w:bCs/>
                <w:color w:val="000000"/>
              </w:rPr>
              <w:t>No. of Items</w:t>
            </w:r>
          </w:p>
        </w:tc>
        <w:tc>
          <w:tcPr>
            <w:tcW w:w="1943" w:type="dxa"/>
            <w:tcBorders>
              <w:top w:val="nil"/>
              <w:bottom w:val="single" w:sz="4" w:space="0" w:color="000000"/>
            </w:tcBorders>
            <w:vAlign w:val="center"/>
          </w:tcPr>
          <w:p w14:paraId="0ED36C99" w14:textId="77777777" w:rsidR="00242CD1" w:rsidRDefault="00000000">
            <w:pPr>
              <w:pBdr>
                <w:top w:val="nil"/>
                <w:left w:val="nil"/>
                <w:bottom w:val="nil"/>
                <w:right w:val="nil"/>
                <w:between w:val="nil"/>
              </w:pBdr>
              <w:spacing w:line="480" w:lineRule="auto"/>
              <w:ind w:firstLine="0"/>
              <w:rPr>
                <w:b/>
                <w:bCs/>
                <w:color w:val="000000"/>
              </w:rPr>
            </w:pPr>
            <w:r>
              <w:rPr>
                <w:b/>
                <w:bCs/>
                <w:color w:val="000000"/>
              </w:rPr>
              <w:t>Cronbach’s Alpha (α)</w:t>
            </w:r>
          </w:p>
        </w:tc>
      </w:tr>
      <w:tr w:rsidR="00242CD1" w14:paraId="2A248FA4" w14:textId="77777777">
        <w:tc>
          <w:tcPr>
            <w:tcW w:w="2980" w:type="dxa"/>
            <w:vAlign w:val="center"/>
          </w:tcPr>
          <w:p w14:paraId="0ECDA3B2" w14:textId="77777777" w:rsidR="00242CD1" w:rsidRDefault="00000000">
            <w:pPr>
              <w:pBdr>
                <w:top w:val="nil"/>
                <w:left w:val="nil"/>
                <w:bottom w:val="nil"/>
                <w:right w:val="nil"/>
                <w:between w:val="nil"/>
              </w:pBdr>
              <w:spacing w:line="480" w:lineRule="auto"/>
              <w:ind w:firstLine="0"/>
              <w:rPr>
                <w:color w:val="000000"/>
              </w:rPr>
            </w:pPr>
            <w:r>
              <w:rPr>
                <w:color w:val="000000"/>
              </w:rPr>
              <w:t>Cognitive–Metacognitive Readiness</w:t>
            </w:r>
          </w:p>
        </w:tc>
        <w:tc>
          <w:tcPr>
            <w:tcW w:w="2019" w:type="dxa"/>
            <w:vAlign w:val="center"/>
          </w:tcPr>
          <w:p w14:paraId="020D94BF" w14:textId="77777777" w:rsidR="00242CD1" w:rsidRDefault="00000000">
            <w:pPr>
              <w:pBdr>
                <w:top w:val="nil"/>
                <w:left w:val="nil"/>
                <w:bottom w:val="nil"/>
                <w:right w:val="nil"/>
                <w:between w:val="nil"/>
              </w:pBdr>
              <w:spacing w:line="480" w:lineRule="auto"/>
              <w:ind w:left="405" w:firstLine="0"/>
              <w:rPr>
                <w:color w:val="000000"/>
              </w:rPr>
            </w:pPr>
            <w:r>
              <w:rPr>
                <w:color w:val="000000"/>
              </w:rPr>
              <w:t>7</w:t>
            </w:r>
          </w:p>
        </w:tc>
        <w:tc>
          <w:tcPr>
            <w:tcW w:w="1943" w:type="dxa"/>
            <w:vAlign w:val="center"/>
          </w:tcPr>
          <w:p w14:paraId="5E1015E3" w14:textId="77777777" w:rsidR="00242CD1" w:rsidRDefault="00000000">
            <w:pPr>
              <w:pBdr>
                <w:top w:val="nil"/>
                <w:left w:val="nil"/>
                <w:bottom w:val="nil"/>
                <w:right w:val="nil"/>
                <w:between w:val="nil"/>
              </w:pBdr>
              <w:spacing w:line="480" w:lineRule="auto"/>
              <w:ind w:firstLine="0"/>
              <w:rPr>
                <w:color w:val="000000"/>
              </w:rPr>
            </w:pPr>
            <w:r>
              <w:rPr>
                <w:color w:val="000000"/>
              </w:rPr>
              <w:t>.811</w:t>
            </w:r>
          </w:p>
        </w:tc>
      </w:tr>
      <w:tr w:rsidR="00242CD1" w14:paraId="31943412" w14:textId="77777777">
        <w:tc>
          <w:tcPr>
            <w:tcW w:w="2980" w:type="dxa"/>
            <w:vAlign w:val="center"/>
          </w:tcPr>
          <w:p w14:paraId="57A75FD1" w14:textId="77777777" w:rsidR="00242CD1" w:rsidRDefault="00000000">
            <w:pPr>
              <w:pBdr>
                <w:top w:val="nil"/>
                <w:left w:val="nil"/>
                <w:bottom w:val="nil"/>
                <w:right w:val="nil"/>
                <w:between w:val="nil"/>
              </w:pBdr>
              <w:spacing w:line="480" w:lineRule="auto"/>
              <w:ind w:firstLine="0"/>
              <w:rPr>
                <w:color w:val="000000"/>
              </w:rPr>
            </w:pPr>
            <w:r>
              <w:rPr>
                <w:color w:val="000000"/>
              </w:rPr>
              <w:t>Linguistic Readiness</w:t>
            </w:r>
          </w:p>
        </w:tc>
        <w:tc>
          <w:tcPr>
            <w:tcW w:w="2019" w:type="dxa"/>
            <w:vAlign w:val="center"/>
          </w:tcPr>
          <w:p w14:paraId="4B13BB94" w14:textId="77777777" w:rsidR="00242CD1" w:rsidRDefault="00000000">
            <w:pPr>
              <w:pBdr>
                <w:top w:val="nil"/>
                <w:left w:val="nil"/>
                <w:bottom w:val="nil"/>
                <w:right w:val="nil"/>
                <w:between w:val="nil"/>
              </w:pBdr>
              <w:spacing w:line="480" w:lineRule="auto"/>
              <w:ind w:left="405" w:firstLine="0"/>
              <w:rPr>
                <w:color w:val="000000"/>
              </w:rPr>
            </w:pPr>
            <w:r>
              <w:rPr>
                <w:color w:val="000000"/>
              </w:rPr>
              <w:t>7</w:t>
            </w:r>
          </w:p>
        </w:tc>
        <w:tc>
          <w:tcPr>
            <w:tcW w:w="1943" w:type="dxa"/>
            <w:vAlign w:val="center"/>
          </w:tcPr>
          <w:p w14:paraId="4F0FF0C2" w14:textId="77777777" w:rsidR="00242CD1" w:rsidRDefault="00000000">
            <w:pPr>
              <w:pBdr>
                <w:top w:val="nil"/>
                <w:left w:val="nil"/>
                <w:bottom w:val="nil"/>
                <w:right w:val="nil"/>
                <w:between w:val="nil"/>
              </w:pBdr>
              <w:spacing w:line="480" w:lineRule="auto"/>
              <w:ind w:firstLine="0"/>
              <w:rPr>
                <w:color w:val="000000"/>
              </w:rPr>
            </w:pPr>
            <w:r>
              <w:rPr>
                <w:color w:val="000000"/>
              </w:rPr>
              <w:t>.853</w:t>
            </w:r>
          </w:p>
        </w:tc>
      </w:tr>
      <w:tr w:rsidR="00242CD1" w14:paraId="316EB3CD" w14:textId="77777777">
        <w:tc>
          <w:tcPr>
            <w:tcW w:w="2980" w:type="dxa"/>
            <w:vAlign w:val="center"/>
          </w:tcPr>
          <w:p w14:paraId="1D9E581B" w14:textId="77777777" w:rsidR="00242CD1" w:rsidRDefault="00000000">
            <w:pPr>
              <w:pBdr>
                <w:top w:val="nil"/>
                <w:left w:val="nil"/>
                <w:bottom w:val="nil"/>
                <w:right w:val="nil"/>
                <w:between w:val="nil"/>
              </w:pBdr>
              <w:spacing w:line="480" w:lineRule="auto"/>
              <w:ind w:firstLine="0"/>
              <w:rPr>
                <w:color w:val="000000"/>
              </w:rPr>
            </w:pPr>
            <w:r>
              <w:rPr>
                <w:color w:val="000000"/>
              </w:rPr>
              <w:t>Ethical Awareness</w:t>
            </w:r>
          </w:p>
        </w:tc>
        <w:tc>
          <w:tcPr>
            <w:tcW w:w="2019" w:type="dxa"/>
            <w:vAlign w:val="center"/>
          </w:tcPr>
          <w:p w14:paraId="5EA6B4CF" w14:textId="77777777" w:rsidR="00242CD1" w:rsidRDefault="00000000">
            <w:pPr>
              <w:pBdr>
                <w:top w:val="nil"/>
                <w:left w:val="nil"/>
                <w:bottom w:val="nil"/>
                <w:right w:val="nil"/>
                <w:between w:val="nil"/>
              </w:pBdr>
              <w:spacing w:line="480" w:lineRule="auto"/>
              <w:ind w:left="405" w:firstLine="0"/>
              <w:rPr>
                <w:color w:val="000000"/>
              </w:rPr>
            </w:pPr>
            <w:r>
              <w:rPr>
                <w:color w:val="000000"/>
              </w:rPr>
              <w:t>5</w:t>
            </w:r>
          </w:p>
        </w:tc>
        <w:tc>
          <w:tcPr>
            <w:tcW w:w="1943" w:type="dxa"/>
            <w:vAlign w:val="center"/>
          </w:tcPr>
          <w:p w14:paraId="3C736176" w14:textId="77777777" w:rsidR="00242CD1" w:rsidRDefault="00000000">
            <w:pPr>
              <w:pBdr>
                <w:top w:val="nil"/>
                <w:left w:val="nil"/>
                <w:bottom w:val="nil"/>
                <w:right w:val="nil"/>
                <w:between w:val="nil"/>
              </w:pBdr>
              <w:spacing w:line="480" w:lineRule="auto"/>
              <w:ind w:firstLine="0"/>
              <w:rPr>
                <w:color w:val="000000"/>
              </w:rPr>
            </w:pPr>
            <w:r>
              <w:rPr>
                <w:color w:val="000000"/>
              </w:rPr>
              <w:t>.783</w:t>
            </w:r>
          </w:p>
        </w:tc>
      </w:tr>
      <w:tr w:rsidR="00242CD1" w14:paraId="664C3904" w14:textId="77777777">
        <w:tc>
          <w:tcPr>
            <w:tcW w:w="2980" w:type="dxa"/>
            <w:vAlign w:val="center"/>
          </w:tcPr>
          <w:p w14:paraId="7EF48155" w14:textId="77777777" w:rsidR="00242CD1" w:rsidRDefault="00000000">
            <w:pPr>
              <w:pBdr>
                <w:top w:val="nil"/>
                <w:left w:val="nil"/>
                <w:bottom w:val="nil"/>
                <w:right w:val="nil"/>
                <w:between w:val="nil"/>
              </w:pBdr>
              <w:spacing w:line="480" w:lineRule="auto"/>
              <w:ind w:firstLine="0"/>
              <w:rPr>
                <w:color w:val="000000"/>
              </w:rPr>
            </w:pPr>
            <w:r>
              <w:rPr>
                <w:color w:val="000000"/>
              </w:rPr>
              <w:t>Technology Enablers</w:t>
            </w:r>
          </w:p>
        </w:tc>
        <w:tc>
          <w:tcPr>
            <w:tcW w:w="2019" w:type="dxa"/>
            <w:vAlign w:val="center"/>
          </w:tcPr>
          <w:p w14:paraId="05128D1F" w14:textId="77777777" w:rsidR="00242CD1" w:rsidRDefault="00000000">
            <w:pPr>
              <w:pBdr>
                <w:top w:val="nil"/>
                <w:left w:val="nil"/>
                <w:bottom w:val="nil"/>
                <w:right w:val="nil"/>
                <w:between w:val="nil"/>
              </w:pBdr>
              <w:spacing w:line="480" w:lineRule="auto"/>
              <w:ind w:left="405" w:firstLine="0"/>
              <w:rPr>
                <w:color w:val="000000"/>
              </w:rPr>
            </w:pPr>
            <w:r>
              <w:rPr>
                <w:color w:val="000000"/>
              </w:rPr>
              <w:t>4</w:t>
            </w:r>
          </w:p>
        </w:tc>
        <w:tc>
          <w:tcPr>
            <w:tcW w:w="1943" w:type="dxa"/>
            <w:vAlign w:val="center"/>
          </w:tcPr>
          <w:p w14:paraId="33BC9FD3" w14:textId="77777777" w:rsidR="00242CD1" w:rsidRDefault="00000000">
            <w:pPr>
              <w:pBdr>
                <w:top w:val="nil"/>
                <w:left w:val="nil"/>
                <w:bottom w:val="nil"/>
                <w:right w:val="nil"/>
                <w:between w:val="nil"/>
              </w:pBdr>
              <w:spacing w:line="480" w:lineRule="auto"/>
              <w:ind w:firstLine="0"/>
              <w:rPr>
                <w:color w:val="000000"/>
              </w:rPr>
            </w:pPr>
            <w:r>
              <w:rPr>
                <w:color w:val="000000"/>
              </w:rPr>
              <w:t>.742</w:t>
            </w:r>
          </w:p>
        </w:tc>
      </w:tr>
      <w:tr w:rsidR="00242CD1" w14:paraId="7484CF63" w14:textId="77777777">
        <w:tc>
          <w:tcPr>
            <w:tcW w:w="2980" w:type="dxa"/>
            <w:vAlign w:val="center"/>
          </w:tcPr>
          <w:p w14:paraId="153446B7" w14:textId="77777777" w:rsidR="00242CD1" w:rsidRDefault="00000000">
            <w:pPr>
              <w:pBdr>
                <w:top w:val="nil"/>
                <w:left w:val="nil"/>
                <w:bottom w:val="nil"/>
                <w:right w:val="nil"/>
                <w:between w:val="nil"/>
              </w:pBdr>
              <w:spacing w:line="480" w:lineRule="auto"/>
              <w:ind w:firstLine="0"/>
              <w:rPr>
                <w:color w:val="000000"/>
              </w:rPr>
            </w:pPr>
            <w:r>
              <w:rPr>
                <w:color w:val="000000"/>
              </w:rPr>
              <w:t>Technology Inhibitors</w:t>
            </w:r>
          </w:p>
        </w:tc>
        <w:tc>
          <w:tcPr>
            <w:tcW w:w="2019" w:type="dxa"/>
            <w:vAlign w:val="center"/>
          </w:tcPr>
          <w:p w14:paraId="1189A26A" w14:textId="77777777" w:rsidR="00242CD1" w:rsidRDefault="00000000">
            <w:pPr>
              <w:pBdr>
                <w:top w:val="nil"/>
                <w:left w:val="nil"/>
                <w:bottom w:val="nil"/>
                <w:right w:val="nil"/>
                <w:between w:val="nil"/>
              </w:pBdr>
              <w:spacing w:line="480" w:lineRule="auto"/>
              <w:ind w:left="405" w:firstLine="0"/>
              <w:rPr>
                <w:color w:val="000000"/>
              </w:rPr>
            </w:pPr>
            <w:r>
              <w:rPr>
                <w:color w:val="000000"/>
              </w:rPr>
              <w:t>2</w:t>
            </w:r>
          </w:p>
        </w:tc>
        <w:tc>
          <w:tcPr>
            <w:tcW w:w="1943" w:type="dxa"/>
            <w:vAlign w:val="center"/>
          </w:tcPr>
          <w:p w14:paraId="68287E5E" w14:textId="77777777" w:rsidR="00242CD1" w:rsidRDefault="00000000">
            <w:pPr>
              <w:pBdr>
                <w:top w:val="nil"/>
                <w:left w:val="nil"/>
                <w:bottom w:val="nil"/>
                <w:right w:val="nil"/>
                <w:between w:val="nil"/>
              </w:pBdr>
              <w:spacing w:line="480" w:lineRule="auto"/>
              <w:ind w:firstLine="0"/>
              <w:rPr>
                <w:color w:val="000000"/>
              </w:rPr>
            </w:pPr>
            <w:r>
              <w:rPr>
                <w:color w:val="000000"/>
              </w:rPr>
              <w:t>.690</w:t>
            </w:r>
          </w:p>
        </w:tc>
      </w:tr>
      <w:tr w:rsidR="00242CD1" w14:paraId="5149493A" w14:textId="77777777">
        <w:tc>
          <w:tcPr>
            <w:tcW w:w="2980" w:type="dxa"/>
            <w:vAlign w:val="center"/>
          </w:tcPr>
          <w:p w14:paraId="2614F0BE" w14:textId="77777777" w:rsidR="00242CD1" w:rsidRDefault="00000000">
            <w:pPr>
              <w:pBdr>
                <w:top w:val="nil"/>
                <w:left w:val="nil"/>
                <w:bottom w:val="nil"/>
                <w:right w:val="nil"/>
                <w:between w:val="nil"/>
              </w:pBdr>
              <w:spacing w:line="480" w:lineRule="auto"/>
              <w:ind w:firstLine="0"/>
              <w:rPr>
                <w:color w:val="000000"/>
              </w:rPr>
            </w:pPr>
            <w:r>
              <w:rPr>
                <w:color w:val="000000"/>
              </w:rPr>
              <w:t>Intention to Use</w:t>
            </w:r>
          </w:p>
        </w:tc>
        <w:tc>
          <w:tcPr>
            <w:tcW w:w="2019" w:type="dxa"/>
            <w:vAlign w:val="center"/>
          </w:tcPr>
          <w:p w14:paraId="0C647288" w14:textId="77777777" w:rsidR="00242CD1" w:rsidRDefault="00000000">
            <w:pPr>
              <w:pBdr>
                <w:top w:val="nil"/>
                <w:left w:val="nil"/>
                <w:bottom w:val="nil"/>
                <w:right w:val="nil"/>
                <w:between w:val="nil"/>
              </w:pBdr>
              <w:spacing w:line="480" w:lineRule="auto"/>
              <w:ind w:left="405" w:firstLine="0"/>
              <w:rPr>
                <w:color w:val="000000"/>
              </w:rPr>
            </w:pPr>
            <w:r>
              <w:rPr>
                <w:color w:val="000000"/>
              </w:rPr>
              <w:t>4</w:t>
            </w:r>
          </w:p>
        </w:tc>
        <w:tc>
          <w:tcPr>
            <w:tcW w:w="1943" w:type="dxa"/>
            <w:vAlign w:val="center"/>
          </w:tcPr>
          <w:p w14:paraId="048A8627" w14:textId="77777777" w:rsidR="00242CD1" w:rsidRDefault="00000000">
            <w:pPr>
              <w:pBdr>
                <w:top w:val="nil"/>
                <w:left w:val="nil"/>
                <w:bottom w:val="nil"/>
                <w:right w:val="nil"/>
                <w:between w:val="nil"/>
              </w:pBdr>
              <w:spacing w:line="480" w:lineRule="auto"/>
              <w:ind w:firstLine="0"/>
              <w:rPr>
                <w:color w:val="000000"/>
              </w:rPr>
            </w:pPr>
            <w:r>
              <w:rPr>
                <w:color w:val="000000"/>
              </w:rPr>
              <w:t>.757</w:t>
            </w:r>
          </w:p>
        </w:tc>
      </w:tr>
    </w:tbl>
    <w:p w14:paraId="038B25B8" w14:textId="77777777" w:rsidR="00242CD1" w:rsidRDefault="00000000">
      <w:pPr>
        <w:pBdr>
          <w:top w:val="nil"/>
          <w:left w:val="nil"/>
          <w:bottom w:val="nil"/>
          <w:right w:val="nil"/>
          <w:between w:val="nil"/>
        </w:pBdr>
        <w:spacing w:line="480" w:lineRule="auto"/>
        <w:ind w:firstLine="0"/>
        <w:rPr>
          <w:color w:val="000000"/>
        </w:rPr>
      </w:pPr>
      <w:r>
        <w:rPr>
          <w:i/>
          <w:iCs/>
          <w:color w:val="000000"/>
        </w:rPr>
        <w:t>Note.</w:t>
      </w:r>
      <w:r>
        <w:rPr>
          <w:color w:val="000000"/>
        </w:rPr>
        <w:t xml:space="preserve"> Cronbach’s alpha values above .70 indicate acceptable internal consistency. The slightly lower alpha value for Technology Inhibitors is considered acceptable for an exploratory subscale with a limited number of items.</w:t>
      </w:r>
    </w:p>
    <w:p w14:paraId="0C32A9B0" w14:textId="77777777" w:rsidR="00242CD1" w:rsidRDefault="00242CD1">
      <w:pPr>
        <w:pBdr>
          <w:top w:val="nil"/>
          <w:left w:val="nil"/>
          <w:bottom w:val="nil"/>
          <w:right w:val="nil"/>
          <w:between w:val="nil"/>
        </w:pBdr>
        <w:ind w:firstLine="0"/>
        <w:rPr>
          <w:color w:val="000000"/>
          <w:sz w:val="24"/>
          <w:szCs w:val="24"/>
        </w:rPr>
      </w:pPr>
    </w:p>
    <w:p w14:paraId="0EA46E00" w14:textId="77777777" w:rsidR="00242CD1" w:rsidRDefault="00242CD1">
      <w:pPr>
        <w:rPr>
          <w:sz w:val="24"/>
          <w:szCs w:val="24"/>
        </w:rPr>
      </w:pPr>
    </w:p>
    <w:sectPr w:rsidR="00242CD1">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89623" w14:textId="77777777" w:rsidR="00651473" w:rsidRDefault="00651473">
      <w:pPr>
        <w:spacing w:before="0" w:after="0" w:line="240" w:lineRule="auto"/>
      </w:pPr>
      <w:r>
        <w:separator/>
      </w:r>
    </w:p>
  </w:endnote>
  <w:endnote w:type="continuationSeparator" w:id="0">
    <w:p w14:paraId="29A19004" w14:textId="77777777" w:rsidR="00651473" w:rsidRDefault="006514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9BE75B0-4F4F-49B4-9062-83D9307DEEE5}"/>
  </w:font>
  <w:font w:name="Cambria Math">
    <w:panose1 w:val="02040503050406030204"/>
    <w:charset w:val="00"/>
    <w:family w:val="roman"/>
    <w:pitch w:val="variable"/>
    <w:sig w:usb0="E00006FF" w:usb1="420024FF" w:usb2="02000000" w:usb3="00000000" w:csb0="0000019F" w:csb1="00000000"/>
    <w:embedRegular r:id="rId2" w:fontKey="{F924C600-A04A-4214-8CBD-E61CC44B2089}"/>
    <w:embedItalic r:id="rId3" w:fontKey="{181E49BE-EA2D-40E8-BF8A-C7846CC7D7CD}"/>
  </w:font>
  <w:font w:name="Calibri">
    <w:panose1 w:val="020F0502020204030204"/>
    <w:charset w:val="00"/>
    <w:family w:val="swiss"/>
    <w:pitch w:val="variable"/>
    <w:sig w:usb0="E4002EFF" w:usb1="C000247B" w:usb2="00000009" w:usb3="00000000" w:csb0="000001FF" w:csb1="00000000"/>
    <w:embedRegular r:id="rId4" w:fontKey="{AE13148F-48CF-4A06-B76A-53D078A34850}"/>
  </w:font>
  <w:font w:name="Cambria">
    <w:panose1 w:val="02040503050406030204"/>
    <w:charset w:val="00"/>
    <w:family w:val="roman"/>
    <w:pitch w:val="variable"/>
    <w:sig w:usb0="E00006FF" w:usb1="420024FF" w:usb2="02000000" w:usb3="00000000" w:csb0="0000019F" w:csb1="00000000"/>
    <w:embedRegular r:id="rId5" w:fontKey="{EE060C84-600B-4329-87E8-A39D67BD0B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62C28" w14:textId="77777777" w:rsidR="00651473" w:rsidRDefault="00651473">
      <w:pPr>
        <w:spacing w:before="0" w:after="0" w:line="240" w:lineRule="auto"/>
      </w:pPr>
      <w:r>
        <w:separator/>
      </w:r>
    </w:p>
  </w:footnote>
  <w:footnote w:type="continuationSeparator" w:id="0">
    <w:p w14:paraId="483DBD1F" w14:textId="77777777" w:rsidR="00651473" w:rsidRDefault="00651473">
      <w:pPr>
        <w:spacing w:before="0" w:after="0" w:line="240" w:lineRule="auto"/>
      </w:pPr>
      <w:r>
        <w:continuationSeparator/>
      </w:r>
    </w:p>
  </w:footnote>
  <w:footnote w:id="1">
    <w:p w14:paraId="54A110FB" w14:textId="77777777" w:rsidR="00242CD1" w:rsidRDefault="00000000">
      <w:pPr>
        <w:pBdr>
          <w:top w:val="nil"/>
          <w:left w:val="nil"/>
          <w:bottom w:val="nil"/>
          <w:right w:val="nil"/>
          <w:between w:val="nil"/>
        </w:pBdr>
        <w:spacing w:before="0" w:after="0" w:line="240" w:lineRule="auto"/>
        <w:ind w:left="142" w:hanging="142"/>
        <w:rPr>
          <w:color w:val="000000"/>
        </w:rPr>
      </w:pPr>
      <w:r>
        <w:rPr>
          <w:vertAlign w:val="superscript"/>
        </w:rPr>
        <w:footnoteRef/>
      </w:r>
      <w:r>
        <w:rPr>
          <w:color w:val="000000"/>
        </w:rPr>
        <w:t xml:space="preserve"> Master of English Language Studies, Independent Researcher, Ho Chi Minh City, Vietnam; </w:t>
      </w:r>
      <w:proofErr w:type="gramStart"/>
      <w:r>
        <w:rPr>
          <w:color w:val="000000"/>
        </w:rPr>
        <w:t>Email:phuonganh.tr1089@gmail.com</w:t>
      </w:r>
      <w:proofErr w:type="gramEnd"/>
    </w:p>
  </w:footnote>
  <w:footnote w:id="2">
    <w:p w14:paraId="42153E55" w14:textId="77777777" w:rsidR="00242CD1" w:rsidRDefault="00000000">
      <w:pPr>
        <w:pBdr>
          <w:top w:val="nil"/>
          <w:left w:val="nil"/>
          <w:bottom w:val="nil"/>
          <w:right w:val="nil"/>
          <w:between w:val="nil"/>
        </w:pBdr>
        <w:spacing w:before="0" w:after="0" w:line="240" w:lineRule="auto"/>
        <w:ind w:left="142" w:hanging="142"/>
        <w:rPr>
          <w:color w:val="000000"/>
        </w:rPr>
      </w:pPr>
      <w:r>
        <w:rPr>
          <w:vertAlign w:val="superscript"/>
        </w:rPr>
        <w:footnoteRef/>
      </w:r>
      <w:r>
        <w:rPr>
          <w:color w:val="000000"/>
        </w:rPr>
        <w:t xml:space="preserve"> Master of English Language Studies, Independent Researcher, Ho Chi Minh City, Vietnam; </w:t>
      </w:r>
      <w:proofErr w:type="gramStart"/>
      <w:r>
        <w:rPr>
          <w:color w:val="000000"/>
        </w:rPr>
        <w:t>Email:friendship200561@gmail.com</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4B35C3"/>
    <w:multiLevelType w:val="multilevel"/>
    <w:tmpl w:val="F5288BA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num w:numId="1" w16cid:durableId="1467816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CD1"/>
    <w:rsid w:val="00080E5D"/>
    <w:rsid w:val="000C6991"/>
    <w:rsid w:val="00242CD1"/>
    <w:rsid w:val="002D043D"/>
    <w:rsid w:val="00651473"/>
    <w:rsid w:val="009652BD"/>
    <w:rsid w:val="00982A0A"/>
    <w:rsid w:val="00A2037D"/>
    <w:rsid w:val="00A46101"/>
    <w:rsid w:val="00C06E9F"/>
    <w:rsid w:val="00D63F1F"/>
    <w:rsid w:val="00DE0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1F733"/>
  <w15:docId w15:val="{77A9D875-05AF-447F-B979-70B6B60D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207/s15430421tip4102_2" TargetMode="External"/><Relationship Id="rId5" Type="http://schemas.openxmlformats.org/officeDocument/2006/relationships/webSettings" Target="webSettings.xml"/><Relationship Id="rId10" Type="http://schemas.openxmlformats.org/officeDocument/2006/relationships/hyperlink" Target="https://doi.org/10.1016/j.acpath.2023.100099" TargetMode="External"/><Relationship Id="rId4" Type="http://schemas.openxmlformats.org/officeDocument/2006/relationships/settings" Target="settings.xml"/><Relationship Id="rId9" Type="http://schemas.openxmlformats.org/officeDocument/2006/relationships/hyperlink" Target="https://doi.org/10.1080/10494820.2021.20128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sWQdfINX7PSE01/7fGjlnuzM4A==">CgMxLjAyDmgub2Z4cWhqZGVlbjVoMg5oLjVncng0M2pzejA1azIOaC44eHN6bWw4enIyYjgyDmguYnZxbWcyNzM4a3J2Mg5oLjFyZXVkZjFkbjcwazIOaC42bm93czYxazg1NHEyDmgubDgyNDlkc25vbTVyMg5oLnJsZ3l6cTFhOWl1cjIOaC50aDlhMDYyeXJyYjg4AHIhMUxFVzlrc0ZfVnV4dmVyMmd5eUJZTVMtcVRRdHhWSkl2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6984</Words>
  <Characters>39812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Phuong Anh Tran</cp:lastModifiedBy>
  <cp:revision>6</cp:revision>
  <dcterms:created xsi:type="dcterms:W3CDTF">2026-05-11T14:12:00Z</dcterms:created>
  <dcterms:modified xsi:type="dcterms:W3CDTF">2026-05-11T14:59:00Z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6f847476-77cb-4c4c-b0c0-3e83cf9f6801</vt:lpwstr>
  </property>
</Properties>
</file>