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3130B" w14:textId="77777777" w:rsidR="009F2FC1" w:rsidRDefault="009F2FC1" w:rsidP="00722EDE">
      <w:pPr>
        <w:pStyle w:val="RALs-Authors"/>
        <w:rPr>
          <w:rFonts w:asciiTheme="majorBidi" w:hAnsiTheme="majorBidi" w:cstheme="majorBidi"/>
          <w:b/>
          <w:i w:val="0"/>
          <w:sz w:val="28"/>
          <w:szCs w:val="28"/>
          <w:lang w:val="vi-VN" w:eastAsia="x-none"/>
        </w:rPr>
      </w:pPr>
      <w:r w:rsidRPr="009F2FC1">
        <w:rPr>
          <w:rFonts w:asciiTheme="majorBidi" w:hAnsiTheme="majorBidi" w:cstheme="majorBidi"/>
          <w:b/>
          <w:i w:val="0"/>
          <w:sz w:val="28"/>
          <w:szCs w:val="28"/>
          <w:lang w:eastAsia="x-none"/>
        </w:rPr>
        <w:t>A Literature Review of Appraisal Theory in Language Education: Research Developments and Implications for ESL Teaching</w:t>
      </w:r>
    </w:p>
    <w:p w14:paraId="23FCCBBA" w14:textId="5290722A" w:rsidR="00722EDE" w:rsidRPr="009F2FC1" w:rsidRDefault="009F2FC1" w:rsidP="00722EDE">
      <w:pPr>
        <w:pStyle w:val="RALs-Authors"/>
        <w:rPr>
          <w:rFonts w:asciiTheme="majorBidi" w:hAnsiTheme="majorBidi" w:cstheme="majorBidi"/>
          <w:lang w:val="vi-VN"/>
        </w:rPr>
      </w:pPr>
      <w:r w:rsidRPr="009F2FC1">
        <w:rPr>
          <w:rFonts w:asciiTheme="majorBidi" w:hAnsiTheme="majorBidi" w:cstheme="majorBidi"/>
        </w:rPr>
        <w:t>Phan Tuan Ly</w:t>
      </w:r>
      <w:r w:rsidR="00722EDE" w:rsidRPr="00E40940">
        <w:rPr>
          <w:rStyle w:val="FootnoteReference"/>
          <w:rFonts w:asciiTheme="majorBidi" w:hAnsiTheme="majorBidi" w:cstheme="majorBidi"/>
        </w:rPr>
        <w:footnoteReference w:id="1"/>
      </w:r>
      <w:r w:rsidR="00722EDE" w:rsidRPr="00E40940">
        <w:rPr>
          <w:rFonts w:asciiTheme="majorBidi" w:hAnsiTheme="majorBidi" w:cstheme="majorBidi"/>
        </w:rPr>
        <w:t xml:space="preserve">, </w:t>
      </w:r>
      <w:r w:rsidRPr="009F2FC1">
        <w:rPr>
          <w:rFonts w:asciiTheme="majorBidi" w:hAnsiTheme="majorBidi" w:cstheme="majorBidi"/>
        </w:rPr>
        <w:t xml:space="preserve">Hoang Ngoc Thanh </w:t>
      </w:r>
      <w:r>
        <w:rPr>
          <w:rFonts w:asciiTheme="majorBidi" w:hAnsiTheme="majorBidi" w:cstheme="majorBidi"/>
        </w:rPr>
        <w:t>Truc</w:t>
      </w:r>
      <w:r w:rsidRPr="009F2FC1">
        <w:rPr>
          <w:rFonts w:asciiTheme="majorBidi" w:hAnsiTheme="majorBidi" w:cstheme="majorBidi"/>
          <w:vertAlign w:val="superscript"/>
          <w:lang w:val="vi-VN"/>
        </w:rPr>
        <w:t>2,3</w:t>
      </w:r>
      <w:r>
        <w:rPr>
          <w:rFonts w:asciiTheme="majorBidi" w:hAnsiTheme="majorBidi" w:cstheme="majorBidi"/>
          <w:vertAlign w:val="superscript"/>
          <w:lang w:val="vi-VN"/>
        </w:rPr>
        <w:t xml:space="preserve"> </w:t>
      </w:r>
      <w:r w:rsidR="00722EDE" w:rsidRPr="00E40940">
        <w:rPr>
          <w:rFonts w:asciiTheme="majorBidi" w:hAnsiTheme="majorBidi" w:cstheme="majorBidi"/>
        </w:rPr>
        <w:t xml:space="preserve">&amp; </w:t>
      </w:r>
      <w:r w:rsidRPr="009F2FC1">
        <w:rPr>
          <w:rFonts w:asciiTheme="majorBidi" w:hAnsiTheme="majorBidi" w:cstheme="majorBidi"/>
        </w:rPr>
        <w:t>Pham Thi Thuy Dung</w:t>
      </w:r>
      <w:r w:rsidRPr="009F2FC1">
        <w:rPr>
          <w:rFonts w:asciiTheme="majorBidi" w:hAnsiTheme="majorBidi" w:cstheme="majorBidi"/>
          <w:vertAlign w:val="superscript"/>
          <w:lang w:val="vi-VN"/>
        </w:rPr>
        <w:t>2,3</w:t>
      </w:r>
    </w:p>
    <w:p w14:paraId="342075CA" w14:textId="77777777" w:rsidR="00316775" w:rsidRPr="009F2FC1" w:rsidRDefault="00316775" w:rsidP="00722EDE">
      <w:pPr>
        <w:pStyle w:val="RALs-HeadingsNoIndent"/>
        <w:rPr>
          <w:rFonts w:asciiTheme="majorBidi" w:hAnsiTheme="majorBidi" w:cstheme="majorBidi"/>
          <w:sz w:val="24"/>
          <w:szCs w:val="24"/>
          <w:lang w:val="vi-VN"/>
        </w:rPr>
      </w:pPr>
    </w:p>
    <w:p w14:paraId="5C538A57" w14:textId="77777777" w:rsidR="00722EDE" w:rsidRPr="00E40940" w:rsidRDefault="00722EDE" w:rsidP="00722EDE">
      <w:pPr>
        <w:pStyle w:val="RALs-HeadingsNoIndent"/>
        <w:rPr>
          <w:rFonts w:asciiTheme="majorBidi" w:hAnsiTheme="majorBidi" w:cstheme="majorBidi"/>
          <w:sz w:val="24"/>
          <w:szCs w:val="24"/>
        </w:rPr>
      </w:pPr>
      <w:r w:rsidRPr="00E40940">
        <w:rPr>
          <w:rFonts w:asciiTheme="majorBidi" w:hAnsiTheme="majorBidi" w:cstheme="majorBidi"/>
          <w:sz w:val="24"/>
          <w:szCs w:val="24"/>
        </w:rPr>
        <w:t>Abstract</w:t>
      </w:r>
    </w:p>
    <w:p w14:paraId="270155E1" w14:textId="77777777" w:rsidR="0099284F" w:rsidRPr="0099284F" w:rsidRDefault="0099284F" w:rsidP="004B180F">
      <w:pPr>
        <w:pStyle w:val="RALs-Normal-NoIndent"/>
        <w:spacing w:line="480" w:lineRule="auto"/>
        <w:rPr>
          <w:rFonts w:asciiTheme="majorBidi" w:hAnsiTheme="majorBidi" w:cstheme="majorBidi"/>
          <w:sz w:val="24"/>
          <w:szCs w:val="24"/>
        </w:rPr>
      </w:pPr>
      <w:r w:rsidRPr="0099284F">
        <w:rPr>
          <w:rFonts w:asciiTheme="majorBidi" w:hAnsiTheme="majorBidi" w:cstheme="majorBidi"/>
          <w:sz w:val="24"/>
          <w:szCs w:val="24"/>
        </w:rPr>
        <w:t>This study investigates the development of research on applying Appraisal Theory (Martin &amp; White, 2005) in language education using a bibliometric approach. Grounded in Systemic Functional Linguistics, Appraisal Theory provides an analytical framework for examining how language users express emotions, attitudes, and evaluations in authentic contexts, and has increasingly attracted attention for its pedagogical potential. Using articles indexed in Scopus from 2006 to 2026, 48 publications were selected according to predefined inclusion criteria and analyzed with VOSviewer. The results show that Australia leads the field by a substantial margin. After a decline prior to 2020, the number of publications recovered and continued to rise, reaching a second peak in 2024. Two journals—</w:t>
      </w:r>
      <w:r w:rsidRPr="0099284F">
        <w:rPr>
          <w:rFonts w:asciiTheme="majorBidi" w:hAnsiTheme="majorBidi" w:cstheme="majorBidi"/>
          <w:i/>
          <w:iCs/>
          <w:sz w:val="24"/>
          <w:szCs w:val="24"/>
        </w:rPr>
        <w:t>Journal of English for Academic Purposes</w:t>
      </w:r>
      <w:r w:rsidRPr="0099284F">
        <w:rPr>
          <w:rFonts w:asciiTheme="majorBidi" w:hAnsiTheme="majorBidi" w:cstheme="majorBidi"/>
          <w:sz w:val="24"/>
          <w:szCs w:val="24"/>
        </w:rPr>
        <w:t> and </w:t>
      </w:r>
      <w:r w:rsidRPr="0099284F">
        <w:rPr>
          <w:rFonts w:asciiTheme="majorBidi" w:hAnsiTheme="majorBidi" w:cstheme="majorBidi"/>
          <w:i/>
          <w:iCs/>
          <w:sz w:val="24"/>
          <w:szCs w:val="24"/>
        </w:rPr>
        <w:t>Linguistics and Education</w:t>
      </w:r>
      <w:r w:rsidRPr="0099284F">
        <w:rPr>
          <w:rFonts w:asciiTheme="majorBidi" w:hAnsiTheme="majorBidi" w:cstheme="majorBidi"/>
          <w:sz w:val="24"/>
          <w:szCs w:val="24"/>
        </w:rPr>
        <w:t>—were identified as the most prominent outlets in this research area. Highly influential scholars include Yadan Li, Ana Llinares, and Ryan T. Miller, while Hood (2006) emerged as the most cited work. The bibliometric analysis further revealed six major clusters concerning the application of Appraisal Theory to foreign language teaching. Overall, the findings indicate that Appraisal Theory is becoming increasingly central to the modernization of English language teaching in Vietnam.</w:t>
      </w:r>
    </w:p>
    <w:p w14:paraId="123B647D" w14:textId="66BD87AB" w:rsidR="00722EDE" w:rsidRPr="009F2FC1" w:rsidRDefault="00722EDE" w:rsidP="002835DB">
      <w:pPr>
        <w:spacing w:before="240"/>
        <w:ind w:firstLine="284"/>
        <w:rPr>
          <w:rFonts w:asciiTheme="majorBidi" w:hAnsiTheme="majorBidi" w:cstheme="majorBidi"/>
          <w:sz w:val="24"/>
          <w:szCs w:val="24"/>
          <w:lang w:val="vi-VN"/>
        </w:rPr>
      </w:pPr>
      <w:r w:rsidRPr="00F80631">
        <w:rPr>
          <w:rFonts w:asciiTheme="majorBidi" w:hAnsiTheme="majorBidi" w:cstheme="majorBidi"/>
          <w:b/>
          <w:bCs/>
          <w:i/>
          <w:iCs/>
          <w:sz w:val="24"/>
          <w:szCs w:val="24"/>
        </w:rPr>
        <w:t>Keywords</w:t>
      </w:r>
      <w:r w:rsidRPr="00F80631">
        <w:rPr>
          <w:rFonts w:asciiTheme="majorBidi" w:hAnsiTheme="majorBidi" w:cstheme="majorBidi"/>
          <w:b/>
          <w:bCs/>
          <w:sz w:val="24"/>
          <w:szCs w:val="24"/>
        </w:rPr>
        <w:t xml:space="preserve">: </w:t>
      </w:r>
      <w:r w:rsidR="009F2FC1">
        <w:rPr>
          <w:rFonts w:asciiTheme="majorBidi" w:hAnsiTheme="majorBidi" w:cstheme="majorBidi"/>
          <w:sz w:val="24"/>
          <w:szCs w:val="24"/>
        </w:rPr>
        <w:t>a</w:t>
      </w:r>
      <w:r w:rsidR="009F2FC1" w:rsidRPr="009F2FC1">
        <w:rPr>
          <w:rFonts w:asciiTheme="majorBidi" w:hAnsiTheme="majorBidi" w:cstheme="majorBidi"/>
          <w:sz w:val="24"/>
          <w:szCs w:val="24"/>
        </w:rPr>
        <w:t>ppraisal theory, bibliometrics, SFL, ESL teaching, language education</w:t>
      </w:r>
    </w:p>
    <w:p w14:paraId="0B8AD52C" w14:textId="77777777" w:rsidR="00316775" w:rsidRPr="00F80631" w:rsidRDefault="00316775" w:rsidP="00722EDE">
      <w:pPr>
        <w:spacing w:before="240"/>
        <w:ind w:left="993" w:hanging="993"/>
        <w:rPr>
          <w:rFonts w:asciiTheme="majorBidi" w:hAnsiTheme="majorBidi" w:cstheme="majorBidi"/>
          <w:b/>
          <w:bCs/>
          <w:sz w:val="24"/>
          <w:szCs w:val="24"/>
        </w:rPr>
      </w:pPr>
    </w:p>
    <w:p w14:paraId="6820B094" w14:textId="77777777" w:rsidR="00722EDE" w:rsidRPr="00E40940" w:rsidRDefault="00722EDE" w:rsidP="00F675E2">
      <w:pPr>
        <w:pStyle w:val="RALs-Heading1"/>
        <w:spacing w:before="0" w:after="120" w:line="480" w:lineRule="auto"/>
        <w:rPr>
          <w:rFonts w:asciiTheme="majorBidi" w:hAnsiTheme="majorBidi" w:cstheme="majorBidi"/>
          <w:b w:val="0"/>
          <w:bCs w:val="0"/>
          <w:sz w:val="24"/>
          <w:szCs w:val="24"/>
        </w:rPr>
      </w:pPr>
      <w:r w:rsidRPr="00E40940">
        <w:rPr>
          <w:rFonts w:asciiTheme="majorBidi" w:hAnsiTheme="majorBidi" w:cstheme="majorBidi"/>
          <w:sz w:val="24"/>
          <w:szCs w:val="24"/>
        </w:rPr>
        <w:lastRenderedPageBreak/>
        <w:t>1. Introduction</w:t>
      </w:r>
    </w:p>
    <w:p w14:paraId="1F3FA1DB" w14:textId="77777777" w:rsidR="00355913" w:rsidRPr="00355913" w:rsidRDefault="00355913" w:rsidP="00355913">
      <w:pPr>
        <w:spacing w:before="0" w:after="120" w:line="480" w:lineRule="auto"/>
        <w:rPr>
          <w:rFonts w:asciiTheme="majorBidi" w:hAnsiTheme="majorBidi" w:cstheme="majorBidi"/>
          <w:sz w:val="24"/>
          <w:szCs w:val="24"/>
          <w:lang w:val="vi-VN"/>
        </w:rPr>
      </w:pPr>
      <w:r w:rsidRPr="00355913">
        <w:rPr>
          <w:rFonts w:asciiTheme="majorBidi" w:hAnsiTheme="majorBidi" w:cstheme="majorBidi"/>
          <w:sz w:val="24"/>
          <w:szCs w:val="24"/>
          <w:lang w:val="vi-VN"/>
        </w:rPr>
        <w:t>Appraisal Theory is an essential branch of Systemic Functional Linguistics (SFL) that addresses how language expresses the attitudes, evaluations, and viewpoints of speakers and writers. Appraisal Theory has proved a useful tool in discourse studies, especially in language education, where it is especially important for understanding how learners construe attitudes and feelings and also as a way of exploring interpersonal meaning.</w:t>
      </w:r>
    </w:p>
    <w:p w14:paraId="62E20E7E" w14:textId="458F56CC" w:rsidR="00355913" w:rsidRPr="00355913" w:rsidRDefault="00355913" w:rsidP="00355913">
      <w:pPr>
        <w:spacing w:before="0" w:after="120" w:line="480" w:lineRule="auto"/>
        <w:rPr>
          <w:rFonts w:asciiTheme="majorBidi" w:hAnsiTheme="majorBidi" w:cstheme="majorBidi"/>
          <w:sz w:val="24"/>
          <w:szCs w:val="24"/>
          <w:lang w:val="vi-VN"/>
        </w:rPr>
      </w:pPr>
      <w:bookmarkStart w:id="0" w:name="_Hlk233905834"/>
      <w:r w:rsidRPr="00355913">
        <w:rPr>
          <w:rFonts w:asciiTheme="majorBidi" w:hAnsiTheme="majorBidi" w:cstheme="majorBidi"/>
          <w:sz w:val="24"/>
          <w:szCs w:val="24"/>
          <w:lang w:val="vi-VN"/>
        </w:rPr>
        <w:t xml:space="preserve">The Appraisal Theory has been widely used worldwide in foreign language teaching research, academic text analysis, and evaluation of learners’ writing competence. </w:t>
      </w:r>
      <w:r w:rsidR="00E2595C" w:rsidRPr="00190FC8">
        <w:rPr>
          <w:rFonts w:asciiTheme="majorBidi" w:hAnsiTheme="majorBidi" w:cstheme="majorBidi"/>
          <w:color w:val="FF0000"/>
          <w:sz w:val="24"/>
          <w:szCs w:val="24"/>
          <w:lang w:val="vi-VN"/>
        </w:rPr>
        <w:t xml:space="preserve">In Vietnam, however, although the framework has been introduced and used in some studies, its application remains limited, particularly in pedagogical contexts involving English as a Second Language (ESL). </w:t>
      </w:r>
      <w:r w:rsidRPr="00190FC8">
        <w:rPr>
          <w:rFonts w:asciiTheme="majorBidi" w:hAnsiTheme="majorBidi" w:cstheme="majorBidi"/>
          <w:color w:val="FF0000"/>
          <w:sz w:val="24"/>
          <w:szCs w:val="24"/>
          <w:lang w:val="vi-VN"/>
        </w:rPr>
        <w:t xml:space="preserve"> </w:t>
      </w:r>
      <w:r w:rsidRPr="00355913">
        <w:rPr>
          <w:rFonts w:asciiTheme="majorBidi" w:hAnsiTheme="majorBidi" w:cstheme="majorBidi"/>
          <w:sz w:val="24"/>
          <w:szCs w:val="24"/>
          <w:lang w:val="vi-VN"/>
        </w:rPr>
        <w:t>Therefore, the mapping of the current research status of Appraisal Theory in language education not only helps Vietnamese scholars to see the research status in the world but also provides orientations for the application of this theory to teaching and researching.</w:t>
      </w:r>
    </w:p>
    <w:bookmarkEnd w:id="0"/>
    <w:p w14:paraId="29A43324" w14:textId="69C343A4" w:rsidR="00355913" w:rsidRPr="00355913" w:rsidRDefault="00355913" w:rsidP="00355913">
      <w:pPr>
        <w:spacing w:before="0" w:after="120" w:line="480" w:lineRule="auto"/>
        <w:rPr>
          <w:rFonts w:asciiTheme="majorBidi" w:hAnsiTheme="majorBidi" w:cstheme="majorBidi"/>
          <w:sz w:val="24"/>
          <w:szCs w:val="24"/>
          <w:lang w:val="vi-VN"/>
        </w:rPr>
      </w:pPr>
      <w:r w:rsidRPr="00355913">
        <w:rPr>
          <w:rFonts w:asciiTheme="majorBidi" w:hAnsiTheme="majorBidi" w:cstheme="majorBidi"/>
          <w:sz w:val="24"/>
          <w:szCs w:val="24"/>
          <w:lang w:val="vi-VN"/>
        </w:rPr>
        <w:t xml:space="preserve">This research tries to examine the development of research on Appraisal Theory Application in language education throughout the years. Two central research questions are posed: (1) What is the current scholarly output in this field in terms of volume of publications, journals, and authors contributing? (2) What are the major research thematic areas, and what are the changes at different stages of development? </w:t>
      </w:r>
      <w:r>
        <w:rPr>
          <w:rFonts w:asciiTheme="majorBidi" w:hAnsiTheme="majorBidi" w:cstheme="majorBidi"/>
          <w:sz w:val="24"/>
          <w:szCs w:val="24"/>
          <w:lang w:val="vi-VN"/>
        </w:rPr>
        <w:t>These questions provide a holistic view of research trends and identify the gaps that need exploration.</w:t>
      </w:r>
    </w:p>
    <w:p w14:paraId="3B0250FC" w14:textId="2889225B" w:rsidR="00355913" w:rsidRDefault="00355913" w:rsidP="00355913">
      <w:pPr>
        <w:spacing w:before="0" w:after="120" w:line="480" w:lineRule="auto"/>
        <w:rPr>
          <w:rFonts w:asciiTheme="majorBidi" w:hAnsiTheme="majorBidi" w:cstheme="majorBidi"/>
          <w:sz w:val="24"/>
          <w:szCs w:val="24"/>
          <w:lang w:val="vi-VN"/>
        </w:rPr>
      </w:pPr>
      <w:r w:rsidRPr="00355913">
        <w:rPr>
          <w:rFonts w:asciiTheme="majorBidi" w:hAnsiTheme="majorBidi" w:cstheme="majorBidi"/>
          <w:sz w:val="24"/>
          <w:szCs w:val="24"/>
          <w:lang w:val="vi-VN"/>
        </w:rPr>
        <w:t xml:space="preserve">For this purpose, </w:t>
      </w:r>
      <w:r>
        <w:rPr>
          <w:rFonts w:asciiTheme="majorBidi" w:hAnsiTheme="majorBidi" w:cstheme="majorBidi"/>
          <w:sz w:val="24"/>
          <w:szCs w:val="24"/>
          <w:lang w:val="vi-VN"/>
        </w:rPr>
        <w:t>this paper</w:t>
      </w:r>
      <w:r w:rsidRPr="00355913">
        <w:rPr>
          <w:rFonts w:asciiTheme="majorBidi" w:hAnsiTheme="majorBidi" w:cstheme="majorBidi"/>
          <w:sz w:val="24"/>
          <w:szCs w:val="24"/>
          <w:lang w:val="vi-VN"/>
        </w:rPr>
        <w:t xml:space="preserve"> takes into account past research, publication trends, and major topics. The article is structured as follows: first, the literature review provides the conceptual foundations of Appraisal Theory, its main categories, and representative studies; second, the methodology, results, and discussion sections introduce the bibliometric analysis </w:t>
      </w:r>
      <w:r w:rsidRPr="00355913">
        <w:rPr>
          <w:rFonts w:asciiTheme="majorBidi" w:hAnsiTheme="majorBidi" w:cstheme="majorBidi"/>
          <w:sz w:val="24"/>
          <w:szCs w:val="24"/>
          <w:lang w:val="vi-VN"/>
        </w:rPr>
        <w:lastRenderedPageBreak/>
        <w:t>and thematic findings; finally, the conclusion summarizes key insights and offers pedagogical implications for ESL teaching in Vietnam.</w:t>
      </w:r>
    </w:p>
    <w:p w14:paraId="6CB310ED" w14:textId="1AE6B162" w:rsidR="00355913" w:rsidRPr="002100AE" w:rsidRDefault="00355913" w:rsidP="00355913">
      <w:pPr>
        <w:spacing w:before="0" w:after="120" w:line="480" w:lineRule="auto"/>
        <w:rPr>
          <w:rFonts w:asciiTheme="majorBidi" w:hAnsiTheme="majorBidi" w:cstheme="majorBidi"/>
          <w:sz w:val="24"/>
          <w:szCs w:val="24"/>
          <w:lang w:val="vi-VN"/>
        </w:rPr>
      </w:pPr>
      <w:r w:rsidRPr="00355913">
        <w:rPr>
          <w:rFonts w:asciiTheme="majorBidi" w:hAnsiTheme="majorBidi" w:cstheme="majorBidi"/>
          <w:sz w:val="24"/>
          <w:szCs w:val="24"/>
          <w:lang w:val="vi-VN"/>
        </w:rPr>
        <w:t>In summary, this study aims to offer a comprehensive and coherent account of the evolution of Appraisal Theory in language education, which will help researchers and ESL educators in improving their understanding and in the effective application of this framework in both teaching and research contexts.</w:t>
      </w:r>
    </w:p>
    <w:p w14:paraId="61F9D382" w14:textId="77777777" w:rsidR="00722EDE" w:rsidRPr="002100AE" w:rsidRDefault="00722EDE" w:rsidP="00F675E2">
      <w:pPr>
        <w:pStyle w:val="RALs-Heading1"/>
        <w:spacing w:before="0" w:after="120" w:line="480" w:lineRule="auto"/>
        <w:rPr>
          <w:rFonts w:asciiTheme="majorBidi" w:hAnsiTheme="majorBidi" w:cstheme="majorBidi"/>
          <w:sz w:val="24"/>
          <w:szCs w:val="24"/>
        </w:rPr>
      </w:pPr>
      <w:r w:rsidRPr="002100AE">
        <w:rPr>
          <w:rFonts w:asciiTheme="majorBidi" w:hAnsiTheme="majorBidi" w:cstheme="majorBidi"/>
          <w:sz w:val="24"/>
          <w:szCs w:val="24"/>
        </w:rPr>
        <w:t>2. Literature Review</w:t>
      </w:r>
    </w:p>
    <w:p w14:paraId="568E669D" w14:textId="77777777" w:rsidR="00E95596" w:rsidRPr="002100AE" w:rsidRDefault="00E95596"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Martin and White (2005), building on the foundations of Systemic Functional Grammar (SFG), developed Appraisal Theory to extend the scope of interpersonality analysis in discourse. Whereas SFG primarily describes the linguistic resources through which meanings are construed, Appraisal Theory advances this perspective by establishing a systematic relationship between linguistic form and the social functions that language performs in particular communicative contexts. Accordingly, the theory is concerned with how language users express attitudes, position themselves, and negotiate social relations through discourse.</w:t>
      </w:r>
    </w:p>
    <w:p w14:paraId="4D1DB88B" w14:textId="105B1C0F" w:rsidR="00E95596" w:rsidRPr="002100AE" w:rsidRDefault="00E95596"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According to Martin and White (2005), appraisal constitutes an interpersonally oriented semantic system that enables discourse participants to communicate feelings, propositions, viewpoints, and the degree of commitment associated with their utterances. As such, the framework offers a methodological basis for identifying and explaining how stances are realized across diverse discourse types. As illustrated in Figure 1, the Appraisal System comprises three interrelated subsystems: Attitude, Engagement, and Graduation. In combination, these components respectively account</w:t>
      </w:r>
      <w:r w:rsidR="00F907C6">
        <w:rPr>
          <w:rFonts w:asciiTheme="majorBidi" w:hAnsiTheme="majorBidi" w:cstheme="majorBidi"/>
          <w:sz w:val="24"/>
          <w:szCs w:val="24"/>
          <w:lang w:val="vi-VN"/>
        </w:rPr>
        <w:t xml:space="preserve"> </w:t>
      </w:r>
      <w:r w:rsidRPr="002100AE">
        <w:rPr>
          <w:rFonts w:asciiTheme="majorBidi" w:hAnsiTheme="majorBidi" w:cstheme="majorBidi"/>
          <w:sz w:val="24"/>
          <w:szCs w:val="24"/>
          <w:lang w:val="vi-VN"/>
        </w:rPr>
        <w:t>for (i) the expression of affective and evaluative meanings, (ii) the management of alternative sources of voice within discourse, and (iii) the calibration of intensity and explicitness of evaluative content.</w:t>
      </w:r>
    </w:p>
    <w:p w14:paraId="086859DE" w14:textId="77777777" w:rsidR="00E95596" w:rsidRPr="002100AE" w:rsidRDefault="00E95596" w:rsidP="00F675E2">
      <w:pPr>
        <w:pStyle w:val="RALs-FigureCaption"/>
        <w:keepLines/>
        <w:ind w:right="380"/>
        <w:jc w:val="left"/>
        <w:rPr>
          <w:rFonts w:asciiTheme="majorBidi" w:hAnsiTheme="majorBidi" w:cstheme="majorBidi"/>
          <w:b/>
          <w:bCs/>
          <w:sz w:val="24"/>
          <w:szCs w:val="24"/>
        </w:rPr>
      </w:pPr>
      <w:r w:rsidRPr="002100AE">
        <w:rPr>
          <w:rFonts w:asciiTheme="majorBidi" w:hAnsiTheme="majorBidi" w:cstheme="majorBidi"/>
          <w:b/>
          <w:bCs/>
          <w:sz w:val="24"/>
          <w:szCs w:val="24"/>
        </w:rPr>
        <w:lastRenderedPageBreak/>
        <w:t>Figure 1</w:t>
      </w:r>
    </w:p>
    <w:p w14:paraId="5769DAEF" w14:textId="7C1AC2B3" w:rsidR="00E95596" w:rsidRPr="002100AE" w:rsidRDefault="00E95596" w:rsidP="00F675E2">
      <w:pPr>
        <w:keepNext/>
        <w:keepLines/>
        <w:ind w:firstLine="0"/>
        <w:rPr>
          <w:rFonts w:asciiTheme="majorBidi" w:hAnsiTheme="majorBidi" w:cstheme="majorBidi"/>
          <w:sz w:val="24"/>
          <w:szCs w:val="24"/>
          <w:lang w:val="vi-VN"/>
        </w:rPr>
      </w:pPr>
      <w:r w:rsidRPr="002100AE">
        <w:rPr>
          <w:rFonts w:asciiTheme="majorBidi" w:hAnsiTheme="majorBidi" w:cstheme="majorBidi"/>
          <w:i/>
          <w:iCs/>
          <w:sz w:val="24"/>
          <w:szCs w:val="24"/>
        </w:rPr>
        <w:t>An overview of appraisal resources</w:t>
      </w:r>
      <w:r w:rsidRPr="002100AE">
        <w:rPr>
          <w:rFonts w:asciiTheme="majorBidi" w:hAnsiTheme="majorBidi" w:cstheme="majorBidi"/>
          <w:sz w:val="24"/>
          <w:szCs w:val="24"/>
          <w:lang w:val="vi-VN"/>
        </w:rPr>
        <w:t xml:space="preserve"> </w:t>
      </w:r>
    </w:p>
    <w:p w14:paraId="2A6270DF" w14:textId="77777777" w:rsidR="002D1588" w:rsidRPr="002100AE" w:rsidRDefault="002D1588" w:rsidP="004B180F">
      <w:pPr>
        <w:keepNext/>
        <w:keepLines/>
        <w:spacing w:line="480" w:lineRule="auto"/>
        <w:ind w:firstLine="0"/>
        <w:jc w:val="center"/>
        <w:rPr>
          <w:rFonts w:asciiTheme="majorBidi" w:hAnsiTheme="majorBidi" w:cstheme="majorBidi"/>
          <w:sz w:val="24"/>
          <w:szCs w:val="24"/>
          <w:lang w:val="vi-VN"/>
        </w:rPr>
      </w:pPr>
      <w:r w:rsidRPr="002100AE">
        <w:rPr>
          <w:noProof/>
          <w:lang w:eastAsia="ja-JP"/>
        </w:rPr>
        <w:drawing>
          <wp:inline distT="0" distB="0" distL="0" distR="0" wp14:anchorId="63734F3C" wp14:editId="7219F6BD">
            <wp:extent cx="4114800" cy="3597174"/>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8728"/>
                    <a:stretch>
                      <a:fillRect/>
                    </a:stretch>
                  </pic:blipFill>
                  <pic:spPr bwMode="auto">
                    <a:xfrm>
                      <a:off x="0" y="0"/>
                      <a:ext cx="4114800" cy="3597174"/>
                    </a:xfrm>
                    <a:prstGeom prst="rect">
                      <a:avLst/>
                    </a:prstGeom>
                    <a:noFill/>
                    <a:ln>
                      <a:noFill/>
                    </a:ln>
                    <a:extLst>
                      <a:ext uri="{53640926-AAD7-44D8-BBD7-CCE9431645EC}">
                        <a14:shadowObscured xmlns:a14="http://schemas.microsoft.com/office/drawing/2010/main"/>
                      </a:ext>
                    </a:extLst>
                  </pic:spPr>
                </pic:pic>
              </a:graphicData>
            </a:graphic>
          </wp:inline>
        </w:drawing>
      </w:r>
    </w:p>
    <w:p w14:paraId="18A2E3B1" w14:textId="77777777" w:rsidR="00E95596" w:rsidRPr="002100AE" w:rsidRDefault="00E95596" w:rsidP="00F675E2">
      <w:pPr>
        <w:keepNext/>
        <w:keepLines/>
        <w:jc w:val="right"/>
        <w:rPr>
          <w:rFonts w:asciiTheme="majorBidi" w:hAnsiTheme="majorBidi" w:cstheme="majorBidi"/>
          <w:sz w:val="24"/>
          <w:szCs w:val="24"/>
          <w:lang w:val="vi-VN"/>
        </w:rPr>
      </w:pPr>
      <w:r w:rsidRPr="002100AE">
        <w:rPr>
          <w:rFonts w:asciiTheme="majorBidi" w:hAnsiTheme="majorBidi" w:cstheme="majorBidi"/>
          <w:sz w:val="24"/>
          <w:szCs w:val="24"/>
          <w:lang w:val="vi-VN"/>
        </w:rPr>
        <w:t>Source: Martin &amp; White, 2005, p. 38</w:t>
      </w:r>
    </w:p>
    <w:p w14:paraId="410B1796" w14:textId="77777777" w:rsidR="00E95596" w:rsidRPr="002100AE" w:rsidRDefault="00E95596"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Within this framework, Attitude occupies the central function and is further differentiated into three categories: Affect, which encodes personal feelings; Judgment, which evaluates human behavior or personal attributes; and Appreciation, which assesses phenomena and objects. Graduation captures the degree of strength–weakness or explicitness–implicitness of evaluations through two mechanisms—Force and Focus—thereby reflecting the speaker/writer’s strategies for modulating the perceived impact on the addressee (Phan, 2022). Engagement concerns the sourcing of viewpoints in discourse and distinguishes between monogloss (single-voiced) and heterogloss (multi-voiced) patterns. This distinction, in turn, reveals the extent to which texts are dialogically open to alternative perspectives.</w:t>
      </w:r>
    </w:p>
    <w:p w14:paraId="1BB21C74" w14:textId="201161D0" w:rsidR="00E95596" w:rsidRPr="002100AE" w:rsidRDefault="00E95596"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 xml:space="preserve">The application of Appraisal Theory has emerged as a significant research trajectory in multiple disciplines, including literature, communication, law, and academic inquiry (Oteíza, 2017; Wei et al., 2015). By offering a structured approach to organizing evaluative linguistic </w:t>
      </w:r>
      <w:r w:rsidRPr="002100AE">
        <w:rPr>
          <w:rFonts w:asciiTheme="majorBidi" w:hAnsiTheme="majorBidi" w:cstheme="majorBidi"/>
          <w:sz w:val="24"/>
          <w:szCs w:val="24"/>
          <w:lang w:val="vi-VN"/>
        </w:rPr>
        <w:lastRenderedPageBreak/>
        <w:t>resources, the theory enables researchers not only to identify affective and evaluative elements, but also to examine how discourse participants construct stances, organize arguments, and cultivate social interaction within particular cultural and sociopolitical settings (Callon et al., 1983; Caputo et al., 2019).</w:t>
      </w:r>
    </w:p>
    <w:p w14:paraId="29DB052E" w14:textId="77777777" w:rsidR="00722EDE" w:rsidRPr="002100AE" w:rsidRDefault="00722EDE" w:rsidP="00F675E2">
      <w:pPr>
        <w:pStyle w:val="RALs-Heading1"/>
        <w:spacing w:before="0" w:after="120" w:line="480" w:lineRule="auto"/>
        <w:rPr>
          <w:rFonts w:asciiTheme="majorBidi" w:hAnsiTheme="majorBidi" w:cstheme="majorBidi"/>
          <w:sz w:val="24"/>
          <w:szCs w:val="24"/>
        </w:rPr>
      </w:pPr>
      <w:r w:rsidRPr="002100AE">
        <w:rPr>
          <w:rFonts w:asciiTheme="majorBidi" w:hAnsiTheme="majorBidi" w:cstheme="majorBidi"/>
          <w:sz w:val="24"/>
          <w:szCs w:val="24"/>
        </w:rPr>
        <w:t>3. Methodology</w:t>
      </w:r>
    </w:p>
    <w:p w14:paraId="0F4C56CC" w14:textId="649741E3" w:rsidR="002D1588" w:rsidRPr="002100AE" w:rsidRDefault="002D1588" w:rsidP="00F675E2">
      <w:pPr>
        <w:pStyle w:val="RALs-Heading2"/>
        <w:spacing w:before="0" w:after="120" w:line="480" w:lineRule="auto"/>
        <w:rPr>
          <w:rFonts w:asciiTheme="majorBidi" w:hAnsiTheme="majorBidi" w:cstheme="majorBidi"/>
          <w:sz w:val="24"/>
          <w:szCs w:val="24"/>
        </w:rPr>
      </w:pPr>
      <w:r w:rsidRPr="002100AE">
        <w:rPr>
          <w:rFonts w:asciiTheme="majorBidi" w:hAnsiTheme="majorBidi" w:cstheme="majorBidi"/>
          <w:sz w:val="24"/>
          <w:szCs w:val="24"/>
        </w:rPr>
        <w:t>3.1. Database and Searching Process</w:t>
      </w:r>
    </w:p>
    <w:p w14:paraId="2AC9D1F5" w14:textId="2D39FBC2" w:rsidR="00A1301C" w:rsidRPr="002100AE" w:rsidRDefault="00A1301C"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 xml:space="preserve">This study conducts a bibliometric analysis using publication data retrieved from Scopus. The search was restricted to records containing the keywords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appraisal</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and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Systemic functional Linguistics.</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The initial Scopus query yielded 303 articles matching both keywords</w:t>
      </w:r>
      <w:r w:rsidRPr="00190FC8">
        <w:rPr>
          <w:rFonts w:asciiTheme="majorBidi" w:hAnsiTheme="majorBidi" w:cstheme="majorBidi"/>
          <w:color w:val="FF0000"/>
          <w:sz w:val="24"/>
          <w:szCs w:val="24"/>
          <w:lang w:val="vi-VN"/>
        </w:rPr>
        <w:t xml:space="preserve">. </w:t>
      </w:r>
      <w:r w:rsidR="005A7D80" w:rsidRPr="00190FC8">
        <w:rPr>
          <w:rFonts w:asciiTheme="majorBidi" w:hAnsiTheme="majorBidi" w:cstheme="majorBidi"/>
          <w:color w:val="FF0000"/>
          <w:sz w:val="24"/>
          <w:szCs w:val="24"/>
          <w:lang w:val="vi-VN"/>
        </w:rPr>
        <w:t xml:space="preserve">In this paper, we also employ keywords related to the field of translation, specifically “Translation” and “Legal Translation.” The inclusion of these keywords is justified by the close relationship between translation and language education, particularly in fostering learners’ linguistic competence and discipline-specific professional competence. </w:t>
      </w:r>
      <w:r w:rsidRPr="002100AE">
        <w:rPr>
          <w:rFonts w:asciiTheme="majorBidi" w:hAnsiTheme="majorBidi" w:cstheme="majorBidi"/>
          <w:sz w:val="24"/>
          <w:szCs w:val="24"/>
          <w:lang w:val="vi-VN"/>
        </w:rPr>
        <w:t>After applying the exclusion criteria specified in Table 1 and limiting the scope to the education domain, the final corpus comprised 48 English-language articles. These were subsequently used to examine research trends related to this topic.</w:t>
      </w:r>
    </w:p>
    <w:p w14:paraId="1B88730E" w14:textId="77777777" w:rsidR="00A1301C" w:rsidRPr="002100AE" w:rsidRDefault="00A1301C"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The Scopus query employed to retrieve the articles is as follows:</w:t>
      </w:r>
    </w:p>
    <w:p w14:paraId="7950BC66" w14:textId="3CF8068E" w:rsidR="00A1301C" w:rsidRPr="002100AE" w:rsidRDefault="00A1301C"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TITLE-ABS-KEY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appraisal</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AND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systemic functional</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AND PUBYEAR &gt; 2005 AND PUBYEAR &lt; 2027 AND (LIMIT-TO (DOCTYPE,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ar</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OR LIMIT-TO (DOCTYPE,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cp</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AND (LIMIT-TO (LANGUAGE,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English</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AND (LIMIT-TO (EXACTKEYWORD,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Academic Writing</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OR LIMIT-TO (EXACTKEYWORD,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Argumentative Writing</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OR LIMIT-TO (EXACTKEYWORD,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Translation</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OR LIMIT-TO (EXACTKEYWORD,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Teacher Education</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OR LIMIT-TO (EXACTKEYWORD,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Students</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OR LIMIT-TO (EXACTKEYWORD,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Graduation Resources</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OR LIMIT-TO (EXACTKEYWORD, </w:t>
      </w:r>
      <w:r w:rsidR="00E95596" w:rsidRPr="002100AE">
        <w:rPr>
          <w:rFonts w:asciiTheme="majorBidi" w:hAnsiTheme="majorBidi" w:cstheme="majorBidi"/>
          <w:sz w:val="24"/>
          <w:szCs w:val="24"/>
          <w:lang w:val="vi-VN"/>
        </w:rPr>
        <w:lastRenderedPageBreak/>
        <w:t>“</w:t>
      </w:r>
      <w:r w:rsidRPr="002100AE">
        <w:rPr>
          <w:rFonts w:asciiTheme="majorBidi" w:hAnsiTheme="majorBidi" w:cstheme="majorBidi"/>
          <w:sz w:val="24"/>
          <w:szCs w:val="24"/>
          <w:lang w:val="vi-VN"/>
        </w:rPr>
        <w:t>History Textbooks</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OR LIMIT-TO (EXACTKEYWORD,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Academic Discourse</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OR LIMIT-TO (EXACTKEYWORD,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Legal Translation</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OR LIMIT-TO (EXACTKEYWORD,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L2 Writing</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w:t>
      </w:r>
    </w:p>
    <w:p w14:paraId="432D1413" w14:textId="77777777" w:rsidR="00E95596" w:rsidRPr="002100AE" w:rsidRDefault="00E95596" w:rsidP="00E95596">
      <w:pPr>
        <w:pStyle w:val="RALs-TableCaption"/>
        <w:rPr>
          <w:rFonts w:asciiTheme="majorBidi" w:hAnsiTheme="majorBidi" w:cstheme="majorBidi"/>
          <w:b/>
          <w:bCs/>
          <w:sz w:val="24"/>
          <w:szCs w:val="24"/>
        </w:rPr>
      </w:pPr>
      <w:r w:rsidRPr="002100AE">
        <w:rPr>
          <w:rFonts w:asciiTheme="majorBidi" w:hAnsiTheme="majorBidi" w:cstheme="majorBidi"/>
          <w:b/>
          <w:bCs/>
          <w:sz w:val="24"/>
          <w:szCs w:val="24"/>
        </w:rPr>
        <w:t>Table 1</w:t>
      </w:r>
    </w:p>
    <w:p w14:paraId="3367EF66" w14:textId="763E3443" w:rsidR="00E95596" w:rsidRPr="002100AE" w:rsidRDefault="00E95596" w:rsidP="00E95596">
      <w:pPr>
        <w:pStyle w:val="RALs-TableCaption"/>
        <w:ind w:left="0" w:firstLine="0"/>
        <w:rPr>
          <w:rFonts w:asciiTheme="majorBidi" w:hAnsiTheme="majorBidi" w:cstheme="majorBidi"/>
          <w:sz w:val="24"/>
          <w:szCs w:val="24"/>
        </w:rPr>
      </w:pPr>
      <w:r w:rsidRPr="002100AE">
        <w:rPr>
          <w:rFonts w:asciiTheme="majorBidi" w:hAnsiTheme="majorBidi" w:cstheme="majorBidi"/>
          <w:i/>
          <w:iCs/>
          <w:sz w:val="24"/>
          <w:szCs w:val="24"/>
        </w:rPr>
        <w:t xml:space="preserve">Inclusion and exclusion criteria for selection of English papers’ </w:t>
      </w:r>
    </w:p>
    <w:tbl>
      <w:tblPr>
        <w:tblStyle w:val="LightShading1"/>
        <w:tblW w:w="5000" w:type="pct"/>
        <w:tblBorders>
          <w:top w:val="none" w:sz="0" w:space="0" w:color="auto"/>
          <w:bottom w:val="none" w:sz="0" w:space="0" w:color="auto"/>
        </w:tblBorders>
        <w:tblLook w:val="0000" w:firstRow="0" w:lastRow="0" w:firstColumn="0" w:lastColumn="0" w:noHBand="0" w:noVBand="0"/>
      </w:tblPr>
      <w:tblGrid>
        <w:gridCol w:w="4740"/>
        <w:gridCol w:w="4286"/>
      </w:tblGrid>
      <w:tr w:rsidR="002100AE" w:rsidRPr="002100AE" w14:paraId="379BDA87" w14:textId="77777777" w:rsidTr="00F907C6">
        <w:trPr>
          <w:cnfStyle w:val="000000100000" w:firstRow="0" w:lastRow="0" w:firstColumn="0" w:lastColumn="0" w:oddVBand="0" w:evenVBand="0" w:oddHBand="1" w:evenHBand="0" w:firstRowFirstColumn="0" w:firstRowLastColumn="0" w:lastRowFirstColumn="0" w:lastRowLastColumn="0"/>
          <w:trHeight w:val="720"/>
        </w:trPr>
        <w:tc>
          <w:tcPr>
            <w:cnfStyle w:val="000010000000" w:firstRow="0" w:lastRow="0" w:firstColumn="0" w:lastColumn="0" w:oddVBand="1" w:evenVBand="0" w:oddHBand="0" w:evenHBand="0" w:firstRowFirstColumn="0" w:firstRowLastColumn="0" w:lastRowFirstColumn="0" w:lastRowLastColumn="0"/>
            <w:tcW w:w="2626" w:type="pct"/>
            <w:tcBorders>
              <w:top w:val="single" w:sz="4" w:space="0" w:color="auto"/>
              <w:bottom w:val="single" w:sz="4" w:space="0" w:color="auto"/>
            </w:tcBorders>
            <w:shd w:val="clear" w:color="auto" w:fill="FFFFFF" w:themeFill="background1"/>
            <w:vAlign w:val="center"/>
          </w:tcPr>
          <w:p w14:paraId="0A6D04C6" w14:textId="0CC5778A" w:rsidR="00E95596" w:rsidRPr="002100AE" w:rsidRDefault="00E95596" w:rsidP="00F675E2">
            <w:pPr>
              <w:autoSpaceDE w:val="0"/>
              <w:autoSpaceDN w:val="0"/>
              <w:adjustRightInd w:val="0"/>
              <w:spacing w:line="480" w:lineRule="auto"/>
              <w:ind w:right="60" w:firstLine="0"/>
              <w:jc w:val="left"/>
              <w:rPr>
                <w:rFonts w:asciiTheme="majorBidi" w:hAnsiTheme="majorBidi" w:cstheme="majorBidi"/>
                <w:color w:val="auto"/>
                <w:szCs w:val="20"/>
              </w:rPr>
            </w:pPr>
            <w:r w:rsidRPr="002100AE">
              <w:rPr>
                <w:color w:val="auto"/>
              </w:rPr>
              <w:t>Criteria included</w:t>
            </w:r>
          </w:p>
        </w:tc>
        <w:tc>
          <w:tcPr>
            <w:tcW w:w="2374" w:type="pct"/>
            <w:tcBorders>
              <w:top w:val="single" w:sz="4" w:space="0" w:color="auto"/>
              <w:bottom w:val="single" w:sz="4" w:space="0" w:color="auto"/>
            </w:tcBorders>
            <w:shd w:val="clear" w:color="auto" w:fill="FFFFFF" w:themeFill="background1"/>
            <w:vAlign w:val="center"/>
          </w:tcPr>
          <w:p w14:paraId="135CC971" w14:textId="065E7E04" w:rsidR="00E95596" w:rsidRPr="002100AE" w:rsidRDefault="00E95596" w:rsidP="00F675E2">
            <w:pPr>
              <w:autoSpaceDE w:val="0"/>
              <w:autoSpaceDN w:val="0"/>
              <w:adjustRightInd w:val="0"/>
              <w:spacing w:line="480" w:lineRule="auto"/>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0"/>
              </w:rPr>
            </w:pPr>
            <w:r w:rsidRPr="002100AE">
              <w:rPr>
                <w:color w:val="auto"/>
              </w:rPr>
              <w:t xml:space="preserve">Criteria excluded </w:t>
            </w:r>
          </w:p>
        </w:tc>
      </w:tr>
      <w:tr w:rsidR="002100AE" w:rsidRPr="002100AE" w14:paraId="6E1FEDF7" w14:textId="77777777" w:rsidTr="00F907C6">
        <w:trPr>
          <w:trHeight w:val="720"/>
        </w:trPr>
        <w:tc>
          <w:tcPr>
            <w:cnfStyle w:val="000010000000" w:firstRow="0" w:lastRow="0" w:firstColumn="0" w:lastColumn="0" w:oddVBand="1" w:evenVBand="0" w:oddHBand="0" w:evenHBand="0" w:firstRowFirstColumn="0" w:firstRowLastColumn="0" w:lastRowFirstColumn="0" w:lastRowLastColumn="0"/>
            <w:tcW w:w="2626" w:type="pct"/>
            <w:shd w:val="clear" w:color="auto" w:fill="auto"/>
            <w:vAlign w:val="center"/>
          </w:tcPr>
          <w:p w14:paraId="3EE858DC" w14:textId="41095224" w:rsidR="00E95596" w:rsidRPr="002100AE" w:rsidRDefault="00E95596" w:rsidP="00F675E2">
            <w:pPr>
              <w:autoSpaceDE w:val="0"/>
              <w:autoSpaceDN w:val="0"/>
              <w:adjustRightInd w:val="0"/>
              <w:spacing w:line="480" w:lineRule="auto"/>
              <w:ind w:left="60" w:right="60" w:firstLine="0"/>
              <w:jc w:val="left"/>
              <w:rPr>
                <w:rFonts w:asciiTheme="majorBidi" w:hAnsiTheme="majorBidi" w:cstheme="majorBidi"/>
                <w:color w:val="auto"/>
                <w:szCs w:val="20"/>
              </w:rPr>
            </w:pPr>
            <w:r w:rsidRPr="002100AE">
              <w:rPr>
                <w:color w:val="auto"/>
              </w:rPr>
              <w:t>Language: English</w:t>
            </w:r>
          </w:p>
        </w:tc>
        <w:tc>
          <w:tcPr>
            <w:tcW w:w="2374" w:type="pct"/>
            <w:vAlign w:val="center"/>
          </w:tcPr>
          <w:p w14:paraId="72A5C629" w14:textId="0F37D5FE" w:rsidR="00E95596" w:rsidRPr="002100AE" w:rsidRDefault="00E95596" w:rsidP="00E2595C">
            <w:pPr>
              <w:autoSpaceDE w:val="0"/>
              <w:autoSpaceDN w:val="0"/>
              <w:adjustRightInd w:val="0"/>
              <w:spacing w:line="480" w:lineRule="auto"/>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0"/>
              </w:rPr>
            </w:pPr>
            <w:r w:rsidRPr="00190FC8">
              <w:rPr>
                <w:color w:val="FF0000"/>
              </w:rPr>
              <w:t xml:space="preserve">Not connected to </w:t>
            </w:r>
            <w:r w:rsidR="00E2595C" w:rsidRPr="00190FC8">
              <w:rPr>
                <w:color w:val="FF0000"/>
              </w:rPr>
              <w:t>the keywords appraisal and Systemic functional Linguistics</w:t>
            </w:r>
          </w:p>
        </w:tc>
      </w:tr>
      <w:tr w:rsidR="002100AE" w:rsidRPr="002100AE" w14:paraId="5C909F41" w14:textId="77777777" w:rsidTr="00F907C6">
        <w:trPr>
          <w:cnfStyle w:val="000000100000" w:firstRow="0" w:lastRow="0" w:firstColumn="0" w:lastColumn="0" w:oddVBand="0" w:evenVBand="0" w:oddHBand="1" w:evenHBand="0" w:firstRowFirstColumn="0" w:firstRowLastColumn="0" w:lastRowFirstColumn="0" w:lastRowLastColumn="0"/>
          <w:trHeight w:val="720"/>
        </w:trPr>
        <w:tc>
          <w:tcPr>
            <w:cnfStyle w:val="000010000000" w:firstRow="0" w:lastRow="0" w:firstColumn="0" w:lastColumn="0" w:oddVBand="1" w:evenVBand="0" w:oddHBand="0" w:evenHBand="0" w:firstRowFirstColumn="0" w:firstRowLastColumn="0" w:lastRowFirstColumn="0" w:lastRowLastColumn="0"/>
            <w:tcW w:w="2626" w:type="pct"/>
            <w:shd w:val="clear" w:color="auto" w:fill="auto"/>
            <w:vAlign w:val="center"/>
          </w:tcPr>
          <w:p w14:paraId="419ED39D" w14:textId="2CA58922" w:rsidR="00E95596" w:rsidRPr="002100AE" w:rsidRDefault="00E95596" w:rsidP="00F675E2">
            <w:pPr>
              <w:autoSpaceDE w:val="0"/>
              <w:autoSpaceDN w:val="0"/>
              <w:adjustRightInd w:val="0"/>
              <w:spacing w:line="480" w:lineRule="auto"/>
              <w:ind w:left="60" w:right="60" w:firstLine="0"/>
              <w:jc w:val="left"/>
              <w:rPr>
                <w:rFonts w:asciiTheme="majorBidi" w:hAnsiTheme="majorBidi" w:cstheme="majorBidi"/>
                <w:color w:val="auto"/>
                <w:szCs w:val="20"/>
              </w:rPr>
            </w:pPr>
            <w:r w:rsidRPr="002100AE">
              <w:rPr>
                <w:color w:val="auto"/>
              </w:rPr>
              <w:t>Time: 2006-2026</w:t>
            </w:r>
          </w:p>
        </w:tc>
        <w:tc>
          <w:tcPr>
            <w:tcW w:w="2374" w:type="pct"/>
            <w:shd w:val="clear" w:color="auto" w:fill="auto"/>
            <w:vAlign w:val="center"/>
          </w:tcPr>
          <w:p w14:paraId="052900E9" w14:textId="11D9F00F" w:rsidR="00E95596" w:rsidRPr="002100AE" w:rsidRDefault="00E95596" w:rsidP="00F675E2">
            <w:pPr>
              <w:autoSpaceDE w:val="0"/>
              <w:autoSpaceDN w:val="0"/>
              <w:adjustRightInd w:val="0"/>
              <w:spacing w:line="480" w:lineRule="auto"/>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0"/>
              </w:rPr>
            </w:pPr>
            <w:r w:rsidRPr="002100AE">
              <w:rPr>
                <w:color w:val="auto"/>
              </w:rPr>
              <w:t>Inadequate research</w:t>
            </w:r>
          </w:p>
        </w:tc>
      </w:tr>
      <w:tr w:rsidR="002100AE" w:rsidRPr="002100AE" w14:paraId="5E1562EC" w14:textId="77777777" w:rsidTr="00F907C6">
        <w:trPr>
          <w:trHeight w:val="720"/>
        </w:trPr>
        <w:tc>
          <w:tcPr>
            <w:cnfStyle w:val="000010000000" w:firstRow="0" w:lastRow="0" w:firstColumn="0" w:lastColumn="0" w:oddVBand="1" w:evenVBand="0" w:oddHBand="0" w:evenHBand="0" w:firstRowFirstColumn="0" w:firstRowLastColumn="0" w:lastRowFirstColumn="0" w:lastRowLastColumn="0"/>
            <w:tcW w:w="2626" w:type="pct"/>
            <w:shd w:val="clear" w:color="auto" w:fill="auto"/>
            <w:vAlign w:val="center"/>
          </w:tcPr>
          <w:p w14:paraId="702271FF" w14:textId="70DB2A31" w:rsidR="00E95596" w:rsidRPr="002100AE" w:rsidRDefault="00E95596" w:rsidP="00F675E2">
            <w:pPr>
              <w:autoSpaceDE w:val="0"/>
              <w:autoSpaceDN w:val="0"/>
              <w:adjustRightInd w:val="0"/>
              <w:spacing w:line="480" w:lineRule="auto"/>
              <w:ind w:left="60" w:right="60" w:firstLine="0"/>
              <w:jc w:val="left"/>
              <w:rPr>
                <w:rFonts w:asciiTheme="majorBidi" w:hAnsiTheme="majorBidi" w:cstheme="majorBidi"/>
                <w:color w:val="auto"/>
                <w:szCs w:val="20"/>
              </w:rPr>
            </w:pPr>
            <w:r w:rsidRPr="002100AE">
              <w:rPr>
                <w:color w:val="auto"/>
              </w:rPr>
              <w:t>Article type: research articles and conference paper</w:t>
            </w:r>
          </w:p>
        </w:tc>
        <w:tc>
          <w:tcPr>
            <w:tcW w:w="2374" w:type="pct"/>
            <w:vAlign w:val="center"/>
          </w:tcPr>
          <w:p w14:paraId="747C42A3" w14:textId="22EE833A" w:rsidR="00E95596" w:rsidRPr="002100AE" w:rsidRDefault="00E95596" w:rsidP="00F675E2">
            <w:pPr>
              <w:autoSpaceDE w:val="0"/>
              <w:autoSpaceDN w:val="0"/>
              <w:adjustRightInd w:val="0"/>
              <w:spacing w:line="480" w:lineRule="auto"/>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0"/>
              </w:rPr>
            </w:pPr>
            <w:r w:rsidRPr="002100AE">
              <w:rPr>
                <w:color w:val="auto"/>
              </w:rPr>
              <w:t>Books, reviews, book chapters</w:t>
            </w:r>
          </w:p>
        </w:tc>
      </w:tr>
      <w:tr w:rsidR="002100AE" w:rsidRPr="002100AE" w14:paraId="100F43D5" w14:textId="77777777" w:rsidTr="00F907C6">
        <w:trPr>
          <w:cnfStyle w:val="000000100000" w:firstRow="0" w:lastRow="0" w:firstColumn="0" w:lastColumn="0" w:oddVBand="0" w:evenVBand="0" w:oddHBand="1" w:evenHBand="0" w:firstRowFirstColumn="0" w:firstRowLastColumn="0" w:lastRowFirstColumn="0" w:lastRowLastColumn="0"/>
          <w:trHeight w:val="720"/>
        </w:trPr>
        <w:tc>
          <w:tcPr>
            <w:cnfStyle w:val="000010000000" w:firstRow="0" w:lastRow="0" w:firstColumn="0" w:lastColumn="0" w:oddVBand="1" w:evenVBand="0" w:oddHBand="0" w:evenHBand="0" w:firstRowFirstColumn="0" w:firstRowLastColumn="0" w:lastRowFirstColumn="0" w:lastRowLastColumn="0"/>
            <w:tcW w:w="2626" w:type="pct"/>
            <w:tcBorders>
              <w:bottom w:val="single" w:sz="4" w:space="0" w:color="auto"/>
            </w:tcBorders>
            <w:shd w:val="clear" w:color="auto" w:fill="auto"/>
            <w:vAlign w:val="center"/>
          </w:tcPr>
          <w:p w14:paraId="4EF87690" w14:textId="332D116D" w:rsidR="00E95596" w:rsidRPr="002100AE" w:rsidRDefault="00E95596" w:rsidP="00F675E2">
            <w:pPr>
              <w:autoSpaceDE w:val="0"/>
              <w:autoSpaceDN w:val="0"/>
              <w:adjustRightInd w:val="0"/>
              <w:spacing w:line="480" w:lineRule="auto"/>
              <w:ind w:left="60" w:right="60" w:firstLine="0"/>
              <w:jc w:val="left"/>
              <w:rPr>
                <w:rFonts w:asciiTheme="majorBidi" w:hAnsiTheme="majorBidi" w:cstheme="majorBidi"/>
                <w:color w:val="auto"/>
                <w:szCs w:val="20"/>
              </w:rPr>
            </w:pPr>
            <w:r w:rsidRPr="002100AE">
              <w:rPr>
                <w:color w:val="auto"/>
              </w:rPr>
              <w:t>Subject areas: social sciences; arts and humanities</w:t>
            </w:r>
          </w:p>
        </w:tc>
        <w:tc>
          <w:tcPr>
            <w:tcW w:w="2374" w:type="pct"/>
            <w:tcBorders>
              <w:bottom w:val="single" w:sz="4" w:space="0" w:color="auto"/>
            </w:tcBorders>
            <w:shd w:val="clear" w:color="auto" w:fill="auto"/>
            <w:vAlign w:val="center"/>
          </w:tcPr>
          <w:p w14:paraId="2CE95FDC" w14:textId="630255C4" w:rsidR="00E95596" w:rsidRPr="002100AE" w:rsidRDefault="00E95596" w:rsidP="00F675E2">
            <w:pPr>
              <w:autoSpaceDE w:val="0"/>
              <w:autoSpaceDN w:val="0"/>
              <w:adjustRightInd w:val="0"/>
              <w:spacing w:line="480" w:lineRule="auto"/>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0"/>
              </w:rPr>
            </w:pPr>
            <w:r w:rsidRPr="002100AE">
              <w:rPr>
                <w:color w:val="auto"/>
              </w:rPr>
              <w:t>Others</w:t>
            </w:r>
          </w:p>
        </w:tc>
      </w:tr>
    </w:tbl>
    <w:p w14:paraId="6846F73E" w14:textId="0EF65D80" w:rsidR="00A1301C" w:rsidRPr="002100AE" w:rsidRDefault="00A1301C" w:rsidP="00F675E2">
      <w:pPr>
        <w:pStyle w:val="RALs-Heading2"/>
        <w:spacing w:before="120" w:after="120" w:line="480" w:lineRule="auto"/>
        <w:ind w:left="288" w:hanging="288"/>
        <w:rPr>
          <w:rFonts w:asciiTheme="majorBidi" w:hAnsiTheme="majorBidi" w:cstheme="majorBidi"/>
          <w:sz w:val="24"/>
          <w:szCs w:val="24"/>
        </w:rPr>
      </w:pPr>
      <w:r w:rsidRPr="002100AE">
        <w:rPr>
          <w:rFonts w:asciiTheme="majorBidi" w:hAnsiTheme="majorBidi" w:cstheme="majorBidi"/>
          <w:sz w:val="24"/>
          <w:szCs w:val="24"/>
        </w:rPr>
        <w:t>3.2. Bibliometric Methods</w:t>
      </w:r>
    </w:p>
    <w:p w14:paraId="5D1F22FC" w14:textId="77777777" w:rsidR="00A1301C" w:rsidRPr="002100AE" w:rsidRDefault="00A1301C"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Bibliometric analysis is a methodological approach within scientometrics that applies statistical techniques to examine and evaluate scientific publications within defined subject areas (Broadus, 1987). It is primarily designed to achieve two objectives: (i) assessing research performance and (ii) mapping the structure of scientific knowledge (Aria &amp; Cuccurullo, 2017). Performance analysis typically relies on activity-related indicators to measure the extent and contribution of research outputs, whereas scientific mapping uses relational indicators to characterize how knowledge is structured and evolves within a given field (Iwami et al., 2020).</w:t>
      </w:r>
    </w:p>
    <w:p w14:paraId="0E8E0686" w14:textId="02CCDAD8" w:rsidR="00A1301C" w:rsidRPr="002100AE" w:rsidRDefault="00A1301C"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 xml:space="preserve">In the present study, the software VOSviewer (van Eck &amp; Waltman, 2007) is employed to analyze academic works </w:t>
      </w:r>
      <w:r w:rsidR="00E2595C" w:rsidRPr="00190FC8">
        <w:rPr>
          <w:rFonts w:asciiTheme="majorBidi" w:hAnsiTheme="majorBidi" w:cstheme="majorBidi"/>
          <w:color w:val="FF0000"/>
          <w:sz w:val="24"/>
          <w:szCs w:val="24"/>
          <w:lang w:val="vi-VN"/>
        </w:rPr>
        <w:t>containing the keywords “appraisal” and “Systemic functional Linguistics.”</w:t>
      </w:r>
      <w:r w:rsidRPr="00190FC8">
        <w:rPr>
          <w:rFonts w:asciiTheme="majorBidi" w:hAnsiTheme="majorBidi" w:cstheme="majorBidi"/>
          <w:color w:val="FF0000"/>
          <w:sz w:val="24"/>
          <w:szCs w:val="24"/>
          <w:lang w:val="vi-VN"/>
        </w:rPr>
        <w:t>.</w:t>
      </w:r>
      <w:r w:rsidR="00E95596" w:rsidRPr="00190FC8">
        <w:rPr>
          <w:rFonts w:asciiTheme="majorBidi" w:hAnsiTheme="majorBidi" w:cstheme="majorBidi"/>
          <w:color w:val="FF0000"/>
          <w:sz w:val="24"/>
          <w:szCs w:val="24"/>
          <w:lang w:val="vi-VN"/>
        </w:rPr>
        <w:t>”</w:t>
      </w:r>
      <w:r w:rsidRPr="00190FC8">
        <w:rPr>
          <w:rFonts w:asciiTheme="majorBidi" w:hAnsiTheme="majorBidi" w:cstheme="majorBidi"/>
          <w:color w:val="FF0000"/>
          <w:sz w:val="24"/>
          <w:szCs w:val="24"/>
          <w:lang w:val="vi-VN"/>
        </w:rPr>
        <w:t xml:space="preserve"> </w:t>
      </w:r>
      <w:r w:rsidRPr="002100AE">
        <w:rPr>
          <w:rFonts w:asciiTheme="majorBidi" w:hAnsiTheme="majorBidi" w:cstheme="majorBidi"/>
          <w:sz w:val="24"/>
          <w:szCs w:val="24"/>
          <w:lang w:val="vi-VN"/>
        </w:rPr>
        <w:t xml:space="preserve">Following data collection, the dataset is processed to identify research trends through bibliometric </w:t>
      </w:r>
      <w:r w:rsidR="00F907C6">
        <w:rPr>
          <w:rFonts w:asciiTheme="majorBidi" w:hAnsiTheme="majorBidi" w:cstheme="majorBidi"/>
          <w:sz w:val="24"/>
          <w:szCs w:val="24"/>
          <w:lang w:val="vi-VN"/>
        </w:rPr>
        <w:t>techniques,</w:t>
      </w:r>
      <w:r w:rsidRPr="002100AE">
        <w:rPr>
          <w:rFonts w:asciiTheme="majorBidi" w:hAnsiTheme="majorBidi" w:cstheme="majorBidi"/>
          <w:sz w:val="24"/>
          <w:szCs w:val="24"/>
          <w:lang w:val="vi-VN"/>
        </w:rPr>
        <w:t xml:space="preserve"> such as bibliographic coupling, keyword co-occurrence, and co-occurrence based on abstracts. Bibliographic coupling enables the assessment of topical </w:t>
      </w:r>
      <w:r w:rsidRPr="002100AE">
        <w:rPr>
          <w:rFonts w:asciiTheme="majorBidi" w:hAnsiTheme="majorBidi" w:cstheme="majorBidi"/>
          <w:sz w:val="24"/>
          <w:szCs w:val="24"/>
          <w:lang w:val="vi-VN"/>
        </w:rPr>
        <w:lastRenderedPageBreak/>
        <w:t>similarity across publications by examining shared cited references. Concurrently, analyses of keyword and abstract co-</w:t>
      </w:r>
      <w:r w:rsidR="00F907C6">
        <w:rPr>
          <w:rFonts w:asciiTheme="majorBidi" w:hAnsiTheme="majorBidi" w:cstheme="majorBidi"/>
          <w:sz w:val="24"/>
          <w:szCs w:val="24"/>
          <w:lang w:val="vi-VN"/>
        </w:rPr>
        <w:t>occurrences help</w:t>
      </w:r>
      <w:r w:rsidRPr="002100AE">
        <w:rPr>
          <w:rFonts w:asciiTheme="majorBidi" w:hAnsiTheme="majorBidi" w:cstheme="majorBidi"/>
          <w:sz w:val="24"/>
          <w:szCs w:val="24"/>
          <w:lang w:val="vi-VN"/>
        </w:rPr>
        <w:t xml:space="preserve"> reveal the conceptual organization of the research domain by identifying relationships among key terms (Callon et al., 1983). Overall, the findings show that keywords and abstracts form a densely connected vocabulary network, which plays a critical role in shaping the knowledge structure of the field (Caputo et al., 2019).</w:t>
      </w:r>
    </w:p>
    <w:p w14:paraId="178F96D7" w14:textId="5E2D77D4" w:rsidR="002D1588" w:rsidRPr="002100AE" w:rsidRDefault="00A1301C"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To visualize these patterns, the study uses network visualizations and term-density visualizations generated in VOSviewer. These visual outputs are used to clarify both the degree of interconnection among research themes and their relative frequency of occurrence.</w:t>
      </w:r>
    </w:p>
    <w:p w14:paraId="330BD834" w14:textId="77777777" w:rsidR="00722EDE" w:rsidRPr="002100AE" w:rsidRDefault="00934FC5" w:rsidP="00F675E2">
      <w:pPr>
        <w:pStyle w:val="RALs-Heading1"/>
        <w:spacing w:before="0" w:after="120" w:line="480" w:lineRule="auto"/>
        <w:jc w:val="both"/>
        <w:rPr>
          <w:rFonts w:asciiTheme="majorBidi" w:hAnsiTheme="majorBidi" w:cstheme="majorBidi"/>
          <w:sz w:val="24"/>
          <w:szCs w:val="24"/>
          <w:lang w:val="vi-VN"/>
        </w:rPr>
      </w:pPr>
      <w:r w:rsidRPr="002100AE">
        <w:rPr>
          <w:rFonts w:asciiTheme="majorBidi" w:hAnsiTheme="majorBidi" w:cstheme="majorBidi"/>
          <w:sz w:val="24"/>
          <w:szCs w:val="24"/>
        </w:rPr>
        <w:t xml:space="preserve"> </w:t>
      </w:r>
      <w:r w:rsidRPr="002100AE">
        <w:rPr>
          <w:rFonts w:asciiTheme="majorBidi" w:hAnsiTheme="majorBidi" w:cstheme="majorBidi"/>
          <w:sz w:val="24"/>
          <w:szCs w:val="24"/>
        </w:rPr>
        <w:tab/>
      </w:r>
      <w:r w:rsidRPr="002100AE">
        <w:rPr>
          <w:rFonts w:asciiTheme="majorBidi" w:hAnsiTheme="majorBidi" w:cstheme="majorBidi"/>
          <w:sz w:val="24"/>
          <w:szCs w:val="24"/>
        </w:rPr>
        <w:tab/>
      </w:r>
      <w:r w:rsidRPr="002100AE">
        <w:rPr>
          <w:rFonts w:asciiTheme="majorBidi" w:hAnsiTheme="majorBidi" w:cstheme="majorBidi"/>
          <w:sz w:val="24"/>
          <w:szCs w:val="24"/>
        </w:rPr>
        <w:tab/>
      </w:r>
      <w:r w:rsidRPr="002100AE">
        <w:rPr>
          <w:rFonts w:asciiTheme="majorBidi" w:hAnsiTheme="majorBidi" w:cstheme="majorBidi"/>
          <w:sz w:val="24"/>
          <w:szCs w:val="24"/>
        </w:rPr>
        <w:tab/>
      </w:r>
      <w:r w:rsidRPr="002100AE">
        <w:rPr>
          <w:rFonts w:asciiTheme="majorBidi" w:hAnsiTheme="majorBidi" w:cstheme="majorBidi"/>
          <w:sz w:val="24"/>
          <w:szCs w:val="24"/>
        </w:rPr>
        <w:tab/>
      </w:r>
      <w:r w:rsidRPr="002100AE">
        <w:rPr>
          <w:rFonts w:asciiTheme="majorBidi" w:hAnsiTheme="majorBidi" w:cstheme="majorBidi"/>
          <w:sz w:val="24"/>
          <w:szCs w:val="24"/>
        </w:rPr>
        <w:tab/>
      </w:r>
      <w:r w:rsidR="0060356B" w:rsidRPr="002100AE">
        <w:rPr>
          <w:rFonts w:asciiTheme="majorBidi" w:hAnsiTheme="majorBidi" w:cstheme="majorBidi"/>
          <w:sz w:val="24"/>
          <w:szCs w:val="24"/>
        </w:rPr>
        <w:t xml:space="preserve"> </w:t>
      </w:r>
      <w:r w:rsidR="00722EDE" w:rsidRPr="002100AE">
        <w:rPr>
          <w:rFonts w:asciiTheme="majorBidi" w:hAnsiTheme="majorBidi" w:cstheme="majorBidi"/>
          <w:sz w:val="24"/>
          <w:szCs w:val="24"/>
        </w:rPr>
        <w:t>4. Results</w:t>
      </w:r>
    </w:p>
    <w:p w14:paraId="354BFA5B" w14:textId="3C296F23" w:rsidR="002B27BE" w:rsidRPr="002100AE" w:rsidRDefault="002B27BE" w:rsidP="00F675E2">
      <w:pPr>
        <w:pStyle w:val="RALs-Heading2"/>
        <w:spacing w:before="0" w:after="120" w:line="480" w:lineRule="auto"/>
        <w:rPr>
          <w:rFonts w:asciiTheme="majorBidi" w:hAnsiTheme="majorBidi" w:cstheme="majorBidi"/>
          <w:sz w:val="24"/>
          <w:szCs w:val="24"/>
        </w:rPr>
      </w:pPr>
      <w:r w:rsidRPr="002100AE">
        <w:rPr>
          <w:rFonts w:asciiTheme="majorBidi" w:hAnsiTheme="majorBidi" w:cstheme="majorBidi"/>
          <w:sz w:val="24"/>
          <w:szCs w:val="24"/>
        </w:rPr>
        <w:t>4.1. An overview of bibliometric data</w:t>
      </w:r>
    </w:p>
    <w:p w14:paraId="339B48C7" w14:textId="77777777" w:rsidR="00355913" w:rsidRPr="00355913" w:rsidRDefault="00355913" w:rsidP="00355913">
      <w:pPr>
        <w:spacing w:before="0" w:after="120" w:line="480" w:lineRule="auto"/>
        <w:rPr>
          <w:rFonts w:asciiTheme="majorBidi" w:hAnsiTheme="majorBidi" w:cstheme="majorBidi"/>
          <w:sz w:val="24"/>
          <w:szCs w:val="24"/>
          <w:lang w:val="vi-VN"/>
        </w:rPr>
      </w:pPr>
      <w:r w:rsidRPr="00355913">
        <w:rPr>
          <w:rFonts w:asciiTheme="majorBidi" w:hAnsiTheme="majorBidi" w:cstheme="majorBidi"/>
          <w:sz w:val="24"/>
          <w:szCs w:val="24"/>
          <w:lang w:val="vi-VN"/>
        </w:rPr>
        <w:t xml:space="preserve">The chart below presents the number of documents published on Appraisal Theory per year (retrieved from Scopus). In the first decade (2006-2016), the number of publications was not high, with one to two articles per year, which shows the early stages of the research attention to Appraisal Theory. In the next 10 years, the number of publications, however, shows substantial fluctuation, which is a sign of the gradual expansion of research in this field. Accordingly, the figures reach their peaks in 2018 and 2024, which depicts that the academic interest in Appraisal Theory is thriving. </w:t>
      </w:r>
    </w:p>
    <w:p w14:paraId="179FE3B3" w14:textId="6743CD03" w:rsidR="00355913" w:rsidRPr="002100AE" w:rsidRDefault="00355913" w:rsidP="00355913">
      <w:pPr>
        <w:spacing w:before="0" w:after="120" w:line="480" w:lineRule="auto"/>
        <w:rPr>
          <w:rFonts w:asciiTheme="majorBidi" w:hAnsiTheme="majorBidi" w:cstheme="majorBidi"/>
          <w:sz w:val="24"/>
          <w:szCs w:val="24"/>
          <w:lang w:val="vi-VN"/>
        </w:rPr>
      </w:pPr>
      <w:r w:rsidRPr="00355913">
        <w:rPr>
          <w:rFonts w:asciiTheme="majorBidi" w:hAnsiTheme="majorBidi" w:cstheme="majorBidi"/>
          <w:sz w:val="24"/>
          <w:szCs w:val="24"/>
          <w:lang w:val="vi-VN"/>
        </w:rPr>
        <w:t>The year of 2020 with global phenomena such as the COVID-19 pandemic resulted in a decline in publications. Consequently, this destructively influenced research activities and the worldwide circulation of scholarly work. Afterwards, the number of publications resumed to grow, reaching a second peak in 2024. This recovery proved the resilience of the research community and the consolidation of Appraisal Theory- a more and more influential theoretical framework in language education.</w:t>
      </w:r>
    </w:p>
    <w:p w14:paraId="322193E3" w14:textId="72693D0D" w:rsidR="00E95596" w:rsidRPr="002100AE" w:rsidRDefault="00E95596" w:rsidP="00E95596">
      <w:pPr>
        <w:pStyle w:val="RALs-FigureCaption"/>
        <w:ind w:right="380"/>
        <w:jc w:val="left"/>
        <w:rPr>
          <w:rFonts w:asciiTheme="majorBidi" w:hAnsiTheme="majorBidi" w:cstheme="majorBidi"/>
          <w:b/>
          <w:bCs/>
          <w:sz w:val="24"/>
          <w:szCs w:val="24"/>
          <w:lang w:val="vi-VN"/>
        </w:rPr>
      </w:pPr>
      <w:r w:rsidRPr="002100AE">
        <w:rPr>
          <w:rFonts w:asciiTheme="majorBidi" w:hAnsiTheme="majorBidi" w:cstheme="majorBidi"/>
          <w:b/>
          <w:bCs/>
          <w:sz w:val="24"/>
          <w:szCs w:val="24"/>
        </w:rPr>
        <w:lastRenderedPageBreak/>
        <w:t>Figure 2</w:t>
      </w:r>
    </w:p>
    <w:p w14:paraId="4D334381" w14:textId="138A1C27" w:rsidR="00E95596" w:rsidRPr="002100AE" w:rsidRDefault="00E95596" w:rsidP="00E95596">
      <w:pPr>
        <w:pStyle w:val="RALs-FigureCaption"/>
        <w:ind w:right="380"/>
        <w:jc w:val="left"/>
        <w:rPr>
          <w:rFonts w:asciiTheme="majorBidi" w:hAnsiTheme="majorBidi" w:cstheme="majorBidi"/>
          <w:i/>
          <w:iCs/>
          <w:sz w:val="24"/>
          <w:szCs w:val="24"/>
        </w:rPr>
      </w:pPr>
      <w:r w:rsidRPr="002100AE">
        <w:rPr>
          <w:rFonts w:asciiTheme="majorBidi" w:hAnsiTheme="majorBidi" w:cstheme="majorBidi"/>
          <w:i/>
          <w:iCs/>
          <w:sz w:val="24"/>
          <w:szCs w:val="24"/>
        </w:rPr>
        <w:t xml:space="preserve">Publication Trends of Appraisal Theory Research in 2006–2026 </w:t>
      </w:r>
    </w:p>
    <w:p w14:paraId="238B22B1" w14:textId="2BBEA516" w:rsidR="002B27BE" w:rsidRPr="002100AE" w:rsidRDefault="002B27BE" w:rsidP="00AD18C5">
      <w:pPr>
        <w:ind w:firstLine="0"/>
        <w:jc w:val="center"/>
        <w:rPr>
          <w:rFonts w:asciiTheme="majorBidi" w:hAnsiTheme="majorBidi" w:cstheme="majorBidi"/>
          <w:sz w:val="24"/>
          <w:szCs w:val="24"/>
          <w:lang w:val="vi-VN"/>
        </w:rPr>
      </w:pPr>
      <w:r w:rsidRPr="002100AE">
        <w:rPr>
          <w:noProof/>
          <w:lang w:eastAsia="ja-JP"/>
        </w:rPr>
        <w:drawing>
          <wp:inline distT="0" distB="0" distL="0" distR="0" wp14:anchorId="4BD00D17" wp14:editId="3C72D83F">
            <wp:extent cx="4572000" cy="2939777"/>
            <wp:effectExtent l="0" t="0" r="0" b="0"/>
            <wp:docPr id="1575713305" name="Picture 157571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9440"/>
                    <a:stretch/>
                  </pic:blipFill>
                  <pic:spPr bwMode="auto">
                    <a:xfrm>
                      <a:off x="0" y="0"/>
                      <a:ext cx="4572000" cy="2939777"/>
                    </a:xfrm>
                    <a:prstGeom prst="rect">
                      <a:avLst/>
                    </a:prstGeom>
                    <a:noFill/>
                    <a:ln>
                      <a:noFill/>
                    </a:ln>
                    <a:extLst>
                      <a:ext uri="{53640926-AAD7-44D8-BBD7-CCE9431645EC}">
                        <a14:shadowObscured xmlns:a14="http://schemas.microsoft.com/office/drawing/2010/main"/>
                      </a:ext>
                    </a:extLst>
                  </pic:spPr>
                </pic:pic>
              </a:graphicData>
            </a:graphic>
          </wp:inline>
        </w:drawing>
      </w:r>
    </w:p>
    <w:p w14:paraId="5A72CF66" w14:textId="77777777" w:rsidR="002B27BE" w:rsidRPr="002100AE" w:rsidRDefault="002B27BE" w:rsidP="002B27BE">
      <w:pPr>
        <w:jc w:val="right"/>
        <w:rPr>
          <w:rFonts w:asciiTheme="majorBidi" w:hAnsiTheme="majorBidi" w:cstheme="majorBidi"/>
          <w:sz w:val="24"/>
          <w:szCs w:val="24"/>
          <w:lang w:val="vi-VN"/>
        </w:rPr>
      </w:pPr>
      <w:r w:rsidRPr="002100AE">
        <w:rPr>
          <w:rFonts w:asciiTheme="majorBidi" w:hAnsiTheme="majorBidi" w:cstheme="majorBidi"/>
          <w:sz w:val="24"/>
          <w:szCs w:val="24"/>
          <w:lang w:val="vi-VN"/>
        </w:rPr>
        <w:t>Source: Scopus, 2026</w:t>
      </w:r>
    </w:p>
    <w:p w14:paraId="7E97F060" w14:textId="77777777" w:rsidR="00355913" w:rsidRPr="00355913" w:rsidRDefault="00355913" w:rsidP="00355913">
      <w:pPr>
        <w:spacing w:before="0" w:after="120" w:line="360" w:lineRule="auto"/>
        <w:rPr>
          <w:rFonts w:asciiTheme="majorBidi" w:hAnsiTheme="majorBidi" w:cstheme="majorBidi"/>
          <w:sz w:val="24"/>
          <w:szCs w:val="24"/>
          <w:lang w:val="vi-VN"/>
        </w:rPr>
      </w:pPr>
      <w:r w:rsidRPr="00355913">
        <w:rPr>
          <w:rFonts w:asciiTheme="majorBidi" w:hAnsiTheme="majorBidi" w:cstheme="majorBidi"/>
          <w:sz w:val="24"/>
          <w:szCs w:val="24"/>
          <w:lang w:val="vi-VN"/>
        </w:rPr>
        <w:t>The number of publications on Appraisal Theory by country/territory is shown in Figure 3. The data shows that Australia has the most publications, by a wide margin over other countries. The United States and China rank the second with many research on Appraisal Theory. Thanks to the great diversity in their education, Indonesia and Spain witnessed the same trend with considerable quantity paper on the theory. Despite fewer publications, Hong Kong, Japan, the UK, Chile, and Singapore made important contributions to this field around the world. This graph shows that Appraisal Theory is widely used in many parts of the world, especially Asia, Europe, and America.</w:t>
      </w:r>
    </w:p>
    <w:p w14:paraId="66E6F9A1" w14:textId="25ED9F71" w:rsidR="00355913" w:rsidRPr="002100AE" w:rsidRDefault="00355913" w:rsidP="00355913">
      <w:pPr>
        <w:spacing w:before="0" w:after="120" w:line="360" w:lineRule="auto"/>
        <w:rPr>
          <w:rFonts w:asciiTheme="majorBidi" w:hAnsiTheme="majorBidi" w:cstheme="majorBidi"/>
          <w:sz w:val="24"/>
          <w:szCs w:val="24"/>
          <w:lang w:val="vi-VN"/>
        </w:rPr>
      </w:pPr>
      <w:r w:rsidRPr="00355913">
        <w:rPr>
          <w:rFonts w:asciiTheme="majorBidi" w:hAnsiTheme="majorBidi" w:cstheme="majorBidi"/>
          <w:sz w:val="24"/>
          <w:szCs w:val="24"/>
          <w:lang w:val="vi-VN"/>
        </w:rPr>
        <w:t>The distribution of locations shown here can be interpreted that Appraisal Theory has gained interest in various locations, including Asia, Europe, and America. This sets out that the theory has earned its immense importance and flexibility in different linguistic and educational settings globally.</w:t>
      </w:r>
    </w:p>
    <w:p w14:paraId="194A99C3" w14:textId="737DD577" w:rsidR="00E95596" w:rsidRPr="002100AE" w:rsidRDefault="00E95596" w:rsidP="00F675E2">
      <w:pPr>
        <w:pStyle w:val="RALs-FigureCaption"/>
        <w:keepLines/>
        <w:ind w:right="380"/>
        <w:jc w:val="left"/>
        <w:rPr>
          <w:rFonts w:asciiTheme="majorBidi" w:hAnsiTheme="majorBidi" w:cstheme="majorBidi"/>
          <w:b/>
          <w:bCs/>
          <w:sz w:val="24"/>
          <w:szCs w:val="24"/>
          <w:lang w:val="vi-VN"/>
        </w:rPr>
      </w:pPr>
      <w:r w:rsidRPr="002100AE">
        <w:rPr>
          <w:rFonts w:asciiTheme="majorBidi" w:hAnsiTheme="majorBidi" w:cstheme="majorBidi"/>
          <w:b/>
          <w:bCs/>
          <w:sz w:val="24"/>
          <w:szCs w:val="24"/>
        </w:rPr>
        <w:lastRenderedPageBreak/>
        <w:t>Figure 3</w:t>
      </w:r>
    </w:p>
    <w:p w14:paraId="6843A995" w14:textId="700BFAB4" w:rsidR="002B27BE" w:rsidRPr="002100AE" w:rsidRDefault="00E95596" w:rsidP="00F675E2">
      <w:pPr>
        <w:keepNext/>
        <w:keepLines/>
        <w:ind w:firstLine="0"/>
        <w:rPr>
          <w:rFonts w:asciiTheme="majorBidi" w:hAnsiTheme="majorBidi" w:cstheme="majorBidi"/>
          <w:sz w:val="24"/>
          <w:szCs w:val="24"/>
          <w:lang w:val="vi-VN"/>
        </w:rPr>
      </w:pPr>
      <w:r w:rsidRPr="002100AE">
        <w:rPr>
          <w:rFonts w:asciiTheme="majorBidi" w:hAnsiTheme="majorBidi" w:cstheme="majorBidi"/>
          <w:i/>
          <w:iCs/>
          <w:sz w:val="24"/>
          <w:szCs w:val="24"/>
        </w:rPr>
        <w:t>Documents by Country/Territory in Appraisal Theory Research</w:t>
      </w:r>
    </w:p>
    <w:p w14:paraId="50120A3B" w14:textId="5F1F6A6D" w:rsidR="002B27BE" w:rsidRPr="002100AE" w:rsidRDefault="002B27BE" w:rsidP="00F675E2">
      <w:pPr>
        <w:keepNext/>
        <w:keepLines/>
        <w:ind w:firstLine="0"/>
        <w:jc w:val="center"/>
        <w:rPr>
          <w:rFonts w:asciiTheme="majorBidi" w:hAnsiTheme="majorBidi" w:cstheme="majorBidi"/>
          <w:sz w:val="24"/>
          <w:szCs w:val="24"/>
          <w:lang w:val="vi-VN"/>
        </w:rPr>
      </w:pPr>
      <w:r w:rsidRPr="002100AE">
        <w:rPr>
          <w:noProof/>
          <w:lang w:eastAsia="ja-JP"/>
        </w:rPr>
        <w:drawing>
          <wp:inline distT="0" distB="0" distL="0" distR="0" wp14:anchorId="5342AE24" wp14:editId="222A7698">
            <wp:extent cx="4572000" cy="32988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298884"/>
                    </a:xfrm>
                    <a:prstGeom prst="rect">
                      <a:avLst/>
                    </a:prstGeom>
                    <a:noFill/>
                    <a:ln>
                      <a:noFill/>
                    </a:ln>
                  </pic:spPr>
                </pic:pic>
              </a:graphicData>
            </a:graphic>
          </wp:inline>
        </w:drawing>
      </w:r>
    </w:p>
    <w:p w14:paraId="4493CC4A" w14:textId="4091DAF1" w:rsidR="002B27BE" w:rsidRPr="002100AE" w:rsidRDefault="002B27BE" w:rsidP="00F675E2">
      <w:pPr>
        <w:keepNext/>
        <w:keepLines/>
        <w:spacing w:before="0" w:after="120" w:line="480" w:lineRule="auto"/>
        <w:jc w:val="right"/>
        <w:rPr>
          <w:rFonts w:asciiTheme="majorBidi" w:hAnsiTheme="majorBidi" w:cstheme="majorBidi"/>
          <w:sz w:val="24"/>
          <w:szCs w:val="24"/>
          <w:lang w:val="vi-VN"/>
        </w:rPr>
      </w:pPr>
      <w:r w:rsidRPr="002100AE">
        <w:rPr>
          <w:rFonts w:asciiTheme="majorBidi" w:hAnsiTheme="majorBidi" w:cstheme="majorBidi"/>
          <w:sz w:val="24"/>
          <w:szCs w:val="24"/>
          <w:lang w:val="vi-VN"/>
        </w:rPr>
        <w:t>Source: Scopus, 2026</w:t>
      </w:r>
    </w:p>
    <w:p w14:paraId="29B4CC9E" w14:textId="43F8307C" w:rsidR="002B27BE" w:rsidRPr="002100AE" w:rsidRDefault="002B27BE" w:rsidP="00F675E2">
      <w:pPr>
        <w:pStyle w:val="RALs-Heading2"/>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rPr>
        <w:t>4.2. The Citation, co-citation, and bibliography coupling analysis</w:t>
      </w:r>
    </w:p>
    <w:p w14:paraId="655EE6CA" w14:textId="22943EEE" w:rsidR="002B27BE" w:rsidRPr="002100AE" w:rsidRDefault="002B27BE" w:rsidP="00F675E2">
      <w:pPr>
        <w:pStyle w:val="RALs-Heading3"/>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rPr>
        <w:t>4.2.1. Productive Journals</w:t>
      </w:r>
    </w:p>
    <w:p w14:paraId="5568BF72" w14:textId="65BD9A02" w:rsidR="00355913" w:rsidRPr="00355913" w:rsidRDefault="00355913" w:rsidP="00355913">
      <w:pPr>
        <w:spacing w:before="0" w:after="120" w:line="480" w:lineRule="auto"/>
        <w:rPr>
          <w:rFonts w:asciiTheme="majorBidi" w:hAnsiTheme="majorBidi" w:cstheme="majorBidi"/>
          <w:sz w:val="24"/>
          <w:szCs w:val="24"/>
          <w:lang w:val="vi-VN"/>
        </w:rPr>
      </w:pPr>
      <w:r w:rsidRPr="00355913">
        <w:rPr>
          <w:rFonts w:asciiTheme="majorBidi" w:hAnsiTheme="majorBidi" w:cstheme="majorBidi"/>
          <w:sz w:val="24"/>
          <w:szCs w:val="24"/>
          <w:lang w:val="vi-VN"/>
        </w:rPr>
        <w:t>Table 2 is the analysis of citation, co-citation, and bibliography coupling for important journals in Appraisal Theory research. The data marks the dominance of some journals compared to others. For instance, there are 5 documents, 147 citations, and a total link strength of 50 on the Journal of English for Academic Purposes</w:t>
      </w:r>
      <w:r>
        <w:rPr>
          <w:rFonts w:asciiTheme="majorBidi" w:hAnsiTheme="majorBidi" w:cstheme="majorBidi"/>
          <w:sz w:val="24"/>
          <w:szCs w:val="24"/>
          <w:lang w:val="vi-VN"/>
        </w:rPr>
        <w:t>.</w:t>
      </w:r>
      <w:r w:rsidRPr="00355913">
        <w:rPr>
          <w:rFonts w:asciiTheme="majorBidi" w:hAnsiTheme="majorBidi" w:cstheme="majorBidi"/>
          <w:sz w:val="24"/>
          <w:szCs w:val="24"/>
          <w:lang w:val="vi-VN"/>
        </w:rPr>
        <w:t xml:space="preserve"> For the journal called Linguistics and Education, there are 2 documents worth 93 citations and a total link strength of 49. Therefore, this field is believed to have great influence. The evidence for great interest in Appraisal Theory in a bilingual context is the fact that International Journal of Bilingual Education and Bilingualism has 51 citations and 2 documents. Other sources like Indonesian Journal of Applied Linguistics, Written Communication, and An Introduction to Functional Grammar also help arouse researchers' interest in the field. </w:t>
      </w:r>
    </w:p>
    <w:p w14:paraId="4D994664" w14:textId="77777777" w:rsidR="00355913" w:rsidRDefault="00355913" w:rsidP="00355913">
      <w:pPr>
        <w:spacing w:before="0" w:after="120" w:line="480" w:lineRule="auto"/>
        <w:rPr>
          <w:rFonts w:asciiTheme="majorBidi" w:hAnsiTheme="majorBidi" w:cstheme="majorBidi"/>
          <w:sz w:val="24"/>
          <w:szCs w:val="24"/>
          <w:lang w:val="vi-VN"/>
        </w:rPr>
      </w:pPr>
      <w:r w:rsidRPr="00355913">
        <w:rPr>
          <w:rFonts w:asciiTheme="majorBidi" w:hAnsiTheme="majorBidi" w:cstheme="majorBidi"/>
          <w:sz w:val="24"/>
          <w:szCs w:val="24"/>
          <w:lang w:val="vi-VN"/>
        </w:rPr>
        <w:lastRenderedPageBreak/>
        <w:t>Overall, Table 2 shows that the research distribution is concentrated in major international journals and extends to regional sources. The combination of the number of documents, citations, and total link strength forms a comprehensive picture of the influence of each source, thereby highlighting the most important publication channels for scholars interested in Appraisal Theory in language education.</w:t>
      </w:r>
    </w:p>
    <w:p w14:paraId="571D9CDF" w14:textId="3A9BDB3E" w:rsidR="003334C2" w:rsidRPr="002100AE" w:rsidRDefault="003334C2" w:rsidP="003334C2">
      <w:pPr>
        <w:pStyle w:val="RALs-TableCaption"/>
        <w:rPr>
          <w:rFonts w:asciiTheme="majorBidi" w:hAnsiTheme="majorBidi" w:cstheme="majorBidi"/>
          <w:b/>
          <w:bCs/>
          <w:sz w:val="24"/>
          <w:szCs w:val="24"/>
          <w:lang w:val="vi-VN"/>
        </w:rPr>
      </w:pPr>
      <w:r w:rsidRPr="002100AE">
        <w:rPr>
          <w:rFonts w:asciiTheme="majorBidi" w:hAnsiTheme="majorBidi" w:cstheme="majorBidi"/>
          <w:b/>
          <w:bCs/>
          <w:sz w:val="24"/>
          <w:szCs w:val="24"/>
        </w:rPr>
        <w:t>Table 2</w:t>
      </w:r>
    </w:p>
    <w:p w14:paraId="2985ABDB" w14:textId="77777777" w:rsidR="00B53319" w:rsidRDefault="003334C2" w:rsidP="003334C2">
      <w:pPr>
        <w:pStyle w:val="RALs-TableCaption"/>
        <w:ind w:left="0" w:firstLine="0"/>
        <w:rPr>
          <w:rFonts w:asciiTheme="majorBidi" w:hAnsiTheme="majorBidi" w:cstheme="majorBidi"/>
          <w:i/>
          <w:iCs/>
          <w:sz w:val="24"/>
          <w:szCs w:val="24"/>
        </w:rPr>
      </w:pPr>
      <w:r w:rsidRPr="002100AE">
        <w:rPr>
          <w:rFonts w:asciiTheme="majorBidi" w:hAnsiTheme="majorBidi" w:cstheme="majorBidi"/>
          <w:i/>
          <w:iCs/>
          <w:sz w:val="24"/>
          <w:szCs w:val="24"/>
        </w:rPr>
        <w:t>Productive Journals in Appraisal Theory Research</w:t>
      </w:r>
    </w:p>
    <w:tbl>
      <w:tblPr>
        <w:tblStyle w:val="LightShading1"/>
        <w:tblW w:w="9360" w:type="dxa"/>
        <w:tblInd w:w="-180" w:type="dxa"/>
        <w:tblBorders>
          <w:top w:val="none" w:sz="0" w:space="0" w:color="auto"/>
          <w:bottom w:val="none" w:sz="0" w:space="0" w:color="auto"/>
        </w:tblBorders>
        <w:shd w:val="clear" w:color="auto" w:fill="FFFFFF" w:themeFill="background1"/>
        <w:tblLayout w:type="fixed"/>
        <w:tblLook w:val="0000" w:firstRow="0" w:lastRow="0" w:firstColumn="0" w:lastColumn="0" w:noHBand="0" w:noVBand="0"/>
      </w:tblPr>
      <w:tblGrid>
        <w:gridCol w:w="270"/>
        <w:gridCol w:w="1620"/>
        <w:gridCol w:w="630"/>
        <w:gridCol w:w="540"/>
        <w:gridCol w:w="1530"/>
        <w:gridCol w:w="540"/>
        <w:gridCol w:w="720"/>
        <w:gridCol w:w="1620"/>
        <w:gridCol w:w="540"/>
        <w:gridCol w:w="720"/>
        <w:gridCol w:w="630"/>
      </w:tblGrid>
      <w:tr w:rsidR="00B53319" w:rsidRPr="00B53319" w14:paraId="192766E0" w14:textId="77777777" w:rsidTr="008823AC">
        <w:trPr>
          <w:cnfStyle w:val="000000100000" w:firstRow="0" w:lastRow="0" w:firstColumn="0" w:lastColumn="0" w:oddVBand="0" w:evenVBand="0" w:oddHBand="1" w:evenHBand="0" w:firstRowFirstColumn="0" w:firstRowLastColumn="0" w:lastRowFirstColumn="0" w:lastRowLastColumn="0"/>
          <w:trHeight w:val="521"/>
        </w:trPr>
        <w:tc>
          <w:tcPr>
            <w:cnfStyle w:val="000010000000" w:firstRow="0" w:lastRow="0" w:firstColumn="0" w:lastColumn="0" w:oddVBand="1" w:evenVBand="0" w:oddHBand="0" w:evenHBand="0" w:firstRowFirstColumn="0" w:firstRowLastColumn="0" w:lastRowFirstColumn="0" w:lastRowLastColumn="0"/>
            <w:tcW w:w="3060" w:type="dxa"/>
            <w:gridSpan w:val="4"/>
            <w:tcBorders>
              <w:top w:val="single" w:sz="4" w:space="0" w:color="auto"/>
              <w:bottom w:val="single" w:sz="4" w:space="0" w:color="auto"/>
            </w:tcBorders>
            <w:shd w:val="clear" w:color="auto" w:fill="FFFFFF" w:themeFill="background1"/>
            <w:vAlign w:val="center"/>
          </w:tcPr>
          <w:p w14:paraId="081EC72E" w14:textId="77777777" w:rsidR="00B53319" w:rsidRPr="00B53319" w:rsidRDefault="00B53319" w:rsidP="008823AC">
            <w:pPr>
              <w:autoSpaceDE w:val="0"/>
              <w:autoSpaceDN w:val="0"/>
              <w:adjustRightInd w:val="0"/>
              <w:spacing w:line="360" w:lineRule="auto"/>
              <w:ind w:right="60" w:firstLine="0"/>
              <w:jc w:val="center"/>
              <w:rPr>
                <w:rFonts w:eastAsia="MS Mincho" w:cs="Times New Roman"/>
                <w:color w:val="FF0000"/>
                <w:kern w:val="2"/>
                <w:szCs w:val="20"/>
                <w:lang w:eastAsia="ja-JP"/>
              </w:rPr>
            </w:pPr>
            <w:r w:rsidRPr="00B53319">
              <w:rPr>
                <w:rFonts w:eastAsia="MS Mincho" w:cs="Times New Roman"/>
                <w:color w:val="FF0000"/>
                <w:kern w:val="2"/>
                <w:szCs w:val="20"/>
                <w:lang w:eastAsia="ja-JP"/>
              </w:rPr>
              <w:t>Citation</w:t>
            </w:r>
          </w:p>
        </w:tc>
        <w:tc>
          <w:tcPr>
            <w:tcW w:w="2790" w:type="dxa"/>
            <w:gridSpan w:val="3"/>
            <w:tcBorders>
              <w:top w:val="single" w:sz="4" w:space="0" w:color="auto"/>
              <w:bottom w:val="single" w:sz="4" w:space="0" w:color="auto"/>
            </w:tcBorders>
            <w:shd w:val="clear" w:color="auto" w:fill="FFFFFF" w:themeFill="background1"/>
            <w:vAlign w:val="center"/>
          </w:tcPr>
          <w:p w14:paraId="1FCBE24A" w14:textId="77777777" w:rsidR="00B53319" w:rsidRPr="00B53319" w:rsidRDefault="00B53319" w:rsidP="008823AC">
            <w:pPr>
              <w:autoSpaceDE w:val="0"/>
              <w:autoSpaceDN w:val="0"/>
              <w:adjustRightInd w:val="0"/>
              <w:spacing w:line="360" w:lineRule="auto"/>
              <w:ind w:right="60" w:firstLine="0"/>
              <w:jc w:val="center"/>
              <w:cnfStyle w:val="000000100000" w:firstRow="0" w:lastRow="0" w:firstColumn="0" w:lastColumn="0" w:oddVBand="0" w:evenVBand="0" w:oddHBand="1" w:evenHBand="0" w:firstRowFirstColumn="0" w:firstRowLastColumn="0" w:lastRowFirstColumn="0" w:lastRowLastColumn="0"/>
              <w:rPr>
                <w:rFonts w:eastAsia="MS Mincho" w:cs="Times New Roman"/>
                <w:color w:val="FF0000"/>
                <w:kern w:val="2"/>
                <w:szCs w:val="20"/>
                <w:lang w:eastAsia="ja-JP"/>
              </w:rPr>
            </w:pPr>
            <w:r w:rsidRPr="00B53319">
              <w:rPr>
                <w:rFonts w:eastAsia="MS Mincho" w:cs="Times New Roman"/>
                <w:color w:val="FF0000"/>
                <w:kern w:val="2"/>
                <w:szCs w:val="20"/>
                <w:lang w:eastAsia="ja-JP"/>
              </w:rPr>
              <w:t>Co-Citation</w:t>
            </w:r>
          </w:p>
        </w:tc>
        <w:tc>
          <w:tcPr>
            <w:cnfStyle w:val="000010000000" w:firstRow="0" w:lastRow="0" w:firstColumn="0" w:lastColumn="0" w:oddVBand="1" w:evenVBand="0" w:oddHBand="0" w:evenHBand="0" w:firstRowFirstColumn="0" w:firstRowLastColumn="0" w:lastRowFirstColumn="0" w:lastRowLastColumn="0"/>
            <w:tcW w:w="3510" w:type="dxa"/>
            <w:gridSpan w:val="4"/>
            <w:tcBorders>
              <w:top w:val="single" w:sz="4" w:space="0" w:color="auto"/>
              <w:bottom w:val="single" w:sz="4" w:space="0" w:color="auto"/>
            </w:tcBorders>
            <w:shd w:val="clear" w:color="auto" w:fill="FFFFFF" w:themeFill="background1"/>
            <w:vAlign w:val="center"/>
          </w:tcPr>
          <w:p w14:paraId="6BB4FBA9" w14:textId="77777777" w:rsidR="00B53319" w:rsidRPr="00B53319" w:rsidRDefault="00B53319" w:rsidP="008823AC">
            <w:pPr>
              <w:autoSpaceDE w:val="0"/>
              <w:autoSpaceDN w:val="0"/>
              <w:adjustRightInd w:val="0"/>
              <w:spacing w:line="360" w:lineRule="auto"/>
              <w:ind w:right="60" w:firstLine="0"/>
              <w:jc w:val="center"/>
              <w:rPr>
                <w:rFonts w:eastAsia="MS Mincho" w:cs="Times New Roman"/>
                <w:color w:val="FF0000"/>
                <w:kern w:val="2"/>
                <w:szCs w:val="20"/>
                <w:lang w:eastAsia="ja-JP"/>
              </w:rPr>
            </w:pPr>
            <w:r w:rsidRPr="00B53319">
              <w:rPr>
                <w:rFonts w:eastAsia="MS Mincho" w:cs="Times New Roman"/>
                <w:color w:val="FF0000"/>
                <w:kern w:val="2"/>
                <w:szCs w:val="20"/>
                <w:lang w:eastAsia="ja-JP"/>
              </w:rPr>
              <w:t>Bibliographic Coupling</w:t>
            </w:r>
          </w:p>
        </w:tc>
      </w:tr>
      <w:tr w:rsidR="00190FC8" w:rsidRPr="002100AE" w14:paraId="7268CDB4" w14:textId="2277E992" w:rsidTr="00F907C6">
        <w:trPr>
          <w:cantSplit/>
          <w:trHeight w:val="1728"/>
        </w:trPr>
        <w:tc>
          <w:tcPr>
            <w:cnfStyle w:val="000010000000" w:firstRow="0" w:lastRow="0" w:firstColumn="0" w:lastColumn="0" w:oddVBand="1" w:evenVBand="0" w:oddHBand="0" w:evenHBand="0" w:firstRowFirstColumn="0" w:firstRowLastColumn="0" w:lastRowFirstColumn="0" w:lastRowLastColumn="0"/>
            <w:tcW w:w="270" w:type="dxa"/>
            <w:tcBorders>
              <w:top w:val="single" w:sz="4" w:space="0" w:color="auto"/>
              <w:bottom w:val="single" w:sz="4" w:space="0" w:color="auto"/>
            </w:tcBorders>
            <w:shd w:val="clear" w:color="auto" w:fill="FFFFFF" w:themeFill="background1"/>
            <w:vAlign w:val="center"/>
          </w:tcPr>
          <w:p w14:paraId="02EC656D" w14:textId="0B66F791" w:rsidR="003334C2" w:rsidRPr="002100AE" w:rsidRDefault="003334C2" w:rsidP="00F675E2">
            <w:pPr>
              <w:autoSpaceDE w:val="0"/>
              <w:autoSpaceDN w:val="0"/>
              <w:adjustRightInd w:val="0"/>
              <w:spacing w:line="360" w:lineRule="auto"/>
              <w:ind w:right="60" w:firstLine="0"/>
              <w:jc w:val="center"/>
              <w:rPr>
                <w:rFonts w:asciiTheme="majorBidi" w:hAnsiTheme="majorBidi" w:cstheme="majorBidi"/>
                <w:color w:val="auto"/>
                <w:szCs w:val="20"/>
              </w:rPr>
            </w:pPr>
          </w:p>
        </w:tc>
        <w:tc>
          <w:tcPr>
            <w:tcW w:w="1620" w:type="dxa"/>
            <w:tcBorders>
              <w:top w:val="single" w:sz="4" w:space="0" w:color="auto"/>
              <w:bottom w:val="single" w:sz="4" w:space="0" w:color="auto"/>
            </w:tcBorders>
            <w:shd w:val="clear" w:color="auto" w:fill="FFFFFF" w:themeFill="background1"/>
            <w:textDirection w:val="btLr"/>
            <w:vAlign w:val="center"/>
          </w:tcPr>
          <w:p w14:paraId="41FBC2B1" w14:textId="528920F2" w:rsidR="003334C2" w:rsidRPr="002100AE" w:rsidRDefault="003334C2" w:rsidP="00F675E2">
            <w:pPr>
              <w:autoSpaceDE w:val="0"/>
              <w:autoSpaceDN w:val="0"/>
              <w:adjustRightInd w:val="0"/>
              <w:spacing w:line="360" w:lineRule="auto"/>
              <w:ind w:right="6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S</w:t>
            </w:r>
            <w:r w:rsidRPr="002100AE">
              <w:rPr>
                <w:rFonts w:eastAsia="MS Mincho" w:cs="Times New Roman" w:hint="eastAsia"/>
                <w:color w:val="auto"/>
                <w:kern w:val="2"/>
                <w:szCs w:val="20"/>
                <w:lang w:eastAsia="ja-JP"/>
              </w:rPr>
              <w:t>ource</w:t>
            </w:r>
          </w:p>
        </w:tc>
        <w:tc>
          <w:tcPr>
            <w:cnfStyle w:val="000010000000" w:firstRow="0" w:lastRow="0" w:firstColumn="0" w:lastColumn="0" w:oddVBand="1" w:evenVBand="0" w:oddHBand="0" w:evenHBand="0" w:firstRowFirstColumn="0" w:firstRowLastColumn="0" w:lastRowFirstColumn="0" w:lastRowLastColumn="0"/>
            <w:tcW w:w="630" w:type="dxa"/>
            <w:tcBorders>
              <w:top w:val="single" w:sz="4" w:space="0" w:color="auto"/>
              <w:bottom w:val="single" w:sz="4" w:space="0" w:color="auto"/>
            </w:tcBorders>
            <w:shd w:val="clear" w:color="auto" w:fill="FFFFFF" w:themeFill="background1"/>
            <w:textDirection w:val="btLr"/>
          </w:tcPr>
          <w:p w14:paraId="070FCFB6" w14:textId="71C1BECD" w:rsidR="003334C2" w:rsidRPr="002100AE" w:rsidRDefault="003334C2" w:rsidP="00F675E2">
            <w:pPr>
              <w:autoSpaceDE w:val="0"/>
              <w:autoSpaceDN w:val="0"/>
              <w:adjustRightInd w:val="0"/>
              <w:spacing w:line="360" w:lineRule="auto"/>
              <w:ind w:right="60" w:firstLine="0"/>
              <w:jc w:val="center"/>
              <w:rPr>
                <w:color w:val="auto"/>
              </w:rPr>
            </w:pPr>
            <w:r w:rsidRPr="002100AE">
              <w:rPr>
                <w:rFonts w:eastAsia="MS Mincho" w:cs="Times New Roman"/>
                <w:color w:val="auto"/>
                <w:kern w:val="2"/>
                <w:szCs w:val="20"/>
                <w:lang w:eastAsia="ja-JP"/>
              </w:rPr>
              <w:t>Documents</w:t>
            </w:r>
          </w:p>
        </w:tc>
        <w:tc>
          <w:tcPr>
            <w:tcW w:w="540" w:type="dxa"/>
            <w:tcBorders>
              <w:top w:val="single" w:sz="4" w:space="0" w:color="auto"/>
              <w:bottom w:val="single" w:sz="4" w:space="0" w:color="auto"/>
            </w:tcBorders>
            <w:shd w:val="clear" w:color="auto" w:fill="FFFFFF" w:themeFill="background1"/>
            <w:textDirection w:val="btLr"/>
          </w:tcPr>
          <w:p w14:paraId="07C64B73" w14:textId="30C1A4FA" w:rsidR="003334C2" w:rsidRPr="002100AE" w:rsidRDefault="003334C2" w:rsidP="00F675E2">
            <w:pPr>
              <w:autoSpaceDE w:val="0"/>
              <w:autoSpaceDN w:val="0"/>
              <w:adjustRightInd w:val="0"/>
              <w:spacing w:line="360" w:lineRule="auto"/>
              <w:ind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Citations</w:t>
            </w:r>
          </w:p>
        </w:tc>
        <w:tc>
          <w:tcPr>
            <w:cnfStyle w:val="000010000000" w:firstRow="0" w:lastRow="0" w:firstColumn="0" w:lastColumn="0" w:oddVBand="1" w:evenVBand="0" w:oddHBand="0" w:evenHBand="0" w:firstRowFirstColumn="0" w:firstRowLastColumn="0" w:lastRowFirstColumn="0" w:lastRowLastColumn="0"/>
            <w:tcW w:w="1530" w:type="dxa"/>
            <w:tcBorders>
              <w:top w:val="single" w:sz="4" w:space="0" w:color="auto"/>
              <w:bottom w:val="single" w:sz="4" w:space="0" w:color="auto"/>
            </w:tcBorders>
            <w:shd w:val="clear" w:color="auto" w:fill="FFFFFF" w:themeFill="background1"/>
            <w:textDirection w:val="btLr"/>
            <w:vAlign w:val="center"/>
          </w:tcPr>
          <w:p w14:paraId="644357BE" w14:textId="0FE2D0E2" w:rsidR="003334C2" w:rsidRPr="002100AE" w:rsidRDefault="003334C2" w:rsidP="00F675E2">
            <w:pPr>
              <w:autoSpaceDE w:val="0"/>
              <w:autoSpaceDN w:val="0"/>
              <w:adjustRightInd w:val="0"/>
              <w:spacing w:line="360" w:lineRule="auto"/>
              <w:ind w:right="60" w:firstLine="0"/>
              <w:jc w:val="center"/>
              <w:rPr>
                <w:color w:val="auto"/>
              </w:rPr>
            </w:pPr>
            <w:r w:rsidRPr="002100AE">
              <w:rPr>
                <w:rFonts w:eastAsia="MS Mincho" w:cs="Times New Roman"/>
                <w:color w:val="auto"/>
                <w:kern w:val="2"/>
                <w:szCs w:val="20"/>
                <w:lang w:eastAsia="ja-JP"/>
              </w:rPr>
              <w:t>Source</w:t>
            </w:r>
          </w:p>
        </w:tc>
        <w:tc>
          <w:tcPr>
            <w:tcW w:w="540" w:type="dxa"/>
            <w:tcBorders>
              <w:top w:val="single" w:sz="4" w:space="0" w:color="auto"/>
              <w:bottom w:val="single" w:sz="4" w:space="0" w:color="auto"/>
            </w:tcBorders>
            <w:shd w:val="clear" w:color="auto" w:fill="FFFFFF" w:themeFill="background1"/>
            <w:textDirection w:val="btLr"/>
          </w:tcPr>
          <w:p w14:paraId="1399748D" w14:textId="0B741B36" w:rsidR="003334C2" w:rsidRPr="002100AE" w:rsidRDefault="003334C2" w:rsidP="00F675E2">
            <w:pPr>
              <w:autoSpaceDE w:val="0"/>
              <w:autoSpaceDN w:val="0"/>
              <w:adjustRightInd w:val="0"/>
              <w:spacing w:line="360" w:lineRule="auto"/>
              <w:ind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Citations</w:t>
            </w:r>
          </w:p>
        </w:tc>
        <w:tc>
          <w:tcPr>
            <w:cnfStyle w:val="000010000000" w:firstRow="0" w:lastRow="0" w:firstColumn="0" w:lastColumn="0" w:oddVBand="1" w:evenVBand="0" w:oddHBand="0" w:evenHBand="0" w:firstRowFirstColumn="0" w:firstRowLastColumn="0" w:lastRowFirstColumn="0" w:lastRowLastColumn="0"/>
            <w:tcW w:w="720" w:type="dxa"/>
            <w:tcBorders>
              <w:top w:val="single" w:sz="4" w:space="0" w:color="auto"/>
              <w:bottom w:val="single" w:sz="4" w:space="0" w:color="auto"/>
            </w:tcBorders>
            <w:shd w:val="clear" w:color="auto" w:fill="FFFFFF" w:themeFill="background1"/>
            <w:textDirection w:val="btLr"/>
          </w:tcPr>
          <w:p w14:paraId="70B22534" w14:textId="0044A76F" w:rsidR="003334C2" w:rsidRPr="002100AE" w:rsidRDefault="003334C2" w:rsidP="00F675E2">
            <w:pPr>
              <w:autoSpaceDE w:val="0"/>
              <w:autoSpaceDN w:val="0"/>
              <w:adjustRightInd w:val="0"/>
              <w:spacing w:line="360" w:lineRule="auto"/>
              <w:ind w:right="60" w:firstLine="0"/>
              <w:jc w:val="center"/>
              <w:rPr>
                <w:color w:val="auto"/>
              </w:rPr>
            </w:pPr>
            <w:r w:rsidRPr="002100AE">
              <w:rPr>
                <w:rFonts w:eastAsia="MS Mincho" w:cs="Times New Roman"/>
                <w:color w:val="auto"/>
                <w:kern w:val="2"/>
                <w:szCs w:val="20"/>
                <w:lang w:eastAsia="ja-JP"/>
              </w:rPr>
              <w:t>Total link strength</w:t>
            </w:r>
          </w:p>
        </w:tc>
        <w:tc>
          <w:tcPr>
            <w:tcW w:w="1620" w:type="dxa"/>
            <w:tcBorders>
              <w:top w:val="single" w:sz="4" w:space="0" w:color="auto"/>
              <w:bottom w:val="single" w:sz="4" w:space="0" w:color="auto"/>
            </w:tcBorders>
            <w:shd w:val="clear" w:color="auto" w:fill="FFFFFF" w:themeFill="background1"/>
            <w:textDirection w:val="btLr"/>
            <w:vAlign w:val="center"/>
          </w:tcPr>
          <w:p w14:paraId="47722F9E" w14:textId="64D8055E" w:rsidR="003334C2" w:rsidRPr="002100AE" w:rsidRDefault="003334C2" w:rsidP="00F675E2">
            <w:pPr>
              <w:autoSpaceDE w:val="0"/>
              <w:autoSpaceDN w:val="0"/>
              <w:adjustRightInd w:val="0"/>
              <w:spacing w:line="360" w:lineRule="auto"/>
              <w:ind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Source</w:t>
            </w:r>
          </w:p>
        </w:tc>
        <w:tc>
          <w:tcPr>
            <w:cnfStyle w:val="000010000000" w:firstRow="0" w:lastRow="0" w:firstColumn="0" w:lastColumn="0" w:oddVBand="1" w:evenVBand="0" w:oddHBand="0" w:evenHBand="0" w:firstRowFirstColumn="0" w:firstRowLastColumn="0" w:lastRowFirstColumn="0" w:lastRowLastColumn="0"/>
            <w:tcW w:w="540" w:type="dxa"/>
            <w:tcBorders>
              <w:top w:val="single" w:sz="4" w:space="0" w:color="auto"/>
              <w:bottom w:val="single" w:sz="4" w:space="0" w:color="auto"/>
            </w:tcBorders>
            <w:shd w:val="clear" w:color="auto" w:fill="FFFFFF" w:themeFill="background1"/>
            <w:textDirection w:val="btLr"/>
          </w:tcPr>
          <w:p w14:paraId="4F94B060" w14:textId="4E52E242" w:rsidR="003334C2" w:rsidRPr="002100AE" w:rsidRDefault="003334C2" w:rsidP="00F675E2">
            <w:pPr>
              <w:autoSpaceDE w:val="0"/>
              <w:autoSpaceDN w:val="0"/>
              <w:adjustRightInd w:val="0"/>
              <w:spacing w:line="360" w:lineRule="auto"/>
              <w:ind w:right="60" w:firstLine="0"/>
              <w:jc w:val="center"/>
              <w:rPr>
                <w:color w:val="auto"/>
              </w:rPr>
            </w:pPr>
            <w:r w:rsidRPr="002100AE">
              <w:rPr>
                <w:rFonts w:eastAsia="MS Mincho" w:cs="Times New Roman"/>
                <w:color w:val="auto"/>
                <w:kern w:val="2"/>
                <w:szCs w:val="20"/>
                <w:lang w:eastAsia="ja-JP"/>
              </w:rPr>
              <w:t>Documents</w:t>
            </w:r>
          </w:p>
        </w:tc>
        <w:tc>
          <w:tcPr>
            <w:tcW w:w="720" w:type="dxa"/>
            <w:tcBorders>
              <w:top w:val="single" w:sz="4" w:space="0" w:color="auto"/>
              <w:bottom w:val="single" w:sz="4" w:space="0" w:color="auto"/>
            </w:tcBorders>
            <w:shd w:val="clear" w:color="auto" w:fill="FFFFFF" w:themeFill="background1"/>
            <w:textDirection w:val="btLr"/>
          </w:tcPr>
          <w:p w14:paraId="2C1D73AA" w14:textId="5CBED08C" w:rsidR="003334C2" w:rsidRPr="002100AE" w:rsidRDefault="003334C2" w:rsidP="00F675E2">
            <w:pPr>
              <w:autoSpaceDE w:val="0"/>
              <w:autoSpaceDN w:val="0"/>
              <w:adjustRightInd w:val="0"/>
              <w:spacing w:line="360" w:lineRule="auto"/>
              <w:ind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Citations</w:t>
            </w:r>
          </w:p>
        </w:tc>
        <w:tc>
          <w:tcPr>
            <w:cnfStyle w:val="000010000000" w:firstRow="0" w:lastRow="0" w:firstColumn="0" w:lastColumn="0" w:oddVBand="1" w:evenVBand="0" w:oddHBand="0" w:evenHBand="0" w:firstRowFirstColumn="0" w:firstRowLastColumn="0" w:lastRowFirstColumn="0" w:lastRowLastColumn="0"/>
            <w:tcW w:w="630" w:type="dxa"/>
            <w:tcBorders>
              <w:top w:val="single" w:sz="4" w:space="0" w:color="auto"/>
              <w:bottom w:val="single" w:sz="4" w:space="0" w:color="auto"/>
            </w:tcBorders>
            <w:shd w:val="clear" w:color="auto" w:fill="FFFFFF" w:themeFill="background1"/>
            <w:textDirection w:val="btLr"/>
          </w:tcPr>
          <w:p w14:paraId="6D485157" w14:textId="1F536B25" w:rsidR="003334C2" w:rsidRPr="002100AE" w:rsidRDefault="003334C2" w:rsidP="00F675E2">
            <w:pPr>
              <w:autoSpaceDE w:val="0"/>
              <w:autoSpaceDN w:val="0"/>
              <w:adjustRightInd w:val="0"/>
              <w:spacing w:line="360" w:lineRule="auto"/>
              <w:ind w:right="60" w:firstLine="0"/>
              <w:jc w:val="center"/>
              <w:rPr>
                <w:color w:val="auto"/>
              </w:rPr>
            </w:pPr>
            <w:r w:rsidRPr="002100AE">
              <w:rPr>
                <w:rFonts w:eastAsia="MS Mincho" w:cs="Times New Roman"/>
                <w:color w:val="auto"/>
                <w:kern w:val="2"/>
                <w:szCs w:val="20"/>
                <w:lang w:eastAsia="ja-JP"/>
              </w:rPr>
              <w:t>Total link strength</w:t>
            </w:r>
          </w:p>
        </w:tc>
      </w:tr>
      <w:tr w:rsidR="00190FC8" w:rsidRPr="002100AE" w14:paraId="134978F4" w14:textId="0A656581" w:rsidTr="00F907C6">
        <w:trPr>
          <w:cnfStyle w:val="000000100000" w:firstRow="0" w:lastRow="0" w:firstColumn="0" w:lastColumn="0" w:oddVBand="0" w:evenVBand="0" w:oddHBand="1" w:evenHBand="0" w:firstRowFirstColumn="0" w:firstRowLastColumn="0" w:lastRowFirstColumn="0" w:lastRowLastColumn="0"/>
          <w:cantSplit/>
          <w:trHeight w:val="720"/>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39A85539" w14:textId="2BDB5704" w:rsidR="003334C2" w:rsidRPr="002100AE" w:rsidRDefault="003334C2" w:rsidP="00F675E2">
            <w:pPr>
              <w:autoSpaceDE w:val="0"/>
              <w:autoSpaceDN w:val="0"/>
              <w:adjustRightInd w:val="0"/>
              <w:spacing w:line="360" w:lineRule="auto"/>
              <w:ind w:left="60" w:right="60" w:firstLine="0"/>
              <w:jc w:val="left"/>
              <w:rPr>
                <w:rFonts w:asciiTheme="majorBidi" w:hAnsiTheme="majorBidi" w:cstheme="majorBidi"/>
                <w:color w:val="auto"/>
                <w:szCs w:val="20"/>
              </w:rPr>
            </w:pPr>
            <w:r w:rsidRPr="002100AE">
              <w:rPr>
                <w:rFonts w:eastAsia="MS Mincho" w:cs="Times New Roman" w:hint="eastAsia"/>
                <w:color w:val="auto"/>
                <w:kern w:val="2"/>
                <w:szCs w:val="20"/>
                <w:lang w:eastAsia="ja-JP"/>
              </w:rPr>
              <w:t>1</w:t>
            </w:r>
          </w:p>
        </w:tc>
        <w:tc>
          <w:tcPr>
            <w:tcW w:w="1620" w:type="dxa"/>
            <w:shd w:val="clear" w:color="auto" w:fill="FFFFFF" w:themeFill="background1"/>
            <w:vAlign w:val="center"/>
          </w:tcPr>
          <w:p w14:paraId="09DA35AA" w14:textId="259789CC" w:rsidR="003334C2" w:rsidRPr="002100AE" w:rsidRDefault="003334C2"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I</w:t>
            </w:r>
            <w:r w:rsidRPr="002100AE">
              <w:rPr>
                <w:rFonts w:eastAsia="MS Mincho" w:cs="Times New Roman" w:hint="eastAsia"/>
                <w:color w:val="auto"/>
                <w:kern w:val="2"/>
                <w:szCs w:val="20"/>
                <w:lang w:eastAsia="ja-JP"/>
              </w:rPr>
              <w:t xml:space="preserve">ndonesian </w:t>
            </w:r>
            <w:r w:rsidR="00D13835">
              <w:rPr>
                <w:rFonts w:eastAsia="MS Mincho" w:cs="Times New Roman"/>
                <w:color w:val="auto"/>
                <w:kern w:val="2"/>
                <w:szCs w:val="20"/>
                <w:lang w:val="vi-VN" w:eastAsia="ja-JP"/>
              </w:rPr>
              <w:t>Journal</w:t>
            </w:r>
            <w:r w:rsidRPr="002100AE">
              <w:rPr>
                <w:rFonts w:eastAsia="MS Mincho" w:cs="Times New Roman" w:hint="eastAsia"/>
                <w:color w:val="auto"/>
                <w:kern w:val="2"/>
                <w:szCs w:val="20"/>
                <w:lang w:eastAsia="ja-JP"/>
              </w:rPr>
              <w:t xml:space="preserve"> of applied linguistics</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12A194F3" w14:textId="52881CAC"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540" w:type="dxa"/>
            <w:shd w:val="clear" w:color="auto" w:fill="FFFFFF" w:themeFill="background1"/>
            <w:vAlign w:val="center"/>
          </w:tcPr>
          <w:p w14:paraId="5B3588A5" w14:textId="4AC0DB02" w:rsidR="003334C2" w:rsidRPr="002100AE" w:rsidRDefault="003334C2"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2</w:t>
            </w:r>
          </w:p>
        </w:tc>
        <w:tc>
          <w:tcPr>
            <w:cnfStyle w:val="000010000000" w:firstRow="0" w:lastRow="0" w:firstColumn="0" w:lastColumn="0" w:oddVBand="1" w:evenVBand="0" w:oddHBand="0" w:evenHBand="0" w:firstRowFirstColumn="0" w:firstRowLastColumn="0" w:lastRowFirstColumn="0" w:lastRowLastColumn="0"/>
            <w:tcW w:w="1530" w:type="dxa"/>
            <w:shd w:val="clear" w:color="auto" w:fill="FFFFFF" w:themeFill="background1"/>
            <w:vAlign w:val="center"/>
          </w:tcPr>
          <w:p w14:paraId="7742C8C0" w14:textId="639EC479" w:rsidR="003334C2" w:rsidRPr="002100AE" w:rsidRDefault="003334C2" w:rsidP="00F675E2">
            <w:pPr>
              <w:autoSpaceDE w:val="0"/>
              <w:autoSpaceDN w:val="0"/>
              <w:adjustRightInd w:val="0"/>
              <w:spacing w:line="360" w:lineRule="auto"/>
              <w:ind w:left="60" w:right="60" w:firstLine="0"/>
              <w:jc w:val="left"/>
              <w:rPr>
                <w:color w:val="auto"/>
              </w:rPr>
            </w:pPr>
            <w:r w:rsidRPr="002100AE">
              <w:rPr>
                <w:rFonts w:eastAsia="MS Mincho" w:cs="Times New Roman"/>
                <w:color w:val="auto"/>
                <w:kern w:val="2"/>
                <w:szCs w:val="20"/>
                <w:lang w:eastAsia="ja-JP"/>
              </w:rPr>
              <w:t>A</w:t>
            </w:r>
            <w:r w:rsidRPr="002100AE">
              <w:rPr>
                <w:rFonts w:eastAsia="MS Mincho" w:cs="Times New Roman" w:hint="eastAsia"/>
                <w:color w:val="auto"/>
                <w:kern w:val="2"/>
                <w:szCs w:val="20"/>
                <w:lang w:eastAsia="ja-JP"/>
              </w:rPr>
              <w:t>n introduction to functional grammar</w:t>
            </w:r>
          </w:p>
        </w:tc>
        <w:tc>
          <w:tcPr>
            <w:tcW w:w="540" w:type="dxa"/>
            <w:shd w:val="clear" w:color="auto" w:fill="FFFFFF" w:themeFill="background1"/>
            <w:vAlign w:val="center"/>
          </w:tcPr>
          <w:p w14:paraId="35602455" w14:textId="5CE4539C" w:rsidR="003334C2" w:rsidRPr="002100AE" w:rsidRDefault="003334C2"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27</w:t>
            </w:r>
          </w:p>
        </w:tc>
        <w:tc>
          <w:tcPr>
            <w:cnfStyle w:val="000010000000" w:firstRow="0" w:lastRow="0" w:firstColumn="0" w:lastColumn="0" w:oddVBand="1" w:evenVBand="0" w:oddHBand="0" w:evenHBand="0" w:firstRowFirstColumn="0" w:firstRowLastColumn="0" w:lastRowFirstColumn="0" w:lastRowLastColumn="0"/>
            <w:tcW w:w="720" w:type="dxa"/>
            <w:shd w:val="clear" w:color="auto" w:fill="FFFFFF" w:themeFill="background1"/>
            <w:vAlign w:val="center"/>
          </w:tcPr>
          <w:p w14:paraId="21A0111C" w14:textId="3E6878F7"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219</w:t>
            </w:r>
          </w:p>
        </w:tc>
        <w:tc>
          <w:tcPr>
            <w:tcW w:w="1620" w:type="dxa"/>
            <w:shd w:val="clear" w:color="auto" w:fill="FFFFFF" w:themeFill="background1"/>
            <w:vAlign w:val="center"/>
          </w:tcPr>
          <w:p w14:paraId="573B04CD" w14:textId="17F2D980" w:rsidR="003334C2" w:rsidRPr="002100AE" w:rsidRDefault="003334C2"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color w:val="auto"/>
                <w:kern w:val="2"/>
                <w:szCs w:val="20"/>
                <w:lang w:eastAsia="ja-JP"/>
              </w:rPr>
              <w:t>I</w:t>
            </w:r>
            <w:r w:rsidRPr="002100AE">
              <w:rPr>
                <w:rFonts w:eastAsia="MS Mincho" w:cs="Times New Roman" w:hint="eastAsia"/>
                <w:color w:val="auto"/>
                <w:kern w:val="2"/>
                <w:szCs w:val="20"/>
                <w:lang w:eastAsia="ja-JP"/>
              </w:rPr>
              <w:t xml:space="preserve">ndonesian </w:t>
            </w:r>
            <w:r w:rsidR="00D13835">
              <w:rPr>
                <w:rFonts w:eastAsia="MS Mincho" w:cs="Times New Roman"/>
                <w:color w:val="auto"/>
                <w:kern w:val="2"/>
                <w:szCs w:val="20"/>
                <w:lang w:val="vi-VN" w:eastAsia="ja-JP"/>
              </w:rPr>
              <w:t>Journal</w:t>
            </w:r>
            <w:r w:rsidRPr="002100AE">
              <w:rPr>
                <w:rFonts w:eastAsia="MS Mincho" w:cs="Times New Roman" w:hint="eastAsia"/>
                <w:color w:val="auto"/>
                <w:kern w:val="2"/>
                <w:szCs w:val="20"/>
                <w:lang w:eastAsia="ja-JP"/>
              </w:rPr>
              <w:t xml:space="preserve"> of applied linguistics</w:t>
            </w:r>
          </w:p>
        </w:tc>
        <w:tc>
          <w:tcPr>
            <w:cnfStyle w:val="000010000000" w:firstRow="0" w:lastRow="0" w:firstColumn="0" w:lastColumn="0" w:oddVBand="1" w:evenVBand="0" w:oddHBand="0" w:evenHBand="0" w:firstRowFirstColumn="0" w:firstRowLastColumn="0" w:lastRowFirstColumn="0" w:lastRowLastColumn="0"/>
            <w:tcW w:w="540" w:type="dxa"/>
            <w:shd w:val="clear" w:color="auto" w:fill="FFFFFF" w:themeFill="background1"/>
            <w:vAlign w:val="center"/>
          </w:tcPr>
          <w:p w14:paraId="0ED46EFA" w14:textId="099B4B83"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720" w:type="dxa"/>
            <w:shd w:val="clear" w:color="auto" w:fill="FFFFFF" w:themeFill="background1"/>
            <w:vAlign w:val="center"/>
          </w:tcPr>
          <w:p w14:paraId="55657CE4" w14:textId="25AC8AA0" w:rsidR="003334C2" w:rsidRPr="002100AE" w:rsidRDefault="003334C2"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2</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6EF3B2BE" w14:textId="674EF224"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19</w:t>
            </w:r>
          </w:p>
        </w:tc>
      </w:tr>
      <w:tr w:rsidR="00190FC8" w:rsidRPr="002100AE" w14:paraId="17D00FC5" w14:textId="161D1BA9" w:rsidTr="00F907C6">
        <w:trPr>
          <w:cantSplit/>
          <w:trHeight w:val="720"/>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04B1D2FB" w14:textId="1CACEE63" w:rsidR="003334C2" w:rsidRPr="002100AE" w:rsidRDefault="003334C2" w:rsidP="00F675E2">
            <w:pPr>
              <w:autoSpaceDE w:val="0"/>
              <w:autoSpaceDN w:val="0"/>
              <w:adjustRightInd w:val="0"/>
              <w:spacing w:line="360" w:lineRule="auto"/>
              <w:ind w:left="60" w:right="60" w:firstLine="0"/>
              <w:jc w:val="left"/>
              <w:rPr>
                <w:rFonts w:asciiTheme="majorBidi" w:hAnsiTheme="majorBidi" w:cstheme="majorBidi"/>
                <w:color w:val="auto"/>
                <w:szCs w:val="20"/>
              </w:rPr>
            </w:pPr>
            <w:r w:rsidRPr="002100AE">
              <w:rPr>
                <w:rFonts w:eastAsia="MS Mincho" w:cs="Times New Roman" w:hint="eastAsia"/>
                <w:color w:val="auto"/>
                <w:kern w:val="2"/>
                <w:szCs w:val="20"/>
                <w:lang w:eastAsia="ja-JP"/>
              </w:rPr>
              <w:t>2</w:t>
            </w:r>
          </w:p>
        </w:tc>
        <w:tc>
          <w:tcPr>
            <w:tcW w:w="1620" w:type="dxa"/>
            <w:shd w:val="clear" w:color="auto" w:fill="FFFFFF" w:themeFill="background1"/>
            <w:vAlign w:val="center"/>
          </w:tcPr>
          <w:p w14:paraId="34F78C59" w14:textId="2508A30C" w:rsidR="003334C2" w:rsidRPr="002100AE" w:rsidRDefault="003334C2" w:rsidP="00F675E2">
            <w:pPr>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I</w:t>
            </w:r>
            <w:r w:rsidRPr="002100AE">
              <w:rPr>
                <w:rFonts w:eastAsia="MS Mincho" w:cs="Times New Roman" w:hint="eastAsia"/>
                <w:color w:val="auto"/>
                <w:kern w:val="2"/>
                <w:szCs w:val="20"/>
                <w:lang w:eastAsia="ja-JP"/>
              </w:rPr>
              <w:t xml:space="preserve">nternational </w:t>
            </w:r>
            <w:r w:rsidR="00D13835">
              <w:rPr>
                <w:rFonts w:eastAsia="MS Mincho" w:cs="Times New Roman"/>
                <w:color w:val="auto"/>
                <w:kern w:val="2"/>
                <w:szCs w:val="20"/>
                <w:lang w:val="vi-VN" w:eastAsia="ja-JP"/>
              </w:rPr>
              <w:t>Journal</w:t>
            </w:r>
            <w:r w:rsidRPr="002100AE">
              <w:rPr>
                <w:rFonts w:eastAsia="MS Mincho" w:cs="Times New Roman" w:hint="eastAsia"/>
                <w:color w:val="auto"/>
                <w:kern w:val="2"/>
                <w:szCs w:val="20"/>
                <w:lang w:eastAsia="ja-JP"/>
              </w:rPr>
              <w:t xml:space="preserve"> of </w:t>
            </w:r>
            <w:r w:rsidR="00D13835">
              <w:rPr>
                <w:rFonts w:eastAsia="MS Mincho" w:cs="Times New Roman"/>
                <w:color w:val="auto"/>
                <w:kern w:val="2"/>
                <w:szCs w:val="20"/>
                <w:lang w:val="vi-VN" w:eastAsia="ja-JP"/>
              </w:rPr>
              <w:t>Bilingual Education</w:t>
            </w:r>
            <w:r w:rsidRPr="002100AE">
              <w:rPr>
                <w:rFonts w:eastAsia="MS Mincho" w:cs="Times New Roman" w:hint="eastAsia"/>
                <w:color w:val="auto"/>
                <w:kern w:val="2"/>
                <w:szCs w:val="20"/>
                <w:lang w:eastAsia="ja-JP"/>
              </w:rPr>
              <w:t xml:space="preserve"> and bilingualism</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200E3CA8" w14:textId="7699BA71"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540" w:type="dxa"/>
            <w:shd w:val="clear" w:color="auto" w:fill="FFFFFF" w:themeFill="background1"/>
            <w:vAlign w:val="center"/>
          </w:tcPr>
          <w:p w14:paraId="2A90C599" w14:textId="0292757E" w:rsidR="003334C2" w:rsidRPr="002100AE" w:rsidRDefault="003334C2" w:rsidP="00F675E2">
            <w:pPr>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51</w:t>
            </w:r>
          </w:p>
        </w:tc>
        <w:tc>
          <w:tcPr>
            <w:cnfStyle w:val="000010000000" w:firstRow="0" w:lastRow="0" w:firstColumn="0" w:lastColumn="0" w:oddVBand="1" w:evenVBand="0" w:oddHBand="0" w:evenHBand="0" w:firstRowFirstColumn="0" w:firstRowLastColumn="0" w:lastRowFirstColumn="0" w:lastRowLastColumn="0"/>
            <w:tcW w:w="1530" w:type="dxa"/>
            <w:shd w:val="clear" w:color="auto" w:fill="FFFFFF" w:themeFill="background1"/>
            <w:vAlign w:val="center"/>
          </w:tcPr>
          <w:p w14:paraId="57148B8E" w14:textId="47B220BD" w:rsidR="003334C2" w:rsidRPr="002100AE" w:rsidRDefault="003334C2" w:rsidP="00F675E2">
            <w:pPr>
              <w:autoSpaceDE w:val="0"/>
              <w:autoSpaceDN w:val="0"/>
              <w:adjustRightInd w:val="0"/>
              <w:spacing w:line="360" w:lineRule="auto"/>
              <w:ind w:left="60" w:right="60" w:firstLine="0"/>
              <w:jc w:val="left"/>
              <w:rPr>
                <w:color w:val="auto"/>
              </w:rPr>
            </w:pPr>
            <w:r w:rsidRPr="002100AE">
              <w:rPr>
                <w:rFonts w:eastAsia="MS Mincho" w:cs="Times New Roman"/>
                <w:color w:val="auto"/>
                <w:kern w:val="2"/>
                <w:szCs w:val="20"/>
                <w:lang w:eastAsia="ja-JP"/>
              </w:rPr>
              <w:t>A</w:t>
            </w:r>
            <w:r w:rsidRPr="002100AE">
              <w:rPr>
                <w:rFonts w:eastAsia="MS Mincho" w:cs="Times New Roman" w:hint="eastAsia"/>
                <w:color w:val="auto"/>
                <w:kern w:val="2"/>
                <w:szCs w:val="20"/>
                <w:lang w:eastAsia="ja-JP"/>
              </w:rPr>
              <w:t>pplied linguistics</w:t>
            </w:r>
          </w:p>
        </w:tc>
        <w:tc>
          <w:tcPr>
            <w:tcW w:w="540" w:type="dxa"/>
            <w:shd w:val="clear" w:color="auto" w:fill="FFFFFF" w:themeFill="background1"/>
            <w:vAlign w:val="center"/>
          </w:tcPr>
          <w:p w14:paraId="7AE87EA2" w14:textId="179ED4D2" w:rsidR="003334C2" w:rsidRPr="002100AE" w:rsidRDefault="003334C2" w:rsidP="00F675E2">
            <w:pPr>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28</w:t>
            </w:r>
          </w:p>
        </w:tc>
        <w:tc>
          <w:tcPr>
            <w:cnfStyle w:val="000010000000" w:firstRow="0" w:lastRow="0" w:firstColumn="0" w:lastColumn="0" w:oddVBand="1" w:evenVBand="0" w:oddHBand="0" w:evenHBand="0" w:firstRowFirstColumn="0" w:firstRowLastColumn="0" w:lastRowFirstColumn="0" w:lastRowLastColumn="0"/>
            <w:tcW w:w="720" w:type="dxa"/>
            <w:shd w:val="clear" w:color="auto" w:fill="FFFFFF" w:themeFill="background1"/>
            <w:vAlign w:val="center"/>
          </w:tcPr>
          <w:p w14:paraId="363BE810" w14:textId="435744D2"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400</w:t>
            </w:r>
          </w:p>
        </w:tc>
        <w:tc>
          <w:tcPr>
            <w:tcW w:w="1620" w:type="dxa"/>
            <w:shd w:val="clear" w:color="auto" w:fill="FFFFFF" w:themeFill="background1"/>
            <w:vAlign w:val="center"/>
          </w:tcPr>
          <w:p w14:paraId="7D2DD05F" w14:textId="3897BF5D" w:rsidR="003334C2" w:rsidRPr="002100AE" w:rsidRDefault="003334C2" w:rsidP="00F675E2">
            <w:pPr>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I</w:t>
            </w:r>
            <w:r w:rsidRPr="002100AE">
              <w:rPr>
                <w:rFonts w:eastAsia="MS Mincho" w:cs="Times New Roman" w:hint="eastAsia"/>
                <w:color w:val="auto"/>
                <w:kern w:val="2"/>
                <w:szCs w:val="20"/>
                <w:lang w:eastAsia="ja-JP"/>
              </w:rPr>
              <w:t xml:space="preserve">nternational </w:t>
            </w:r>
            <w:r w:rsidR="00D13835">
              <w:rPr>
                <w:rFonts w:eastAsia="MS Mincho" w:cs="Times New Roman"/>
                <w:color w:val="auto"/>
                <w:kern w:val="2"/>
                <w:szCs w:val="20"/>
                <w:lang w:val="vi-VN" w:eastAsia="ja-JP"/>
              </w:rPr>
              <w:t>Journal</w:t>
            </w:r>
            <w:r w:rsidRPr="002100AE">
              <w:rPr>
                <w:rFonts w:eastAsia="MS Mincho" w:cs="Times New Roman" w:hint="eastAsia"/>
                <w:color w:val="auto"/>
                <w:kern w:val="2"/>
                <w:szCs w:val="20"/>
                <w:lang w:eastAsia="ja-JP"/>
              </w:rPr>
              <w:t xml:space="preserve"> of </w:t>
            </w:r>
            <w:r w:rsidR="00D13835">
              <w:rPr>
                <w:rFonts w:eastAsia="MS Mincho" w:cs="Times New Roman"/>
                <w:color w:val="auto"/>
                <w:kern w:val="2"/>
                <w:szCs w:val="20"/>
                <w:lang w:val="vi-VN" w:eastAsia="ja-JP"/>
              </w:rPr>
              <w:t>Bilingual Education</w:t>
            </w:r>
            <w:r w:rsidRPr="002100AE">
              <w:rPr>
                <w:rFonts w:eastAsia="MS Mincho" w:cs="Times New Roman" w:hint="eastAsia"/>
                <w:color w:val="auto"/>
                <w:kern w:val="2"/>
                <w:szCs w:val="20"/>
                <w:lang w:eastAsia="ja-JP"/>
              </w:rPr>
              <w:t xml:space="preserve"> and bilingualism</w:t>
            </w:r>
          </w:p>
        </w:tc>
        <w:tc>
          <w:tcPr>
            <w:cnfStyle w:val="000010000000" w:firstRow="0" w:lastRow="0" w:firstColumn="0" w:lastColumn="0" w:oddVBand="1" w:evenVBand="0" w:oddHBand="0" w:evenHBand="0" w:firstRowFirstColumn="0" w:firstRowLastColumn="0" w:lastRowFirstColumn="0" w:lastRowLastColumn="0"/>
            <w:tcW w:w="540" w:type="dxa"/>
            <w:shd w:val="clear" w:color="auto" w:fill="FFFFFF" w:themeFill="background1"/>
            <w:vAlign w:val="center"/>
          </w:tcPr>
          <w:p w14:paraId="7C2EA287" w14:textId="1612FD0B"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720" w:type="dxa"/>
            <w:shd w:val="clear" w:color="auto" w:fill="FFFFFF" w:themeFill="background1"/>
            <w:vAlign w:val="center"/>
          </w:tcPr>
          <w:p w14:paraId="76D321CD" w14:textId="71825367" w:rsidR="003334C2" w:rsidRPr="002100AE" w:rsidRDefault="003334C2" w:rsidP="00F675E2">
            <w:pPr>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51</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75BAE6F3" w14:textId="2FC69067"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26</w:t>
            </w:r>
          </w:p>
        </w:tc>
      </w:tr>
      <w:tr w:rsidR="00190FC8" w:rsidRPr="002100AE" w14:paraId="0D52E232" w14:textId="1E3B0033" w:rsidTr="00F907C6">
        <w:trPr>
          <w:cnfStyle w:val="000000100000" w:firstRow="0" w:lastRow="0" w:firstColumn="0" w:lastColumn="0" w:oddVBand="0" w:evenVBand="0" w:oddHBand="1" w:evenHBand="0" w:firstRowFirstColumn="0" w:firstRowLastColumn="0" w:lastRowFirstColumn="0" w:lastRowLastColumn="0"/>
          <w:cantSplit/>
          <w:trHeight w:val="720"/>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23F9BF73" w14:textId="30C0DDCA" w:rsidR="003334C2" w:rsidRPr="002100AE" w:rsidRDefault="003334C2" w:rsidP="00F675E2">
            <w:pPr>
              <w:autoSpaceDE w:val="0"/>
              <w:autoSpaceDN w:val="0"/>
              <w:adjustRightInd w:val="0"/>
              <w:spacing w:line="360" w:lineRule="auto"/>
              <w:ind w:left="60" w:right="60" w:firstLine="0"/>
              <w:jc w:val="left"/>
              <w:rPr>
                <w:rFonts w:asciiTheme="majorBidi" w:hAnsiTheme="majorBidi" w:cstheme="majorBidi"/>
                <w:color w:val="auto"/>
                <w:szCs w:val="20"/>
              </w:rPr>
            </w:pPr>
            <w:r w:rsidRPr="002100AE">
              <w:rPr>
                <w:rFonts w:eastAsia="MS Mincho" w:cs="Times New Roman" w:hint="eastAsia"/>
                <w:color w:val="auto"/>
                <w:kern w:val="2"/>
                <w:szCs w:val="20"/>
                <w:lang w:eastAsia="ja-JP"/>
              </w:rPr>
              <w:t>3</w:t>
            </w:r>
          </w:p>
        </w:tc>
        <w:tc>
          <w:tcPr>
            <w:tcW w:w="1620" w:type="dxa"/>
            <w:shd w:val="clear" w:color="auto" w:fill="FFFFFF" w:themeFill="background1"/>
            <w:vAlign w:val="center"/>
          </w:tcPr>
          <w:p w14:paraId="3F32722C" w14:textId="6670E5FE" w:rsidR="003334C2" w:rsidRPr="002100AE" w:rsidRDefault="003334C2"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J</w:t>
            </w:r>
            <w:r w:rsidRPr="002100AE">
              <w:rPr>
                <w:rFonts w:eastAsia="MS Mincho" w:cs="Times New Roman" w:hint="eastAsia"/>
                <w:color w:val="auto"/>
                <w:kern w:val="2"/>
                <w:szCs w:val="20"/>
                <w:lang w:eastAsia="ja-JP"/>
              </w:rPr>
              <w:t xml:space="preserve">ournal of </w:t>
            </w:r>
            <w:r w:rsidR="00D13835">
              <w:rPr>
                <w:rFonts w:eastAsia="MS Mincho" w:cs="Times New Roman"/>
                <w:color w:val="auto"/>
                <w:kern w:val="2"/>
                <w:szCs w:val="20"/>
                <w:lang w:val="vi-VN" w:eastAsia="ja-JP"/>
              </w:rPr>
              <w:t>English</w:t>
            </w:r>
            <w:r w:rsidRPr="002100AE">
              <w:rPr>
                <w:rFonts w:eastAsia="MS Mincho" w:cs="Times New Roman" w:hint="eastAsia"/>
                <w:color w:val="auto"/>
                <w:kern w:val="2"/>
                <w:szCs w:val="20"/>
                <w:lang w:eastAsia="ja-JP"/>
              </w:rPr>
              <w:t xml:space="preserve"> for academic purposes</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085F6B9E" w14:textId="11494CE7"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5</w:t>
            </w:r>
          </w:p>
        </w:tc>
        <w:tc>
          <w:tcPr>
            <w:tcW w:w="540" w:type="dxa"/>
            <w:shd w:val="clear" w:color="auto" w:fill="FFFFFF" w:themeFill="background1"/>
            <w:vAlign w:val="center"/>
          </w:tcPr>
          <w:p w14:paraId="0EDEB79E" w14:textId="4418012D" w:rsidR="003334C2" w:rsidRPr="002100AE" w:rsidRDefault="003334C2"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147</w:t>
            </w:r>
          </w:p>
        </w:tc>
        <w:tc>
          <w:tcPr>
            <w:cnfStyle w:val="000010000000" w:firstRow="0" w:lastRow="0" w:firstColumn="0" w:lastColumn="0" w:oddVBand="1" w:evenVBand="0" w:oddHBand="0" w:evenHBand="0" w:firstRowFirstColumn="0" w:firstRowLastColumn="0" w:lastRowFirstColumn="0" w:lastRowLastColumn="0"/>
            <w:tcW w:w="1530" w:type="dxa"/>
            <w:shd w:val="clear" w:color="auto" w:fill="FFFFFF" w:themeFill="background1"/>
            <w:vAlign w:val="center"/>
          </w:tcPr>
          <w:p w14:paraId="46F55E16" w14:textId="67F1EB38" w:rsidR="003334C2" w:rsidRPr="002100AE" w:rsidRDefault="003334C2" w:rsidP="00F675E2">
            <w:pPr>
              <w:autoSpaceDE w:val="0"/>
              <w:autoSpaceDN w:val="0"/>
              <w:adjustRightInd w:val="0"/>
              <w:spacing w:line="360" w:lineRule="auto"/>
              <w:ind w:left="60" w:right="60" w:firstLine="0"/>
              <w:jc w:val="left"/>
              <w:rPr>
                <w:color w:val="auto"/>
              </w:rPr>
            </w:pPr>
            <w:r w:rsidRPr="002100AE">
              <w:rPr>
                <w:rFonts w:eastAsia="MS Mincho" w:cs="Times New Roman"/>
                <w:color w:val="auto"/>
                <w:kern w:val="2"/>
                <w:szCs w:val="20"/>
                <w:lang w:eastAsia="ja-JP"/>
              </w:rPr>
              <w:t>A</w:t>
            </w:r>
            <w:r w:rsidRPr="002100AE">
              <w:rPr>
                <w:rFonts w:eastAsia="MS Mincho" w:cs="Times New Roman" w:hint="eastAsia"/>
                <w:color w:val="auto"/>
                <w:kern w:val="2"/>
                <w:szCs w:val="20"/>
                <w:lang w:eastAsia="ja-JP"/>
              </w:rPr>
              <w:t>ssessing writing</w:t>
            </w:r>
          </w:p>
        </w:tc>
        <w:tc>
          <w:tcPr>
            <w:tcW w:w="540" w:type="dxa"/>
            <w:shd w:val="clear" w:color="auto" w:fill="FFFFFF" w:themeFill="background1"/>
            <w:vAlign w:val="center"/>
          </w:tcPr>
          <w:p w14:paraId="24702965" w14:textId="46D9B54F" w:rsidR="003334C2" w:rsidRPr="002100AE" w:rsidRDefault="003334C2"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25</w:t>
            </w:r>
          </w:p>
        </w:tc>
        <w:tc>
          <w:tcPr>
            <w:cnfStyle w:val="000010000000" w:firstRow="0" w:lastRow="0" w:firstColumn="0" w:lastColumn="0" w:oddVBand="1" w:evenVBand="0" w:oddHBand="0" w:evenHBand="0" w:firstRowFirstColumn="0" w:firstRowLastColumn="0" w:lastRowFirstColumn="0" w:lastRowLastColumn="0"/>
            <w:tcW w:w="720" w:type="dxa"/>
            <w:shd w:val="clear" w:color="auto" w:fill="FFFFFF" w:themeFill="background1"/>
            <w:vAlign w:val="center"/>
          </w:tcPr>
          <w:p w14:paraId="172A8812" w14:textId="290D7C1B"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209</w:t>
            </w:r>
          </w:p>
        </w:tc>
        <w:tc>
          <w:tcPr>
            <w:tcW w:w="1620" w:type="dxa"/>
            <w:shd w:val="clear" w:color="auto" w:fill="FFFFFF" w:themeFill="background1"/>
            <w:vAlign w:val="center"/>
          </w:tcPr>
          <w:p w14:paraId="4A40FD05" w14:textId="457A0060" w:rsidR="003334C2" w:rsidRPr="002100AE" w:rsidRDefault="003334C2"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color w:val="auto"/>
                <w:kern w:val="2"/>
                <w:szCs w:val="20"/>
                <w:lang w:eastAsia="ja-JP"/>
              </w:rPr>
              <w:t>J</w:t>
            </w:r>
            <w:r w:rsidRPr="002100AE">
              <w:rPr>
                <w:rFonts w:eastAsia="MS Mincho" w:cs="Times New Roman" w:hint="eastAsia"/>
                <w:color w:val="auto"/>
                <w:kern w:val="2"/>
                <w:szCs w:val="20"/>
                <w:lang w:eastAsia="ja-JP"/>
              </w:rPr>
              <w:t xml:space="preserve">ournal of </w:t>
            </w:r>
            <w:r w:rsidR="00D13835">
              <w:rPr>
                <w:rFonts w:eastAsia="MS Mincho" w:cs="Times New Roman"/>
                <w:color w:val="auto"/>
                <w:kern w:val="2"/>
                <w:szCs w:val="20"/>
                <w:lang w:val="vi-VN" w:eastAsia="ja-JP"/>
              </w:rPr>
              <w:t>English</w:t>
            </w:r>
            <w:r w:rsidRPr="002100AE">
              <w:rPr>
                <w:rFonts w:eastAsia="MS Mincho" w:cs="Times New Roman" w:hint="eastAsia"/>
                <w:color w:val="auto"/>
                <w:kern w:val="2"/>
                <w:szCs w:val="20"/>
                <w:lang w:eastAsia="ja-JP"/>
              </w:rPr>
              <w:t xml:space="preserve"> for academic purposes</w:t>
            </w:r>
          </w:p>
        </w:tc>
        <w:tc>
          <w:tcPr>
            <w:cnfStyle w:val="000010000000" w:firstRow="0" w:lastRow="0" w:firstColumn="0" w:lastColumn="0" w:oddVBand="1" w:evenVBand="0" w:oddHBand="0" w:evenHBand="0" w:firstRowFirstColumn="0" w:firstRowLastColumn="0" w:lastRowFirstColumn="0" w:lastRowLastColumn="0"/>
            <w:tcW w:w="540" w:type="dxa"/>
            <w:shd w:val="clear" w:color="auto" w:fill="FFFFFF" w:themeFill="background1"/>
            <w:vAlign w:val="center"/>
          </w:tcPr>
          <w:p w14:paraId="2DC0AAA3" w14:textId="22F3E6D0"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5</w:t>
            </w:r>
          </w:p>
        </w:tc>
        <w:tc>
          <w:tcPr>
            <w:tcW w:w="720" w:type="dxa"/>
            <w:shd w:val="clear" w:color="auto" w:fill="FFFFFF" w:themeFill="background1"/>
            <w:vAlign w:val="center"/>
          </w:tcPr>
          <w:p w14:paraId="3FABB47E" w14:textId="01EA6FE4" w:rsidR="003334C2" w:rsidRPr="002100AE" w:rsidRDefault="003334C2"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147</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58836B2F" w14:textId="19D32565"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50</w:t>
            </w:r>
          </w:p>
        </w:tc>
      </w:tr>
      <w:tr w:rsidR="00190FC8" w:rsidRPr="002100AE" w14:paraId="7FC7FFF4" w14:textId="44B3CEEE" w:rsidTr="00F907C6">
        <w:trPr>
          <w:cantSplit/>
          <w:trHeight w:val="720"/>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3FBC5455" w14:textId="59832B81" w:rsidR="003334C2" w:rsidRPr="002100AE" w:rsidRDefault="003334C2" w:rsidP="00F675E2">
            <w:pPr>
              <w:autoSpaceDE w:val="0"/>
              <w:autoSpaceDN w:val="0"/>
              <w:adjustRightInd w:val="0"/>
              <w:spacing w:line="360" w:lineRule="auto"/>
              <w:ind w:left="60" w:right="60" w:firstLine="0"/>
              <w:jc w:val="left"/>
              <w:rPr>
                <w:rFonts w:asciiTheme="majorBidi" w:hAnsiTheme="majorBidi" w:cstheme="majorBidi"/>
                <w:color w:val="auto"/>
                <w:szCs w:val="20"/>
              </w:rPr>
            </w:pPr>
            <w:r w:rsidRPr="002100AE">
              <w:rPr>
                <w:rFonts w:eastAsia="MS Mincho" w:cs="Times New Roman" w:hint="eastAsia"/>
                <w:color w:val="auto"/>
                <w:kern w:val="2"/>
                <w:szCs w:val="20"/>
                <w:lang w:eastAsia="ja-JP"/>
              </w:rPr>
              <w:t>4</w:t>
            </w:r>
          </w:p>
        </w:tc>
        <w:tc>
          <w:tcPr>
            <w:tcW w:w="1620" w:type="dxa"/>
            <w:shd w:val="clear" w:color="auto" w:fill="FFFFFF" w:themeFill="background1"/>
            <w:vAlign w:val="center"/>
          </w:tcPr>
          <w:p w14:paraId="36FC1540" w14:textId="6FE12A23" w:rsidR="003334C2" w:rsidRPr="002100AE" w:rsidRDefault="003334C2" w:rsidP="00F675E2">
            <w:pPr>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L</w:t>
            </w:r>
            <w:r w:rsidRPr="002100AE">
              <w:rPr>
                <w:rFonts w:eastAsia="MS Mincho" w:cs="Times New Roman" w:hint="eastAsia"/>
                <w:color w:val="auto"/>
                <w:kern w:val="2"/>
                <w:szCs w:val="20"/>
                <w:lang w:eastAsia="ja-JP"/>
              </w:rPr>
              <w:t>inguistics and education</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38F695E2" w14:textId="2C1A8258"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540" w:type="dxa"/>
            <w:shd w:val="clear" w:color="auto" w:fill="FFFFFF" w:themeFill="background1"/>
            <w:vAlign w:val="center"/>
          </w:tcPr>
          <w:p w14:paraId="001F77BE" w14:textId="100726BD" w:rsidR="003334C2" w:rsidRPr="002100AE" w:rsidRDefault="003334C2" w:rsidP="00F675E2">
            <w:pPr>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93</w:t>
            </w:r>
          </w:p>
        </w:tc>
        <w:tc>
          <w:tcPr>
            <w:cnfStyle w:val="000010000000" w:firstRow="0" w:lastRow="0" w:firstColumn="0" w:lastColumn="0" w:oddVBand="1" w:evenVBand="0" w:oddHBand="0" w:evenHBand="0" w:firstRowFirstColumn="0" w:firstRowLastColumn="0" w:lastRowFirstColumn="0" w:lastRowLastColumn="0"/>
            <w:tcW w:w="1530" w:type="dxa"/>
            <w:shd w:val="clear" w:color="auto" w:fill="FFFFFF" w:themeFill="background1"/>
            <w:vAlign w:val="center"/>
          </w:tcPr>
          <w:p w14:paraId="56A8C420" w14:textId="7D65E00C" w:rsidR="003334C2" w:rsidRPr="002100AE" w:rsidRDefault="003334C2" w:rsidP="00F675E2">
            <w:pPr>
              <w:autoSpaceDE w:val="0"/>
              <w:autoSpaceDN w:val="0"/>
              <w:adjustRightInd w:val="0"/>
              <w:spacing w:line="360" w:lineRule="auto"/>
              <w:ind w:left="60" w:right="60" w:firstLine="0"/>
              <w:jc w:val="left"/>
              <w:rPr>
                <w:color w:val="auto"/>
              </w:rPr>
            </w:pPr>
            <w:r w:rsidRPr="002100AE">
              <w:rPr>
                <w:rFonts w:eastAsia="MS Mincho" w:cs="Times New Roman"/>
                <w:color w:val="auto"/>
                <w:kern w:val="2"/>
                <w:szCs w:val="20"/>
                <w:lang w:eastAsia="ja-JP"/>
              </w:rPr>
              <w:t>E</w:t>
            </w:r>
            <w:r w:rsidRPr="002100AE">
              <w:rPr>
                <w:rFonts w:eastAsia="MS Mincho" w:cs="Times New Roman" w:hint="eastAsia"/>
                <w:color w:val="auto"/>
                <w:kern w:val="2"/>
                <w:szCs w:val="20"/>
                <w:lang w:eastAsia="ja-JP"/>
              </w:rPr>
              <w:t>nglish for specific purposes</w:t>
            </w:r>
          </w:p>
        </w:tc>
        <w:tc>
          <w:tcPr>
            <w:tcW w:w="540" w:type="dxa"/>
            <w:shd w:val="clear" w:color="auto" w:fill="FFFFFF" w:themeFill="background1"/>
            <w:vAlign w:val="center"/>
          </w:tcPr>
          <w:p w14:paraId="18B641DF" w14:textId="48511FD3" w:rsidR="003334C2" w:rsidRPr="002100AE" w:rsidRDefault="003334C2" w:rsidP="00F675E2">
            <w:pPr>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34</w:t>
            </w:r>
          </w:p>
        </w:tc>
        <w:tc>
          <w:tcPr>
            <w:cnfStyle w:val="000010000000" w:firstRow="0" w:lastRow="0" w:firstColumn="0" w:lastColumn="0" w:oddVBand="1" w:evenVBand="0" w:oddHBand="0" w:evenHBand="0" w:firstRowFirstColumn="0" w:firstRowLastColumn="0" w:lastRowFirstColumn="0" w:lastRowLastColumn="0"/>
            <w:tcW w:w="720" w:type="dxa"/>
            <w:shd w:val="clear" w:color="auto" w:fill="FFFFFF" w:themeFill="background1"/>
            <w:vAlign w:val="center"/>
          </w:tcPr>
          <w:p w14:paraId="4A706047" w14:textId="6B3EB80B"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494</w:t>
            </w:r>
          </w:p>
        </w:tc>
        <w:tc>
          <w:tcPr>
            <w:tcW w:w="1620" w:type="dxa"/>
            <w:shd w:val="clear" w:color="auto" w:fill="FFFFFF" w:themeFill="background1"/>
            <w:vAlign w:val="center"/>
          </w:tcPr>
          <w:p w14:paraId="7C5A72B2" w14:textId="60276865" w:rsidR="003334C2" w:rsidRPr="002100AE" w:rsidRDefault="003334C2" w:rsidP="00F675E2">
            <w:pPr>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L</w:t>
            </w:r>
            <w:r w:rsidRPr="002100AE">
              <w:rPr>
                <w:rFonts w:eastAsia="MS Mincho" w:cs="Times New Roman" w:hint="eastAsia"/>
                <w:color w:val="auto"/>
                <w:kern w:val="2"/>
                <w:szCs w:val="20"/>
                <w:lang w:eastAsia="ja-JP"/>
              </w:rPr>
              <w:t>inguistics and education</w:t>
            </w:r>
          </w:p>
        </w:tc>
        <w:tc>
          <w:tcPr>
            <w:cnfStyle w:val="000010000000" w:firstRow="0" w:lastRow="0" w:firstColumn="0" w:lastColumn="0" w:oddVBand="1" w:evenVBand="0" w:oddHBand="0" w:evenHBand="0" w:firstRowFirstColumn="0" w:firstRowLastColumn="0" w:lastRowFirstColumn="0" w:lastRowLastColumn="0"/>
            <w:tcW w:w="540" w:type="dxa"/>
            <w:shd w:val="clear" w:color="auto" w:fill="FFFFFF" w:themeFill="background1"/>
            <w:vAlign w:val="center"/>
          </w:tcPr>
          <w:p w14:paraId="7E1C6493" w14:textId="62DCC1D5"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720" w:type="dxa"/>
            <w:shd w:val="clear" w:color="auto" w:fill="FFFFFF" w:themeFill="background1"/>
            <w:vAlign w:val="center"/>
          </w:tcPr>
          <w:p w14:paraId="3719531E" w14:textId="4A04EBBC" w:rsidR="003334C2" w:rsidRPr="002100AE" w:rsidRDefault="003334C2" w:rsidP="00F675E2">
            <w:pPr>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93</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411646AB" w14:textId="39D45F98"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49</w:t>
            </w:r>
          </w:p>
        </w:tc>
      </w:tr>
      <w:tr w:rsidR="00190FC8" w:rsidRPr="002100AE" w14:paraId="48D458F1" w14:textId="0EA1EF88" w:rsidTr="00F907C6">
        <w:trPr>
          <w:cnfStyle w:val="000000100000" w:firstRow="0" w:lastRow="0" w:firstColumn="0" w:lastColumn="0" w:oddVBand="0" w:evenVBand="0" w:oddHBand="1" w:evenHBand="0" w:firstRowFirstColumn="0" w:firstRowLastColumn="0" w:lastRowFirstColumn="0" w:lastRowLastColumn="0"/>
          <w:cantSplit/>
          <w:trHeight w:val="720"/>
        </w:trPr>
        <w:tc>
          <w:tcPr>
            <w:cnfStyle w:val="000010000000" w:firstRow="0" w:lastRow="0" w:firstColumn="0" w:lastColumn="0" w:oddVBand="1" w:evenVBand="0" w:oddHBand="0" w:evenHBand="0" w:firstRowFirstColumn="0" w:firstRowLastColumn="0" w:lastRowFirstColumn="0" w:lastRowLastColumn="0"/>
            <w:tcW w:w="270" w:type="dxa"/>
            <w:tcBorders>
              <w:bottom w:val="single" w:sz="4" w:space="0" w:color="auto"/>
            </w:tcBorders>
            <w:shd w:val="clear" w:color="auto" w:fill="FFFFFF" w:themeFill="background1"/>
            <w:vAlign w:val="center"/>
          </w:tcPr>
          <w:p w14:paraId="0208BCFC" w14:textId="23640AF5" w:rsidR="003334C2" w:rsidRPr="002100AE" w:rsidRDefault="003334C2" w:rsidP="00F675E2">
            <w:pPr>
              <w:autoSpaceDE w:val="0"/>
              <w:autoSpaceDN w:val="0"/>
              <w:adjustRightInd w:val="0"/>
              <w:spacing w:line="360" w:lineRule="auto"/>
              <w:ind w:left="60" w:right="60" w:firstLine="0"/>
              <w:jc w:val="left"/>
              <w:rPr>
                <w:color w:val="auto"/>
              </w:rPr>
            </w:pPr>
            <w:r w:rsidRPr="002100AE">
              <w:rPr>
                <w:rFonts w:eastAsia="MS Mincho" w:cs="Times New Roman" w:hint="eastAsia"/>
                <w:color w:val="auto"/>
                <w:kern w:val="2"/>
                <w:szCs w:val="20"/>
                <w:lang w:eastAsia="ja-JP"/>
              </w:rPr>
              <w:lastRenderedPageBreak/>
              <w:t>5</w:t>
            </w:r>
          </w:p>
        </w:tc>
        <w:tc>
          <w:tcPr>
            <w:tcW w:w="1620" w:type="dxa"/>
            <w:tcBorders>
              <w:bottom w:val="single" w:sz="4" w:space="0" w:color="auto"/>
            </w:tcBorders>
            <w:shd w:val="clear" w:color="auto" w:fill="FFFFFF" w:themeFill="background1"/>
            <w:vAlign w:val="center"/>
          </w:tcPr>
          <w:p w14:paraId="2446BD2E" w14:textId="50053072" w:rsidR="003334C2" w:rsidRPr="002100AE" w:rsidRDefault="003334C2"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color w:val="auto"/>
                <w:kern w:val="2"/>
                <w:szCs w:val="20"/>
                <w:lang w:eastAsia="ja-JP"/>
              </w:rPr>
              <w:t>W</w:t>
            </w:r>
            <w:r w:rsidRPr="002100AE">
              <w:rPr>
                <w:rFonts w:eastAsia="MS Mincho" w:cs="Times New Roman" w:hint="eastAsia"/>
                <w:color w:val="auto"/>
                <w:kern w:val="2"/>
                <w:szCs w:val="20"/>
                <w:lang w:eastAsia="ja-JP"/>
              </w:rPr>
              <w:t>ritten communication</w:t>
            </w:r>
          </w:p>
        </w:tc>
        <w:tc>
          <w:tcPr>
            <w:cnfStyle w:val="000010000000" w:firstRow="0" w:lastRow="0" w:firstColumn="0" w:lastColumn="0" w:oddVBand="1" w:evenVBand="0" w:oddHBand="0" w:evenHBand="0" w:firstRowFirstColumn="0" w:firstRowLastColumn="0" w:lastRowFirstColumn="0" w:lastRowLastColumn="0"/>
            <w:tcW w:w="630" w:type="dxa"/>
            <w:tcBorders>
              <w:bottom w:val="single" w:sz="4" w:space="0" w:color="auto"/>
            </w:tcBorders>
            <w:shd w:val="clear" w:color="auto" w:fill="FFFFFF" w:themeFill="background1"/>
            <w:vAlign w:val="center"/>
          </w:tcPr>
          <w:p w14:paraId="5868A452" w14:textId="72205E47"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540" w:type="dxa"/>
            <w:tcBorders>
              <w:bottom w:val="single" w:sz="4" w:space="0" w:color="auto"/>
            </w:tcBorders>
            <w:shd w:val="clear" w:color="auto" w:fill="FFFFFF" w:themeFill="background1"/>
            <w:vAlign w:val="center"/>
          </w:tcPr>
          <w:p w14:paraId="3088BE0E" w14:textId="5ECDB3F7" w:rsidR="003334C2" w:rsidRPr="002100AE" w:rsidRDefault="003334C2"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78</w:t>
            </w:r>
          </w:p>
        </w:tc>
        <w:tc>
          <w:tcPr>
            <w:cnfStyle w:val="000010000000" w:firstRow="0" w:lastRow="0" w:firstColumn="0" w:lastColumn="0" w:oddVBand="1" w:evenVBand="0" w:oddHBand="0" w:evenHBand="0" w:firstRowFirstColumn="0" w:firstRowLastColumn="0" w:lastRowFirstColumn="0" w:lastRowLastColumn="0"/>
            <w:tcW w:w="1530" w:type="dxa"/>
            <w:tcBorders>
              <w:bottom w:val="single" w:sz="4" w:space="0" w:color="auto"/>
            </w:tcBorders>
            <w:shd w:val="clear" w:color="auto" w:fill="FFFFFF" w:themeFill="background1"/>
            <w:vAlign w:val="center"/>
          </w:tcPr>
          <w:p w14:paraId="6EE51445" w14:textId="72B609B2" w:rsidR="003334C2" w:rsidRPr="002100AE" w:rsidRDefault="003334C2" w:rsidP="00F675E2">
            <w:pPr>
              <w:autoSpaceDE w:val="0"/>
              <w:autoSpaceDN w:val="0"/>
              <w:adjustRightInd w:val="0"/>
              <w:spacing w:line="360" w:lineRule="auto"/>
              <w:ind w:left="60" w:right="60" w:firstLine="0"/>
              <w:jc w:val="left"/>
              <w:rPr>
                <w:color w:val="auto"/>
              </w:rPr>
            </w:pPr>
            <w:r w:rsidRPr="002100AE">
              <w:rPr>
                <w:rFonts w:eastAsia="MS Mincho" w:cs="Times New Roman"/>
                <w:color w:val="auto"/>
                <w:kern w:val="2"/>
                <w:szCs w:val="20"/>
                <w:lang w:eastAsia="ja-JP"/>
              </w:rPr>
              <w:t>E</w:t>
            </w:r>
            <w:r w:rsidRPr="002100AE">
              <w:rPr>
                <w:rFonts w:eastAsia="MS Mincho" w:cs="Times New Roman" w:hint="eastAsia"/>
                <w:color w:val="auto"/>
                <w:kern w:val="2"/>
                <w:szCs w:val="20"/>
                <w:lang w:eastAsia="ja-JP"/>
              </w:rPr>
              <w:t xml:space="preserve">valuation in text: </w:t>
            </w:r>
            <w:r w:rsidR="00D13835">
              <w:rPr>
                <w:rFonts w:eastAsia="MS Mincho" w:cs="Times New Roman"/>
                <w:color w:val="auto"/>
                <w:kern w:val="2"/>
                <w:szCs w:val="20"/>
                <w:lang w:eastAsia="ja-JP"/>
              </w:rPr>
              <w:t>A</w:t>
            </w:r>
            <w:r w:rsidRPr="002100AE">
              <w:rPr>
                <w:rFonts w:eastAsia="MS Mincho" w:cs="Times New Roman" w:hint="eastAsia"/>
                <w:color w:val="auto"/>
                <w:kern w:val="2"/>
                <w:szCs w:val="20"/>
                <w:lang w:eastAsia="ja-JP"/>
              </w:rPr>
              <w:t xml:space="preserve">uthorial stance and the construction of </w:t>
            </w:r>
            <w:r w:rsidR="00D13835">
              <w:rPr>
                <w:rFonts w:eastAsia="MS Mincho" w:cs="Times New Roman"/>
                <w:color w:val="auto"/>
                <w:kern w:val="2"/>
                <w:szCs w:val="20"/>
                <w:lang w:eastAsia="ja-JP"/>
              </w:rPr>
              <w:t>D</w:t>
            </w:r>
            <w:r w:rsidRPr="002100AE">
              <w:rPr>
                <w:rFonts w:eastAsia="MS Mincho" w:cs="Times New Roman" w:hint="eastAsia"/>
                <w:color w:val="auto"/>
                <w:kern w:val="2"/>
                <w:szCs w:val="20"/>
                <w:lang w:eastAsia="ja-JP"/>
              </w:rPr>
              <w:t>iscourse</w:t>
            </w:r>
          </w:p>
        </w:tc>
        <w:tc>
          <w:tcPr>
            <w:tcW w:w="540" w:type="dxa"/>
            <w:tcBorders>
              <w:bottom w:val="single" w:sz="4" w:space="0" w:color="auto"/>
            </w:tcBorders>
            <w:shd w:val="clear" w:color="auto" w:fill="FFFFFF" w:themeFill="background1"/>
            <w:vAlign w:val="center"/>
          </w:tcPr>
          <w:p w14:paraId="496A2510" w14:textId="3EEFAD1B" w:rsidR="003334C2" w:rsidRPr="002100AE" w:rsidRDefault="003334C2"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27</w:t>
            </w:r>
          </w:p>
        </w:tc>
        <w:tc>
          <w:tcPr>
            <w:cnfStyle w:val="000010000000" w:firstRow="0" w:lastRow="0" w:firstColumn="0" w:lastColumn="0" w:oddVBand="1" w:evenVBand="0" w:oddHBand="0" w:evenHBand="0" w:firstRowFirstColumn="0" w:firstRowLastColumn="0" w:lastRowFirstColumn="0" w:lastRowLastColumn="0"/>
            <w:tcW w:w="720" w:type="dxa"/>
            <w:tcBorders>
              <w:bottom w:val="single" w:sz="4" w:space="0" w:color="auto"/>
            </w:tcBorders>
            <w:shd w:val="clear" w:color="auto" w:fill="FFFFFF" w:themeFill="background1"/>
            <w:vAlign w:val="center"/>
          </w:tcPr>
          <w:p w14:paraId="76A1F52E" w14:textId="0BD0B3DD"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249</w:t>
            </w:r>
          </w:p>
        </w:tc>
        <w:tc>
          <w:tcPr>
            <w:tcW w:w="1620" w:type="dxa"/>
            <w:tcBorders>
              <w:bottom w:val="single" w:sz="4" w:space="0" w:color="auto"/>
            </w:tcBorders>
            <w:shd w:val="clear" w:color="auto" w:fill="FFFFFF" w:themeFill="background1"/>
            <w:vAlign w:val="center"/>
          </w:tcPr>
          <w:p w14:paraId="50E31020" w14:textId="6090CA99" w:rsidR="003334C2" w:rsidRPr="002100AE" w:rsidRDefault="003334C2"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color w:val="auto"/>
                <w:kern w:val="2"/>
                <w:szCs w:val="20"/>
                <w:lang w:eastAsia="ja-JP"/>
              </w:rPr>
              <w:t>W</w:t>
            </w:r>
            <w:r w:rsidRPr="002100AE">
              <w:rPr>
                <w:rFonts w:eastAsia="MS Mincho" w:cs="Times New Roman" w:hint="eastAsia"/>
                <w:color w:val="auto"/>
                <w:kern w:val="2"/>
                <w:szCs w:val="20"/>
                <w:lang w:eastAsia="ja-JP"/>
              </w:rPr>
              <w:t>ritten communication</w:t>
            </w:r>
          </w:p>
        </w:tc>
        <w:tc>
          <w:tcPr>
            <w:cnfStyle w:val="000010000000" w:firstRow="0" w:lastRow="0" w:firstColumn="0" w:lastColumn="0" w:oddVBand="1" w:evenVBand="0" w:oddHBand="0" w:evenHBand="0" w:firstRowFirstColumn="0" w:firstRowLastColumn="0" w:lastRowFirstColumn="0" w:lastRowLastColumn="0"/>
            <w:tcW w:w="540" w:type="dxa"/>
            <w:tcBorders>
              <w:bottom w:val="single" w:sz="4" w:space="0" w:color="auto"/>
            </w:tcBorders>
            <w:shd w:val="clear" w:color="auto" w:fill="FFFFFF" w:themeFill="background1"/>
            <w:vAlign w:val="center"/>
          </w:tcPr>
          <w:p w14:paraId="41A6E83A" w14:textId="2DB93AF5"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720" w:type="dxa"/>
            <w:tcBorders>
              <w:bottom w:val="single" w:sz="4" w:space="0" w:color="auto"/>
            </w:tcBorders>
            <w:shd w:val="clear" w:color="auto" w:fill="FFFFFF" w:themeFill="background1"/>
            <w:vAlign w:val="center"/>
          </w:tcPr>
          <w:p w14:paraId="626ACCF7" w14:textId="361787A5" w:rsidR="003334C2" w:rsidRPr="002100AE" w:rsidRDefault="003334C2"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78</w:t>
            </w:r>
          </w:p>
        </w:tc>
        <w:tc>
          <w:tcPr>
            <w:cnfStyle w:val="000010000000" w:firstRow="0" w:lastRow="0" w:firstColumn="0" w:lastColumn="0" w:oddVBand="1" w:evenVBand="0" w:oddHBand="0" w:evenHBand="0" w:firstRowFirstColumn="0" w:firstRowLastColumn="0" w:lastRowFirstColumn="0" w:lastRowLastColumn="0"/>
            <w:tcW w:w="630" w:type="dxa"/>
            <w:tcBorders>
              <w:bottom w:val="single" w:sz="4" w:space="0" w:color="auto"/>
            </w:tcBorders>
            <w:shd w:val="clear" w:color="auto" w:fill="FFFFFF" w:themeFill="background1"/>
            <w:vAlign w:val="center"/>
          </w:tcPr>
          <w:p w14:paraId="756EECF9" w14:textId="3FBB9916" w:rsidR="003334C2" w:rsidRPr="002100AE" w:rsidRDefault="003334C2"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34</w:t>
            </w:r>
          </w:p>
        </w:tc>
      </w:tr>
    </w:tbl>
    <w:p w14:paraId="1A5E3C26" w14:textId="13B072DF" w:rsidR="002B27BE" w:rsidRPr="002100AE" w:rsidRDefault="002B27BE" w:rsidP="00F675E2">
      <w:pPr>
        <w:pStyle w:val="RALs-Heading3"/>
        <w:spacing w:after="120" w:line="480" w:lineRule="auto"/>
        <w:ind w:left="288" w:hanging="288"/>
        <w:rPr>
          <w:rFonts w:asciiTheme="majorBidi" w:hAnsiTheme="majorBidi" w:cstheme="majorBidi"/>
          <w:sz w:val="24"/>
          <w:szCs w:val="24"/>
          <w:lang w:val="vi-VN"/>
        </w:rPr>
      </w:pPr>
      <w:r w:rsidRPr="002100AE">
        <w:rPr>
          <w:rFonts w:asciiTheme="majorBidi" w:hAnsiTheme="majorBidi" w:cstheme="majorBidi"/>
          <w:sz w:val="24"/>
          <w:szCs w:val="24"/>
        </w:rPr>
        <w:t>4.2.2. Prolific Authors</w:t>
      </w:r>
    </w:p>
    <w:p w14:paraId="27DEFB5B" w14:textId="77777777" w:rsidR="00355913" w:rsidRPr="00355913" w:rsidRDefault="00355913" w:rsidP="00355913">
      <w:pPr>
        <w:spacing w:before="0" w:after="120" w:line="480" w:lineRule="auto"/>
        <w:rPr>
          <w:rFonts w:asciiTheme="majorBidi" w:hAnsiTheme="majorBidi" w:cstheme="majorBidi"/>
          <w:sz w:val="24"/>
          <w:szCs w:val="24"/>
          <w:lang w:val="vi-VN"/>
        </w:rPr>
      </w:pPr>
      <w:r w:rsidRPr="00355913">
        <w:rPr>
          <w:rFonts w:asciiTheme="majorBidi" w:hAnsiTheme="majorBidi" w:cstheme="majorBidi"/>
          <w:sz w:val="24"/>
          <w:szCs w:val="24"/>
          <w:lang w:val="vi-VN"/>
        </w:rPr>
        <w:t>Table 3 gives information about the most prolific authors in the field of Appraisal Theory on the basis of the indicators of documents, citations, and total link strength. These reflect the productivity of individual scholars and their academic impact and connectivity to the international research network. The data sets out a clear distinction between authors with many publications and low citations and authors with few publications and high citation counts. For example, Yadan Li with two documents (no recorded citations) and an overall link strength of 67, convinced others that her work is well embedded in the research network despite having a limited direct citation impact. Ana Llinares and Ryan T. Miller are two other authors who have also published two documents each, with 53 and 80 citations, respectively, which shows that they have made a major impact in this field. Gordon Mmyskow and Yilong Yang also each have three documents, and they have strong connectivity with total link strengths of 78 and 86, respectively, which shows their role in linking different strands of research.</w:t>
      </w:r>
    </w:p>
    <w:p w14:paraId="6E1727C7" w14:textId="38A98401" w:rsidR="00355913" w:rsidRPr="002100AE" w:rsidRDefault="00355913" w:rsidP="00355913">
      <w:pPr>
        <w:spacing w:before="0" w:after="120" w:line="480" w:lineRule="auto"/>
        <w:rPr>
          <w:rFonts w:asciiTheme="majorBidi" w:hAnsiTheme="majorBidi" w:cstheme="majorBidi"/>
          <w:sz w:val="24"/>
          <w:szCs w:val="24"/>
          <w:lang w:val="vi-VN"/>
        </w:rPr>
      </w:pPr>
      <w:r w:rsidRPr="00355913">
        <w:rPr>
          <w:rFonts w:asciiTheme="majorBidi" w:hAnsiTheme="majorBidi" w:cstheme="majorBidi"/>
          <w:sz w:val="24"/>
          <w:szCs w:val="24"/>
          <w:lang w:val="vi-VN"/>
        </w:rPr>
        <w:t xml:space="preserve">Moreover, a number of long-standing influential scholars like M.A.K. Halliday, J.R. Martin, K. Hyland, S. Hood, and D. Rose appear to be distinguished with the number of citations from 24 to 58 and extremely high total link strengths (134–295). Those figures mark their roles in the evolution and utilization of Appraisal Theory. In summary, Table 3 demonstrates authors with considerable </w:t>
      </w:r>
      <w:r w:rsidR="00F907C6">
        <w:rPr>
          <w:rFonts w:asciiTheme="majorBidi" w:hAnsiTheme="majorBidi" w:cstheme="majorBidi"/>
          <w:sz w:val="24"/>
          <w:szCs w:val="24"/>
          <w:lang w:val="vi-VN"/>
        </w:rPr>
        <w:t>contributions</w:t>
      </w:r>
      <w:r w:rsidRPr="00355913">
        <w:rPr>
          <w:rFonts w:asciiTheme="majorBidi" w:hAnsiTheme="majorBidi" w:cstheme="majorBidi"/>
          <w:sz w:val="24"/>
          <w:szCs w:val="24"/>
          <w:lang w:val="vi-VN"/>
        </w:rPr>
        <w:t xml:space="preserve"> to the research on Appraisal Theory, from new scholars who have a strong connection to the network to established figures whose work on theory and pedagogy continues to influence the field.</w:t>
      </w:r>
    </w:p>
    <w:p w14:paraId="262ED62F" w14:textId="27B96C70" w:rsidR="00D02C31" w:rsidRPr="002100AE" w:rsidRDefault="00D02C31" w:rsidP="00F907C6">
      <w:pPr>
        <w:pStyle w:val="RALs-TableCaption"/>
        <w:keepLines/>
        <w:rPr>
          <w:rFonts w:asciiTheme="majorBidi" w:hAnsiTheme="majorBidi" w:cstheme="majorBidi"/>
          <w:b/>
          <w:bCs/>
          <w:sz w:val="24"/>
          <w:szCs w:val="24"/>
          <w:lang w:val="vi-VN"/>
        </w:rPr>
      </w:pPr>
      <w:r w:rsidRPr="002100AE">
        <w:rPr>
          <w:rFonts w:asciiTheme="majorBidi" w:hAnsiTheme="majorBidi" w:cstheme="majorBidi"/>
          <w:b/>
          <w:bCs/>
          <w:sz w:val="24"/>
          <w:szCs w:val="24"/>
        </w:rPr>
        <w:lastRenderedPageBreak/>
        <w:t>Table 3</w:t>
      </w:r>
    </w:p>
    <w:p w14:paraId="6DDB94AD" w14:textId="20913BF0" w:rsidR="00D02C31" w:rsidRPr="002100AE" w:rsidRDefault="00D02C31" w:rsidP="00F907C6">
      <w:pPr>
        <w:pStyle w:val="RALs-TableCaption"/>
        <w:keepLines/>
        <w:ind w:left="0" w:firstLine="0"/>
        <w:rPr>
          <w:rFonts w:asciiTheme="majorBidi" w:hAnsiTheme="majorBidi" w:cstheme="majorBidi"/>
          <w:sz w:val="24"/>
          <w:szCs w:val="24"/>
        </w:rPr>
      </w:pPr>
      <w:r w:rsidRPr="002100AE">
        <w:rPr>
          <w:rFonts w:asciiTheme="majorBidi" w:hAnsiTheme="majorBidi" w:cstheme="majorBidi"/>
          <w:i/>
          <w:iCs/>
          <w:sz w:val="24"/>
          <w:szCs w:val="24"/>
        </w:rPr>
        <w:t xml:space="preserve">Prolific Authors in Appraisal Theory Research </w:t>
      </w:r>
    </w:p>
    <w:tbl>
      <w:tblPr>
        <w:tblStyle w:val="LightShading1"/>
        <w:tblW w:w="9360" w:type="dxa"/>
        <w:tblInd w:w="-180" w:type="dxa"/>
        <w:tblBorders>
          <w:top w:val="none" w:sz="0" w:space="0" w:color="auto"/>
          <w:bottom w:val="none" w:sz="0" w:space="0" w:color="auto"/>
        </w:tblBorders>
        <w:shd w:val="clear" w:color="auto" w:fill="FFFFFF" w:themeFill="background1"/>
        <w:tblLayout w:type="fixed"/>
        <w:tblLook w:val="0000" w:firstRow="0" w:lastRow="0" w:firstColumn="0" w:lastColumn="0" w:noHBand="0" w:noVBand="0"/>
      </w:tblPr>
      <w:tblGrid>
        <w:gridCol w:w="179"/>
        <w:gridCol w:w="270"/>
        <w:gridCol w:w="1247"/>
        <w:gridCol w:w="722"/>
        <w:gridCol w:w="640"/>
        <w:gridCol w:w="82"/>
        <w:gridCol w:w="1267"/>
        <w:gridCol w:w="722"/>
        <w:gridCol w:w="722"/>
        <w:gridCol w:w="1248"/>
        <w:gridCol w:w="722"/>
        <w:gridCol w:w="722"/>
        <w:gridCol w:w="722"/>
        <w:gridCol w:w="95"/>
      </w:tblGrid>
      <w:tr w:rsidR="003B7797" w:rsidRPr="00B53319" w14:paraId="17594F61" w14:textId="77777777" w:rsidTr="003B7797">
        <w:trPr>
          <w:cnfStyle w:val="000000100000" w:firstRow="0" w:lastRow="0" w:firstColumn="0" w:lastColumn="0" w:oddVBand="0" w:evenVBand="0" w:oddHBand="1" w:evenHBand="0" w:firstRowFirstColumn="0" w:firstRowLastColumn="0" w:lastRowFirstColumn="0" w:lastRowLastColumn="0"/>
          <w:trHeight w:val="521"/>
        </w:trPr>
        <w:tc>
          <w:tcPr>
            <w:cnfStyle w:val="000010000000" w:firstRow="0" w:lastRow="0" w:firstColumn="0" w:lastColumn="0" w:oddVBand="1" w:evenVBand="0" w:oddHBand="0" w:evenHBand="0" w:firstRowFirstColumn="0" w:firstRowLastColumn="0" w:lastRowFirstColumn="0" w:lastRowLastColumn="0"/>
            <w:tcW w:w="3060" w:type="dxa"/>
            <w:gridSpan w:val="5"/>
            <w:tcBorders>
              <w:top w:val="single" w:sz="4" w:space="0" w:color="auto"/>
              <w:bottom w:val="single" w:sz="4" w:space="0" w:color="auto"/>
            </w:tcBorders>
            <w:shd w:val="clear" w:color="auto" w:fill="FFFFFF" w:themeFill="background1"/>
            <w:vAlign w:val="center"/>
          </w:tcPr>
          <w:p w14:paraId="0C9425E8" w14:textId="77777777" w:rsidR="003B7797" w:rsidRPr="00B53319" w:rsidRDefault="003B7797" w:rsidP="005371AA">
            <w:pPr>
              <w:autoSpaceDE w:val="0"/>
              <w:autoSpaceDN w:val="0"/>
              <w:adjustRightInd w:val="0"/>
              <w:spacing w:line="360" w:lineRule="auto"/>
              <w:ind w:right="60" w:firstLine="0"/>
              <w:jc w:val="center"/>
              <w:rPr>
                <w:rFonts w:eastAsia="MS Mincho" w:cs="Times New Roman"/>
                <w:color w:val="FF0000"/>
                <w:kern w:val="2"/>
                <w:szCs w:val="20"/>
                <w:lang w:eastAsia="ja-JP"/>
              </w:rPr>
            </w:pPr>
            <w:r w:rsidRPr="00B53319">
              <w:rPr>
                <w:rFonts w:eastAsia="MS Mincho" w:cs="Times New Roman"/>
                <w:color w:val="FF0000"/>
                <w:kern w:val="2"/>
                <w:szCs w:val="20"/>
                <w:lang w:eastAsia="ja-JP"/>
              </w:rPr>
              <w:t>Citation</w:t>
            </w:r>
          </w:p>
        </w:tc>
        <w:tc>
          <w:tcPr>
            <w:tcW w:w="2790" w:type="dxa"/>
            <w:gridSpan w:val="4"/>
            <w:tcBorders>
              <w:top w:val="single" w:sz="4" w:space="0" w:color="auto"/>
              <w:bottom w:val="single" w:sz="4" w:space="0" w:color="auto"/>
            </w:tcBorders>
            <w:shd w:val="clear" w:color="auto" w:fill="FFFFFF" w:themeFill="background1"/>
            <w:vAlign w:val="center"/>
          </w:tcPr>
          <w:p w14:paraId="2A7EDDAB" w14:textId="77777777" w:rsidR="003B7797" w:rsidRPr="00B53319" w:rsidRDefault="003B7797" w:rsidP="005371AA">
            <w:pPr>
              <w:autoSpaceDE w:val="0"/>
              <w:autoSpaceDN w:val="0"/>
              <w:adjustRightInd w:val="0"/>
              <w:spacing w:line="360" w:lineRule="auto"/>
              <w:ind w:right="60" w:firstLine="0"/>
              <w:jc w:val="center"/>
              <w:cnfStyle w:val="000000100000" w:firstRow="0" w:lastRow="0" w:firstColumn="0" w:lastColumn="0" w:oddVBand="0" w:evenVBand="0" w:oddHBand="1" w:evenHBand="0" w:firstRowFirstColumn="0" w:firstRowLastColumn="0" w:lastRowFirstColumn="0" w:lastRowLastColumn="0"/>
              <w:rPr>
                <w:rFonts w:eastAsia="MS Mincho" w:cs="Times New Roman"/>
                <w:color w:val="FF0000"/>
                <w:kern w:val="2"/>
                <w:szCs w:val="20"/>
                <w:lang w:eastAsia="ja-JP"/>
              </w:rPr>
            </w:pPr>
            <w:r w:rsidRPr="00B53319">
              <w:rPr>
                <w:rFonts w:eastAsia="MS Mincho" w:cs="Times New Roman"/>
                <w:color w:val="FF0000"/>
                <w:kern w:val="2"/>
                <w:szCs w:val="20"/>
                <w:lang w:eastAsia="ja-JP"/>
              </w:rPr>
              <w:t>Co-Citation</w:t>
            </w:r>
          </w:p>
        </w:tc>
        <w:tc>
          <w:tcPr>
            <w:cnfStyle w:val="000010000000" w:firstRow="0" w:lastRow="0" w:firstColumn="0" w:lastColumn="0" w:oddVBand="1" w:evenVBand="0" w:oddHBand="0" w:evenHBand="0" w:firstRowFirstColumn="0" w:firstRowLastColumn="0" w:lastRowFirstColumn="0" w:lastRowLastColumn="0"/>
            <w:tcW w:w="3510" w:type="dxa"/>
            <w:gridSpan w:val="5"/>
            <w:tcBorders>
              <w:top w:val="single" w:sz="4" w:space="0" w:color="auto"/>
              <w:bottom w:val="single" w:sz="4" w:space="0" w:color="auto"/>
            </w:tcBorders>
            <w:shd w:val="clear" w:color="auto" w:fill="FFFFFF" w:themeFill="background1"/>
            <w:vAlign w:val="center"/>
          </w:tcPr>
          <w:p w14:paraId="600ABF49" w14:textId="77777777" w:rsidR="003B7797" w:rsidRPr="00B53319" w:rsidRDefault="003B7797" w:rsidP="005371AA">
            <w:pPr>
              <w:autoSpaceDE w:val="0"/>
              <w:autoSpaceDN w:val="0"/>
              <w:adjustRightInd w:val="0"/>
              <w:spacing w:line="360" w:lineRule="auto"/>
              <w:ind w:right="60" w:firstLine="0"/>
              <w:jc w:val="center"/>
              <w:rPr>
                <w:rFonts w:eastAsia="MS Mincho" w:cs="Times New Roman"/>
                <w:color w:val="FF0000"/>
                <w:kern w:val="2"/>
                <w:szCs w:val="20"/>
                <w:lang w:eastAsia="ja-JP"/>
              </w:rPr>
            </w:pPr>
            <w:r w:rsidRPr="00B53319">
              <w:rPr>
                <w:rFonts w:eastAsia="MS Mincho" w:cs="Times New Roman"/>
                <w:color w:val="FF0000"/>
                <w:kern w:val="2"/>
                <w:szCs w:val="20"/>
                <w:lang w:eastAsia="ja-JP"/>
              </w:rPr>
              <w:t>Bibliographic Coupling</w:t>
            </w:r>
          </w:p>
        </w:tc>
      </w:tr>
      <w:tr w:rsidR="00190FC8" w:rsidRPr="002100AE" w14:paraId="6666F885" w14:textId="77777777" w:rsidTr="003B7797">
        <w:trPr>
          <w:gridBefore w:val="1"/>
          <w:gridAfter w:val="1"/>
          <w:wBefore w:w="180" w:type="dxa"/>
          <w:wAfter w:w="91" w:type="dxa"/>
          <w:cantSplit/>
          <w:trHeight w:val="1728"/>
        </w:trPr>
        <w:tc>
          <w:tcPr>
            <w:cnfStyle w:val="000010000000" w:firstRow="0" w:lastRow="0" w:firstColumn="0" w:lastColumn="0" w:oddVBand="1" w:evenVBand="0" w:oddHBand="0" w:evenHBand="0" w:firstRowFirstColumn="0" w:firstRowLastColumn="0" w:lastRowFirstColumn="0" w:lastRowLastColumn="0"/>
            <w:tcW w:w="270" w:type="dxa"/>
            <w:tcBorders>
              <w:top w:val="single" w:sz="4" w:space="0" w:color="auto"/>
              <w:bottom w:val="single" w:sz="4" w:space="0" w:color="auto"/>
            </w:tcBorders>
            <w:shd w:val="clear" w:color="auto" w:fill="FFFFFF" w:themeFill="background1"/>
            <w:vAlign w:val="center"/>
          </w:tcPr>
          <w:p w14:paraId="1BE39541" w14:textId="77777777" w:rsidR="00D02C31" w:rsidRPr="002100AE" w:rsidRDefault="00D02C31" w:rsidP="00F907C6">
            <w:pPr>
              <w:keepNext/>
              <w:keepLines/>
              <w:autoSpaceDE w:val="0"/>
              <w:autoSpaceDN w:val="0"/>
              <w:adjustRightInd w:val="0"/>
              <w:spacing w:line="360" w:lineRule="auto"/>
              <w:ind w:right="60" w:firstLine="0"/>
              <w:jc w:val="center"/>
              <w:rPr>
                <w:rFonts w:asciiTheme="majorBidi" w:hAnsiTheme="majorBidi" w:cstheme="majorBidi"/>
                <w:color w:val="auto"/>
                <w:szCs w:val="20"/>
              </w:rPr>
            </w:pPr>
          </w:p>
        </w:tc>
        <w:tc>
          <w:tcPr>
            <w:tcW w:w="1248" w:type="dxa"/>
            <w:tcBorders>
              <w:top w:val="single" w:sz="4" w:space="0" w:color="auto"/>
              <w:bottom w:val="single" w:sz="4" w:space="0" w:color="auto"/>
            </w:tcBorders>
            <w:shd w:val="clear" w:color="auto" w:fill="FFFFFF" w:themeFill="background1"/>
            <w:textDirection w:val="btLr"/>
            <w:vAlign w:val="center"/>
          </w:tcPr>
          <w:p w14:paraId="04E1A161" w14:textId="3BB6DE74" w:rsidR="00D02C31" w:rsidRPr="002100AE" w:rsidRDefault="00D02C31" w:rsidP="00F907C6">
            <w:pPr>
              <w:keepNext/>
              <w:keepLines/>
              <w:autoSpaceDE w:val="0"/>
              <w:autoSpaceDN w:val="0"/>
              <w:adjustRightInd w:val="0"/>
              <w:spacing w:line="360" w:lineRule="auto"/>
              <w:ind w:right="6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A</w:t>
            </w:r>
            <w:r w:rsidRPr="002100AE">
              <w:rPr>
                <w:rFonts w:eastAsia="MS Mincho" w:cs="Times New Roman" w:hint="eastAsia"/>
                <w:color w:val="auto"/>
                <w:kern w:val="2"/>
                <w:szCs w:val="20"/>
                <w:lang w:eastAsia="ja-JP"/>
              </w:rPr>
              <w:t>uthor</w:t>
            </w:r>
          </w:p>
        </w:tc>
        <w:tc>
          <w:tcPr>
            <w:cnfStyle w:val="000010000000" w:firstRow="0" w:lastRow="0" w:firstColumn="0" w:lastColumn="0" w:oddVBand="1" w:evenVBand="0" w:oddHBand="0" w:evenHBand="0" w:firstRowFirstColumn="0" w:firstRowLastColumn="0" w:lastRowFirstColumn="0" w:lastRowLastColumn="0"/>
            <w:tcW w:w="722" w:type="dxa"/>
            <w:tcBorders>
              <w:top w:val="single" w:sz="4" w:space="0" w:color="auto"/>
              <w:bottom w:val="single" w:sz="4" w:space="0" w:color="auto"/>
            </w:tcBorders>
            <w:shd w:val="clear" w:color="auto" w:fill="FFFFFF" w:themeFill="background1"/>
            <w:textDirection w:val="btLr"/>
          </w:tcPr>
          <w:p w14:paraId="5EF8B3A5" w14:textId="78812AD1" w:rsidR="00D02C31" w:rsidRPr="002100AE" w:rsidRDefault="00D02C31" w:rsidP="00F907C6">
            <w:pPr>
              <w:keepNext/>
              <w:keepLines/>
              <w:autoSpaceDE w:val="0"/>
              <w:autoSpaceDN w:val="0"/>
              <w:adjustRightInd w:val="0"/>
              <w:spacing w:line="360" w:lineRule="auto"/>
              <w:ind w:right="60" w:firstLine="0"/>
              <w:jc w:val="center"/>
              <w:rPr>
                <w:color w:val="auto"/>
              </w:rPr>
            </w:pPr>
            <w:r w:rsidRPr="002100AE">
              <w:rPr>
                <w:rFonts w:eastAsia="MS Mincho" w:cs="Times New Roman"/>
                <w:color w:val="auto"/>
                <w:kern w:val="2"/>
                <w:szCs w:val="20"/>
                <w:lang w:eastAsia="ja-JP"/>
              </w:rPr>
              <w:t>D</w:t>
            </w:r>
            <w:r w:rsidRPr="002100AE">
              <w:rPr>
                <w:rFonts w:eastAsia="MS Mincho" w:cs="Times New Roman" w:hint="eastAsia"/>
                <w:color w:val="auto"/>
                <w:kern w:val="2"/>
                <w:szCs w:val="20"/>
                <w:lang w:eastAsia="ja-JP"/>
              </w:rPr>
              <w:t>ocuments</w:t>
            </w:r>
          </w:p>
        </w:tc>
        <w:tc>
          <w:tcPr>
            <w:tcW w:w="722" w:type="dxa"/>
            <w:gridSpan w:val="2"/>
            <w:tcBorders>
              <w:top w:val="single" w:sz="4" w:space="0" w:color="auto"/>
              <w:bottom w:val="single" w:sz="4" w:space="0" w:color="auto"/>
            </w:tcBorders>
            <w:shd w:val="clear" w:color="auto" w:fill="FFFFFF" w:themeFill="background1"/>
            <w:textDirection w:val="btLr"/>
          </w:tcPr>
          <w:p w14:paraId="06109DA2" w14:textId="5E86FEF0" w:rsidR="00D02C31" w:rsidRPr="002100AE" w:rsidRDefault="00D02C31" w:rsidP="00F907C6">
            <w:pPr>
              <w:keepNext/>
              <w:keepLines/>
              <w:autoSpaceDE w:val="0"/>
              <w:autoSpaceDN w:val="0"/>
              <w:adjustRightInd w:val="0"/>
              <w:spacing w:line="360" w:lineRule="auto"/>
              <w:ind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C</w:t>
            </w:r>
            <w:r w:rsidRPr="002100AE">
              <w:rPr>
                <w:rFonts w:eastAsia="MS Mincho" w:cs="Times New Roman" w:hint="eastAsia"/>
                <w:color w:val="auto"/>
                <w:kern w:val="2"/>
                <w:szCs w:val="20"/>
                <w:lang w:eastAsia="ja-JP"/>
              </w:rPr>
              <w:t>itations</w:t>
            </w:r>
          </w:p>
        </w:tc>
        <w:tc>
          <w:tcPr>
            <w:cnfStyle w:val="000010000000" w:firstRow="0" w:lastRow="0" w:firstColumn="0" w:lastColumn="0" w:oddVBand="1" w:evenVBand="0" w:oddHBand="0" w:evenHBand="0" w:firstRowFirstColumn="0" w:firstRowLastColumn="0" w:lastRowFirstColumn="0" w:lastRowLastColumn="0"/>
            <w:tcW w:w="1268" w:type="dxa"/>
            <w:tcBorders>
              <w:top w:val="single" w:sz="4" w:space="0" w:color="auto"/>
              <w:bottom w:val="single" w:sz="4" w:space="0" w:color="auto"/>
            </w:tcBorders>
            <w:shd w:val="clear" w:color="auto" w:fill="FFFFFF" w:themeFill="background1"/>
            <w:textDirection w:val="btLr"/>
            <w:vAlign w:val="center"/>
          </w:tcPr>
          <w:p w14:paraId="467BF76A" w14:textId="234C9FED" w:rsidR="00D02C31" w:rsidRPr="002100AE" w:rsidRDefault="00D02C31" w:rsidP="00F907C6">
            <w:pPr>
              <w:keepNext/>
              <w:keepLines/>
              <w:autoSpaceDE w:val="0"/>
              <w:autoSpaceDN w:val="0"/>
              <w:adjustRightInd w:val="0"/>
              <w:spacing w:line="360" w:lineRule="auto"/>
              <w:ind w:right="60" w:firstLine="0"/>
              <w:jc w:val="center"/>
              <w:rPr>
                <w:color w:val="auto"/>
              </w:rPr>
            </w:pPr>
            <w:r w:rsidRPr="002100AE">
              <w:rPr>
                <w:rFonts w:eastAsia="MS Mincho" w:cs="Times New Roman"/>
                <w:color w:val="auto"/>
                <w:kern w:val="2"/>
                <w:szCs w:val="20"/>
                <w:lang w:eastAsia="ja-JP"/>
              </w:rPr>
              <w:t>A</w:t>
            </w:r>
            <w:r w:rsidRPr="002100AE">
              <w:rPr>
                <w:rFonts w:eastAsia="MS Mincho" w:cs="Times New Roman" w:hint="eastAsia"/>
                <w:color w:val="auto"/>
                <w:kern w:val="2"/>
                <w:szCs w:val="20"/>
                <w:lang w:eastAsia="ja-JP"/>
              </w:rPr>
              <w:t>uthor</w:t>
            </w:r>
          </w:p>
        </w:tc>
        <w:tc>
          <w:tcPr>
            <w:tcW w:w="722" w:type="dxa"/>
            <w:tcBorders>
              <w:top w:val="single" w:sz="4" w:space="0" w:color="auto"/>
              <w:bottom w:val="single" w:sz="4" w:space="0" w:color="auto"/>
            </w:tcBorders>
            <w:shd w:val="clear" w:color="auto" w:fill="FFFFFF" w:themeFill="background1"/>
            <w:textDirection w:val="btLr"/>
          </w:tcPr>
          <w:p w14:paraId="1CCF73C1" w14:textId="0FACD070" w:rsidR="00D02C31" w:rsidRPr="002100AE" w:rsidRDefault="00D02C31" w:rsidP="00F907C6">
            <w:pPr>
              <w:keepNext/>
              <w:keepLines/>
              <w:autoSpaceDE w:val="0"/>
              <w:autoSpaceDN w:val="0"/>
              <w:adjustRightInd w:val="0"/>
              <w:spacing w:line="360" w:lineRule="auto"/>
              <w:ind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C</w:t>
            </w:r>
            <w:r w:rsidRPr="002100AE">
              <w:rPr>
                <w:rFonts w:eastAsia="MS Mincho" w:cs="Times New Roman" w:hint="eastAsia"/>
                <w:color w:val="auto"/>
                <w:kern w:val="2"/>
                <w:szCs w:val="20"/>
                <w:lang w:eastAsia="ja-JP"/>
              </w:rPr>
              <w:t>itations</w:t>
            </w:r>
          </w:p>
        </w:tc>
        <w:tc>
          <w:tcPr>
            <w:cnfStyle w:val="000010000000" w:firstRow="0" w:lastRow="0" w:firstColumn="0" w:lastColumn="0" w:oddVBand="1" w:evenVBand="0" w:oddHBand="0" w:evenHBand="0" w:firstRowFirstColumn="0" w:firstRowLastColumn="0" w:lastRowFirstColumn="0" w:lastRowLastColumn="0"/>
            <w:tcW w:w="722" w:type="dxa"/>
            <w:tcBorders>
              <w:top w:val="single" w:sz="4" w:space="0" w:color="auto"/>
              <w:bottom w:val="single" w:sz="4" w:space="0" w:color="auto"/>
            </w:tcBorders>
            <w:shd w:val="clear" w:color="auto" w:fill="FFFFFF" w:themeFill="background1"/>
            <w:textDirection w:val="btLr"/>
          </w:tcPr>
          <w:p w14:paraId="5D986936" w14:textId="68A1823D" w:rsidR="00D02C31" w:rsidRPr="002100AE" w:rsidRDefault="00D02C31" w:rsidP="00F907C6">
            <w:pPr>
              <w:keepNext/>
              <w:keepLines/>
              <w:autoSpaceDE w:val="0"/>
              <w:autoSpaceDN w:val="0"/>
              <w:adjustRightInd w:val="0"/>
              <w:spacing w:line="360" w:lineRule="auto"/>
              <w:ind w:right="60" w:firstLine="0"/>
              <w:jc w:val="center"/>
              <w:rPr>
                <w:color w:val="auto"/>
              </w:rPr>
            </w:pPr>
            <w:r w:rsidRPr="002100AE">
              <w:rPr>
                <w:rFonts w:eastAsia="MS Mincho" w:cs="Times New Roman"/>
                <w:color w:val="auto"/>
                <w:kern w:val="2"/>
                <w:szCs w:val="20"/>
                <w:lang w:eastAsia="ja-JP"/>
              </w:rPr>
              <w:t>T</w:t>
            </w:r>
            <w:r w:rsidRPr="002100AE">
              <w:rPr>
                <w:rFonts w:eastAsia="MS Mincho" w:cs="Times New Roman" w:hint="eastAsia"/>
                <w:color w:val="auto"/>
                <w:kern w:val="2"/>
                <w:szCs w:val="20"/>
                <w:lang w:eastAsia="ja-JP"/>
              </w:rPr>
              <w:t>otal link strength</w:t>
            </w:r>
          </w:p>
        </w:tc>
        <w:tc>
          <w:tcPr>
            <w:tcW w:w="1249" w:type="dxa"/>
            <w:tcBorders>
              <w:top w:val="single" w:sz="4" w:space="0" w:color="auto"/>
              <w:bottom w:val="single" w:sz="4" w:space="0" w:color="auto"/>
            </w:tcBorders>
            <w:shd w:val="clear" w:color="auto" w:fill="FFFFFF" w:themeFill="background1"/>
            <w:textDirection w:val="btLr"/>
            <w:vAlign w:val="center"/>
          </w:tcPr>
          <w:p w14:paraId="3B091C00" w14:textId="1BB47991" w:rsidR="00D02C31" w:rsidRPr="002100AE" w:rsidRDefault="00D02C31" w:rsidP="00F907C6">
            <w:pPr>
              <w:keepNext/>
              <w:keepLines/>
              <w:autoSpaceDE w:val="0"/>
              <w:autoSpaceDN w:val="0"/>
              <w:adjustRightInd w:val="0"/>
              <w:spacing w:line="360" w:lineRule="auto"/>
              <w:ind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A</w:t>
            </w:r>
            <w:r w:rsidRPr="002100AE">
              <w:rPr>
                <w:rFonts w:eastAsia="MS Mincho" w:cs="Times New Roman" w:hint="eastAsia"/>
                <w:color w:val="auto"/>
                <w:kern w:val="2"/>
                <w:szCs w:val="20"/>
                <w:lang w:eastAsia="ja-JP"/>
              </w:rPr>
              <w:t>uthor</w:t>
            </w:r>
          </w:p>
        </w:tc>
        <w:tc>
          <w:tcPr>
            <w:cnfStyle w:val="000010000000" w:firstRow="0" w:lastRow="0" w:firstColumn="0" w:lastColumn="0" w:oddVBand="1" w:evenVBand="0" w:oddHBand="0" w:evenHBand="0" w:firstRowFirstColumn="0" w:firstRowLastColumn="0" w:lastRowFirstColumn="0" w:lastRowLastColumn="0"/>
            <w:tcW w:w="722" w:type="dxa"/>
            <w:tcBorders>
              <w:top w:val="single" w:sz="4" w:space="0" w:color="auto"/>
              <w:bottom w:val="single" w:sz="4" w:space="0" w:color="auto"/>
            </w:tcBorders>
            <w:shd w:val="clear" w:color="auto" w:fill="FFFFFF" w:themeFill="background1"/>
            <w:textDirection w:val="btLr"/>
          </w:tcPr>
          <w:p w14:paraId="67840E9B" w14:textId="5818DF07" w:rsidR="00D02C31" w:rsidRPr="002100AE" w:rsidRDefault="00D02C31" w:rsidP="00F907C6">
            <w:pPr>
              <w:keepNext/>
              <w:keepLines/>
              <w:autoSpaceDE w:val="0"/>
              <w:autoSpaceDN w:val="0"/>
              <w:adjustRightInd w:val="0"/>
              <w:spacing w:line="360" w:lineRule="auto"/>
              <w:ind w:right="60" w:firstLine="0"/>
              <w:jc w:val="center"/>
              <w:rPr>
                <w:color w:val="auto"/>
              </w:rPr>
            </w:pPr>
            <w:r w:rsidRPr="002100AE">
              <w:rPr>
                <w:rFonts w:eastAsia="MS Mincho" w:cs="Times New Roman"/>
                <w:color w:val="auto"/>
                <w:kern w:val="2"/>
                <w:szCs w:val="20"/>
                <w:lang w:eastAsia="ja-JP"/>
              </w:rPr>
              <w:t>D</w:t>
            </w:r>
            <w:r w:rsidRPr="002100AE">
              <w:rPr>
                <w:rFonts w:eastAsia="MS Mincho" w:cs="Times New Roman" w:hint="eastAsia"/>
                <w:color w:val="auto"/>
                <w:kern w:val="2"/>
                <w:szCs w:val="20"/>
                <w:lang w:eastAsia="ja-JP"/>
              </w:rPr>
              <w:t>ocuments</w:t>
            </w:r>
          </w:p>
        </w:tc>
        <w:tc>
          <w:tcPr>
            <w:tcW w:w="722" w:type="dxa"/>
            <w:tcBorders>
              <w:top w:val="single" w:sz="4" w:space="0" w:color="auto"/>
              <w:bottom w:val="single" w:sz="4" w:space="0" w:color="auto"/>
            </w:tcBorders>
            <w:shd w:val="clear" w:color="auto" w:fill="FFFFFF" w:themeFill="background1"/>
            <w:textDirection w:val="btLr"/>
          </w:tcPr>
          <w:p w14:paraId="50312BA5" w14:textId="6B3F0633" w:rsidR="00D02C31" w:rsidRPr="002100AE" w:rsidRDefault="00D02C31" w:rsidP="00F907C6">
            <w:pPr>
              <w:keepNext/>
              <w:keepLines/>
              <w:autoSpaceDE w:val="0"/>
              <w:autoSpaceDN w:val="0"/>
              <w:adjustRightInd w:val="0"/>
              <w:spacing w:line="360" w:lineRule="auto"/>
              <w:ind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C</w:t>
            </w:r>
            <w:r w:rsidRPr="002100AE">
              <w:rPr>
                <w:rFonts w:eastAsia="MS Mincho" w:cs="Times New Roman" w:hint="eastAsia"/>
                <w:color w:val="auto"/>
                <w:kern w:val="2"/>
                <w:szCs w:val="20"/>
                <w:lang w:eastAsia="ja-JP"/>
              </w:rPr>
              <w:t>itations</w:t>
            </w:r>
          </w:p>
        </w:tc>
        <w:tc>
          <w:tcPr>
            <w:cnfStyle w:val="000010000000" w:firstRow="0" w:lastRow="0" w:firstColumn="0" w:lastColumn="0" w:oddVBand="1" w:evenVBand="0" w:oddHBand="0" w:evenHBand="0" w:firstRowFirstColumn="0" w:firstRowLastColumn="0" w:lastRowFirstColumn="0" w:lastRowLastColumn="0"/>
            <w:tcW w:w="722" w:type="dxa"/>
            <w:tcBorders>
              <w:top w:val="single" w:sz="4" w:space="0" w:color="auto"/>
              <w:bottom w:val="single" w:sz="4" w:space="0" w:color="auto"/>
            </w:tcBorders>
            <w:shd w:val="clear" w:color="auto" w:fill="FFFFFF" w:themeFill="background1"/>
            <w:textDirection w:val="btLr"/>
          </w:tcPr>
          <w:p w14:paraId="096442E5" w14:textId="342A0CE0" w:rsidR="00D02C31" w:rsidRPr="002100AE" w:rsidRDefault="00D02C31" w:rsidP="00F907C6">
            <w:pPr>
              <w:keepNext/>
              <w:keepLines/>
              <w:autoSpaceDE w:val="0"/>
              <w:autoSpaceDN w:val="0"/>
              <w:adjustRightInd w:val="0"/>
              <w:spacing w:line="360" w:lineRule="auto"/>
              <w:ind w:right="60" w:firstLine="0"/>
              <w:jc w:val="center"/>
              <w:rPr>
                <w:color w:val="auto"/>
              </w:rPr>
            </w:pPr>
            <w:r w:rsidRPr="002100AE">
              <w:rPr>
                <w:rFonts w:eastAsia="MS Mincho" w:cs="Times New Roman"/>
                <w:color w:val="auto"/>
                <w:kern w:val="2"/>
                <w:szCs w:val="20"/>
                <w:lang w:eastAsia="ja-JP"/>
              </w:rPr>
              <w:t>T</w:t>
            </w:r>
            <w:r w:rsidRPr="002100AE">
              <w:rPr>
                <w:rFonts w:eastAsia="MS Mincho" w:cs="Times New Roman" w:hint="eastAsia"/>
                <w:color w:val="auto"/>
                <w:kern w:val="2"/>
                <w:szCs w:val="20"/>
                <w:lang w:eastAsia="ja-JP"/>
              </w:rPr>
              <w:t>otal link strength</w:t>
            </w:r>
          </w:p>
        </w:tc>
      </w:tr>
      <w:tr w:rsidR="002100AE" w:rsidRPr="002100AE" w14:paraId="75E80A25" w14:textId="77777777" w:rsidTr="003B7797">
        <w:trPr>
          <w:gridBefore w:val="1"/>
          <w:gridAfter w:val="1"/>
          <w:cnfStyle w:val="000000100000" w:firstRow="0" w:lastRow="0" w:firstColumn="0" w:lastColumn="0" w:oddVBand="0" w:evenVBand="0" w:oddHBand="1" w:evenHBand="0" w:firstRowFirstColumn="0" w:firstRowLastColumn="0" w:lastRowFirstColumn="0" w:lastRowLastColumn="0"/>
          <w:wBefore w:w="180" w:type="dxa"/>
          <w:wAfter w:w="91" w:type="dxa"/>
          <w:cantSplit/>
          <w:trHeight w:val="576"/>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17590267" w14:textId="52FE174A" w:rsidR="00D02C31" w:rsidRPr="002100AE" w:rsidRDefault="00D02C31" w:rsidP="00F907C6">
            <w:pPr>
              <w:keepNext/>
              <w:keepLines/>
              <w:autoSpaceDE w:val="0"/>
              <w:autoSpaceDN w:val="0"/>
              <w:adjustRightInd w:val="0"/>
              <w:spacing w:line="360" w:lineRule="auto"/>
              <w:ind w:left="60" w:right="60" w:firstLine="0"/>
              <w:jc w:val="left"/>
              <w:rPr>
                <w:rFonts w:asciiTheme="majorBidi" w:hAnsiTheme="majorBidi" w:cstheme="majorBidi"/>
                <w:color w:val="auto"/>
                <w:szCs w:val="20"/>
              </w:rPr>
            </w:pPr>
            <w:r w:rsidRPr="002100AE">
              <w:rPr>
                <w:rFonts w:eastAsia="MS Mincho" w:cs="Times New Roman" w:hint="eastAsia"/>
                <w:color w:val="auto"/>
                <w:kern w:val="2"/>
                <w:szCs w:val="20"/>
                <w:lang w:eastAsia="ja-JP"/>
              </w:rPr>
              <w:t>1</w:t>
            </w:r>
          </w:p>
        </w:tc>
        <w:tc>
          <w:tcPr>
            <w:tcW w:w="1248" w:type="dxa"/>
            <w:shd w:val="clear" w:color="auto" w:fill="FFFFFF" w:themeFill="background1"/>
            <w:vAlign w:val="center"/>
          </w:tcPr>
          <w:p w14:paraId="4CBDD51A" w14:textId="6B153CF2" w:rsidR="00D02C31" w:rsidRPr="002100AE" w:rsidRDefault="00D02C31" w:rsidP="00F907C6">
            <w:pPr>
              <w:keepNext/>
              <w:keepLines/>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L</w:t>
            </w:r>
            <w:r w:rsidRPr="002100AE">
              <w:rPr>
                <w:rFonts w:eastAsia="MS Mincho" w:cs="Times New Roman" w:hint="eastAsia"/>
                <w:color w:val="auto"/>
                <w:kern w:val="2"/>
                <w:szCs w:val="20"/>
                <w:lang w:eastAsia="ja-JP"/>
              </w:rPr>
              <w:t xml:space="preserve">i, </w:t>
            </w:r>
            <w:r w:rsidRPr="002100AE">
              <w:rPr>
                <w:rFonts w:eastAsia="MS Mincho" w:cs="Times New Roman"/>
                <w:color w:val="auto"/>
                <w:kern w:val="2"/>
                <w:szCs w:val="20"/>
                <w:lang w:eastAsia="ja-JP"/>
              </w:rPr>
              <w:t>Y</w:t>
            </w:r>
            <w:r w:rsidRPr="002100AE">
              <w:rPr>
                <w:rFonts w:eastAsia="MS Mincho" w:cs="Times New Roman" w:hint="eastAsia"/>
                <w:color w:val="auto"/>
                <w:kern w:val="2"/>
                <w:szCs w:val="20"/>
                <w:lang w:eastAsia="ja-JP"/>
              </w:rPr>
              <w:t>adan</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29A51C51" w14:textId="4CB7524E"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722" w:type="dxa"/>
            <w:gridSpan w:val="2"/>
            <w:shd w:val="clear" w:color="auto" w:fill="FFFFFF" w:themeFill="background1"/>
            <w:vAlign w:val="center"/>
          </w:tcPr>
          <w:p w14:paraId="3E3C090C" w14:textId="5B5D1837" w:rsidR="00D02C31" w:rsidRPr="002100AE" w:rsidRDefault="00D02C31" w:rsidP="00F907C6">
            <w:pPr>
              <w:keepNext/>
              <w:keepLines/>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0</w:t>
            </w:r>
          </w:p>
        </w:tc>
        <w:tc>
          <w:tcPr>
            <w:cnfStyle w:val="000010000000" w:firstRow="0" w:lastRow="0" w:firstColumn="0" w:lastColumn="0" w:oddVBand="1" w:evenVBand="0" w:oddHBand="0" w:evenHBand="0" w:firstRowFirstColumn="0" w:firstRowLastColumn="0" w:lastRowFirstColumn="0" w:lastRowLastColumn="0"/>
            <w:tcW w:w="1268" w:type="dxa"/>
            <w:shd w:val="clear" w:color="auto" w:fill="FFFFFF" w:themeFill="background1"/>
            <w:vAlign w:val="center"/>
          </w:tcPr>
          <w:p w14:paraId="2033DEFD" w14:textId="71716412" w:rsidR="00D02C31" w:rsidRPr="002100AE" w:rsidRDefault="00D02C31" w:rsidP="00F907C6">
            <w:pPr>
              <w:keepNext/>
              <w:keepLines/>
              <w:autoSpaceDE w:val="0"/>
              <w:autoSpaceDN w:val="0"/>
              <w:adjustRightInd w:val="0"/>
              <w:spacing w:line="360" w:lineRule="auto"/>
              <w:ind w:left="60" w:right="60" w:firstLine="0"/>
              <w:jc w:val="left"/>
              <w:rPr>
                <w:color w:val="auto"/>
              </w:rPr>
            </w:pPr>
            <w:r w:rsidRPr="002100AE">
              <w:rPr>
                <w:rFonts w:eastAsia="MS Mincho" w:cs="Times New Roman"/>
                <w:color w:val="auto"/>
                <w:kern w:val="2"/>
                <w:szCs w:val="20"/>
                <w:lang w:eastAsia="ja-JP"/>
              </w:rPr>
              <w:t>C</w:t>
            </w:r>
            <w:r w:rsidRPr="002100AE">
              <w:rPr>
                <w:rFonts w:eastAsia="MS Mincho" w:cs="Times New Roman" w:hint="eastAsia"/>
                <w:color w:val="auto"/>
                <w:kern w:val="2"/>
                <w:szCs w:val="20"/>
                <w:lang w:eastAsia="ja-JP"/>
              </w:rPr>
              <w:t xml:space="preserve">offin </w:t>
            </w:r>
            <w:r w:rsidRPr="002100AE">
              <w:rPr>
                <w:rFonts w:eastAsia="MS Mincho" w:cs="Times New Roman"/>
                <w:color w:val="auto"/>
                <w:kern w:val="2"/>
                <w:szCs w:val="20"/>
                <w:lang w:eastAsia="ja-JP"/>
              </w:rPr>
              <w:t>C</w:t>
            </w:r>
            <w:r w:rsidRPr="002100AE">
              <w:rPr>
                <w:rFonts w:eastAsia="MS Mincho" w:cs="Times New Roman" w:hint="eastAsia"/>
                <w:color w:val="auto"/>
                <w:kern w:val="2"/>
                <w:szCs w:val="20"/>
                <w:lang w:eastAsia="ja-JP"/>
              </w:rPr>
              <w:t>.</w:t>
            </w:r>
          </w:p>
        </w:tc>
        <w:tc>
          <w:tcPr>
            <w:tcW w:w="722" w:type="dxa"/>
            <w:shd w:val="clear" w:color="auto" w:fill="FFFFFF" w:themeFill="background1"/>
            <w:vAlign w:val="center"/>
          </w:tcPr>
          <w:p w14:paraId="00FE4A49" w14:textId="288C1FB3" w:rsidR="00D02C31" w:rsidRPr="002100AE" w:rsidRDefault="00D02C31" w:rsidP="00F907C6">
            <w:pPr>
              <w:keepNext/>
              <w:keepLines/>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40</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367472BD" w14:textId="46490659"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255</w:t>
            </w:r>
          </w:p>
        </w:tc>
        <w:tc>
          <w:tcPr>
            <w:tcW w:w="1249" w:type="dxa"/>
            <w:shd w:val="clear" w:color="auto" w:fill="FFFFFF" w:themeFill="background1"/>
            <w:vAlign w:val="center"/>
          </w:tcPr>
          <w:p w14:paraId="2C629A8C" w14:textId="66B48F99" w:rsidR="00D02C31" w:rsidRPr="002100AE" w:rsidRDefault="00D02C31" w:rsidP="00F907C6">
            <w:pPr>
              <w:keepNext/>
              <w:keepLines/>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color w:val="auto"/>
                <w:kern w:val="2"/>
                <w:szCs w:val="20"/>
                <w:lang w:eastAsia="ja-JP"/>
              </w:rPr>
              <w:t>L</w:t>
            </w:r>
            <w:r w:rsidRPr="002100AE">
              <w:rPr>
                <w:rFonts w:eastAsia="MS Mincho" w:cs="Times New Roman" w:hint="eastAsia"/>
                <w:color w:val="auto"/>
                <w:kern w:val="2"/>
                <w:szCs w:val="20"/>
                <w:lang w:eastAsia="ja-JP"/>
              </w:rPr>
              <w:t xml:space="preserve">i, </w:t>
            </w:r>
            <w:r w:rsidRPr="002100AE">
              <w:rPr>
                <w:rFonts w:eastAsia="MS Mincho" w:cs="Times New Roman"/>
                <w:color w:val="auto"/>
                <w:kern w:val="2"/>
                <w:szCs w:val="20"/>
                <w:lang w:eastAsia="ja-JP"/>
              </w:rPr>
              <w:t>Y</w:t>
            </w:r>
            <w:r w:rsidRPr="002100AE">
              <w:rPr>
                <w:rFonts w:eastAsia="MS Mincho" w:cs="Times New Roman" w:hint="eastAsia"/>
                <w:color w:val="auto"/>
                <w:kern w:val="2"/>
                <w:szCs w:val="20"/>
                <w:lang w:eastAsia="ja-JP"/>
              </w:rPr>
              <w:t>adan</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5DCFC2A7" w14:textId="6BFFF03F"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722" w:type="dxa"/>
            <w:shd w:val="clear" w:color="auto" w:fill="FFFFFF" w:themeFill="background1"/>
            <w:vAlign w:val="center"/>
          </w:tcPr>
          <w:p w14:paraId="066B59B0" w14:textId="12863621" w:rsidR="00D02C31" w:rsidRPr="002100AE" w:rsidRDefault="00D02C31" w:rsidP="00F907C6">
            <w:pPr>
              <w:keepNext/>
              <w:keepLines/>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0</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5F5C6052" w14:textId="7B7D4FCD"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67</w:t>
            </w:r>
          </w:p>
        </w:tc>
      </w:tr>
      <w:tr w:rsidR="002100AE" w:rsidRPr="002100AE" w14:paraId="65297C03" w14:textId="77777777" w:rsidTr="003B7797">
        <w:trPr>
          <w:gridBefore w:val="1"/>
          <w:gridAfter w:val="1"/>
          <w:wBefore w:w="180" w:type="dxa"/>
          <w:wAfter w:w="91" w:type="dxa"/>
          <w:cantSplit/>
          <w:trHeight w:val="576"/>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61DA1DE8" w14:textId="62A9AB2D" w:rsidR="00D02C31" w:rsidRPr="002100AE" w:rsidRDefault="00D02C31" w:rsidP="00F907C6">
            <w:pPr>
              <w:keepNext/>
              <w:keepLines/>
              <w:autoSpaceDE w:val="0"/>
              <w:autoSpaceDN w:val="0"/>
              <w:adjustRightInd w:val="0"/>
              <w:spacing w:line="360" w:lineRule="auto"/>
              <w:ind w:left="60" w:right="60" w:firstLine="0"/>
              <w:jc w:val="left"/>
              <w:rPr>
                <w:rFonts w:asciiTheme="majorBidi" w:hAnsiTheme="majorBidi" w:cstheme="majorBidi"/>
                <w:color w:val="auto"/>
                <w:szCs w:val="20"/>
              </w:rPr>
            </w:pPr>
            <w:r w:rsidRPr="002100AE">
              <w:rPr>
                <w:rFonts w:eastAsia="MS Mincho" w:cs="Times New Roman" w:hint="eastAsia"/>
                <w:color w:val="auto"/>
                <w:kern w:val="2"/>
                <w:szCs w:val="20"/>
                <w:lang w:eastAsia="ja-JP"/>
              </w:rPr>
              <w:t>2</w:t>
            </w:r>
          </w:p>
        </w:tc>
        <w:tc>
          <w:tcPr>
            <w:tcW w:w="1248" w:type="dxa"/>
            <w:shd w:val="clear" w:color="auto" w:fill="FFFFFF" w:themeFill="background1"/>
            <w:vAlign w:val="center"/>
          </w:tcPr>
          <w:p w14:paraId="07BA3FDA" w14:textId="292A1EC2" w:rsidR="00D02C31" w:rsidRPr="002100AE" w:rsidRDefault="00D02C31" w:rsidP="00F907C6">
            <w:pPr>
              <w:keepNext/>
              <w:keepLines/>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L</w:t>
            </w:r>
            <w:r w:rsidRPr="002100AE">
              <w:rPr>
                <w:rFonts w:eastAsia="MS Mincho" w:cs="Times New Roman" w:hint="eastAsia"/>
                <w:color w:val="auto"/>
                <w:kern w:val="2"/>
                <w:szCs w:val="20"/>
                <w:lang w:eastAsia="ja-JP"/>
              </w:rPr>
              <w:t xml:space="preserve">linares, </w:t>
            </w:r>
            <w:r w:rsidRPr="002100AE">
              <w:rPr>
                <w:rFonts w:eastAsia="MS Mincho" w:cs="Times New Roman"/>
                <w:color w:val="auto"/>
                <w:kern w:val="2"/>
                <w:szCs w:val="20"/>
                <w:lang w:eastAsia="ja-JP"/>
              </w:rPr>
              <w:t>A</w:t>
            </w:r>
            <w:r w:rsidRPr="002100AE">
              <w:rPr>
                <w:rFonts w:eastAsia="MS Mincho" w:cs="Times New Roman" w:hint="eastAsia"/>
                <w:color w:val="auto"/>
                <w:kern w:val="2"/>
                <w:szCs w:val="20"/>
                <w:lang w:eastAsia="ja-JP"/>
              </w:rPr>
              <w:t>na</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0F303742" w14:textId="7BD8BE85"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722" w:type="dxa"/>
            <w:gridSpan w:val="2"/>
            <w:shd w:val="clear" w:color="auto" w:fill="FFFFFF" w:themeFill="background1"/>
            <w:vAlign w:val="center"/>
          </w:tcPr>
          <w:p w14:paraId="47C4A722" w14:textId="5D657E0F" w:rsidR="00D02C31" w:rsidRPr="002100AE" w:rsidRDefault="00D02C31" w:rsidP="00F907C6">
            <w:pPr>
              <w:keepNext/>
              <w:keepLines/>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53</w:t>
            </w:r>
          </w:p>
        </w:tc>
        <w:tc>
          <w:tcPr>
            <w:cnfStyle w:val="000010000000" w:firstRow="0" w:lastRow="0" w:firstColumn="0" w:lastColumn="0" w:oddVBand="1" w:evenVBand="0" w:oddHBand="0" w:evenHBand="0" w:firstRowFirstColumn="0" w:firstRowLastColumn="0" w:lastRowFirstColumn="0" w:lastRowLastColumn="0"/>
            <w:tcW w:w="1268" w:type="dxa"/>
            <w:shd w:val="clear" w:color="auto" w:fill="FFFFFF" w:themeFill="background1"/>
            <w:vAlign w:val="center"/>
          </w:tcPr>
          <w:p w14:paraId="5E4C9A1E" w14:textId="73BD7782" w:rsidR="00D02C31" w:rsidRPr="002100AE" w:rsidRDefault="00D02C31" w:rsidP="00F907C6">
            <w:pPr>
              <w:keepNext/>
              <w:keepLines/>
              <w:autoSpaceDE w:val="0"/>
              <w:autoSpaceDN w:val="0"/>
              <w:adjustRightInd w:val="0"/>
              <w:spacing w:line="360" w:lineRule="auto"/>
              <w:ind w:left="60" w:right="60" w:firstLine="0"/>
              <w:jc w:val="left"/>
              <w:rPr>
                <w:color w:val="auto"/>
              </w:rPr>
            </w:pPr>
            <w:r w:rsidRPr="002100AE">
              <w:rPr>
                <w:rFonts w:eastAsia="MS Mincho" w:cs="Times New Roman"/>
                <w:color w:val="auto"/>
                <w:kern w:val="2"/>
                <w:szCs w:val="20"/>
                <w:lang w:eastAsia="ja-JP"/>
              </w:rPr>
              <w:t>H</w:t>
            </w:r>
            <w:r w:rsidRPr="002100AE">
              <w:rPr>
                <w:rFonts w:eastAsia="MS Mincho" w:cs="Times New Roman" w:hint="eastAsia"/>
                <w:color w:val="auto"/>
                <w:kern w:val="2"/>
                <w:szCs w:val="20"/>
                <w:lang w:eastAsia="ja-JP"/>
              </w:rPr>
              <w:t xml:space="preserve">alliday </w:t>
            </w:r>
            <w:r w:rsidRPr="002100AE">
              <w:rPr>
                <w:rFonts w:eastAsia="MS Mincho" w:cs="Times New Roman"/>
                <w:color w:val="auto"/>
                <w:kern w:val="2"/>
                <w:szCs w:val="20"/>
                <w:lang w:eastAsia="ja-JP"/>
              </w:rPr>
              <w:t>M</w:t>
            </w:r>
            <w:r w:rsidRPr="002100AE">
              <w:rPr>
                <w:rFonts w:eastAsia="MS Mincho" w:cs="Times New Roman" w:hint="eastAsia"/>
                <w:color w:val="auto"/>
                <w:kern w:val="2"/>
                <w:szCs w:val="20"/>
                <w:lang w:eastAsia="ja-JP"/>
              </w:rPr>
              <w:t>.</w:t>
            </w:r>
            <w:r w:rsidRPr="002100AE">
              <w:rPr>
                <w:rFonts w:eastAsia="MS Mincho" w:cs="Times New Roman"/>
                <w:color w:val="auto"/>
                <w:kern w:val="2"/>
                <w:szCs w:val="20"/>
                <w:lang w:eastAsia="ja-JP"/>
              </w:rPr>
              <w:t>A</w:t>
            </w:r>
            <w:r w:rsidRPr="002100AE">
              <w:rPr>
                <w:rFonts w:eastAsia="MS Mincho" w:cs="Times New Roman" w:hint="eastAsia"/>
                <w:color w:val="auto"/>
                <w:kern w:val="2"/>
                <w:szCs w:val="20"/>
                <w:lang w:eastAsia="ja-JP"/>
              </w:rPr>
              <w:t>.</w:t>
            </w:r>
            <w:r w:rsidRPr="002100AE">
              <w:rPr>
                <w:rFonts w:eastAsia="MS Mincho" w:cs="Times New Roman"/>
                <w:color w:val="auto"/>
                <w:kern w:val="2"/>
                <w:szCs w:val="20"/>
                <w:lang w:eastAsia="ja-JP"/>
              </w:rPr>
              <w:t>K</w:t>
            </w:r>
            <w:r w:rsidRPr="002100AE">
              <w:rPr>
                <w:rFonts w:eastAsia="MS Mincho" w:cs="Times New Roman" w:hint="eastAsia"/>
                <w:color w:val="auto"/>
                <w:kern w:val="2"/>
                <w:szCs w:val="20"/>
                <w:lang w:eastAsia="ja-JP"/>
              </w:rPr>
              <w:t>.</w:t>
            </w:r>
          </w:p>
        </w:tc>
        <w:tc>
          <w:tcPr>
            <w:tcW w:w="722" w:type="dxa"/>
            <w:shd w:val="clear" w:color="auto" w:fill="FFFFFF" w:themeFill="background1"/>
            <w:vAlign w:val="center"/>
          </w:tcPr>
          <w:p w14:paraId="3BC157C7" w14:textId="4DFAF779" w:rsidR="00D02C31" w:rsidRPr="002100AE" w:rsidRDefault="00D02C31" w:rsidP="00F907C6">
            <w:pPr>
              <w:keepNext/>
              <w:keepLines/>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26</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03512FD5" w14:textId="5C688702"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159</w:t>
            </w:r>
          </w:p>
        </w:tc>
        <w:tc>
          <w:tcPr>
            <w:tcW w:w="1249" w:type="dxa"/>
            <w:shd w:val="clear" w:color="auto" w:fill="FFFFFF" w:themeFill="background1"/>
            <w:vAlign w:val="center"/>
          </w:tcPr>
          <w:p w14:paraId="5CA4BD3E" w14:textId="599D078E" w:rsidR="00D02C31" w:rsidRPr="002100AE" w:rsidRDefault="00D02C31" w:rsidP="00F907C6">
            <w:pPr>
              <w:keepNext/>
              <w:keepLines/>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L</w:t>
            </w:r>
            <w:r w:rsidRPr="002100AE">
              <w:rPr>
                <w:rFonts w:eastAsia="MS Mincho" w:cs="Times New Roman" w:hint="eastAsia"/>
                <w:color w:val="auto"/>
                <w:kern w:val="2"/>
                <w:szCs w:val="20"/>
                <w:lang w:eastAsia="ja-JP"/>
              </w:rPr>
              <w:t xml:space="preserve">linares, </w:t>
            </w:r>
            <w:r w:rsidRPr="002100AE">
              <w:rPr>
                <w:rFonts w:eastAsia="MS Mincho" w:cs="Times New Roman"/>
                <w:color w:val="auto"/>
                <w:kern w:val="2"/>
                <w:szCs w:val="20"/>
                <w:lang w:eastAsia="ja-JP"/>
              </w:rPr>
              <w:t>A</w:t>
            </w:r>
            <w:r w:rsidRPr="002100AE">
              <w:rPr>
                <w:rFonts w:eastAsia="MS Mincho" w:cs="Times New Roman" w:hint="eastAsia"/>
                <w:color w:val="auto"/>
                <w:kern w:val="2"/>
                <w:szCs w:val="20"/>
                <w:lang w:eastAsia="ja-JP"/>
              </w:rPr>
              <w:t>na</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36FCDC93" w14:textId="0E7F1980"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722" w:type="dxa"/>
            <w:shd w:val="clear" w:color="auto" w:fill="FFFFFF" w:themeFill="background1"/>
            <w:vAlign w:val="center"/>
          </w:tcPr>
          <w:p w14:paraId="1DA6D736" w14:textId="111BD319" w:rsidR="00D02C31" w:rsidRPr="002100AE" w:rsidRDefault="00D02C31" w:rsidP="00F907C6">
            <w:pPr>
              <w:keepNext/>
              <w:keepLines/>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53</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249AE3FF" w14:textId="46EF5CE6"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39</w:t>
            </w:r>
          </w:p>
        </w:tc>
      </w:tr>
      <w:tr w:rsidR="002100AE" w:rsidRPr="002100AE" w14:paraId="7CC00ED7" w14:textId="77777777" w:rsidTr="003B7797">
        <w:trPr>
          <w:gridBefore w:val="1"/>
          <w:gridAfter w:val="1"/>
          <w:cnfStyle w:val="000000100000" w:firstRow="0" w:lastRow="0" w:firstColumn="0" w:lastColumn="0" w:oddVBand="0" w:evenVBand="0" w:oddHBand="1" w:evenHBand="0" w:firstRowFirstColumn="0" w:firstRowLastColumn="0" w:lastRowFirstColumn="0" w:lastRowLastColumn="0"/>
          <w:wBefore w:w="180" w:type="dxa"/>
          <w:wAfter w:w="91" w:type="dxa"/>
          <w:cantSplit/>
          <w:trHeight w:val="576"/>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038758C8" w14:textId="0D6A2629" w:rsidR="00D02C31" w:rsidRPr="002100AE" w:rsidRDefault="00D02C31" w:rsidP="00F907C6">
            <w:pPr>
              <w:keepNext/>
              <w:keepLines/>
              <w:autoSpaceDE w:val="0"/>
              <w:autoSpaceDN w:val="0"/>
              <w:adjustRightInd w:val="0"/>
              <w:spacing w:line="360" w:lineRule="auto"/>
              <w:ind w:left="60" w:right="60" w:firstLine="0"/>
              <w:jc w:val="left"/>
              <w:rPr>
                <w:rFonts w:asciiTheme="majorBidi" w:hAnsiTheme="majorBidi" w:cstheme="majorBidi"/>
                <w:color w:val="auto"/>
                <w:szCs w:val="20"/>
              </w:rPr>
            </w:pPr>
            <w:r w:rsidRPr="002100AE">
              <w:rPr>
                <w:rFonts w:eastAsia="MS Mincho" w:cs="Times New Roman" w:hint="eastAsia"/>
                <w:color w:val="auto"/>
                <w:kern w:val="2"/>
                <w:szCs w:val="20"/>
                <w:lang w:eastAsia="ja-JP"/>
              </w:rPr>
              <w:t>3</w:t>
            </w:r>
          </w:p>
        </w:tc>
        <w:tc>
          <w:tcPr>
            <w:tcW w:w="1248" w:type="dxa"/>
            <w:shd w:val="clear" w:color="auto" w:fill="FFFFFF" w:themeFill="background1"/>
            <w:vAlign w:val="center"/>
          </w:tcPr>
          <w:p w14:paraId="7A65B463" w14:textId="7F1888C8" w:rsidR="00D02C31" w:rsidRPr="002100AE" w:rsidRDefault="00D02C31" w:rsidP="00F907C6">
            <w:pPr>
              <w:keepNext/>
              <w:keepLines/>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M</w:t>
            </w:r>
            <w:r w:rsidRPr="002100AE">
              <w:rPr>
                <w:rFonts w:eastAsia="MS Mincho" w:cs="Times New Roman" w:hint="eastAsia"/>
                <w:color w:val="auto"/>
                <w:kern w:val="2"/>
                <w:szCs w:val="20"/>
                <w:lang w:eastAsia="ja-JP"/>
              </w:rPr>
              <w:t xml:space="preserve">iller, </w:t>
            </w:r>
            <w:r w:rsidRPr="002100AE">
              <w:rPr>
                <w:rFonts w:eastAsia="MS Mincho" w:cs="Times New Roman"/>
                <w:color w:val="auto"/>
                <w:kern w:val="2"/>
                <w:szCs w:val="20"/>
                <w:lang w:eastAsia="ja-JP"/>
              </w:rPr>
              <w:t>R</w:t>
            </w:r>
            <w:r w:rsidRPr="002100AE">
              <w:rPr>
                <w:rFonts w:eastAsia="MS Mincho" w:cs="Times New Roman" w:hint="eastAsia"/>
                <w:color w:val="auto"/>
                <w:kern w:val="2"/>
                <w:szCs w:val="20"/>
                <w:lang w:eastAsia="ja-JP"/>
              </w:rPr>
              <w:t xml:space="preserve">yan </w:t>
            </w:r>
            <w:r w:rsidRPr="002100AE">
              <w:rPr>
                <w:rFonts w:eastAsia="MS Mincho" w:cs="Times New Roman"/>
                <w:color w:val="auto"/>
                <w:kern w:val="2"/>
                <w:szCs w:val="20"/>
                <w:lang w:eastAsia="ja-JP"/>
              </w:rPr>
              <w:t>T</w:t>
            </w:r>
            <w:r w:rsidRPr="002100AE">
              <w:rPr>
                <w:rFonts w:eastAsia="MS Mincho" w:cs="Times New Roman" w:hint="eastAsia"/>
                <w:color w:val="auto"/>
                <w:kern w:val="2"/>
                <w:szCs w:val="20"/>
                <w:lang w:eastAsia="ja-JP"/>
              </w:rPr>
              <w:t>.</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2AC641F6" w14:textId="388CB1F2"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722" w:type="dxa"/>
            <w:gridSpan w:val="2"/>
            <w:shd w:val="clear" w:color="auto" w:fill="FFFFFF" w:themeFill="background1"/>
            <w:vAlign w:val="center"/>
          </w:tcPr>
          <w:p w14:paraId="12DD47EC" w14:textId="1AB83CAF" w:rsidR="00D02C31" w:rsidRPr="002100AE" w:rsidRDefault="00D02C31" w:rsidP="00F907C6">
            <w:pPr>
              <w:keepNext/>
              <w:keepLines/>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80</w:t>
            </w:r>
          </w:p>
        </w:tc>
        <w:tc>
          <w:tcPr>
            <w:cnfStyle w:val="000010000000" w:firstRow="0" w:lastRow="0" w:firstColumn="0" w:lastColumn="0" w:oddVBand="1" w:evenVBand="0" w:oddHBand="0" w:evenHBand="0" w:firstRowFirstColumn="0" w:firstRowLastColumn="0" w:lastRowFirstColumn="0" w:lastRowLastColumn="0"/>
            <w:tcW w:w="1268" w:type="dxa"/>
            <w:shd w:val="clear" w:color="auto" w:fill="FFFFFF" w:themeFill="background1"/>
            <w:vAlign w:val="center"/>
          </w:tcPr>
          <w:p w14:paraId="4E1CDC22" w14:textId="04AF9E3D" w:rsidR="00D02C31" w:rsidRPr="002100AE" w:rsidRDefault="00D02C31" w:rsidP="00F907C6">
            <w:pPr>
              <w:keepNext/>
              <w:keepLines/>
              <w:autoSpaceDE w:val="0"/>
              <w:autoSpaceDN w:val="0"/>
              <w:adjustRightInd w:val="0"/>
              <w:spacing w:line="360" w:lineRule="auto"/>
              <w:ind w:left="60" w:right="60" w:firstLine="0"/>
              <w:jc w:val="left"/>
              <w:rPr>
                <w:color w:val="auto"/>
              </w:rPr>
            </w:pPr>
            <w:r w:rsidRPr="002100AE">
              <w:rPr>
                <w:rFonts w:eastAsia="MS Mincho" w:cs="Times New Roman"/>
                <w:color w:val="auto"/>
                <w:kern w:val="2"/>
                <w:szCs w:val="20"/>
                <w:lang w:eastAsia="ja-JP"/>
              </w:rPr>
              <w:t>Hood</w:t>
            </w:r>
            <w:r w:rsidRPr="002100AE">
              <w:rPr>
                <w:rFonts w:eastAsia="MS Mincho" w:cs="Times New Roman"/>
                <w:color w:val="auto"/>
                <w:kern w:val="2"/>
                <w:szCs w:val="20"/>
                <w:lang w:val="vi-VN" w:eastAsia="ja-JP"/>
              </w:rPr>
              <w:t xml:space="preserve"> S</w:t>
            </w:r>
            <w:r w:rsidRPr="002100AE">
              <w:rPr>
                <w:rFonts w:eastAsia="MS Mincho" w:cs="Times New Roman" w:hint="eastAsia"/>
                <w:color w:val="auto"/>
                <w:kern w:val="2"/>
                <w:szCs w:val="20"/>
                <w:lang w:eastAsia="ja-JP"/>
              </w:rPr>
              <w:t xml:space="preserve"> .</w:t>
            </w:r>
          </w:p>
        </w:tc>
        <w:tc>
          <w:tcPr>
            <w:tcW w:w="722" w:type="dxa"/>
            <w:shd w:val="clear" w:color="auto" w:fill="FFFFFF" w:themeFill="background1"/>
            <w:vAlign w:val="center"/>
          </w:tcPr>
          <w:p w14:paraId="4435F56B" w14:textId="69FFCB6F" w:rsidR="00D02C31" w:rsidRPr="002100AE" w:rsidRDefault="00D02C31" w:rsidP="00F907C6">
            <w:pPr>
              <w:keepNext/>
              <w:keepLines/>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34</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6514E761" w14:textId="5EF1B464"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182</w:t>
            </w:r>
          </w:p>
        </w:tc>
        <w:tc>
          <w:tcPr>
            <w:tcW w:w="1249" w:type="dxa"/>
            <w:shd w:val="clear" w:color="auto" w:fill="FFFFFF" w:themeFill="background1"/>
            <w:vAlign w:val="center"/>
          </w:tcPr>
          <w:p w14:paraId="6DFD6873" w14:textId="62223852" w:rsidR="00D02C31" w:rsidRPr="002100AE" w:rsidRDefault="00D02C31" w:rsidP="00F907C6">
            <w:pPr>
              <w:keepNext/>
              <w:keepLines/>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color w:val="auto"/>
                <w:kern w:val="2"/>
                <w:szCs w:val="20"/>
                <w:lang w:eastAsia="ja-JP"/>
              </w:rPr>
              <w:t>M</w:t>
            </w:r>
            <w:r w:rsidRPr="002100AE">
              <w:rPr>
                <w:rFonts w:eastAsia="MS Mincho" w:cs="Times New Roman" w:hint="eastAsia"/>
                <w:color w:val="auto"/>
                <w:kern w:val="2"/>
                <w:szCs w:val="20"/>
                <w:lang w:eastAsia="ja-JP"/>
              </w:rPr>
              <w:t xml:space="preserve">iller, </w:t>
            </w:r>
            <w:r w:rsidRPr="002100AE">
              <w:rPr>
                <w:rFonts w:eastAsia="MS Mincho" w:cs="Times New Roman"/>
                <w:color w:val="auto"/>
                <w:kern w:val="2"/>
                <w:szCs w:val="20"/>
                <w:lang w:eastAsia="ja-JP"/>
              </w:rPr>
              <w:t>R</w:t>
            </w:r>
            <w:r w:rsidRPr="002100AE">
              <w:rPr>
                <w:rFonts w:eastAsia="MS Mincho" w:cs="Times New Roman" w:hint="eastAsia"/>
                <w:color w:val="auto"/>
                <w:kern w:val="2"/>
                <w:szCs w:val="20"/>
                <w:lang w:eastAsia="ja-JP"/>
              </w:rPr>
              <w:t xml:space="preserve">yan </w:t>
            </w:r>
            <w:r w:rsidRPr="002100AE">
              <w:rPr>
                <w:rFonts w:eastAsia="MS Mincho" w:cs="Times New Roman"/>
                <w:color w:val="auto"/>
                <w:kern w:val="2"/>
                <w:szCs w:val="20"/>
                <w:lang w:eastAsia="ja-JP"/>
              </w:rPr>
              <w:t>T</w:t>
            </w:r>
            <w:r w:rsidRPr="002100AE">
              <w:rPr>
                <w:rFonts w:eastAsia="MS Mincho" w:cs="Times New Roman" w:hint="eastAsia"/>
                <w:color w:val="auto"/>
                <w:kern w:val="2"/>
                <w:szCs w:val="20"/>
                <w:lang w:eastAsia="ja-JP"/>
              </w:rPr>
              <w:t>.</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2D9CF96B" w14:textId="4C06E39A"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722" w:type="dxa"/>
            <w:shd w:val="clear" w:color="auto" w:fill="FFFFFF" w:themeFill="background1"/>
            <w:vAlign w:val="center"/>
          </w:tcPr>
          <w:p w14:paraId="7A19383D" w14:textId="6F908E42" w:rsidR="00D02C31" w:rsidRPr="002100AE" w:rsidRDefault="00D02C31" w:rsidP="00F907C6">
            <w:pPr>
              <w:keepNext/>
              <w:keepLines/>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80</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348F691B" w14:textId="1B360C99"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47</w:t>
            </w:r>
          </w:p>
        </w:tc>
      </w:tr>
      <w:tr w:rsidR="002100AE" w:rsidRPr="002100AE" w14:paraId="5F52A498" w14:textId="77777777" w:rsidTr="003B7797">
        <w:trPr>
          <w:gridBefore w:val="1"/>
          <w:gridAfter w:val="1"/>
          <w:wBefore w:w="180" w:type="dxa"/>
          <w:wAfter w:w="91" w:type="dxa"/>
          <w:cantSplit/>
          <w:trHeight w:val="576"/>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6F064CBB" w14:textId="7CAFF1E6" w:rsidR="00D02C31" w:rsidRPr="002100AE" w:rsidRDefault="00D02C31" w:rsidP="00F907C6">
            <w:pPr>
              <w:keepNext/>
              <w:keepLines/>
              <w:autoSpaceDE w:val="0"/>
              <w:autoSpaceDN w:val="0"/>
              <w:adjustRightInd w:val="0"/>
              <w:spacing w:line="360" w:lineRule="auto"/>
              <w:ind w:left="60" w:right="60" w:firstLine="0"/>
              <w:jc w:val="left"/>
              <w:rPr>
                <w:rFonts w:asciiTheme="majorBidi" w:hAnsiTheme="majorBidi" w:cstheme="majorBidi"/>
                <w:color w:val="auto"/>
                <w:szCs w:val="20"/>
              </w:rPr>
            </w:pPr>
            <w:r w:rsidRPr="002100AE">
              <w:rPr>
                <w:rFonts w:eastAsia="MS Mincho" w:cs="Times New Roman" w:hint="eastAsia"/>
                <w:color w:val="auto"/>
                <w:kern w:val="2"/>
                <w:szCs w:val="20"/>
                <w:lang w:eastAsia="ja-JP"/>
              </w:rPr>
              <w:t>4</w:t>
            </w:r>
          </w:p>
        </w:tc>
        <w:tc>
          <w:tcPr>
            <w:tcW w:w="1248" w:type="dxa"/>
            <w:shd w:val="clear" w:color="auto" w:fill="FFFFFF" w:themeFill="background1"/>
            <w:vAlign w:val="center"/>
          </w:tcPr>
          <w:p w14:paraId="5FBAA13C" w14:textId="788A5A32" w:rsidR="00D02C31" w:rsidRPr="002100AE" w:rsidRDefault="00D02C31" w:rsidP="00F907C6">
            <w:pPr>
              <w:keepNext/>
              <w:keepLines/>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M</w:t>
            </w:r>
            <w:r w:rsidRPr="002100AE">
              <w:rPr>
                <w:rFonts w:eastAsia="MS Mincho" w:cs="Times New Roman" w:hint="eastAsia"/>
                <w:color w:val="auto"/>
                <w:kern w:val="2"/>
                <w:szCs w:val="20"/>
                <w:lang w:eastAsia="ja-JP"/>
              </w:rPr>
              <w:t xml:space="preserve">yskow, </w:t>
            </w:r>
            <w:r w:rsidRPr="002100AE">
              <w:rPr>
                <w:rFonts w:eastAsia="MS Mincho" w:cs="Times New Roman"/>
                <w:color w:val="auto"/>
                <w:kern w:val="2"/>
                <w:szCs w:val="20"/>
                <w:lang w:eastAsia="ja-JP"/>
              </w:rPr>
              <w:t>G</w:t>
            </w:r>
            <w:r w:rsidRPr="002100AE">
              <w:rPr>
                <w:rFonts w:eastAsia="MS Mincho" w:cs="Times New Roman" w:hint="eastAsia"/>
                <w:color w:val="auto"/>
                <w:kern w:val="2"/>
                <w:szCs w:val="20"/>
                <w:lang w:eastAsia="ja-JP"/>
              </w:rPr>
              <w:t>ordon</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15C86C04" w14:textId="311387CC"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3</w:t>
            </w:r>
          </w:p>
        </w:tc>
        <w:tc>
          <w:tcPr>
            <w:tcW w:w="722" w:type="dxa"/>
            <w:gridSpan w:val="2"/>
            <w:shd w:val="clear" w:color="auto" w:fill="FFFFFF" w:themeFill="background1"/>
            <w:vAlign w:val="center"/>
          </w:tcPr>
          <w:p w14:paraId="44E49A89" w14:textId="1438A3B9" w:rsidR="00D02C31" w:rsidRPr="002100AE" w:rsidRDefault="00D02C31" w:rsidP="00F907C6">
            <w:pPr>
              <w:keepNext/>
              <w:keepLines/>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34</w:t>
            </w:r>
          </w:p>
        </w:tc>
        <w:tc>
          <w:tcPr>
            <w:cnfStyle w:val="000010000000" w:firstRow="0" w:lastRow="0" w:firstColumn="0" w:lastColumn="0" w:oddVBand="1" w:evenVBand="0" w:oddHBand="0" w:evenHBand="0" w:firstRowFirstColumn="0" w:firstRowLastColumn="0" w:lastRowFirstColumn="0" w:lastRowLastColumn="0"/>
            <w:tcW w:w="1268" w:type="dxa"/>
            <w:shd w:val="clear" w:color="auto" w:fill="FFFFFF" w:themeFill="background1"/>
            <w:vAlign w:val="center"/>
          </w:tcPr>
          <w:p w14:paraId="110965BF" w14:textId="4A9E34DA" w:rsidR="00D02C31" w:rsidRPr="002100AE" w:rsidRDefault="00D02C31" w:rsidP="00F907C6">
            <w:pPr>
              <w:keepNext/>
              <w:keepLines/>
              <w:autoSpaceDE w:val="0"/>
              <w:autoSpaceDN w:val="0"/>
              <w:adjustRightInd w:val="0"/>
              <w:spacing w:line="360" w:lineRule="auto"/>
              <w:ind w:left="60" w:right="60" w:firstLine="0"/>
              <w:jc w:val="left"/>
              <w:rPr>
                <w:color w:val="auto"/>
              </w:rPr>
            </w:pPr>
            <w:r w:rsidRPr="002100AE">
              <w:rPr>
                <w:rFonts w:eastAsia="MS Mincho" w:cs="Times New Roman"/>
                <w:color w:val="auto"/>
                <w:kern w:val="2"/>
                <w:szCs w:val="20"/>
                <w:lang w:eastAsia="ja-JP"/>
              </w:rPr>
              <w:t>H</w:t>
            </w:r>
            <w:r w:rsidRPr="002100AE">
              <w:rPr>
                <w:rFonts w:eastAsia="MS Mincho" w:cs="Times New Roman" w:hint="eastAsia"/>
                <w:color w:val="auto"/>
                <w:kern w:val="2"/>
                <w:szCs w:val="20"/>
                <w:lang w:eastAsia="ja-JP"/>
              </w:rPr>
              <w:t xml:space="preserve">yland </w:t>
            </w:r>
            <w:r w:rsidRPr="002100AE">
              <w:rPr>
                <w:rFonts w:eastAsia="MS Mincho" w:cs="Times New Roman"/>
                <w:color w:val="auto"/>
                <w:kern w:val="2"/>
                <w:szCs w:val="20"/>
                <w:lang w:eastAsia="ja-JP"/>
              </w:rPr>
              <w:t>K</w:t>
            </w:r>
            <w:r w:rsidRPr="002100AE">
              <w:rPr>
                <w:rFonts w:eastAsia="MS Mincho" w:cs="Times New Roman" w:hint="eastAsia"/>
                <w:color w:val="auto"/>
                <w:kern w:val="2"/>
                <w:szCs w:val="20"/>
                <w:lang w:eastAsia="ja-JP"/>
              </w:rPr>
              <w:t>.</w:t>
            </w:r>
          </w:p>
        </w:tc>
        <w:tc>
          <w:tcPr>
            <w:tcW w:w="722" w:type="dxa"/>
            <w:shd w:val="clear" w:color="auto" w:fill="FFFFFF" w:themeFill="background1"/>
            <w:vAlign w:val="center"/>
          </w:tcPr>
          <w:p w14:paraId="3090FA0C" w14:textId="6C911D30" w:rsidR="00D02C31" w:rsidRPr="002100AE" w:rsidRDefault="00D02C31" w:rsidP="00F907C6">
            <w:pPr>
              <w:keepNext/>
              <w:keepLines/>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58</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44D577E6" w14:textId="70B8BE53"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295</w:t>
            </w:r>
          </w:p>
        </w:tc>
        <w:tc>
          <w:tcPr>
            <w:tcW w:w="1249" w:type="dxa"/>
            <w:shd w:val="clear" w:color="auto" w:fill="FFFFFF" w:themeFill="background1"/>
            <w:vAlign w:val="center"/>
          </w:tcPr>
          <w:p w14:paraId="4C658EB7" w14:textId="6EB332FD" w:rsidR="00D02C31" w:rsidRPr="002100AE" w:rsidRDefault="00D02C31" w:rsidP="00F907C6">
            <w:pPr>
              <w:keepNext/>
              <w:keepLines/>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M</w:t>
            </w:r>
            <w:r w:rsidRPr="002100AE">
              <w:rPr>
                <w:rFonts w:eastAsia="MS Mincho" w:cs="Times New Roman" w:hint="eastAsia"/>
                <w:color w:val="auto"/>
                <w:kern w:val="2"/>
                <w:szCs w:val="20"/>
                <w:lang w:eastAsia="ja-JP"/>
              </w:rPr>
              <w:t xml:space="preserve">yskow, </w:t>
            </w:r>
            <w:r w:rsidRPr="002100AE">
              <w:rPr>
                <w:rFonts w:eastAsia="MS Mincho" w:cs="Times New Roman"/>
                <w:color w:val="auto"/>
                <w:kern w:val="2"/>
                <w:szCs w:val="20"/>
                <w:lang w:eastAsia="ja-JP"/>
              </w:rPr>
              <w:t>G</w:t>
            </w:r>
            <w:r w:rsidRPr="002100AE">
              <w:rPr>
                <w:rFonts w:eastAsia="MS Mincho" w:cs="Times New Roman" w:hint="eastAsia"/>
                <w:color w:val="auto"/>
                <w:kern w:val="2"/>
                <w:szCs w:val="20"/>
                <w:lang w:eastAsia="ja-JP"/>
              </w:rPr>
              <w:t>ordon</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6F20EC5A" w14:textId="014AE663"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3</w:t>
            </w:r>
          </w:p>
        </w:tc>
        <w:tc>
          <w:tcPr>
            <w:tcW w:w="722" w:type="dxa"/>
            <w:shd w:val="clear" w:color="auto" w:fill="FFFFFF" w:themeFill="background1"/>
            <w:vAlign w:val="center"/>
          </w:tcPr>
          <w:p w14:paraId="5D182BC9" w14:textId="75EE4641" w:rsidR="00D02C31" w:rsidRPr="002100AE" w:rsidRDefault="00D02C31" w:rsidP="00F907C6">
            <w:pPr>
              <w:keepNext/>
              <w:keepLines/>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34</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035497DD" w14:textId="0B1F36BB"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78</w:t>
            </w:r>
          </w:p>
        </w:tc>
      </w:tr>
      <w:tr w:rsidR="002100AE" w:rsidRPr="002100AE" w14:paraId="3C88EA4A" w14:textId="77777777" w:rsidTr="003B7797">
        <w:trPr>
          <w:gridBefore w:val="1"/>
          <w:gridAfter w:val="1"/>
          <w:cnfStyle w:val="000000100000" w:firstRow="0" w:lastRow="0" w:firstColumn="0" w:lastColumn="0" w:oddVBand="0" w:evenVBand="0" w:oddHBand="1" w:evenHBand="0" w:firstRowFirstColumn="0" w:firstRowLastColumn="0" w:lastRowFirstColumn="0" w:lastRowLastColumn="0"/>
          <w:wBefore w:w="180" w:type="dxa"/>
          <w:wAfter w:w="91" w:type="dxa"/>
          <w:cantSplit/>
          <w:trHeight w:val="576"/>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0081349D" w14:textId="15C2BD0D" w:rsidR="00D02C31" w:rsidRPr="002100AE" w:rsidRDefault="00D02C31" w:rsidP="00F907C6">
            <w:pPr>
              <w:keepNext/>
              <w:keepLines/>
              <w:autoSpaceDE w:val="0"/>
              <w:autoSpaceDN w:val="0"/>
              <w:adjustRightInd w:val="0"/>
              <w:spacing w:line="360" w:lineRule="auto"/>
              <w:ind w:left="60" w:right="60" w:firstLine="0"/>
              <w:jc w:val="left"/>
              <w:rPr>
                <w:color w:val="auto"/>
              </w:rPr>
            </w:pPr>
            <w:r w:rsidRPr="002100AE">
              <w:rPr>
                <w:rFonts w:eastAsia="MS Mincho" w:cs="Times New Roman" w:hint="eastAsia"/>
                <w:color w:val="auto"/>
                <w:kern w:val="2"/>
                <w:szCs w:val="20"/>
                <w:lang w:eastAsia="ja-JP"/>
              </w:rPr>
              <w:t>5</w:t>
            </w:r>
          </w:p>
        </w:tc>
        <w:tc>
          <w:tcPr>
            <w:tcW w:w="1248" w:type="dxa"/>
            <w:shd w:val="clear" w:color="auto" w:fill="FFFFFF" w:themeFill="background1"/>
            <w:vAlign w:val="center"/>
          </w:tcPr>
          <w:p w14:paraId="77CC29E6" w14:textId="7BB37B19" w:rsidR="00D02C31" w:rsidRPr="002100AE" w:rsidRDefault="00D02C31" w:rsidP="00F907C6">
            <w:pPr>
              <w:keepNext/>
              <w:keepLines/>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color w:val="auto"/>
                <w:kern w:val="2"/>
                <w:szCs w:val="20"/>
                <w:lang w:eastAsia="ja-JP"/>
              </w:rPr>
              <w:t>X</w:t>
            </w:r>
            <w:r w:rsidRPr="002100AE">
              <w:rPr>
                <w:rFonts w:eastAsia="MS Mincho" w:cs="Times New Roman" w:hint="eastAsia"/>
                <w:color w:val="auto"/>
                <w:kern w:val="2"/>
                <w:szCs w:val="20"/>
                <w:lang w:eastAsia="ja-JP"/>
              </w:rPr>
              <w:t xml:space="preserve">uan, </w:t>
            </w:r>
            <w:r w:rsidRPr="002100AE">
              <w:rPr>
                <w:rFonts w:eastAsia="MS Mincho" w:cs="Times New Roman"/>
                <w:color w:val="auto"/>
                <w:kern w:val="2"/>
                <w:szCs w:val="20"/>
                <w:lang w:eastAsia="ja-JP"/>
              </w:rPr>
              <w:t>W</w:t>
            </w:r>
            <w:r w:rsidRPr="002100AE">
              <w:rPr>
                <w:rFonts w:eastAsia="MS Mincho" w:cs="Times New Roman" w:hint="eastAsia"/>
                <w:color w:val="auto"/>
                <w:kern w:val="2"/>
                <w:szCs w:val="20"/>
                <w:lang w:eastAsia="ja-JP"/>
              </w:rPr>
              <w:t xml:space="preserve">infred </w:t>
            </w:r>
            <w:r w:rsidRPr="002100AE">
              <w:rPr>
                <w:rFonts w:eastAsia="MS Mincho" w:cs="Times New Roman"/>
                <w:color w:val="auto"/>
                <w:kern w:val="2"/>
                <w:szCs w:val="20"/>
                <w:lang w:eastAsia="ja-JP"/>
              </w:rPr>
              <w:t>W</w:t>
            </w:r>
            <w:r w:rsidRPr="002100AE">
              <w:rPr>
                <w:rFonts w:eastAsia="MS Mincho" w:cs="Times New Roman" w:hint="eastAsia"/>
                <w:color w:val="auto"/>
                <w:kern w:val="2"/>
                <w:szCs w:val="20"/>
                <w:lang w:eastAsia="ja-JP"/>
              </w:rPr>
              <w:t>enhui</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6E70459A" w14:textId="54DFA5A4"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722" w:type="dxa"/>
            <w:gridSpan w:val="2"/>
            <w:shd w:val="clear" w:color="auto" w:fill="FFFFFF" w:themeFill="background1"/>
            <w:vAlign w:val="center"/>
          </w:tcPr>
          <w:p w14:paraId="642B23A6" w14:textId="6554F21D" w:rsidR="00D02C31" w:rsidRPr="002100AE" w:rsidRDefault="00D02C31" w:rsidP="00F907C6">
            <w:pPr>
              <w:keepNext/>
              <w:keepLines/>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5</w:t>
            </w:r>
          </w:p>
        </w:tc>
        <w:tc>
          <w:tcPr>
            <w:cnfStyle w:val="000010000000" w:firstRow="0" w:lastRow="0" w:firstColumn="0" w:lastColumn="0" w:oddVBand="1" w:evenVBand="0" w:oddHBand="0" w:evenHBand="0" w:firstRowFirstColumn="0" w:firstRowLastColumn="0" w:lastRowFirstColumn="0" w:lastRowLastColumn="0"/>
            <w:tcW w:w="1268" w:type="dxa"/>
            <w:shd w:val="clear" w:color="auto" w:fill="FFFFFF" w:themeFill="background1"/>
            <w:vAlign w:val="center"/>
          </w:tcPr>
          <w:p w14:paraId="66037723" w14:textId="5492247B" w:rsidR="00D02C31" w:rsidRPr="002100AE" w:rsidRDefault="00D02C31" w:rsidP="00F907C6">
            <w:pPr>
              <w:keepNext/>
              <w:keepLines/>
              <w:autoSpaceDE w:val="0"/>
              <w:autoSpaceDN w:val="0"/>
              <w:adjustRightInd w:val="0"/>
              <w:spacing w:line="360" w:lineRule="auto"/>
              <w:ind w:left="60" w:right="60" w:firstLine="0"/>
              <w:jc w:val="left"/>
              <w:rPr>
                <w:color w:val="auto"/>
              </w:rPr>
            </w:pPr>
            <w:r w:rsidRPr="002100AE">
              <w:rPr>
                <w:rFonts w:eastAsia="MS Mincho" w:cs="Times New Roman"/>
                <w:color w:val="auto"/>
                <w:kern w:val="2"/>
                <w:szCs w:val="20"/>
                <w:lang w:eastAsia="ja-JP"/>
              </w:rPr>
              <w:t>M</w:t>
            </w:r>
            <w:r w:rsidRPr="002100AE">
              <w:rPr>
                <w:rFonts w:eastAsia="MS Mincho" w:cs="Times New Roman" w:hint="eastAsia"/>
                <w:color w:val="auto"/>
                <w:kern w:val="2"/>
                <w:szCs w:val="20"/>
                <w:lang w:eastAsia="ja-JP"/>
              </w:rPr>
              <w:t xml:space="preserve">artin </w:t>
            </w:r>
            <w:r w:rsidRPr="002100AE">
              <w:rPr>
                <w:rFonts w:eastAsia="MS Mincho" w:cs="Times New Roman"/>
                <w:color w:val="auto"/>
                <w:kern w:val="2"/>
                <w:szCs w:val="20"/>
                <w:lang w:eastAsia="ja-JP"/>
              </w:rPr>
              <w:t>J</w:t>
            </w:r>
            <w:r w:rsidRPr="002100AE">
              <w:rPr>
                <w:rFonts w:eastAsia="MS Mincho" w:cs="Times New Roman" w:hint="eastAsia"/>
                <w:color w:val="auto"/>
                <w:kern w:val="2"/>
                <w:szCs w:val="20"/>
                <w:lang w:eastAsia="ja-JP"/>
              </w:rPr>
              <w:t>.</w:t>
            </w:r>
            <w:r w:rsidRPr="002100AE">
              <w:rPr>
                <w:rFonts w:eastAsia="MS Mincho" w:cs="Times New Roman"/>
                <w:color w:val="auto"/>
                <w:kern w:val="2"/>
                <w:szCs w:val="20"/>
                <w:lang w:eastAsia="ja-JP"/>
              </w:rPr>
              <w:t>R</w:t>
            </w:r>
            <w:r w:rsidRPr="002100AE">
              <w:rPr>
                <w:rFonts w:eastAsia="MS Mincho" w:cs="Times New Roman" w:hint="eastAsia"/>
                <w:color w:val="auto"/>
                <w:kern w:val="2"/>
                <w:szCs w:val="20"/>
                <w:lang w:eastAsia="ja-JP"/>
              </w:rPr>
              <w:t>.</w:t>
            </w:r>
          </w:p>
        </w:tc>
        <w:tc>
          <w:tcPr>
            <w:tcW w:w="722" w:type="dxa"/>
            <w:shd w:val="clear" w:color="auto" w:fill="FFFFFF" w:themeFill="background1"/>
            <w:vAlign w:val="center"/>
          </w:tcPr>
          <w:p w14:paraId="2DFE5FC5" w14:textId="4565C57A" w:rsidR="00D02C31" w:rsidRPr="002100AE" w:rsidRDefault="00D02C31" w:rsidP="00F907C6">
            <w:pPr>
              <w:keepNext/>
              <w:keepLines/>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45</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12ACCB2E" w14:textId="2D207094"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276</w:t>
            </w:r>
          </w:p>
        </w:tc>
        <w:tc>
          <w:tcPr>
            <w:tcW w:w="1249" w:type="dxa"/>
            <w:shd w:val="clear" w:color="auto" w:fill="FFFFFF" w:themeFill="background1"/>
            <w:vAlign w:val="center"/>
          </w:tcPr>
          <w:p w14:paraId="09FB698C" w14:textId="19CD9578" w:rsidR="00D02C31" w:rsidRPr="002100AE" w:rsidRDefault="00D02C31" w:rsidP="00F907C6">
            <w:pPr>
              <w:keepNext/>
              <w:keepLines/>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color w:val="auto"/>
                <w:kern w:val="2"/>
                <w:szCs w:val="20"/>
                <w:lang w:eastAsia="ja-JP"/>
              </w:rPr>
              <w:t>X</w:t>
            </w:r>
            <w:r w:rsidRPr="002100AE">
              <w:rPr>
                <w:rFonts w:eastAsia="MS Mincho" w:cs="Times New Roman" w:hint="eastAsia"/>
                <w:color w:val="auto"/>
                <w:kern w:val="2"/>
                <w:szCs w:val="20"/>
                <w:lang w:eastAsia="ja-JP"/>
              </w:rPr>
              <w:t xml:space="preserve">uan, </w:t>
            </w:r>
            <w:r w:rsidRPr="002100AE">
              <w:rPr>
                <w:rFonts w:eastAsia="MS Mincho" w:cs="Times New Roman"/>
                <w:color w:val="auto"/>
                <w:kern w:val="2"/>
                <w:szCs w:val="20"/>
                <w:lang w:eastAsia="ja-JP"/>
              </w:rPr>
              <w:t>W</w:t>
            </w:r>
            <w:r w:rsidRPr="002100AE">
              <w:rPr>
                <w:rFonts w:eastAsia="MS Mincho" w:cs="Times New Roman" w:hint="eastAsia"/>
                <w:color w:val="auto"/>
                <w:kern w:val="2"/>
                <w:szCs w:val="20"/>
                <w:lang w:eastAsia="ja-JP"/>
              </w:rPr>
              <w:t xml:space="preserve">infred </w:t>
            </w:r>
            <w:r w:rsidRPr="002100AE">
              <w:rPr>
                <w:rFonts w:eastAsia="MS Mincho" w:cs="Times New Roman"/>
                <w:color w:val="auto"/>
                <w:kern w:val="2"/>
                <w:szCs w:val="20"/>
                <w:lang w:eastAsia="ja-JP"/>
              </w:rPr>
              <w:t>W</w:t>
            </w:r>
            <w:r w:rsidRPr="002100AE">
              <w:rPr>
                <w:rFonts w:eastAsia="MS Mincho" w:cs="Times New Roman" w:hint="eastAsia"/>
                <w:color w:val="auto"/>
                <w:kern w:val="2"/>
                <w:szCs w:val="20"/>
                <w:lang w:eastAsia="ja-JP"/>
              </w:rPr>
              <w:t>enhui</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0D0CDE6E" w14:textId="37B6D2EB"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w:t>
            </w:r>
          </w:p>
        </w:tc>
        <w:tc>
          <w:tcPr>
            <w:tcW w:w="722" w:type="dxa"/>
            <w:shd w:val="clear" w:color="auto" w:fill="FFFFFF" w:themeFill="background1"/>
            <w:vAlign w:val="center"/>
          </w:tcPr>
          <w:p w14:paraId="41BDC8C6" w14:textId="03277DFC" w:rsidR="00D02C31" w:rsidRPr="002100AE" w:rsidRDefault="00D02C31" w:rsidP="00F907C6">
            <w:pPr>
              <w:keepNext/>
              <w:keepLines/>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5</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28CC3138" w14:textId="5CB92A7A" w:rsidR="00D02C31" w:rsidRPr="002100AE" w:rsidRDefault="00D02C31" w:rsidP="00F907C6">
            <w:pPr>
              <w:keepNext/>
              <w:keepLines/>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65</w:t>
            </w:r>
          </w:p>
        </w:tc>
      </w:tr>
      <w:tr w:rsidR="00190FC8" w:rsidRPr="002100AE" w14:paraId="63E51C43" w14:textId="77777777" w:rsidTr="003B7797">
        <w:trPr>
          <w:gridBefore w:val="1"/>
          <w:gridAfter w:val="1"/>
          <w:wBefore w:w="180" w:type="dxa"/>
          <w:wAfter w:w="91" w:type="dxa"/>
          <w:cantSplit/>
          <w:trHeight w:val="576"/>
        </w:trPr>
        <w:tc>
          <w:tcPr>
            <w:cnfStyle w:val="000010000000" w:firstRow="0" w:lastRow="0" w:firstColumn="0" w:lastColumn="0" w:oddVBand="1" w:evenVBand="0" w:oddHBand="0" w:evenHBand="0" w:firstRowFirstColumn="0" w:firstRowLastColumn="0" w:lastRowFirstColumn="0" w:lastRowLastColumn="0"/>
            <w:tcW w:w="270" w:type="dxa"/>
            <w:tcBorders>
              <w:bottom w:val="single" w:sz="4" w:space="0" w:color="auto"/>
            </w:tcBorders>
            <w:shd w:val="clear" w:color="auto" w:fill="FFFFFF" w:themeFill="background1"/>
            <w:vAlign w:val="center"/>
          </w:tcPr>
          <w:p w14:paraId="15734D74" w14:textId="469F6655" w:rsidR="00D02C31" w:rsidRPr="002100AE" w:rsidRDefault="00D02C31" w:rsidP="00F907C6">
            <w:pPr>
              <w:keepNext/>
              <w:keepLines/>
              <w:autoSpaceDE w:val="0"/>
              <w:autoSpaceDN w:val="0"/>
              <w:adjustRightInd w:val="0"/>
              <w:spacing w:line="360" w:lineRule="auto"/>
              <w:ind w:left="60" w:right="60" w:firstLine="0"/>
              <w:jc w:val="left"/>
              <w:rPr>
                <w:rFonts w:eastAsia="MS Mincho" w:cs="Times New Roman"/>
                <w:color w:val="auto"/>
                <w:kern w:val="2"/>
                <w:szCs w:val="20"/>
                <w:lang w:eastAsia="ja-JP"/>
              </w:rPr>
            </w:pPr>
            <w:r w:rsidRPr="002100AE">
              <w:rPr>
                <w:rFonts w:eastAsia="MS Mincho" w:cs="Times New Roman" w:hint="eastAsia"/>
                <w:color w:val="auto"/>
                <w:kern w:val="2"/>
                <w:szCs w:val="20"/>
                <w:lang w:eastAsia="ja-JP"/>
              </w:rPr>
              <w:t>6</w:t>
            </w:r>
          </w:p>
        </w:tc>
        <w:tc>
          <w:tcPr>
            <w:tcW w:w="1248" w:type="dxa"/>
            <w:tcBorders>
              <w:bottom w:val="single" w:sz="4" w:space="0" w:color="auto"/>
            </w:tcBorders>
            <w:shd w:val="clear" w:color="auto" w:fill="FFFFFF" w:themeFill="background1"/>
            <w:vAlign w:val="center"/>
          </w:tcPr>
          <w:p w14:paraId="036F2087" w14:textId="6C25A6D0" w:rsidR="00D02C31" w:rsidRPr="002100AE" w:rsidRDefault="00D02C31" w:rsidP="00F907C6">
            <w:pPr>
              <w:keepNext/>
              <w:keepLines/>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color w:val="auto"/>
                <w:kern w:val="2"/>
                <w:szCs w:val="20"/>
                <w:lang w:eastAsia="ja-JP"/>
              </w:rPr>
              <w:t>Y</w:t>
            </w:r>
            <w:r w:rsidRPr="002100AE">
              <w:rPr>
                <w:rFonts w:eastAsia="MS Mincho" w:cs="Times New Roman" w:hint="eastAsia"/>
                <w:color w:val="auto"/>
                <w:kern w:val="2"/>
                <w:szCs w:val="20"/>
                <w:lang w:eastAsia="ja-JP"/>
              </w:rPr>
              <w:t xml:space="preserve">ang, </w:t>
            </w:r>
            <w:r w:rsidRPr="002100AE">
              <w:rPr>
                <w:rFonts w:eastAsia="MS Mincho" w:cs="Times New Roman"/>
                <w:color w:val="auto"/>
                <w:kern w:val="2"/>
                <w:szCs w:val="20"/>
                <w:lang w:eastAsia="ja-JP"/>
              </w:rPr>
              <w:t>Y</w:t>
            </w:r>
            <w:r w:rsidRPr="002100AE">
              <w:rPr>
                <w:rFonts w:eastAsia="MS Mincho" w:cs="Times New Roman" w:hint="eastAsia"/>
                <w:color w:val="auto"/>
                <w:kern w:val="2"/>
                <w:szCs w:val="20"/>
                <w:lang w:eastAsia="ja-JP"/>
              </w:rPr>
              <w:t>ilong</w:t>
            </w:r>
          </w:p>
        </w:tc>
        <w:tc>
          <w:tcPr>
            <w:cnfStyle w:val="000010000000" w:firstRow="0" w:lastRow="0" w:firstColumn="0" w:lastColumn="0" w:oddVBand="1" w:evenVBand="0" w:oddHBand="0" w:evenHBand="0" w:firstRowFirstColumn="0" w:firstRowLastColumn="0" w:lastRowFirstColumn="0" w:lastRowLastColumn="0"/>
            <w:tcW w:w="722" w:type="dxa"/>
            <w:tcBorders>
              <w:bottom w:val="single" w:sz="4" w:space="0" w:color="auto"/>
            </w:tcBorders>
            <w:shd w:val="clear" w:color="auto" w:fill="FFFFFF" w:themeFill="background1"/>
            <w:vAlign w:val="center"/>
          </w:tcPr>
          <w:p w14:paraId="593F9629" w14:textId="7B7D74E4" w:rsidR="00D02C31" w:rsidRPr="002100AE" w:rsidRDefault="00D02C31" w:rsidP="00F907C6">
            <w:pPr>
              <w:keepNext/>
              <w:keepLines/>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3</w:t>
            </w:r>
          </w:p>
        </w:tc>
        <w:tc>
          <w:tcPr>
            <w:tcW w:w="722" w:type="dxa"/>
            <w:gridSpan w:val="2"/>
            <w:tcBorders>
              <w:bottom w:val="single" w:sz="4" w:space="0" w:color="auto"/>
            </w:tcBorders>
            <w:shd w:val="clear" w:color="auto" w:fill="FFFFFF" w:themeFill="background1"/>
            <w:vAlign w:val="center"/>
          </w:tcPr>
          <w:p w14:paraId="777088CB" w14:textId="16FA4E6F" w:rsidR="00D02C31" w:rsidRPr="002100AE" w:rsidRDefault="00D02C31" w:rsidP="00F907C6">
            <w:pPr>
              <w:keepNext/>
              <w:keepLines/>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hint="eastAsia"/>
                <w:color w:val="auto"/>
                <w:kern w:val="2"/>
                <w:szCs w:val="20"/>
                <w:lang w:eastAsia="ja-JP"/>
              </w:rPr>
              <w:t>4</w:t>
            </w:r>
          </w:p>
        </w:tc>
        <w:tc>
          <w:tcPr>
            <w:cnfStyle w:val="000010000000" w:firstRow="0" w:lastRow="0" w:firstColumn="0" w:lastColumn="0" w:oddVBand="1" w:evenVBand="0" w:oddHBand="0" w:evenHBand="0" w:firstRowFirstColumn="0" w:firstRowLastColumn="0" w:lastRowFirstColumn="0" w:lastRowLastColumn="0"/>
            <w:tcW w:w="1268" w:type="dxa"/>
            <w:tcBorders>
              <w:bottom w:val="single" w:sz="4" w:space="0" w:color="auto"/>
            </w:tcBorders>
            <w:shd w:val="clear" w:color="auto" w:fill="FFFFFF" w:themeFill="background1"/>
            <w:vAlign w:val="center"/>
          </w:tcPr>
          <w:p w14:paraId="333CD526" w14:textId="1B9FB8B1" w:rsidR="00D02C31" w:rsidRPr="002100AE" w:rsidRDefault="00D02C31" w:rsidP="00F907C6">
            <w:pPr>
              <w:keepNext/>
              <w:keepLines/>
              <w:autoSpaceDE w:val="0"/>
              <w:autoSpaceDN w:val="0"/>
              <w:adjustRightInd w:val="0"/>
              <w:spacing w:line="360" w:lineRule="auto"/>
              <w:ind w:left="60" w:right="60" w:firstLine="0"/>
              <w:jc w:val="left"/>
              <w:rPr>
                <w:rFonts w:eastAsia="MS Mincho" w:cs="Times New Roman"/>
                <w:color w:val="auto"/>
                <w:kern w:val="2"/>
                <w:szCs w:val="20"/>
                <w:lang w:eastAsia="ja-JP"/>
              </w:rPr>
            </w:pPr>
            <w:r w:rsidRPr="002100AE">
              <w:rPr>
                <w:rFonts w:eastAsia="MS Mincho" w:cs="Times New Roman"/>
                <w:color w:val="auto"/>
                <w:kern w:val="2"/>
                <w:szCs w:val="20"/>
                <w:lang w:eastAsia="ja-JP"/>
              </w:rPr>
              <w:t>R</w:t>
            </w:r>
            <w:r w:rsidRPr="002100AE">
              <w:rPr>
                <w:rFonts w:eastAsia="MS Mincho" w:cs="Times New Roman" w:hint="eastAsia"/>
                <w:color w:val="auto"/>
                <w:kern w:val="2"/>
                <w:szCs w:val="20"/>
                <w:lang w:eastAsia="ja-JP"/>
              </w:rPr>
              <w:t xml:space="preserve">ose </w:t>
            </w:r>
            <w:r w:rsidRPr="002100AE">
              <w:rPr>
                <w:rFonts w:eastAsia="MS Mincho" w:cs="Times New Roman"/>
                <w:color w:val="auto"/>
                <w:kern w:val="2"/>
                <w:szCs w:val="20"/>
                <w:lang w:eastAsia="ja-JP"/>
              </w:rPr>
              <w:t>D</w:t>
            </w:r>
            <w:r w:rsidRPr="002100AE">
              <w:rPr>
                <w:rFonts w:eastAsia="MS Mincho" w:cs="Times New Roman" w:hint="eastAsia"/>
                <w:color w:val="auto"/>
                <w:kern w:val="2"/>
                <w:szCs w:val="20"/>
                <w:lang w:eastAsia="ja-JP"/>
              </w:rPr>
              <w:t>.</w:t>
            </w:r>
          </w:p>
        </w:tc>
        <w:tc>
          <w:tcPr>
            <w:tcW w:w="722" w:type="dxa"/>
            <w:tcBorders>
              <w:bottom w:val="single" w:sz="4" w:space="0" w:color="auto"/>
            </w:tcBorders>
            <w:shd w:val="clear" w:color="auto" w:fill="FFFFFF" w:themeFill="background1"/>
            <w:vAlign w:val="center"/>
          </w:tcPr>
          <w:p w14:paraId="3FC9E0F5" w14:textId="597D12E6" w:rsidR="00D02C31" w:rsidRPr="002100AE" w:rsidRDefault="00D02C31" w:rsidP="00F907C6">
            <w:pPr>
              <w:keepNext/>
              <w:keepLines/>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hint="eastAsia"/>
                <w:color w:val="auto"/>
                <w:kern w:val="2"/>
                <w:szCs w:val="20"/>
                <w:lang w:eastAsia="ja-JP"/>
              </w:rPr>
              <w:t>24</w:t>
            </w:r>
          </w:p>
        </w:tc>
        <w:tc>
          <w:tcPr>
            <w:cnfStyle w:val="000010000000" w:firstRow="0" w:lastRow="0" w:firstColumn="0" w:lastColumn="0" w:oddVBand="1" w:evenVBand="0" w:oddHBand="0" w:evenHBand="0" w:firstRowFirstColumn="0" w:firstRowLastColumn="0" w:lastRowFirstColumn="0" w:lastRowLastColumn="0"/>
            <w:tcW w:w="722" w:type="dxa"/>
            <w:tcBorders>
              <w:bottom w:val="single" w:sz="4" w:space="0" w:color="auto"/>
            </w:tcBorders>
            <w:shd w:val="clear" w:color="auto" w:fill="FFFFFF" w:themeFill="background1"/>
            <w:vAlign w:val="center"/>
          </w:tcPr>
          <w:p w14:paraId="3EC7DBCA" w14:textId="2E4AEF07" w:rsidR="00D02C31" w:rsidRPr="002100AE" w:rsidRDefault="00D02C31" w:rsidP="00F907C6">
            <w:pPr>
              <w:keepNext/>
              <w:keepLines/>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134</w:t>
            </w:r>
          </w:p>
        </w:tc>
        <w:tc>
          <w:tcPr>
            <w:tcW w:w="1249" w:type="dxa"/>
            <w:tcBorders>
              <w:bottom w:val="single" w:sz="4" w:space="0" w:color="auto"/>
            </w:tcBorders>
            <w:shd w:val="clear" w:color="auto" w:fill="FFFFFF" w:themeFill="background1"/>
            <w:vAlign w:val="center"/>
          </w:tcPr>
          <w:p w14:paraId="1447A47C" w14:textId="0BC0A17C" w:rsidR="00D02C31" w:rsidRPr="002100AE" w:rsidRDefault="00D02C31" w:rsidP="00F907C6">
            <w:pPr>
              <w:keepNext/>
              <w:keepLines/>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color w:val="auto"/>
                <w:kern w:val="2"/>
                <w:szCs w:val="20"/>
                <w:lang w:eastAsia="ja-JP"/>
              </w:rPr>
              <w:t>Y</w:t>
            </w:r>
            <w:r w:rsidRPr="002100AE">
              <w:rPr>
                <w:rFonts w:eastAsia="MS Mincho" w:cs="Times New Roman" w:hint="eastAsia"/>
                <w:color w:val="auto"/>
                <w:kern w:val="2"/>
                <w:szCs w:val="20"/>
                <w:lang w:eastAsia="ja-JP"/>
              </w:rPr>
              <w:t xml:space="preserve">ang, </w:t>
            </w:r>
            <w:r w:rsidRPr="002100AE">
              <w:rPr>
                <w:rFonts w:eastAsia="MS Mincho" w:cs="Times New Roman"/>
                <w:color w:val="auto"/>
                <w:kern w:val="2"/>
                <w:szCs w:val="20"/>
                <w:lang w:eastAsia="ja-JP"/>
              </w:rPr>
              <w:t>Y</w:t>
            </w:r>
            <w:r w:rsidRPr="002100AE">
              <w:rPr>
                <w:rFonts w:eastAsia="MS Mincho" w:cs="Times New Roman" w:hint="eastAsia"/>
                <w:color w:val="auto"/>
                <w:kern w:val="2"/>
                <w:szCs w:val="20"/>
                <w:lang w:eastAsia="ja-JP"/>
              </w:rPr>
              <w:t>ilong</w:t>
            </w:r>
          </w:p>
        </w:tc>
        <w:tc>
          <w:tcPr>
            <w:cnfStyle w:val="000010000000" w:firstRow="0" w:lastRow="0" w:firstColumn="0" w:lastColumn="0" w:oddVBand="1" w:evenVBand="0" w:oddHBand="0" w:evenHBand="0" w:firstRowFirstColumn="0" w:firstRowLastColumn="0" w:lastRowFirstColumn="0" w:lastRowLastColumn="0"/>
            <w:tcW w:w="722" w:type="dxa"/>
            <w:tcBorders>
              <w:bottom w:val="single" w:sz="4" w:space="0" w:color="auto"/>
            </w:tcBorders>
            <w:shd w:val="clear" w:color="auto" w:fill="FFFFFF" w:themeFill="background1"/>
            <w:vAlign w:val="center"/>
          </w:tcPr>
          <w:p w14:paraId="1B7DE332" w14:textId="77FFBF86" w:rsidR="00D02C31" w:rsidRPr="002100AE" w:rsidRDefault="00D02C31" w:rsidP="00F907C6">
            <w:pPr>
              <w:keepNext/>
              <w:keepLines/>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3</w:t>
            </w:r>
          </w:p>
        </w:tc>
        <w:tc>
          <w:tcPr>
            <w:tcW w:w="722" w:type="dxa"/>
            <w:tcBorders>
              <w:bottom w:val="single" w:sz="4" w:space="0" w:color="auto"/>
            </w:tcBorders>
            <w:shd w:val="clear" w:color="auto" w:fill="FFFFFF" w:themeFill="background1"/>
            <w:vAlign w:val="center"/>
          </w:tcPr>
          <w:p w14:paraId="4781A6D7" w14:textId="296381B3" w:rsidR="00D02C31" w:rsidRPr="002100AE" w:rsidRDefault="00D02C31" w:rsidP="00F907C6">
            <w:pPr>
              <w:keepNext/>
              <w:keepLines/>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hint="eastAsia"/>
                <w:color w:val="auto"/>
                <w:kern w:val="2"/>
                <w:szCs w:val="20"/>
                <w:lang w:eastAsia="ja-JP"/>
              </w:rPr>
              <w:t>4</w:t>
            </w:r>
          </w:p>
        </w:tc>
        <w:tc>
          <w:tcPr>
            <w:cnfStyle w:val="000010000000" w:firstRow="0" w:lastRow="0" w:firstColumn="0" w:lastColumn="0" w:oddVBand="1" w:evenVBand="0" w:oddHBand="0" w:evenHBand="0" w:firstRowFirstColumn="0" w:firstRowLastColumn="0" w:lastRowFirstColumn="0" w:lastRowLastColumn="0"/>
            <w:tcW w:w="722" w:type="dxa"/>
            <w:tcBorders>
              <w:bottom w:val="single" w:sz="4" w:space="0" w:color="auto"/>
            </w:tcBorders>
            <w:shd w:val="clear" w:color="auto" w:fill="FFFFFF" w:themeFill="background1"/>
            <w:vAlign w:val="center"/>
          </w:tcPr>
          <w:p w14:paraId="53EA705A" w14:textId="697379FB" w:rsidR="00D02C31" w:rsidRPr="002100AE" w:rsidRDefault="00D02C31" w:rsidP="00F907C6">
            <w:pPr>
              <w:keepNext/>
              <w:keepLines/>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86</w:t>
            </w:r>
          </w:p>
        </w:tc>
      </w:tr>
    </w:tbl>
    <w:p w14:paraId="73338437" w14:textId="1ADC73D7" w:rsidR="002B27BE" w:rsidRPr="002100AE" w:rsidRDefault="002B27BE" w:rsidP="00F675E2">
      <w:pPr>
        <w:pStyle w:val="RALs-Heading3"/>
        <w:spacing w:after="120" w:line="480" w:lineRule="auto"/>
        <w:ind w:left="288" w:hanging="288"/>
        <w:rPr>
          <w:rFonts w:asciiTheme="majorBidi" w:hAnsiTheme="majorBidi" w:cstheme="majorBidi"/>
          <w:sz w:val="24"/>
          <w:szCs w:val="24"/>
          <w:lang w:val="vi-VN"/>
        </w:rPr>
      </w:pPr>
      <w:r w:rsidRPr="002100AE">
        <w:rPr>
          <w:rFonts w:asciiTheme="majorBidi" w:hAnsiTheme="majorBidi" w:cstheme="majorBidi"/>
          <w:sz w:val="24"/>
          <w:szCs w:val="24"/>
        </w:rPr>
        <w:t>4.2.3. Highly Cited Article</w:t>
      </w:r>
    </w:p>
    <w:p w14:paraId="5A5FB2BE" w14:textId="10B5688E" w:rsidR="00F907C6" w:rsidRPr="00F907C6" w:rsidRDefault="00F907C6" w:rsidP="00F907C6">
      <w:pPr>
        <w:spacing w:before="0" w:after="120" w:line="480" w:lineRule="auto"/>
        <w:rPr>
          <w:rFonts w:asciiTheme="majorBidi" w:hAnsiTheme="majorBidi" w:cstheme="majorBidi"/>
          <w:sz w:val="24"/>
          <w:szCs w:val="24"/>
          <w:lang w:val="vi-VN"/>
        </w:rPr>
      </w:pPr>
      <w:r w:rsidRPr="00F907C6">
        <w:rPr>
          <w:rFonts w:asciiTheme="majorBidi" w:hAnsiTheme="majorBidi" w:cstheme="majorBidi"/>
          <w:sz w:val="24"/>
          <w:szCs w:val="24"/>
          <w:lang w:val="vi-VN"/>
        </w:rPr>
        <w:t xml:space="preserve">The list of highly cited articles in the field of Appraisal Theory is displayed in the table below. They are influential works in studies on Systemic Functional Linguistics and language education. Apparently, Hood (2006) has the highest number of citations (108) with the total link strength of 16. The figures imply his influence upon subsequent research. Lancaster (2014) and Miller (2014) also show a strong impact with 77 and 74 citations, respectively, which shows the rising interest of scholars in the application of Appraisal Theory to the analysis of academic texts and discourse studies. Lately, the works by Whittaker (2023) and Szenes (2021) portray the development of Appraisal Theory in modern settings. Those suggest the role of this theory in changing educational and linguistic issues. The scholarly works like An </w:t>
      </w:r>
      <w:r>
        <w:rPr>
          <w:rFonts w:asciiTheme="majorBidi" w:hAnsiTheme="majorBidi" w:cstheme="majorBidi"/>
          <w:sz w:val="24"/>
          <w:szCs w:val="24"/>
          <w:lang w:val="vi-VN"/>
        </w:rPr>
        <w:t>Introduction</w:t>
      </w:r>
      <w:r w:rsidRPr="00F907C6">
        <w:rPr>
          <w:rFonts w:asciiTheme="majorBidi" w:hAnsiTheme="majorBidi" w:cstheme="majorBidi"/>
          <w:sz w:val="24"/>
          <w:szCs w:val="24"/>
          <w:lang w:val="vi-VN"/>
        </w:rPr>
        <w:t xml:space="preserve"> </w:t>
      </w:r>
      <w:r w:rsidRPr="00F907C6">
        <w:rPr>
          <w:rFonts w:asciiTheme="majorBidi" w:hAnsiTheme="majorBidi" w:cstheme="majorBidi"/>
          <w:sz w:val="24"/>
          <w:szCs w:val="24"/>
          <w:lang w:val="vi-VN"/>
        </w:rPr>
        <w:lastRenderedPageBreak/>
        <w:t xml:space="preserve">to </w:t>
      </w:r>
      <w:r>
        <w:rPr>
          <w:rFonts w:asciiTheme="majorBidi" w:hAnsiTheme="majorBidi" w:cstheme="majorBidi"/>
          <w:sz w:val="24"/>
          <w:szCs w:val="24"/>
          <w:lang w:val="vi-VN"/>
        </w:rPr>
        <w:t>F</w:t>
      </w:r>
      <w:r w:rsidRPr="00F907C6">
        <w:rPr>
          <w:rFonts w:asciiTheme="majorBidi" w:hAnsiTheme="majorBidi" w:cstheme="majorBidi"/>
          <w:sz w:val="24"/>
          <w:szCs w:val="24"/>
          <w:lang w:val="vi-VN"/>
        </w:rPr>
        <w:t xml:space="preserve">unctional </w:t>
      </w:r>
      <w:r>
        <w:rPr>
          <w:rFonts w:asciiTheme="majorBidi" w:hAnsiTheme="majorBidi" w:cstheme="majorBidi"/>
          <w:sz w:val="24"/>
          <w:szCs w:val="24"/>
          <w:lang w:val="vi-VN"/>
        </w:rPr>
        <w:t>Grammar</w:t>
      </w:r>
      <w:r w:rsidRPr="00F907C6">
        <w:rPr>
          <w:rFonts w:asciiTheme="majorBidi" w:hAnsiTheme="majorBidi" w:cstheme="majorBidi"/>
          <w:sz w:val="24"/>
          <w:szCs w:val="24"/>
          <w:lang w:val="vi-VN"/>
        </w:rPr>
        <w:t xml:space="preserve"> (Halliday, 1994)</w:t>
      </w:r>
      <w:r>
        <w:rPr>
          <w:rFonts w:asciiTheme="majorBidi" w:hAnsiTheme="majorBidi" w:cstheme="majorBidi"/>
          <w:sz w:val="24"/>
          <w:szCs w:val="24"/>
          <w:lang w:val="vi-VN"/>
        </w:rPr>
        <w:t>,</w:t>
      </w:r>
      <w:r w:rsidRPr="00F907C6">
        <w:rPr>
          <w:rFonts w:asciiTheme="majorBidi" w:hAnsiTheme="majorBidi" w:cstheme="majorBidi"/>
          <w:sz w:val="24"/>
          <w:szCs w:val="24"/>
          <w:lang w:val="vi-VN"/>
        </w:rPr>
        <w:t xml:space="preserve"> Working with </w:t>
      </w:r>
      <w:r>
        <w:rPr>
          <w:rFonts w:asciiTheme="majorBidi" w:hAnsiTheme="majorBidi" w:cstheme="majorBidi"/>
          <w:sz w:val="24"/>
          <w:szCs w:val="24"/>
          <w:lang w:val="vi-VN"/>
        </w:rPr>
        <w:t>Discourse:</w:t>
      </w:r>
      <w:r w:rsidRPr="00F907C6">
        <w:rPr>
          <w:rFonts w:asciiTheme="majorBidi" w:hAnsiTheme="majorBidi" w:cstheme="majorBidi"/>
          <w:sz w:val="24"/>
          <w:szCs w:val="24"/>
          <w:lang w:val="vi-VN"/>
        </w:rPr>
        <w:t xml:space="preserve"> </w:t>
      </w:r>
      <w:r>
        <w:rPr>
          <w:rFonts w:asciiTheme="majorBidi" w:hAnsiTheme="majorBidi" w:cstheme="majorBidi"/>
          <w:sz w:val="24"/>
          <w:szCs w:val="24"/>
          <w:lang w:val="vi-VN"/>
        </w:rPr>
        <w:t>Meaning Beyond</w:t>
      </w:r>
      <w:r w:rsidRPr="00F907C6">
        <w:rPr>
          <w:rFonts w:asciiTheme="majorBidi" w:hAnsiTheme="majorBidi" w:cstheme="majorBidi"/>
          <w:sz w:val="24"/>
          <w:szCs w:val="24"/>
          <w:lang w:val="vi-VN"/>
        </w:rPr>
        <w:t xml:space="preserve"> the </w:t>
      </w:r>
      <w:r>
        <w:rPr>
          <w:rFonts w:asciiTheme="majorBidi" w:hAnsiTheme="majorBidi" w:cstheme="majorBidi"/>
          <w:sz w:val="24"/>
          <w:szCs w:val="24"/>
          <w:lang w:val="vi-VN"/>
        </w:rPr>
        <w:t xml:space="preserve">Clause </w:t>
      </w:r>
      <w:r w:rsidRPr="00F907C6">
        <w:rPr>
          <w:rFonts w:asciiTheme="majorBidi" w:hAnsiTheme="majorBidi" w:cstheme="majorBidi"/>
          <w:sz w:val="24"/>
          <w:szCs w:val="24"/>
          <w:lang w:val="vi-VN"/>
        </w:rPr>
        <w:t xml:space="preserve">(Rose, 2003) and Evaluation in </w:t>
      </w:r>
      <w:r>
        <w:rPr>
          <w:rFonts w:asciiTheme="majorBidi" w:hAnsiTheme="majorBidi" w:cstheme="majorBidi"/>
          <w:sz w:val="24"/>
          <w:szCs w:val="24"/>
          <w:lang w:val="vi-VN"/>
        </w:rPr>
        <w:t>Text:</w:t>
      </w:r>
      <w:r w:rsidRPr="00F907C6">
        <w:rPr>
          <w:rFonts w:asciiTheme="majorBidi" w:hAnsiTheme="majorBidi" w:cstheme="majorBidi"/>
          <w:sz w:val="24"/>
          <w:szCs w:val="24"/>
          <w:lang w:val="vi-VN"/>
        </w:rPr>
        <w:t xml:space="preserve"> </w:t>
      </w:r>
      <w:r>
        <w:rPr>
          <w:rFonts w:asciiTheme="majorBidi" w:hAnsiTheme="majorBidi" w:cstheme="majorBidi"/>
          <w:sz w:val="24"/>
          <w:szCs w:val="24"/>
          <w:lang w:val="vi-VN"/>
        </w:rPr>
        <w:t>Authorial Stance</w:t>
      </w:r>
      <w:r w:rsidRPr="00F907C6">
        <w:rPr>
          <w:rFonts w:asciiTheme="majorBidi" w:hAnsiTheme="majorBidi" w:cstheme="majorBidi"/>
          <w:sz w:val="24"/>
          <w:szCs w:val="24"/>
          <w:lang w:val="vi-VN"/>
        </w:rPr>
        <w:t xml:space="preserve"> and the </w:t>
      </w:r>
      <w:r>
        <w:rPr>
          <w:rFonts w:asciiTheme="majorBidi" w:hAnsiTheme="majorBidi" w:cstheme="majorBidi"/>
          <w:sz w:val="24"/>
          <w:szCs w:val="24"/>
          <w:lang w:val="vi-VN"/>
        </w:rPr>
        <w:t>Construction</w:t>
      </w:r>
      <w:r w:rsidRPr="00F907C6">
        <w:rPr>
          <w:rFonts w:asciiTheme="majorBidi" w:hAnsiTheme="majorBidi" w:cstheme="majorBidi"/>
          <w:sz w:val="24"/>
          <w:szCs w:val="24"/>
          <w:lang w:val="vi-VN"/>
        </w:rPr>
        <w:t xml:space="preserve"> of </w:t>
      </w:r>
      <w:r>
        <w:rPr>
          <w:rFonts w:asciiTheme="majorBidi" w:hAnsiTheme="majorBidi" w:cstheme="majorBidi"/>
          <w:sz w:val="24"/>
          <w:szCs w:val="24"/>
          <w:lang w:val="vi-VN"/>
        </w:rPr>
        <w:t>Discourse</w:t>
      </w:r>
      <w:r w:rsidRPr="00F907C6">
        <w:rPr>
          <w:rFonts w:asciiTheme="majorBidi" w:hAnsiTheme="majorBidi" w:cstheme="majorBidi"/>
          <w:sz w:val="24"/>
          <w:szCs w:val="24"/>
          <w:lang w:val="vi-VN"/>
        </w:rPr>
        <w:t xml:space="preserve"> (Thompson, 2000) reaffirm their foundational role in the theoretical setting up of Appraisal.</w:t>
      </w:r>
    </w:p>
    <w:p w14:paraId="26842C76" w14:textId="24590269" w:rsidR="00F907C6" w:rsidRDefault="00F907C6" w:rsidP="00F907C6">
      <w:pPr>
        <w:spacing w:before="0" w:after="120" w:line="480" w:lineRule="auto"/>
        <w:rPr>
          <w:rFonts w:asciiTheme="majorBidi" w:hAnsiTheme="majorBidi" w:cstheme="majorBidi"/>
          <w:sz w:val="24"/>
          <w:szCs w:val="24"/>
          <w:lang w:val="vi-VN"/>
        </w:rPr>
      </w:pPr>
      <w:r w:rsidRPr="00F907C6">
        <w:rPr>
          <w:rFonts w:asciiTheme="majorBidi" w:hAnsiTheme="majorBidi" w:cstheme="majorBidi"/>
          <w:sz w:val="24"/>
          <w:szCs w:val="24"/>
          <w:lang w:val="vi-VN"/>
        </w:rPr>
        <w:t>In short, the table indicates a harmony between classical works and more recent applications. The most frequently cited articles suggested the influence of the theory. At the same time, the new studies reflected the diversification of Appraisal Theory into new domains. The pairing highlights the continuance and vibrancy of research within the domain of language education and additionally consolidates the position of Appraisal Theory as a powerful and thriving analytical instrument.</w:t>
      </w:r>
    </w:p>
    <w:p w14:paraId="35A9E8C1" w14:textId="53DEAD25" w:rsidR="00D02C31" w:rsidRPr="002100AE" w:rsidRDefault="00D02C31" w:rsidP="00F907C6">
      <w:pPr>
        <w:pStyle w:val="RALs-TableCaption"/>
        <w:ind w:left="0" w:firstLine="0"/>
        <w:rPr>
          <w:rFonts w:asciiTheme="majorBidi" w:hAnsiTheme="majorBidi" w:cstheme="majorBidi"/>
          <w:b/>
          <w:bCs/>
          <w:sz w:val="24"/>
          <w:szCs w:val="24"/>
          <w:lang w:val="vi-VN"/>
        </w:rPr>
      </w:pPr>
      <w:r w:rsidRPr="002100AE">
        <w:rPr>
          <w:rFonts w:asciiTheme="majorBidi" w:hAnsiTheme="majorBidi" w:cstheme="majorBidi"/>
          <w:b/>
          <w:bCs/>
          <w:sz w:val="24"/>
          <w:szCs w:val="24"/>
        </w:rPr>
        <w:t>Table 4</w:t>
      </w:r>
    </w:p>
    <w:p w14:paraId="52530EA0" w14:textId="7F733F3B" w:rsidR="00D02C31" w:rsidRPr="002100AE" w:rsidRDefault="00D02C31" w:rsidP="00D02C31">
      <w:pPr>
        <w:pStyle w:val="RALs-TableCaption"/>
        <w:ind w:left="0" w:firstLine="0"/>
        <w:rPr>
          <w:rFonts w:asciiTheme="majorBidi" w:hAnsiTheme="majorBidi" w:cstheme="majorBidi"/>
          <w:sz w:val="24"/>
          <w:szCs w:val="24"/>
        </w:rPr>
      </w:pPr>
      <w:r w:rsidRPr="002100AE">
        <w:rPr>
          <w:rFonts w:asciiTheme="majorBidi" w:hAnsiTheme="majorBidi" w:cstheme="majorBidi"/>
          <w:i/>
          <w:iCs/>
          <w:sz w:val="24"/>
          <w:szCs w:val="24"/>
        </w:rPr>
        <w:t xml:space="preserve">Highly Cited Articles in Appraisal Theory Research </w:t>
      </w:r>
    </w:p>
    <w:tbl>
      <w:tblPr>
        <w:tblStyle w:val="LightShading1"/>
        <w:tblW w:w="9360" w:type="dxa"/>
        <w:tblInd w:w="-180" w:type="dxa"/>
        <w:tblBorders>
          <w:top w:val="none" w:sz="0" w:space="0" w:color="auto"/>
          <w:bottom w:val="none" w:sz="0" w:space="0" w:color="auto"/>
        </w:tblBorders>
        <w:shd w:val="clear" w:color="auto" w:fill="FFFFFF" w:themeFill="background1"/>
        <w:tblLayout w:type="fixed"/>
        <w:tblLook w:val="0000" w:firstRow="0" w:lastRow="0" w:firstColumn="0" w:lastColumn="0" w:noHBand="0" w:noVBand="0"/>
      </w:tblPr>
      <w:tblGrid>
        <w:gridCol w:w="180"/>
        <w:gridCol w:w="270"/>
        <w:gridCol w:w="1170"/>
        <w:gridCol w:w="722"/>
        <w:gridCol w:w="716"/>
        <w:gridCol w:w="2342"/>
        <w:gridCol w:w="451"/>
        <w:gridCol w:w="114"/>
        <w:gridCol w:w="630"/>
        <w:gridCol w:w="1244"/>
        <w:gridCol w:w="646"/>
        <w:gridCol w:w="630"/>
        <w:gridCol w:w="245"/>
      </w:tblGrid>
      <w:tr w:rsidR="003B7797" w:rsidRPr="00B53319" w14:paraId="3B9A5F4D" w14:textId="77777777" w:rsidTr="003B7797">
        <w:trPr>
          <w:cnfStyle w:val="000000100000" w:firstRow="0" w:lastRow="0" w:firstColumn="0" w:lastColumn="0" w:oddVBand="0" w:evenVBand="0" w:oddHBand="1" w:evenHBand="0" w:firstRowFirstColumn="0" w:firstRowLastColumn="0" w:lastRowFirstColumn="0" w:lastRowLastColumn="0"/>
          <w:trHeight w:val="521"/>
        </w:trPr>
        <w:tc>
          <w:tcPr>
            <w:cnfStyle w:val="000010000000" w:firstRow="0" w:lastRow="0" w:firstColumn="0" w:lastColumn="0" w:oddVBand="1" w:evenVBand="0" w:oddHBand="0" w:evenHBand="0" w:firstRowFirstColumn="0" w:firstRowLastColumn="0" w:lastRowFirstColumn="0" w:lastRowLastColumn="0"/>
            <w:tcW w:w="3058" w:type="dxa"/>
            <w:gridSpan w:val="5"/>
            <w:tcBorders>
              <w:top w:val="single" w:sz="4" w:space="0" w:color="auto"/>
              <w:bottom w:val="single" w:sz="4" w:space="0" w:color="auto"/>
            </w:tcBorders>
            <w:shd w:val="clear" w:color="auto" w:fill="FFFFFF" w:themeFill="background1"/>
            <w:vAlign w:val="center"/>
          </w:tcPr>
          <w:p w14:paraId="4F096A23" w14:textId="77777777" w:rsidR="003B7797" w:rsidRPr="00B53319" w:rsidRDefault="003B7797" w:rsidP="005371AA">
            <w:pPr>
              <w:autoSpaceDE w:val="0"/>
              <w:autoSpaceDN w:val="0"/>
              <w:adjustRightInd w:val="0"/>
              <w:spacing w:line="360" w:lineRule="auto"/>
              <w:ind w:right="60" w:firstLine="0"/>
              <w:jc w:val="center"/>
              <w:rPr>
                <w:rFonts w:eastAsia="MS Mincho" w:cs="Times New Roman"/>
                <w:color w:val="FF0000"/>
                <w:kern w:val="2"/>
                <w:szCs w:val="20"/>
                <w:lang w:eastAsia="ja-JP"/>
              </w:rPr>
            </w:pPr>
            <w:r w:rsidRPr="00B53319">
              <w:rPr>
                <w:rFonts w:eastAsia="MS Mincho" w:cs="Times New Roman"/>
                <w:color w:val="FF0000"/>
                <w:kern w:val="2"/>
                <w:szCs w:val="20"/>
                <w:lang w:eastAsia="ja-JP"/>
              </w:rPr>
              <w:t>Citation</w:t>
            </w:r>
          </w:p>
        </w:tc>
        <w:tc>
          <w:tcPr>
            <w:tcW w:w="2793" w:type="dxa"/>
            <w:gridSpan w:val="2"/>
            <w:tcBorders>
              <w:top w:val="single" w:sz="4" w:space="0" w:color="auto"/>
              <w:bottom w:val="single" w:sz="4" w:space="0" w:color="auto"/>
            </w:tcBorders>
            <w:shd w:val="clear" w:color="auto" w:fill="FFFFFF" w:themeFill="background1"/>
            <w:vAlign w:val="center"/>
          </w:tcPr>
          <w:p w14:paraId="37399310" w14:textId="77777777" w:rsidR="003B7797" w:rsidRPr="00B53319" w:rsidRDefault="003B7797" w:rsidP="005371AA">
            <w:pPr>
              <w:autoSpaceDE w:val="0"/>
              <w:autoSpaceDN w:val="0"/>
              <w:adjustRightInd w:val="0"/>
              <w:spacing w:line="360" w:lineRule="auto"/>
              <w:ind w:right="60" w:firstLine="0"/>
              <w:jc w:val="center"/>
              <w:cnfStyle w:val="000000100000" w:firstRow="0" w:lastRow="0" w:firstColumn="0" w:lastColumn="0" w:oddVBand="0" w:evenVBand="0" w:oddHBand="1" w:evenHBand="0" w:firstRowFirstColumn="0" w:firstRowLastColumn="0" w:lastRowFirstColumn="0" w:lastRowLastColumn="0"/>
              <w:rPr>
                <w:rFonts w:eastAsia="MS Mincho" w:cs="Times New Roman"/>
                <w:color w:val="FF0000"/>
                <w:kern w:val="2"/>
                <w:szCs w:val="20"/>
                <w:lang w:eastAsia="ja-JP"/>
              </w:rPr>
            </w:pPr>
            <w:r w:rsidRPr="00B53319">
              <w:rPr>
                <w:rFonts w:eastAsia="MS Mincho" w:cs="Times New Roman"/>
                <w:color w:val="FF0000"/>
                <w:kern w:val="2"/>
                <w:szCs w:val="20"/>
                <w:lang w:eastAsia="ja-JP"/>
              </w:rPr>
              <w:t>Co-Citation</w:t>
            </w:r>
          </w:p>
        </w:tc>
        <w:tc>
          <w:tcPr>
            <w:cnfStyle w:val="000010000000" w:firstRow="0" w:lastRow="0" w:firstColumn="0" w:lastColumn="0" w:oddVBand="1" w:evenVBand="0" w:oddHBand="0" w:evenHBand="0" w:firstRowFirstColumn="0" w:firstRowLastColumn="0" w:lastRowFirstColumn="0" w:lastRowLastColumn="0"/>
            <w:tcW w:w="3509" w:type="dxa"/>
            <w:gridSpan w:val="6"/>
            <w:tcBorders>
              <w:top w:val="single" w:sz="4" w:space="0" w:color="auto"/>
              <w:bottom w:val="single" w:sz="4" w:space="0" w:color="auto"/>
            </w:tcBorders>
            <w:shd w:val="clear" w:color="auto" w:fill="FFFFFF" w:themeFill="background1"/>
            <w:vAlign w:val="center"/>
          </w:tcPr>
          <w:p w14:paraId="36CB9831" w14:textId="77777777" w:rsidR="003B7797" w:rsidRPr="00B53319" w:rsidRDefault="003B7797" w:rsidP="005371AA">
            <w:pPr>
              <w:autoSpaceDE w:val="0"/>
              <w:autoSpaceDN w:val="0"/>
              <w:adjustRightInd w:val="0"/>
              <w:spacing w:line="360" w:lineRule="auto"/>
              <w:ind w:right="60" w:firstLine="0"/>
              <w:jc w:val="center"/>
              <w:rPr>
                <w:rFonts w:eastAsia="MS Mincho" w:cs="Times New Roman"/>
                <w:color w:val="FF0000"/>
                <w:kern w:val="2"/>
                <w:szCs w:val="20"/>
                <w:lang w:eastAsia="ja-JP"/>
              </w:rPr>
            </w:pPr>
            <w:r w:rsidRPr="00B53319">
              <w:rPr>
                <w:rFonts w:eastAsia="MS Mincho" w:cs="Times New Roman"/>
                <w:color w:val="FF0000"/>
                <w:kern w:val="2"/>
                <w:szCs w:val="20"/>
                <w:lang w:eastAsia="ja-JP"/>
              </w:rPr>
              <w:t>Bibliographic Coupling</w:t>
            </w:r>
          </w:p>
        </w:tc>
      </w:tr>
      <w:tr w:rsidR="002100AE" w:rsidRPr="002100AE" w14:paraId="427F2594" w14:textId="77777777" w:rsidTr="003B7797">
        <w:trPr>
          <w:gridBefore w:val="1"/>
          <w:gridAfter w:val="1"/>
          <w:wBefore w:w="180" w:type="dxa"/>
          <w:wAfter w:w="245" w:type="dxa"/>
          <w:cantSplit/>
          <w:trHeight w:val="1872"/>
        </w:trPr>
        <w:tc>
          <w:tcPr>
            <w:cnfStyle w:val="000010000000" w:firstRow="0" w:lastRow="0" w:firstColumn="0" w:lastColumn="0" w:oddVBand="1" w:evenVBand="0" w:oddHBand="0" w:evenHBand="0" w:firstRowFirstColumn="0" w:firstRowLastColumn="0" w:lastRowFirstColumn="0" w:lastRowLastColumn="0"/>
            <w:tcW w:w="270" w:type="dxa"/>
            <w:tcBorders>
              <w:top w:val="single" w:sz="4" w:space="0" w:color="auto"/>
              <w:bottom w:val="single" w:sz="4" w:space="0" w:color="auto"/>
            </w:tcBorders>
            <w:shd w:val="clear" w:color="auto" w:fill="FFFFFF" w:themeFill="background1"/>
            <w:vAlign w:val="center"/>
          </w:tcPr>
          <w:p w14:paraId="5764FA26" w14:textId="77777777" w:rsidR="00D02C31" w:rsidRPr="002100AE" w:rsidRDefault="00D02C31" w:rsidP="00F675E2">
            <w:pPr>
              <w:autoSpaceDE w:val="0"/>
              <w:autoSpaceDN w:val="0"/>
              <w:adjustRightInd w:val="0"/>
              <w:spacing w:line="360" w:lineRule="auto"/>
              <w:ind w:right="60" w:firstLine="0"/>
              <w:jc w:val="center"/>
              <w:rPr>
                <w:rFonts w:asciiTheme="majorBidi" w:hAnsiTheme="majorBidi" w:cstheme="majorBidi"/>
                <w:color w:val="auto"/>
                <w:szCs w:val="20"/>
              </w:rPr>
            </w:pPr>
          </w:p>
        </w:tc>
        <w:tc>
          <w:tcPr>
            <w:tcW w:w="1170" w:type="dxa"/>
            <w:tcBorders>
              <w:top w:val="single" w:sz="4" w:space="0" w:color="auto"/>
              <w:bottom w:val="single" w:sz="4" w:space="0" w:color="auto"/>
            </w:tcBorders>
            <w:shd w:val="clear" w:color="auto" w:fill="FFFFFF" w:themeFill="background1"/>
            <w:textDirection w:val="btLr"/>
          </w:tcPr>
          <w:p w14:paraId="57DD5E77" w14:textId="1BB8818C" w:rsidR="00D02C31" w:rsidRPr="002100AE" w:rsidRDefault="00D02C31" w:rsidP="00F675E2">
            <w:pPr>
              <w:autoSpaceDE w:val="0"/>
              <w:autoSpaceDN w:val="0"/>
              <w:adjustRightInd w:val="0"/>
              <w:spacing w:line="360" w:lineRule="auto"/>
              <w:ind w:right="6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D</w:t>
            </w:r>
            <w:r w:rsidRPr="002100AE">
              <w:rPr>
                <w:rFonts w:eastAsia="MS Mincho" w:cs="Times New Roman" w:hint="eastAsia"/>
                <w:color w:val="auto"/>
                <w:kern w:val="2"/>
                <w:szCs w:val="20"/>
                <w:lang w:eastAsia="ja-JP"/>
              </w:rPr>
              <w:t>ocument</w:t>
            </w:r>
          </w:p>
        </w:tc>
        <w:tc>
          <w:tcPr>
            <w:cnfStyle w:val="000010000000" w:firstRow="0" w:lastRow="0" w:firstColumn="0" w:lastColumn="0" w:oddVBand="1" w:evenVBand="0" w:oddHBand="0" w:evenHBand="0" w:firstRowFirstColumn="0" w:firstRowLastColumn="0" w:lastRowFirstColumn="0" w:lastRowLastColumn="0"/>
            <w:tcW w:w="722" w:type="dxa"/>
            <w:tcBorders>
              <w:top w:val="single" w:sz="4" w:space="0" w:color="auto"/>
              <w:bottom w:val="single" w:sz="4" w:space="0" w:color="auto"/>
            </w:tcBorders>
            <w:shd w:val="clear" w:color="auto" w:fill="FFFFFF" w:themeFill="background1"/>
            <w:textDirection w:val="btLr"/>
          </w:tcPr>
          <w:p w14:paraId="627DF330" w14:textId="34380664" w:rsidR="00D02C31" w:rsidRPr="002100AE" w:rsidRDefault="00D02C31" w:rsidP="00F675E2">
            <w:pPr>
              <w:autoSpaceDE w:val="0"/>
              <w:autoSpaceDN w:val="0"/>
              <w:adjustRightInd w:val="0"/>
              <w:spacing w:line="360" w:lineRule="auto"/>
              <w:ind w:right="60" w:firstLine="0"/>
              <w:jc w:val="center"/>
              <w:rPr>
                <w:color w:val="auto"/>
              </w:rPr>
            </w:pPr>
            <w:r w:rsidRPr="002100AE">
              <w:rPr>
                <w:rFonts w:eastAsia="MS Mincho" w:cs="Times New Roman"/>
                <w:color w:val="auto"/>
                <w:kern w:val="2"/>
                <w:szCs w:val="20"/>
                <w:lang w:eastAsia="ja-JP"/>
              </w:rPr>
              <w:t>C</w:t>
            </w:r>
            <w:r w:rsidRPr="002100AE">
              <w:rPr>
                <w:rFonts w:eastAsia="MS Mincho" w:cs="Times New Roman" w:hint="eastAsia"/>
                <w:color w:val="auto"/>
                <w:kern w:val="2"/>
                <w:szCs w:val="20"/>
                <w:lang w:eastAsia="ja-JP"/>
              </w:rPr>
              <w:t>itations</w:t>
            </w:r>
          </w:p>
        </w:tc>
        <w:tc>
          <w:tcPr>
            <w:tcW w:w="3058" w:type="dxa"/>
            <w:gridSpan w:val="2"/>
            <w:tcBorders>
              <w:top w:val="single" w:sz="4" w:space="0" w:color="auto"/>
              <w:bottom w:val="single" w:sz="4" w:space="0" w:color="auto"/>
            </w:tcBorders>
            <w:shd w:val="clear" w:color="auto" w:fill="FFFFFF" w:themeFill="background1"/>
            <w:textDirection w:val="btLr"/>
            <w:vAlign w:val="center"/>
          </w:tcPr>
          <w:p w14:paraId="14E7713A" w14:textId="6D616BA7" w:rsidR="00D02C31" w:rsidRPr="002100AE" w:rsidRDefault="00D02C31" w:rsidP="00F675E2">
            <w:pPr>
              <w:autoSpaceDE w:val="0"/>
              <w:autoSpaceDN w:val="0"/>
              <w:adjustRightInd w:val="0"/>
              <w:spacing w:line="360" w:lineRule="auto"/>
              <w:ind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C</w:t>
            </w:r>
            <w:r w:rsidRPr="002100AE">
              <w:rPr>
                <w:rFonts w:eastAsia="MS Mincho" w:cs="Times New Roman" w:hint="eastAsia"/>
                <w:color w:val="auto"/>
                <w:kern w:val="2"/>
                <w:szCs w:val="20"/>
                <w:lang w:eastAsia="ja-JP"/>
              </w:rPr>
              <w:t>ited reference</w:t>
            </w:r>
          </w:p>
        </w:tc>
        <w:tc>
          <w:tcPr>
            <w:cnfStyle w:val="000010000000" w:firstRow="0" w:lastRow="0" w:firstColumn="0" w:lastColumn="0" w:oddVBand="1" w:evenVBand="0" w:oddHBand="0" w:evenHBand="0" w:firstRowFirstColumn="0" w:firstRowLastColumn="0" w:lastRowFirstColumn="0" w:lastRowLastColumn="0"/>
            <w:tcW w:w="565" w:type="dxa"/>
            <w:gridSpan w:val="2"/>
            <w:tcBorders>
              <w:top w:val="single" w:sz="4" w:space="0" w:color="auto"/>
              <w:bottom w:val="single" w:sz="4" w:space="0" w:color="auto"/>
            </w:tcBorders>
            <w:shd w:val="clear" w:color="auto" w:fill="FFFFFF" w:themeFill="background1"/>
            <w:textDirection w:val="btLr"/>
          </w:tcPr>
          <w:p w14:paraId="0DEF6A0E" w14:textId="3B761AC4" w:rsidR="00D02C31" w:rsidRPr="002100AE" w:rsidRDefault="00D02C31" w:rsidP="00F675E2">
            <w:pPr>
              <w:autoSpaceDE w:val="0"/>
              <w:autoSpaceDN w:val="0"/>
              <w:adjustRightInd w:val="0"/>
              <w:spacing w:line="360" w:lineRule="auto"/>
              <w:ind w:right="60" w:firstLine="0"/>
              <w:jc w:val="center"/>
              <w:rPr>
                <w:color w:val="auto"/>
              </w:rPr>
            </w:pPr>
            <w:r w:rsidRPr="002100AE">
              <w:rPr>
                <w:rFonts w:eastAsia="MS Mincho" w:cs="Times New Roman"/>
                <w:color w:val="auto"/>
                <w:kern w:val="2"/>
                <w:szCs w:val="20"/>
                <w:lang w:eastAsia="ja-JP"/>
              </w:rPr>
              <w:t>C</w:t>
            </w:r>
            <w:r w:rsidRPr="002100AE">
              <w:rPr>
                <w:rFonts w:eastAsia="MS Mincho" w:cs="Times New Roman" w:hint="eastAsia"/>
                <w:color w:val="auto"/>
                <w:kern w:val="2"/>
                <w:szCs w:val="20"/>
                <w:lang w:eastAsia="ja-JP"/>
              </w:rPr>
              <w:t>itations</w:t>
            </w:r>
          </w:p>
        </w:tc>
        <w:tc>
          <w:tcPr>
            <w:tcW w:w="630" w:type="dxa"/>
            <w:tcBorders>
              <w:top w:val="single" w:sz="4" w:space="0" w:color="auto"/>
              <w:bottom w:val="single" w:sz="4" w:space="0" w:color="auto"/>
            </w:tcBorders>
            <w:shd w:val="clear" w:color="auto" w:fill="FFFFFF" w:themeFill="background1"/>
            <w:textDirection w:val="btLr"/>
          </w:tcPr>
          <w:p w14:paraId="34C46677" w14:textId="0235544A" w:rsidR="00D02C31" w:rsidRPr="002100AE" w:rsidRDefault="00D02C31" w:rsidP="00F675E2">
            <w:pPr>
              <w:autoSpaceDE w:val="0"/>
              <w:autoSpaceDN w:val="0"/>
              <w:adjustRightInd w:val="0"/>
              <w:spacing w:line="360" w:lineRule="auto"/>
              <w:ind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T</w:t>
            </w:r>
            <w:r w:rsidRPr="002100AE">
              <w:rPr>
                <w:rFonts w:eastAsia="MS Mincho" w:cs="Times New Roman" w:hint="eastAsia"/>
                <w:color w:val="auto"/>
                <w:kern w:val="2"/>
                <w:szCs w:val="20"/>
                <w:lang w:eastAsia="ja-JP"/>
              </w:rPr>
              <w:t>otal link strength</w:t>
            </w:r>
          </w:p>
        </w:tc>
        <w:tc>
          <w:tcPr>
            <w:cnfStyle w:val="000010000000" w:firstRow="0" w:lastRow="0" w:firstColumn="0" w:lastColumn="0" w:oddVBand="1" w:evenVBand="0" w:oddHBand="0" w:evenHBand="0" w:firstRowFirstColumn="0" w:firstRowLastColumn="0" w:lastRowFirstColumn="0" w:lastRowLastColumn="0"/>
            <w:tcW w:w="1244" w:type="dxa"/>
            <w:tcBorders>
              <w:top w:val="single" w:sz="4" w:space="0" w:color="auto"/>
              <w:bottom w:val="single" w:sz="4" w:space="0" w:color="auto"/>
            </w:tcBorders>
            <w:shd w:val="clear" w:color="auto" w:fill="FFFFFF" w:themeFill="background1"/>
            <w:textDirection w:val="btLr"/>
            <w:vAlign w:val="center"/>
          </w:tcPr>
          <w:p w14:paraId="6D9BB2BA" w14:textId="3F3F6C62" w:rsidR="00D02C31" w:rsidRPr="002100AE" w:rsidRDefault="00D02C31" w:rsidP="00F675E2">
            <w:pPr>
              <w:autoSpaceDE w:val="0"/>
              <w:autoSpaceDN w:val="0"/>
              <w:adjustRightInd w:val="0"/>
              <w:spacing w:line="360" w:lineRule="auto"/>
              <w:ind w:right="60" w:firstLine="0"/>
              <w:jc w:val="center"/>
              <w:rPr>
                <w:color w:val="auto"/>
              </w:rPr>
            </w:pPr>
            <w:r w:rsidRPr="002100AE">
              <w:rPr>
                <w:rFonts w:eastAsia="MS Mincho" w:cs="Times New Roman"/>
                <w:color w:val="auto"/>
                <w:kern w:val="2"/>
                <w:szCs w:val="20"/>
                <w:lang w:eastAsia="ja-JP"/>
              </w:rPr>
              <w:t>D</w:t>
            </w:r>
            <w:r w:rsidRPr="002100AE">
              <w:rPr>
                <w:rFonts w:eastAsia="MS Mincho" w:cs="Times New Roman" w:hint="eastAsia"/>
                <w:color w:val="auto"/>
                <w:kern w:val="2"/>
                <w:szCs w:val="20"/>
                <w:lang w:eastAsia="ja-JP"/>
              </w:rPr>
              <w:t>ocument</w:t>
            </w:r>
          </w:p>
        </w:tc>
        <w:tc>
          <w:tcPr>
            <w:tcW w:w="646" w:type="dxa"/>
            <w:tcBorders>
              <w:top w:val="single" w:sz="4" w:space="0" w:color="auto"/>
              <w:bottom w:val="single" w:sz="4" w:space="0" w:color="auto"/>
            </w:tcBorders>
            <w:shd w:val="clear" w:color="auto" w:fill="FFFFFF" w:themeFill="background1"/>
            <w:textDirection w:val="btLr"/>
          </w:tcPr>
          <w:p w14:paraId="09247F10" w14:textId="1B7200EA" w:rsidR="00D02C31" w:rsidRPr="002100AE" w:rsidRDefault="00D02C31" w:rsidP="00F675E2">
            <w:pPr>
              <w:autoSpaceDE w:val="0"/>
              <w:autoSpaceDN w:val="0"/>
              <w:adjustRightInd w:val="0"/>
              <w:spacing w:line="360" w:lineRule="auto"/>
              <w:ind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C</w:t>
            </w:r>
            <w:r w:rsidRPr="002100AE">
              <w:rPr>
                <w:rFonts w:eastAsia="MS Mincho" w:cs="Times New Roman" w:hint="eastAsia"/>
                <w:color w:val="auto"/>
                <w:kern w:val="2"/>
                <w:szCs w:val="20"/>
                <w:lang w:eastAsia="ja-JP"/>
              </w:rPr>
              <w:t>itations</w:t>
            </w:r>
          </w:p>
        </w:tc>
        <w:tc>
          <w:tcPr>
            <w:cnfStyle w:val="000010000000" w:firstRow="0" w:lastRow="0" w:firstColumn="0" w:lastColumn="0" w:oddVBand="1" w:evenVBand="0" w:oddHBand="0" w:evenHBand="0" w:firstRowFirstColumn="0" w:firstRowLastColumn="0" w:lastRowFirstColumn="0" w:lastRowLastColumn="0"/>
            <w:tcW w:w="630" w:type="dxa"/>
            <w:tcBorders>
              <w:top w:val="single" w:sz="4" w:space="0" w:color="auto"/>
              <w:bottom w:val="single" w:sz="4" w:space="0" w:color="auto"/>
            </w:tcBorders>
            <w:shd w:val="clear" w:color="auto" w:fill="FFFFFF" w:themeFill="background1"/>
            <w:textDirection w:val="btLr"/>
          </w:tcPr>
          <w:p w14:paraId="582B3518" w14:textId="22549860" w:rsidR="00D02C31" w:rsidRPr="002100AE" w:rsidRDefault="00D02C31" w:rsidP="00F675E2">
            <w:pPr>
              <w:autoSpaceDE w:val="0"/>
              <w:autoSpaceDN w:val="0"/>
              <w:adjustRightInd w:val="0"/>
              <w:spacing w:line="360" w:lineRule="auto"/>
              <w:ind w:right="60" w:firstLine="0"/>
              <w:jc w:val="center"/>
              <w:rPr>
                <w:color w:val="auto"/>
              </w:rPr>
            </w:pPr>
            <w:r w:rsidRPr="002100AE">
              <w:rPr>
                <w:rFonts w:eastAsia="MS Mincho" w:cs="Times New Roman"/>
                <w:color w:val="auto"/>
                <w:kern w:val="2"/>
                <w:szCs w:val="20"/>
                <w:lang w:eastAsia="ja-JP"/>
              </w:rPr>
              <w:t>T</w:t>
            </w:r>
            <w:r w:rsidRPr="002100AE">
              <w:rPr>
                <w:rFonts w:eastAsia="MS Mincho" w:cs="Times New Roman" w:hint="eastAsia"/>
                <w:color w:val="auto"/>
                <w:kern w:val="2"/>
                <w:szCs w:val="20"/>
                <w:lang w:eastAsia="ja-JP"/>
              </w:rPr>
              <w:t>otal link strength</w:t>
            </w:r>
          </w:p>
        </w:tc>
      </w:tr>
      <w:tr w:rsidR="002100AE" w:rsidRPr="002100AE" w14:paraId="4F4C3ED5" w14:textId="77777777" w:rsidTr="003B7797">
        <w:trPr>
          <w:gridBefore w:val="1"/>
          <w:gridAfter w:val="1"/>
          <w:cnfStyle w:val="000000100000" w:firstRow="0" w:lastRow="0" w:firstColumn="0" w:lastColumn="0" w:oddVBand="0" w:evenVBand="0" w:oddHBand="1" w:evenHBand="0" w:firstRowFirstColumn="0" w:firstRowLastColumn="0" w:lastRowFirstColumn="0" w:lastRowLastColumn="0"/>
          <w:wBefore w:w="180" w:type="dxa"/>
          <w:wAfter w:w="245" w:type="dxa"/>
          <w:trHeight w:val="1152"/>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22D189B1" w14:textId="53344EFD" w:rsidR="00D02C31" w:rsidRPr="002100AE" w:rsidRDefault="00D13835" w:rsidP="00F675E2">
            <w:pPr>
              <w:autoSpaceDE w:val="0"/>
              <w:autoSpaceDN w:val="0"/>
              <w:adjustRightInd w:val="0"/>
              <w:spacing w:line="360" w:lineRule="auto"/>
              <w:ind w:left="60" w:right="60" w:firstLine="0"/>
              <w:jc w:val="left"/>
              <w:rPr>
                <w:rFonts w:asciiTheme="majorBidi" w:hAnsiTheme="majorBidi" w:cstheme="majorBidi"/>
                <w:color w:val="auto"/>
                <w:szCs w:val="20"/>
              </w:rPr>
            </w:pPr>
            <w:r>
              <w:rPr>
                <w:rFonts w:asciiTheme="majorBidi" w:hAnsiTheme="majorBidi" w:cstheme="majorBidi"/>
                <w:color w:val="auto"/>
                <w:szCs w:val="20"/>
              </w:rPr>
              <w:t>1</w:t>
            </w:r>
          </w:p>
        </w:tc>
        <w:tc>
          <w:tcPr>
            <w:tcW w:w="1170" w:type="dxa"/>
            <w:shd w:val="clear" w:color="auto" w:fill="FFFFFF" w:themeFill="background1"/>
            <w:vAlign w:val="center"/>
          </w:tcPr>
          <w:p w14:paraId="5B9C067E" w14:textId="5EADAF15" w:rsidR="00D02C31" w:rsidRPr="002100AE" w:rsidRDefault="00D02C31"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H</w:t>
            </w:r>
            <w:r w:rsidRPr="002100AE">
              <w:rPr>
                <w:rFonts w:eastAsia="MS Mincho" w:cs="Times New Roman" w:hint="eastAsia"/>
                <w:color w:val="auto"/>
                <w:kern w:val="2"/>
                <w:szCs w:val="20"/>
                <w:lang w:eastAsia="ja-JP"/>
              </w:rPr>
              <w:t>ood (2006)</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0BB1FCA6" w14:textId="74B83077"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108</w:t>
            </w:r>
          </w:p>
        </w:tc>
        <w:tc>
          <w:tcPr>
            <w:tcW w:w="3058" w:type="dxa"/>
            <w:gridSpan w:val="2"/>
            <w:shd w:val="clear" w:color="auto" w:fill="FFFFFF" w:themeFill="background1"/>
            <w:vAlign w:val="center"/>
          </w:tcPr>
          <w:p w14:paraId="46361CDC" w14:textId="779DD4D8" w:rsidR="00D02C31" w:rsidRPr="002100AE" w:rsidRDefault="00D02C31"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color w:val="auto"/>
                <w:kern w:val="2"/>
                <w:szCs w:val="20"/>
                <w:lang w:eastAsia="ja-JP"/>
              </w:rPr>
              <w:t>C</w:t>
            </w:r>
            <w:r w:rsidRPr="002100AE">
              <w:rPr>
                <w:rFonts w:eastAsia="MS Mincho" w:cs="Times New Roman" w:hint="eastAsia"/>
                <w:color w:val="auto"/>
                <w:kern w:val="2"/>
                <w:szCs w:val="20"/>
                <w:lang w:eastAsia="ja-JP"/>
              </w:rPr>
              <w:t xml:space="preserve">offin </w:t>
            </w:r>
            <w:r w:rsidRPr="002100AE">
              <w:rPr>
                <w:rFonts w:eastAsia="MS Mincho" w:cs="Times New Roman"/>
                <w:color w:val="auto"/>
                <w:kern w:val="2"/>
                <w:szCs w:val="20"/>
                <w:lang w:eastAsia="ja-JP"/>
              </w:rPr>
              <w:t>C</w:t>
            </w:r>
            <w:r w:rsidRPr="002100AE">
              <w:rPr>
                <w:rFonts w:eastAsia="MS Mincho" w:cs="Times New Roman" w:hint="eastAsia"/>
                <w:color w:val="auto"/>
                <w:kern w:val="2"/>
                <w:szCs w:val="20"/>
                <w:lang w:eastAsia="ja-JP"/>
              </w:rPr>
              <w:t xml:space="preserve">., </w:t>
            </w:r>
            <w:r w:rsidRPr="002100AE">
              <w:rPr>
                <w:rFonts w:eastAsia="MS Mincho" w:cs="Times New Roman"/>
                <w:color w:val="auto"/>
                <w:kern w:val="2"/>
                <w:szCs w:val="20"/>
                <w:lang w:eastAsia="ja-JP"/>
              </w:rPr>
              <w:t>H</w:t>
            </w:r>
            <w:r w:rsidRPr="002100AE">
              <w:rPr>
                <w:rFonts w:eastAsia="MS Mincho" w:cs="Times New Roman" w:hint="eastAsia"/>
                <w:color w:val="auto"/>
                <w:kern w:val="2"/>
                <w:szCs w:val="20"/>
                <w:lang w:eastAsia="ja-JP"/>
              </w:rPr>
              <w:t>istorical discourse: the language of time, cause and evaluation, (2006)</w:t>
            </w:r>
          </w:p>
        </w:tc>
        <w:tc>
          <w:tcPr>
            <w:cnfStyle w:val="000010000000" w:firstRow="0" w:lastRow="0" w:firstColumn="0" w:lastColumn="0" w:oddVBand="1" w:evenVBand="0" w:oddHBand="0" w:evenHBand="0" w:firstRowFirstColumn="0" w:firstRowLastColumn="0" w:lastRowFirstColumn="0" w:lastRowLastColumn="0"/>
            <w:tcW w:w="565" w:type="dxa"/>
            <w:gridSpan w:val="2"/>
            <w:shd w:val="clear" w:color="auto" w:fill="FFFFFF" w:themeFill="background1"/>
            <w:vAlign w:val="center"/>
          </w:tcPr>
          <w:p w14:paraId="24FDF260" w14:textId="549A7FEC"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8</w:t>
            </w:r>
          </w:p>
        </w:tc>
        <w:tc>
          <w:tcPr>
            <w:tcW w:w="630" w:type="dxa"/>
            <w:shd w:val="clear" w:color="auto" w:fill="FFFFFF" w:themeFill="background1"/>
            <w:vAlign w:val="center"/>
          </w:tcPr>
          <w:p w14:paraId="3D48072B" w14:textId="60FB956B" w:rsidR="00D02C31" w:rsidRPr="002100AE" w:rsidRDefault="00D02C31"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11</w:t>
            </w:r>
          </w:p>
        </w:tc>
        <w:tc>
          <w:tcPr>
            <w:cnfStyle w:val="000010000000" w:firstRow="0" w:lastRow="0" w:firstColumn="0" w:lastColumn="0" w:oddVBand="1" w:evenVBand="0" w:oddHBand="0" w:evenHBand="0" w:firstRowFirstColumn="0" w:firstRowLastColumn="0" w:lastRowFirstColumn="0" w:lastRowLastColumn="0"/>
            <w:tcW w:w="1244" w:type="dxa"/>
            <w:shd w:val="clear" w:color="auto" w:fill="FFFFFF" w:themeFill="background1"/>
            <w:vAlign w:val="center"/>
          </w:tcPr>
          <w:p w14:paraId="0F47E29A" w14:textId="4F13C840"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color w:val="auto"/>
                <w:kern w:val="2"/>
                <w:szCs w:val="20"/>
                <w:lang w:eastAsia="ja-JP"/>
              </w:rPr>
              <w:t>H</w:t>
            </w:r>
            <w:r w:rsidRPr="002100AE">
              <w:rPr>
                <w:rFonts w:eastAsia="MS Mincho" w:cs="Times New Roman" w:hint="eastAsia"/>
                <w:color w:val="auto"/>
                <w:kern w:val="2"/>
                <w:szCs w:val="20"/>
                <w:lang w:eastAsia="ja-JP"/>
              </w:rPr>
              <w:t>ood (2006)</w:t>
            </w:r>
          </w:p>
        </w:tc>
        <w:tc>
          <w:tcPr>
            <w:tcW w:w="646" w:type="dxa"/>
            <w:shd w:val="clear" w:color="auto" w:fill="FFFFFF" w:themeFill="background1"/>
            <w:vAlign w:val="center"/>
          </w:tcPr>
          <w:p w14:paraId="53CCE996" w14:textId="300ADA95" w:rsidR="00D02C31" w:rsidRPr="002100AE" w:rsidRDefault="00D02C31"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108</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772A0FCF" w14:textId="0CF6EE9F"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16</w:t>
            </w:r>
          </w:p>
        </w:tc>
      </w:tr>
      <w:tr w:rsidR="002100AE" w:rsidRPr="002100AE" w14:paraId="4FC6E311" w14:textId="77777777" w:rsidTr="003B7797">
        <w:trPr>
          <w:gridBefore w:val="1"/>
          <w:gridAfter w:val="1"/>
          <w:wBefore w:w="180" w:type="dxa"/>
          <w:wAfter w:w="245" w:type="dxa"/>
          <w:trHeight w:val="1152"/>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3B134693" w14:textId="6F74F06B" w:rsidR="00D02C31" w:rsidRPr="002100AE" w:rsidRDefault="00D02C31" w:rsidP="00F675E2">
            <w:pPr>
              <w:autoSpaceDE w:val="0"/>
              <w:autoSpaceDN w:val="0"/>
              <w:adjustRightInd w:val="0"/>
              <w:spacing w:line="360" w:lineRule="auto"/>
              <w:ind w:left="60" w:right="60" w:firstLine="0"/>
              <w:jc w:val="left"/>
              <w:rPr>
                <w:rFonts w:asciiTheme="majorBidi" w:hAnsiTheme="majorBidi" w:cstheme="majorBidi"/>
                <w:color w:val="auto"/>
                <w:szCs w:val="20"/>
              </w:rPr>
            </w:pPr>
            <w:r w:rsidRPr="002100AE">
              <w:rPr>
                <w:rFonts w:eastAsia="MS Mincho" w:cs="Times New Roman" w:hint="eastAsia"/>
                <w:color w:val="auto"/>
                <w:kern w:val="2"/>
                <w:szCs w:val="20"/>
                <w:lang w:eastAsia="ja-JP"/>
              </w:rPr>
              <w:t>2</w:t>
            </w:r>
          </w:p>
        </w:tc>
        <w:tc>
          <w:tcPr>
            <w:tcW w:w="1170" w:type="dxa"/>
            <w:shd w:val="clear" w:color="auto" w:fill="FFFFFF" w:themeFill="background1"/>
            <w:vAlign w:val="center"/>
          </w:tcPr>
          <w:p w14:paraId="6D873D08" w14:textId="29A7FA09" w:rsidR="00D02C31" w:rsidRPr="002100AE" w:rsidRDefault="00D02C31" w:rsidP="00F675E2">
            <w:pPr>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O</w:t>
            </w:r>
            <w:r w:rsidRPr="002100AE">
              <w:rPr>
                <w:rFonts w:eastAsia="MS Mincho" w:cs="Times New Roman" w:hint="eastAsia"/>
                <w:color w:val="auto"/>
                <w:kern w:val="2"/>
                <w:szCs w:val="20"/>
                <w:lang w:eastAsia="ja-JP"/>
              </w:rPr>
              <w:t>teza (2008)</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783D4E9E" w14:textId="43FF915E"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37</w:t>
            </w:r>
          </w:p>
        </w:tc>
        <w:tc>
          <w:tcPr>
            <w:tcW w:w="3058" w:type="dxa"/>
            <w:gridSpan w:val="2"/>
            <w:shd w:val="clear" w:color="auto" w:fill="FFFFFF" w:themeFill="background1"/>
            <w:vAlign w:val="center"/>
          </w:tcPr>
          <w:p w14:paraId="62FE0732" w14:textId="35AC9641" w:rsidR="00D02C31" w:rsidRPr="002100AE" w:rsidRDefault="00D02C31" w:rsidP="00F675E2">
            <w:pPr>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H</w:t>
            </w:r>
            <w:r w:rsidRPr="002100AE">
              <w:rPr>
                <w:rFonts w:eastAsia="MS Mincho" w:cs="Times New Roman" w:hint="eastAsia"/>
                <w:color w:val="auto"/>
                <w:kern w:val="2"/>
                <w:szCs w:val="20"/>
                <w:lang w:eastAsia="ja-JP"/>
              </w:rPr>
              <w:t xml:space="preserve">alliday </w:t>
            </w:r>
            <w:r w:rsidRPr="002100AE">
              <w:rPr>
                <w:rFonts w:eastAsia="MS Mincho" w:cs="Times New Roman"/>
                <w:color w:val="auto"/>
                <w:kern w:val="2"/>
                <w:szCs w:val="20"/>
                <w:lang w:eastAsia="ja-JP"/>
              </w:rPr>
              <w:t>M</w:t>
            </w:r>
            <w:r w:rsidRPr="002100AE">
              <w:rPr>
                <w:rFonts w:eastAsia="MS Mincho" w:cs="Times New Roman" w:hint="eastAsia"/>
                <w:color w:val="auto"/>
                <w:kern w:val="2"/>
                <w:szCs w:val="20"/>
                <w:lang w:eastAsia="ja-JP"/>
              </w:rPr>
              <w:t>.</w:t>
            </w:r>
            <w:r w:rsidRPr="002100AE">
              <w:rPr>
                <w:rFonts w:eastAsia="MS Mincho" w:cs="Times New Roman"/>
                <w:color w:val="auto"/>
                <w:kern w:val="2"/>
                <w:szCs w:val="20"/>
                <w:lang w:eastAsia="ja-JP"/>
              </w:rPr>
              <w:t>A</w:t>
            </w:r>
            <w:r w:rsidRPr="002100AE">
              <w:rPr>
                <w:rFonts w:eastAsia="MS Mincho" w:cs="Times New Roman" w:hint="eastAsia"/>
                <w:color w:val="auto"/>
                <w:kern w:val="2"/>
                <w:szCs w:val="20"/>
                <w:lang w:eastAsia="ja-JP"/>
              </w:rPr>
              <w:t>.</w:t>
            </w:r>
            <w:r w:rsidRPr="002100AE">
              <w:rPr>
                <w:rFonts w:eastAsia="MS Mincho" w:cs="Times New Roman"/>
                <w:color w:val="auto"/>
                <w:kern w:val="2"/>
                <w:szCs w:val="20"/>
                <w:lang w:eastAsia="ja-JP"/>
              </w:rPr>
              <w:t>K</w:t>
            </w:r>
            <w:r w:rsidRPr="002100AE">
              <w:rPr>
                <w:rFonts w:eastAsia="MS Mincho" w:cs="Times New Roman" w:hint="eastAsia"/>
                <w:color w:val="auto"/>
                <w:kern w:val="2"/>
                <w:szCs w:val="20"/>
                <w:lang w:eastAsia="ja-JP"/>
              </w:rPr>
              <w:t xml:space="preserve">., </w:t>
            </w:r>
            <w:r w:rsidRPr="002100AE">
              <w:rPr>
                <w:rFonts w:eastAsia="MS Mincho" w:cs="Times New Roman"/>
                <w:color w:val="auto"/>
                <w:kern w:val="2"/>
                <w:szCs w:val="20"/>
                <w:lang w:eastAsia="ja-JP"/>
              </w:rPr>
              <w:t>A</w:t>
            </w:r>
            <w:r w:rsidRPr="002100AE">
              <w:rPr>
                <w:rFonts w:eastAsia="MS Mincho" w:cs="Times New Roman" w:hint="eastAsia"/>
                <w:color w:val="auto"/>
                <w:kern w:val="2"/>
                <w:szCs w:val="20"/>
                <w:lang w:eastAsia="ja-JP"/>
              </w:rPr>
              <w:t>n introduction to functional grammar, (1994)</w:t>
            </w:r>
          </w:p>
        </w:tc>
        <w:tc>
          <w:tcPr>
            <w:cnfStyle w:val="000010000000" w:firstRow="0" w:lastRow="0" w:firstColumn="0" w:lastColumn="0" w:oddVBand="1" w:evenVBand="0" w:oddHBand="0" w:evenHBand="0" w:firstRowFirstColumn="0" w:firstRowLastColumn="0" w:lastRowFirstColumn="0" w:lastRowLastColumn="0"/>
            <w:tcW w:w="565" w:type="dxa"/>
            <w:gridSpan w:val="2"/>
            <w:shd w:val="clear" w:color="auto" w:fill="FFFFFF" w:themeFill="background1"/>
            <w:vAlign w:val="center"/>
          </w:tcPr>
          <w:p w14:paraId="4666F67C" w14:textId="43A6EFB6"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9</w:t>
            </w:r>
          </w:p>
        </w:tc>
        <w:tc>
          <w:tcPr>
            <w:tcW w:w="630" w:type="dxa"/>
            <w:shd w:val="clear" w:color="auto" w:fill="FFFFFF" w:themeFill="background1"/>
            <w:vAlign w:val="center"/>
          </w:tcPr>
          <w:p w14:paraId="770ACD68" w14:textId="1CCC1CB1" w:rsidR="00D02C31" w:rsidRPr="002100AE" w:rsidRDefault="00D02C31" w:rsidP="00F675E2">
            <w:pPr>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19</w:t>
            </w:r>
          </w:p>
        </w:tc>
        <w:tc>
          <w:tcPr>
            <w:cnfStyle w:val="000010000000" w:firstRow="0" w:lastRow="0" w:firstColumn="0" w:lastColumn="0" w:oddVBand="1" w:evenVBand="0" w:oddHBand="0" w:evenHBand="0" w:firstRowFirstColumn="0" w:firstRowLastColumn="0" w:lastRowFirstColumn="0" w:lastRowLastColumn="0"/>
            <w:tcW w:w="1244" w:type="dxa"/>
            <w:shd w:val="clear" w:color="auto" w:fill="FFFFFF" w:themeFill="background1"/>
            <w:vAlign w:val="center"/>
          </w:tcPr>
          <w:p w14:paraId="7477113B" w14:textId="7FFBA4DA"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color w:val="auto"/>
                <w:kern w:val="2"/>
                <w:szCs w:val="20"/>
                <w:lang w:eastAsia="ja-JP"/>
              </w:rPr>
              <w:t>O</w:t>
            </w:r>
            <w:r w:rsidRPr="002100AE">
              <w:rPr>
                <w:rFonts w:eastAsia="MS Mincho" w:cs="Times New Roman" w:hint="eastAsia"/>
                <w:color w:val="auto"/>
                <w:kern w:val="2"/>
                <w:szCs w:val="20"/>
                <w:lang w:eastAsia="ja-JP"/>
              </w:rPr>
              <w:t>teza (2008)</w:t>
            </w:r>
          </w:p>
        </w:tc>
        <w:tc>
          <w:tcPr>
            <w:tcW w:w="646" w:type="dxa"/>
            <w:shd w:val="clear" w:color="auto" w:fill="FFFFFF" w:themeFill="background1"/>
            <w:vAlign w:val="center"/>
          </w:tcPr>
          <w:p w14:paraId="16DCE76B" w14:textId="62E53BFD" w:rsidR="00D02C31" w:rsidRPr="002100AE" w:rsidRDefault="00D02C31" w:rsidP="00F675E2">
            <w:pPr>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37</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33A6A566" w14:textId="70EDD531"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33</w:t>
            </w:r>
          </w:p>
        </w:tc>
      </w:tr>
      <w:tr w:rsidR="002100AE" w:rsidRPr="002100AE" w14:paraId="7FCAFE19" w14:textId="77777777" w:rsidTr="003B7797">
        <w:trPr>
          <w:gridBefore w:val="1"/>
          <w:gridAfter w:val="1"/>
          <w:cnfStyle w:val="000000100000" w:firstRow="0" w:lastRow="0" w:firstColumn="0" w:lastColumn="0" w:oddVBand="0" w:evenVBand="0" w:oddHBand="1" w:evenHBand="0" w:firstRowFirstColumn="0" w:firstRowLastColumn="0" w:lastRowFirstColumn="0" w:lastRowLastColumn="0"/>
          <w:wBefore w:w="180" w:type="dxa"/>
          <w:wAfter w:w="245" w:type="dxa"/>
          <w:trHeight w:val="1152"/>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1C01DDC4" w14:textId="1E2E5EC6" w:rsidR="00D02C31" w:rsidRPr="002100AE" w:rsidRDefault="00D02C31" w:rsidP="00F675E2">
            <w:pPr>
              <w:autoSpaceDE w:val="0"/>
              <w:autoSpaceDN w:val="0"/>
              <w:adjustRightInd w:val="0"/>
              <w:spacing w:line="360" w:lineRule="auto"/>
              <w:ind w:left="60" w:right="60" w:firstLine="0"/>
              <w:jc w:val="left"/>
              <w:rPr>
                <w:rFonts w:asciiTheme="majorBidi" w:hAnsiTheme="majorBidi" w:cstheme="majorBidi"/>
                <w:color w:val="auto"/>
                <w:szCs w:val="20"/>
              </w:rPr>
            </w:pPr>
            <w:r w:rsidRPr="002100AE">
              <w:rPr>
                <w:rFonts w:eastAsia="MS Mincho" w:cs="Times New Roman" w:hint="eastAsia"/>
                <w:color w:val="auto"/>
                <w:kern w:val="2"/>
                <w:szCs w:val="20"/>
                <w:lang w:eastAsia="ja-JP"/>
              </w:rPr>
              <w:t>3</w:t>
            </w:r>
          </w:p>
        </w:tc>
        <w:tc>
          <w:tcPr>
            <w:tcW w:w="1170" w:type="dxa"/>
            <w:shd w:val="clear" w:color="auto" w:fill="FFFFFF" w:themeFill="background1"/>
            <w:vAlign w:val="center"/>
          </w:tcPr>
          <w:p w14:paraId="0EA572D6" w14:textId="55D59C85" w:rsidR="00D02C31" w:rsidRPr="002100AE" w:rsidRDefault="00D02C31"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W</w:t>
            </w:r>
            <w:r w:rsidRPr="002100AE">
              <w:rPr>
                <w:rFonts w:eastAsia="MS Mincho" w:cs="Times New Roman" w:hint="eastAsia"/>
                <w:color w:val="auto"/>
                <w:kern w:val="2"/>
                <w:szCs w:val="20"/>
                <w:lang w:eastAsia="ja-JP"/>
              </w:rPr>
              <w:t>hittaker (2023)</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7C332BEB" w14:textId="4F58822B"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32</w:t>
            </w:r>
          </w:p>
        </w:tc>
        <w:tc>
          <w:tcPr>
            <w:tcW w:w="3058" w:type="dxa"/>
            <w:gridSpan w:val="2"/>
            <w:shd w:val="clear" w:color="auto" w:fill="FFFFFF" w:themeFill="background1"/>
            <w:vAlign w:val="center"/>
          </w:tcPr>
          <w:p w14:paraId="5228CEB5" w14:textId="7424AA39" w:rsidR="00D02C31" w:rsidRPr="002100AE" w:rsidRDefault="00D02C31"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color w:val="auto"/>
                <w:kern w:val="2"/>
                <w:szCs w:val="20"/>
                <w:lang w:eastAsia="ja-JP"/>
              </w:rPr>
              <w:t>H</w:t>
            </w:r>
            <w:r w:rsidRPr="002100AE">
              <w:rPr>
                <w:rFonts w:eastAsia="MS Mincho" w:cs="Times New Roman" w:hint="eastAsia"/>
                <w:color w:val="auto"/>
                <w:kern w:val="2"/>
                <w:szCs w:val="20"/>
                <w:lang w:eastAsia="ja-JP"/>
              </w:rPr>
              <w:t xml:space="preserve">ood </w:t>
            </w:r>
            <w:r w:rsidRPr="002100AE">
              <w:rPr>
                <w:rFonts w:eastAsia="MS Mincho" w:cs="Times New Roman"/>
                <w:color w:val="auto"/>
                <w:kern w:val="2"/>
                <w:szCs w:val="20"/>
                <w:lang w:eastAsia="ja-JP"/>
              </w:rPr>
              <w:t>S</w:t>
            </w:r>
            <w:r w:rsidRPr="002100AE">
              <w:rPr>
                <w:rFonts w:eastAsia="MS Mincho" w:cs="Times New Roman" w:hint="eastAsia"/>
                <w:color w:val="auto"/>
                <w:kern w:val="2"/>
                <w:szCs w:val="20"/>
                <w:lang w:eastAsia="ja-JP"/>
              </w:rPr>
              <w:t xml:space="preserve">., </w:t>
            </w:r>
            <w:r w:rsidRPr="002100AE">
              <w:rPr>
                <w:rFonts w:eastAsia="MS Mincho" w:cs="Times New Roman"/>
                <w:color w:val="auto"/>
                <w:kern w:val="2"/>
                <w:szCs w:val="20"/>
                <w:lang w:eastAsia="ja-JP"/>
              </w:rPr>
              <w:t>A</w:t>
            </w:r>
            <w:r w:rsidRPr="002100AE">
              <w:rPr>
                <w:rFonts w:eastAsia="MS Mincho" w:cs="Times New Roman" w:hint="eastAsia"/>
                <w:color w:val="auto"/>
                <w:kern w:val="2"/>
                <w:szCs w:val="20"/>
                <w:lang w:eastAsia="ja-JP"/>
              </w:rPr>
              <w:t>ppraising research: evaluation in academic writing, (2010)</w:t>
            </w:r>
          </w:p>
        </w:tc>
        <w:tc>
          <w:tcPr>
            <w:cnfStyle w:val="000010000000" w:firstRow="0" w:lastRow="0" w:firstColumn="0" w:lastColumn="0" w:oddVBand="1" w:evenVBand="0" w:oddHBand="0" w:evenHBand="0" w:firstRowFirstColumn="0" w:firstRowLastColumn="0" w:lastRowFirstColumn="0" w:lastRowLastColumn="0"/>
            <w:tcW w:w="565" w:type="dxa"/>
            <w:gridSpan w:val="2"/>
            <w:shd w:val="clear" w:color="auto" w:fill="FFFFFF" w:themeFill="background1"/>
            <w:vAlign w:val="center"/>
          </w:tcPr>
          <w:p w14:paraId="028EC4CF" w14:textId="38F3449F"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11</w:t>
            </w:r>
          </w:p>
        </w:tc>
        <w:tc>
          <w:tcPr>
            <w:tcW w:w="630" w:type="dxa"/>
            <w:shd w:val="clear" w:color="auto" w:fill="FFFFFF" w:themeFill="background1"/>
            <w:vAlign w:val="center"/>
          </w:tcPr>
          <w:p w14:paraId="3A20DE84" w14:textId="74D208B1" w:rsidR="00D02C31" w:rsidRPr="002100AE" w:rsidRDefault="00D02C31"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16</w:t>
            </w:r>
          </w:p>
        </w:tc>
        <w:tc>
          <w:tcPr>
            <w:cnfStyle w:val="000010000000" w:firstRow="0" w:lastRow="0" w:firstColumn="0" w:lastColumn="0" w:oddVBand="1" w:evenVBand="0" w:oddHBand="0" w:evenHBand="0" w:firstRowFirstColumn="0" w:firstRowLastColumn="0" w:lastRowFirstColumn="0" w:lastRowLastColumn="0"/>
            <w:tcW w:w="1244" w:type="dxa"/>
            <w:shd w:val="clear" w:color="auto" w:fill="FFFFFF" w:themeFill="background1"/>
            <w:vAlign w:val="center"/>
          </w:tcPr>
          <w:p w14:paraId="1A0532F8" w14:textId="1766BA3B"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color w:val="auto"/>
                <w:kern w:val="2"/>
                <w:szCs w:val="20"/>
                <w:lang w:eastAsia="ja-JP"/>
              </w:rPr>
              <w:t>W</w:t>
            </w:r>
            <w:r w:rsidRPr="002100AE">
              <w:rPr>
                <w:rFonts w:eastAsia="MS Mincho" w:cs="Times New Roman" w:hint="eastAsia"/>
                <w:color w:val="auto"/>
                <w:kern w:val="2"/>
                <w:szCs w:val="20"/>
                <w:lang w:eastAsia="ja-JP"/>
              </w:rPr>
              <w:t>hittaker (2023)</w:t>
            </w:r>
          </w:p>
        </w:tc>
        <w:tc>
          <w:tcPr>
            <w:tcW w:w="646" w:type="dxa"/>
            <w:shd w:val="clear" w:color="auto" w:fill="FFFFFF" w:themeFill="background1"/>
            <w:vAlign w:val="center"/>
          </w:tcPr>
          <w:p w14:paraId="5481035F" w14:textId="2341F3C1" w:rsidR="00D02C31" w:rsidRPr="002100AE" w:rsidRDefault="00D02C31"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32</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746B44F3" w14:textId="5843A464"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18</w:t>
            </w:r>
          </w:p>
        </w:tc>
      </w:tr>
      <w:tr w:rsidR="002100AE" w:rsidRPr="002100AE" w14:paraId="65564374" w14:textId="77777777" w:rsidTr="003B7797">
        <w:trPr>
          <w:gridBefore w:val="1"/>
          <w:gridAfter w:val="1"/>
          <w:wBefore w:w="180" w:type="dxa"/>
          <w:wAfter w:w="245" w:type="dxa"/>
          <w:trHeight w:val="1152"/>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2982F64D" w14:textId="2F5A62D6" w:rsidR="00D02C31" w:rsidRPr="002100AE" w:rsidRDefault="00D02C31" w:rsidP="00F675E2">
            <w:pPr>
              <w:autoSpaceDE w:val="0"/>
              <w:autoSpaceDN w:val="0"/>
              <w:adjustRightInd w:val="0"/>
              <w:spacing w:line="360" w:lineRule="auto"/>
              <w:ind w:left="60" w:right="60" w:firstLine="0"/>
              <w:jc w:val="left"/>
              <w:rPr>
                <w:rFonts w:asciiTheme="majorBidi" w:hAnsiTheme="majorBidi" w:cstheme="majorBidi"/>
                <w:color w:val="auto"/>
                <w:szCs w:val="20"/>
              </w:rPr>
            </w:pPr>
            <w:r w:rsidRPr="002100AE">
              <w:rPr>
                <w:rFonts w:eastAsia="MS Mincho" w:cs="Times New Roman" w:hint="eastAsia"/>
                <w:color w:val="auto"/>
                <w:kern w:val="2"/>
                <w:szCs w:val="20"/>
                <w:lang w:eastAsia="ja-JP"/>
              </w:rPr>
              <w:t>4</w:t>
            </w:r>
          </w:p>
        </w:tc>
        <w:tc>
          <w:tcPr>
            <w:tcW w:w="1170" w:type="dxa"/>
            <w:shd w:val="clear" w:color="auto" w:fill="FFFFFF" w:themeFill="background1"/>
            <w:vAlign w:val="center"/>
          </w:tcPr>
          <w:p w14:paraId="202FAD22" w14:textId="2B59DA4B" w:rsidR="00D02C31" w:rsidRPr="002100AE" w:rsidRDefault="00D02C31" w:rsidP="00F675E2">
            <w:pPr>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0"/>
              </w:rPr>
            </w:pPr>
            <w:r w:rsidRPr="002100AE">
              <w:rPr>
                <w:rFonts w:eastAsia="MS Mincho" w:cs="Times New Roman"/>
                <w:color w:val="auto"/>
                <w:kern w:val="2"/>
                <w:szCs w:val="20"/>
                <w:lang w:eastAsia="ja-JP"/>
              </w:rPr>
              <w:t>L</w:t>
            </w:r>
            <w:r w:rsidRPr="002100AE">
              <w:rPr>
                <w:rFonts w:eastAsia="MS Mincho" w:cs="Times New Roman" w:hint="eastAsia"/>
                <w:color w:val="auto"/>
                <w:kern w:val="2"/>
                <w:szCs w:val="20"/>
                <w:lang w:eastAsia="ja-JP"/>
              </w:rPr>
              <w:t>ancaster (2014)</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6011BDED" w14:textId="0B14CA0A"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77</w:t>
            </w:r>
          </w:p>
        </w:tc>
        <w:tc>
          <w:tcPr>
            <w:tcW w:w="3058" w:type="dxa"/>
            <w:gridSpan w:val="2"/>
            <w:shd w:val="clear" w:color="auto" w:fill="FFFFFF" w:themeFill="background1"/>
            <w:vAlign w:val="center"/>
          </w:tcPr>
          <w:p w14:paraId="23B01F5E" w14:textId="4DE3FD79" w:rsidR="00D02C31" w:rsidRPr="002100AE" w:rsidRDefault="00D02C31" w:rsidP="00F675E2">
            <w:pPr>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color w:val="auto"/>
                <w:kern w:val="2"/>
                <w:szCs w:val="20"/>
                <w:lang w:eastAsia="ja-JP"/>
              </w:rPr>
              <w:t>M</w:t>
            </w:r>
            <w:r w:rsidRPr="002100AE">
              <w:rPr>
                <w:rFonts w:eastAsia="MS Mincho" w:cs="Times New Roman" w:hint="eastAsia"/>
                <w:color w:val="auto"/>
                <w:kern w:val="2"/>
                <w:szCs w:val="20"/>
                <w:lang w:eastAsia="ja-JP"/>
              </w:rPr>
              <w:t xml:space="preserve">atthiessen </w:t>
            </w:r>
            <w:r w:rsidRPr="002100AE">
              <w:rPr>
                <w:rFonts w:eastAsia="MS Mincho" w:cs="Times New Roman"/>
                <w:color w:val="auto"/>
                <w:kern w:val="2"/>
                <w:szCs w:val="20"/>
                <w:lang w:eastAsia="ja-JP"/>
              </w:rPr>
              <w:t>C</w:t>
            </w:r>
            <w:r w:rsidRPr="002100AE">
              <w:rPr>
                <w:rFonts w:eastAsia="MS Mincho" w:cs="Times New Roman" w:hint="eastAsia"/>
                <w:color w:val="auto"/>
                <w:kern w:val="2"/>
                <w:szCs w:val="20"/>
                <w:lang w:eastAsia="ja-JP"/>
              </w:rPr>
              <w:t>.</w:t>
            </w:r>
            <w:r w:rsidRPr="002100AE">
              <w:rPr>
                <w:rFonts w:eastAsia="MS Mincho" w:cs="Times New Roman"/>
                <w:color w:val="auto"/>
                <w:kern w:val="2"/>
                <w:szCs w:val="20"/>
                <w:lang w:eastAsia="ja-JP"/>
              </w:rPr>
              <w:t>M</w:t>
            </w:r>
            <w:r w:rsidRPr="002100AE">
              <w:rPr>
                <w:rFonts w:eastAsia="MS Mincho" w:cs="Times New Roman" w:hint="eastAsia"/>
                <w:color w:val="auto"/>
                <w:kern w:val="2"/>
                <w:szCs w:val="20"/>
                <w:lang w:eastAsia="ja-JP"/>
              </w:rPr>
              <w:t>.</w:t>
            </w:r>
            <w:r w:rsidRPr="002100AE">
              <w:rPr>
                <w:rFonts w:eastAsia="MS Mincho" w:cs="Times New Roman"/>
                <w:color w:val="auto"/>
                <w:kern w:val="2"/>
                <w:szCs w:val="20"/>
                <w:lang w:eastAsia="ja-JP"/>
              </w:rPr>
              <w:t>I</w:t>
            </w:r>
            <w:r w:rsidRPr="002100AE">
              <w:rPr>
                <w:rFonts w:eastAsia="MS Mincho" w:cs="Times New Roman" w:hint="eastAsia"/>
                <w:color w:val="auto"/>
                <w:kern w:val="2"/>
                <w:szCs w:val="20"/>
                <w:lang w:eastAsia="ja-JP"/>
              </w:rPr>
              <w:t>.</w:t>
            </w:r>
            <w:r w:rsidRPr="002100AE">
              <w:rPr>
                <w:rFonts w:eastAsia="MS Mincho" w:cs="Times New Roman"/>
                <w:color w:val="auto"/>
                <w:kern w:val="2"/>
                <w:szCs w:val="20"/>
                <w:lang w:eastAsia="ja-JP"/>
              </w:rPr>
              <w:t>M</w:t>
            </w:r>
            <w:r w:rsidRPr="002100AE">
              <w:rPr>
                <w:rFonts w:eastAsia="MS Mincho" w:cs="Times New Roman" w:hint="eastAsia"/>
                <w:color w:val="auto"/>
                <w:kern w:val="2"/>
                <w:szCs w:val="20"/>
                <w:lang w:eastAsia="ja-JP"/>
              </w:rPr>
              <w:t xml:space="preserve">., </w:t>
            </w:r>
            <w:r w:rsidRPr="002100AE">
              <w:rPr>
                <w:rFonts w:eastAsia="MS Mincho" w:cs="Times New Roman"/>
                <w:color w:val="auto"/>
                <w:kern w:val="2"/>
                <w:szCs w:val="20"/>
                <w:lang w:eastAsia="ja-JP"/>
              </w:rPr>
              <w:t>A</w:t>
            </w:r>
            <w:r w:rsidRPr="002100AE">
              <w:rPr>
                <w:rFonts w:eastAsia="MS Mincho" w:cs="Times New Roman" w:hint="eastAsia"/>
                <w:color w:val="auto"/>
                <w:kern w:val="2"/>
                <w:szCs w:val="20"/>
                <w:lang w:eastAsia="ja-JP"/>
              </w:rPr>
              <w:t>n introduction to functional grammar, (2004)</w:t>
            </w:r>
          </w:p>
        </w:tc>
        <w:tc>
          <w:tcPr>
            <w:cnfStyle w:val="000010000000" w:firstRow="0" w:lastRow="0" w:firstColumn="0" w:lastColumn="0" w:oddVBand="1" w:evenVBand="0" w:oddHBand="0" w:evenHBand="0" w:firstRowFirstColumn="0" w:firstRowLastColumn="0" w:lastRowFirstColumn="0" w:lastRowLastColumn="0"/>
            <w:tcW w:w="565" w:type="dxa"/>
            <w:gridSpan w:val="2"/>
            <w:shd w:val="clear" w:color="auto" w:fill="FFFFFF" w:themeFill="background1"/>
            <w:vAlign w:val="center"/>
          </w:tcPr>
          <w:p w14:paraId="36B00CB3" w14:textId="4AB2E0B4"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6</w:t>
            </w:r>
          </w:p>
        </w:tc>
        <w:tc>
          <w:tcPr>
            <w:tcW w:w="630" w:type="dxa"/>
            <w:shd w:val="clear" w:color="auto" w:fill="FFFFFF" w:themeFill="background1"/>
            <w:vAlign w:val="center"/>
          </w:tcPr>
          <w:p w14:paraId="1AE407AC" w14:textId="39FE7598" w:rsidR="00D02C31" w:rsidRPr="002100AE" w:rsidRDefault="00D02C31" w:rsidP="00F675E2">
            <w:pPr>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11</w:t>
            </w:r>
          </w:p>
        </w:tc>
        <w:tc>
          <w:tcPr>
            <w:cnfStyle w:val="000010000000" w:firstRow="0" w:lastRow="0" w:firstColumn="0" w:lastColumn="0" w:oddVBand="1" w:evenVBand="0" w:oddHBand="0" w:evenHBand="0" w:firstRowFirstColumn="0" w:firstRowLastColumn="0" w:lastRowFirstColumn="0" w:lastRowLastColumn="0"/>
            <w:tcW w:w="1244" w:type="dxa"/>
            <w:shd w:val="clear" w:color="auto" w:fill="FFFFFF" w:themeFill="background1"/>
            <w:vAlign w:val="center"/>
          </w:tcPr>
          <w:p w14:paraId="39070064" w14:textId="70E08D51"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color w:val="auto"/>
                <w:kern w:val="2"/>
                <w:szCs w:val="20"/>
                <w:lang w:eastAsia="ja-JP"/>
              </w:rPr>
              <w:t>L</w:t>
            </w:r>
            <w:r w:rsidRPr="002100AE">
              <w:rPr>
                <w:rFonts w:eastAsia="MS Mincho" w:cs="Times New Roman" w:hint="eastAsia"/>
                <w:color w:val="auto"/>
                <w:kern w:val="2"/>
                <w:szCs w:val="20"/>
                <w:lang w:eastAsia="ja-JP"/>
              </w:rPr>
              <w:t>ancaster (2014)</w:t>
            </w:r>
          </w:p>
        </w:tc>
        <w:tc>
          <w:tcPr>
            <w:tcW w:w="646" w:type="dxa"/>
            <w:shd w:val="clear" w:color="auto" w:fill="FFFFFF" w:themeFill="background1"/>
            <w:vAlign w:val="center"/>
          </w:tcPr>
          <w:p w14:paraId="5CA6CAED" w14:textId="48D22A64" w:rsidR="00D02C31" w:rsidRPr="002100AE" w:rsidRDefault="00D02C31" w:rsidP="00F675E2">
            <w:pPr>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77</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05C3D4B2" w14:textId="4385A972"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28</w:t>
            </w:r>
          </w:p>
        </w:tc>
      </w:tr>
      <w:tr w:rsidR="002100AE" w:rsidRPr="002100AE" w14:paraId="157D49DE" w14:textId="77777777" w:rsidTr="003B7797">
        <w:trPr>
          <w:gridBefore w:val="1"/>
          <w:gridAfter w:val="1"/>
          <w:cnfStyle w:val="000000100000" w:firstRow="0" w:lastRow="0" w:firstColumn="0" w:lastColumn="0" w:oddVBand="0" w:evenVBand="0" w:oddHBand="1" w:evenHBand="0" w:firstRowFirstColumn="0" w:firstRowLastColumn="0" w:lastRowFirstColumn="0" w:lastRowLastColumn="0"/>
          <w:wBefore w:w="180" w:type="dxa"/>
          <w:wAfter w:w="245" w:type="dxa"/>
          <w:trHeight w:val="1152"/>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39669AD9" w14:textId="3018886C" w:rsidR="00D02C31" w:rsidRPr="002100AE" w:rsidRDefault="00D02C31" w:rsidP="00F675E2">
            <w:pPr>
              <w:autoSpaceDE w:val="0"/>
              <w:autoSpaceDN w:val="0"/>
              <w:adjustRightInd w:val="0"/>
              <w:spacing w:line="360" w:lineRule="auto"/>
              <w:ind w:left="60" w:right="60" w:firstLine="0"/>
              <w:jc w:val="left"/>
              <w:rPr>
                <w:color w:val="auto"/>
              </w:rPr>
            </w:pPr>
            <w:r w:rsidRPr="002100AE">
              <w:rPr>
                <w:rFonts w:eastAsia="MS Mincho" w:cs="Times New Roman" w:hint="eastAsia"/>
                <w:color w:val="auto"/>
                <w:kern w:val="2"/>
                <w:szCs w:val="20"/>
                <w:lang w:eastAsia="ja-JP"/>
              </w:rPr>
              <w:lastRenderedPageBreak/>
              <w:t>5</w:t>
            </w:r>
          </w:p>
        </w:tc>
        <w:tc>
          <w:tcPr>
            <w:tcW w:w="1170" w:type="dxa"/>
            <w:shd w:val="clear" w:color="auto" w:fill="FFFFFF" w:themeFill="background1"/>
            <w:vAlign w:val="center"/>
          </w:tcPr>
          <w:p w14:paraId="304F4B47" w14:textId="557C7300" w:rsidR="00D02C31" w:rsidRPr="002100AE" w:rsidRDefault="004B180F"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color w:val="auto"/>
              </w:rPr>
            </w:pPr>
            <w:r>
              <w:rPr>
                <w:rFonts w:eastAsia="MS Mincho" w:cs="Times New Roman"/>
                <w:color w:val="auto"/>
                <w:kern w:val="2"/>
                <w:szCs w:val="20"/>
                <w:lang w:eastAsia="ja-JP"/>
              </w:rPr>
              <w:t>Sz</w:t>
            </w:r>
            <w:r w:rsidR="00D02C31" w:rsidRPr="002100AE">
              <w:rPr>
                <w:rFonts w:eastAsia="MS Mincho" w:cs="Times New Roman" w:hint="eastAsia"/>
                <w:color w:val="auto"/>
                <w:kern w:val="2"/>
                <w:szCs w:val="20"/>
                <w:lang w:eastAsia="ja-JP"/>
              </w:rPr>
              <w:t>enes (2021)</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6D07B177" w14:textId="597845BA"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29</w:t>
            </w:r>
          </w:p>
        </w:tc>
        <w:tc>
          <w:tcPr>
            <w:tcW w:w="3058" w:type="dxa"/>
            <w:gridSpan w:val="2"/>
            <w:shd w:val="clear" w:color="auto" w:fill="FFFFFF" w:themeFill="background1"/>
            <w:vAlign w:val="center"/>
          </w:tcPr>
          <w:p w14:paraId="5B3017CB" w14:textId="0A528019" w:rsidR="00D02C31" w:rsidRPr="002100AE" w:rsidRDefault="00D02C31"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color w:val="auto"/>
                <w:kern w:val="2"/>
                <w:szCs w:val="20"/>
                <w:lang w:eastAsia="ja-JP"/>
              </w:rPr>
              <w:t>R</w:t>
            </w:r>
            <w:r w:rsidRPr="002100AE">
              <w:rPr>
                <w:rFonts w:eastAsia="MS Mincho" w:cs="Times New Roman" w:hint="eastAsia"/>
                <w:color w:val="auto"/>
                <w:kern w:val="2"/>
                <w:szCs w:val="20"/>
                <w:lang w:eastAsia="ja-JP"/>
              </w:rPr>
              <w:t xml:space="preserve">ose </w:t>
            </w:r>
            <w:r w:rsidRPr="002100AE">
              <w:rPr>
                <w:rFonts w:eastAsia="MS Mincho" w:cs="Times New Roman"/>
                <w:color w:val="auto"/>
                <w:kern w:val="2"/>
                <w:szCs w:val="20"/>
                <w:lang w:eastAsia="ja-JP"/>
              </w:rPr>
              <w:t>D</w:t>
            </w:r>
            <w:r w:rsidRPr="002100AE">
              <w:rPr>
                <w:rFonts w:eastAsia="MS Mincho" w:cs="Times New Roman" w:hint="eastAsia"/>
                <w:color w:val="auto"/>
                <w:kern w:val="2"/>
                <w:szCs w:val="20"/>
                <w:lang w:eastAsia="ja-JP"/>
              </w:rPr>
              <w:t xml:space="preserve">., </w:t>
            </w:r>
            <w:r w:rsidRPr="002100AE">
              <w:rPr>
                <w:rFonts w:eastAsia="MS Mincho" w:cs="Times New Roman"/>
                <w:color w:val="auto"/>
                <w:kern w:val="2"/>
                <w:szCs w:val="20"/>
                <w:lang w:eastAsia="ja-JP"/>
              </w:rPr>
              <w:t>W</w:t>
            </w:r>
            <w:r w:rsidRPr="002100AE">
              <w:rPr>
                <w:rFonts w:eastAsia="MS Mincho" w:cs="Times New Roman" w:hint="eastAsia"/>
                <w:color w:val="auto"/>
                <w:kern w:val="2"/>
                <w:szCs w:val="20"/>
                <w:lang w:eastAsia="ja-JP"/>
              </w:rPr>
              <w:t>orking with discourse: meaning beyond the clause, (2003)</w:t>
            </w:r>
          </w:p>
        </w:tc>
        <w:tc>
          <w:tcPr>
            <w:cnfStyle w:val="000010000000" w:firstRow="0" w:lastRow="0" w:firstColumn="0" w:lastColumn="0" w:oddVBand="1" w:evenVBand="0" w:oddHBand="0" w:evenHBand="0" w:firstRowFirstColumn="0" w:firstRowLastColumn="0" w:lastRowFirstColumn="0" w:lastRowLastColumn="0"/>
            <w:tcW w:w="565" w:type="dxa"/>
            <w:gridSpan w:val="2"/>
            <w:shd w:val="clear" w:color="auto" w:fill="FFFFFF" w:themeFill="background1"/>
            <w:vAlign w:val="center"/>
          </w:tcPr>
          <w:p w14:paraId="5F0DA06F" w14:textId="65455E7F"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9</w:t>
            </w:r>
          </w:p>
        </w:tc>
        <w:tc>
          <w:tcPr>
            <w:tcW w:w="630" w:type="dxa"/>
            <w:shd w:val="clear" w:color="auto" w:fill="FFFFFF" w:themeFill="background1"/>
            <w:vAlign w:val="center"/>
          </w:tcPr>
          <w:p w14:paraId="28D0AC6D" w14:textId="1159A1D6" w:rsidR="00D02C31" w:rsidRPr="002100AE" w:rsidRDefault="00D02C31"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15</w:t>
            </w:r>
          </w:p>
        </w:tc>
        <w:tc>
          <w:tcPr>
            <w:cnfStyle w:val="000010000000" w:firstRow="0" w:lastRow="0" w:firstColumn="0" w:lastColumn="0" w:oddVBand="1" w:evenVBand="0" w:oddHBand="0" w:evenHBand="0" w:firstRowFirstColumn="0" w:firstRowLastColumn="0" w:lastRowFirstColumn="0" w:lastRowLastColumn="0"/>
            <w:tcW w:w="1244" w:type="dxa"/>
            <w:shd w:val="clear" w:color="auto" w:fill="FFFFFF" w:themeFill="background1"/>
            <w:vAlign w:val="center"/>
          </w:tcPr>
          <w:p w14:paraId="68738CDD" w14:textId="08520159"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color w:val="auto"/>
                <w:kern w:val="2"/>
                <w:szCs w:val="20"/>
                <w:lang w:eastAsia="ja-JP"/>
              </w:rPr>
              <w:t>S</w:t>
            </w:r>
            <w:r w:rsidRPr="002100AE">
              <w:rPr>
                <w:rFonts w:eastAsia="MS Mincho" w:cs="Times New Roman" w:hint="eastAsia"/>
                <w:color w:val="auto"/>
                <w:kern w:val="2"/>
                <w:szCs w:val="20"/>
                <w:lang w:eastAsia="ja-JP"/>
              </w:rPr>
              <w:t>zenes (2021)</w:t>
            </w:r>
          </w:p>
        </w:tc>
        <w:tc>
          <w:tcPr>
            <w:tcW w:w="646" w:type="dxa"/>
            <w:shd w:val="clear" w:color="auto" w:fill="FFFFFF" w:themeFill="background1"/>
            <w:vAlign w:val="center"/>
          </w:tcPr>
          <w:p w14:paraId="33EFEE20" w14:textId="254A4B86" w:rsidR="00D02C31" w:rsidRPr="002100AE" w:rsidRDefault="00D02C31"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color w:val="auto"/>
              </w:rPr>
            </w:pPr>
            <w:r w:rsidRPr="002100AE">
              <w:rPr>
                <w:rFonts w:eastAsia="MS Mincho" w:cs="Times New Roman" w:hint="eastAsia"/>
                <w:color w:val="auto"/>
                <w:kern w:val="2"/>
                <w:szCs w:val="20"/>
                <w:lang w:eastAsia="ja-JP"/>
              </w:rPr>
              <w:t>29</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168F146C" w14:textId="6EBD5D62" w:rsidR="00D02C31" w:rsidRPr="002100AE" w:rsidRDefault="00D02C31" w:rsidP="00F675E2">
            <w:pPr>
              <w:autoSpaceDE w:val="0"/>
              <w:autoSpaceDN w:val="0"/>
              <w:adjustRightInd w:val="0"/>
              <w:spacing w:line="360" w:lineRule="auto"/>
              <w:ind w:left="60" w:right="60" w:firstLine="0"/>
              <w:jc w:val="center"/>
              <w:rPr>
                <w:color w:val="auto"/>
              </w:rPr>
            </w:pPr>
            <w:r w:rsidRPr="002100AE">
              <w:rPr>
                <w:rFonts w:eastAsia="MS Mincho" w:cs="Times New Roman" w:hint="eastAsia"/>
                <w:color w:val="auto"/>
                <w:kern w:val="2"/>
                <w:szCs w:val="20"/>
                <w:lang w:eastAsia="ja-JP"/>
              </w:rPr>
              <w:t>11</w:t>
            </w:r>
          </w:p>
        </w:tc>
      </w:tr>
      <w:tr w:rsidR="002100AE" w:rsidRPr="002100AE" w14:paraId="0728ED6D" w14:textId="77777777" w:rsidTr="003B7797">
        <w:trPr>
          <w:gridBefore w:val="1"/>
          <w:gridAfter w:val="1"/>
          <w:wBefore w:w="180" w:type="dxa"/>
          <w:wAfter w:w="245" w:type="dxa"/>
          <w:trHeight w:val="1152"/>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0287872B" w14:textId="317A6061" w:rsidR="00D02C31" w:rsidRPr="002100AE" w:rsidRDefault="00D02C31" w:rsidP="00F675E2">
            <w:pPr>
              <w:autoSpaceDE w:val="0"/>
              <w:autoSpaceDN w:val="0"/>
              <w:adjustRightInd w:val="0"/>
              <w:spacing w:line="360" w:lineRule="auto"/>
              <w:ind w:left="60" w:right="60" w:firstLine="0"/>
              <w:jc w:val="left"/>
              <w:rPr>
                <w:rFonts w:eastAsia="MS Mincho" w:cs="Times New Roman"/>
                <w:color w:val="auto"/>
                <w:kern w:val="2"/>
                <w:szCs w:val="20"/>
                <w:lang w:eastAsia="ja-JP"/>
              </w:rPr>
            </w:pPr>
            <w:r w:rsidRPr="002100AE">
              <w:rPr>
                <w:rFonts w:eastAsia="MS Mincho" w:cs="Times New Roman" w:hint="eastAsia"/>
                <w:color w:val="auto"/>
                <w:kern w:val="2"/>
                <w:szCs w:val="20"/>
                <w:lang w:eastAsia="ja-JP"/>
              </w:rPr>
              <w:t>6</w:t>
            </w:r>
          </w:p>
        </w:tc>
        <w:tc>
          <w:tcPr>
            <w:tcW w:w="1170" w:type="dxa"/>
            <w:shd w:val="clear" w:color="auto" w:fill="FFFFFF" w:themeFill="background1"/>
            <w:vAlign w:val="center"/>
          </w:tcPr>
          <w:p w14:paraId="245934F8" w14:textId="564E2C13" w:rsidR="00D02C31" w:rsidRPr="002100AE" w:rsidRDefault="00D02C31" w:rsidP="00F675E2">
            <w:pPr>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color w:val="auto"/>
                <w:kern w:val="2"/>
                <w:szCs w:val="20"/>
                <w:lang w:eastAsia="ja-JP"/>
              </w:rPr>
              <w:t>M</w:t>
            </w:r>
            <w:r w:rsidRPr="002100AE">
              <w:rPr>
                <w:rFonts w:eastAsia="MS Mincho" w:cs="Times New Roman" w:hint="eastAsia"/>
                <w:color w:val="auto"/>
                <w:kern w:val="2"/>
                <w:szCs w:val="20"/>
                <w:lang w:eastAsia="ja-JP"/>
              </w:rPr>
              <w:t>unday (2012)</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0D51D85A" w14:textId="14982481"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20</w:t>
            </w:r>
          </w:p>
        </w:tc>
        <w:tc>
          <w:tcPr>
            <w:tcW w:w="3058" w:type="dxa"/>
            <w:gridSpan w:val="2"/>
            <w:shd w:val="clear" w:color="auto" w:fill="FFFFFF" w:themeFill="background1"/>
            <w:vAlign w:val="center"/>
          </w:tcPr>
          <w:p w14:paraId="17E5BF67" w14:textId="143C6184" w:rsidR="00D02C31" w:rsidRPr="002100AE" w:rsidRDefault="00D02C31" w:rsidP="00F675E2">
            <w:pPr>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color w:val="auto"/>
                <w:kern w:val="2"/>
                <w:szCs w:val="20"/>
                <w:lang w:eastAsia="ja-JP"/>
              </w:rPr>
              <w:t>R</w:t>
            </w:r>
            <w:r w:rsidRPr="002100AE">
              <w:rPr>
                <w:rFonts w:eastAsia="MS Mincho" w:cs="Times New Roman" w:hint="eastAsia"/>
                <w:color w:val="auto"/>
                <w:kern w:val="2"/>
                <w:szCs w:val="20"/>
                <w:lang w:eastAsia="ja-JP"/>
              </w:rPr>
              <w:t xml:space="preserve">ose </w:t>
            </w:r>
            <w:r w:rsidRPr="002100AE">
              <w:rPr>
                <w:rFonts w:eastAsia="MS Mincho" w:cs="Times New Roman"/>
                <w:color w:val="auto"/>
                <w:kern w:val="2"/>
                <w:szCs w:val="20"/>
                <w:lang w:eastAsia="ja-JP"/>
              </w:rPr>
              <w:t>D</w:t>
            </w:r>
            <w:r w:rsidRPr="002100AE">
              <w:rPr>
                <w:rFonts w:eastAsia="MS Mincho" w:cs="Times New Roman" w:hint="eastAsia"/>
                <w:color w:val="auto"/>
                <w:kern w:val="2"/>
                <w:szCs w:val="20"/>
                <w:lang w:eastAsia="ja-JP"/>
              </w:rPr>
              <w:t xml:space="preserve">., </w:t>
            </w:r>
            <w:r w:rsidRPr="002100AE">
              <w:rPr>
                <w:rFonts w:eastAsia="MS Mincho" w:cs="Times New Roman"/>
                <w:color w:val="auto"/>
                <w:kern w:val="2"/>
                <w:szCs w:val="20"/>
                <w:lang w:eastAsia="ja-JP"/>
              </w:rPr>
              <w:t>Wo</w:t>
            </w:r>
            <w:r w:rsidRPr="002100AE">
              <w:rPr>
                <w:rFonts w:eastAsia="MS Mincho" w:cs="Times New Roman" w:hint="eastAsia"/>
                <w:color w:val="auto"/>
                <w:kern w:val="2"/>
                <w:szCs w:val="20"/>
                <w:lang w:eastAsia="ja-JP"/>
              </w:rPr>
              <w:t>rking with discourse: meaning beyond the clause, (2007)</w:t>
            </w:r>
          </w:p>
        </w:tc>
        <w:tc>
          <w:tcPr>
            <w:cnfStyle w:val="000010000000" w:firstRow="0" w:lastRow="0" w:firstColumn="0" w:lastColumn="0" w:oddVBand="1" w:evenVBand="0" w:oddHBand="0" w:evenHBand="0" w:firstRowFirstColumn="0" w:firstRowLastColumn="0" w:lastRowFirstColumn="0" w:lastRowLastColumn="0"/>
            <w:tcW w:w="565" w:type="dxa"/>
            <w:gridSpan w:val="2"/>
            <w:shd w:val="clear" w:color="auto" w:fill="FFFFFF" w:themeFill="background1"/>
            <w:vAlign w:val="center"/>
          </w:tcPr>
          <w:p w14:paraId="63EC8990" w14:textId="21C33C82"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7</w:t>
            </w:r>
          </w:p>
        </w:tc>
        <w:tc>
          <w:tcPr>
            <w:tcW w:w="630" w:type="dxa"/>
            <w:shd w:val="clear" w:color="auto" w:fill="FFFFFF" w:themeFill="background1"/>
            <w:vAlign w:val="center"/>
          </w:tcPr>
          <w:p w14:paraId="04664D88" w14:textId="2B05663B" w:rsidR="00D02C31" w:rsidRPr="002100AE" w:rsidRDefault="00D02C31" w:rsidP="00F675E2">
            <w:pPr>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hint="eastAsia"/>
                <w:color w:val="auto"/>
                <w:kern w:val="2"/>
                <w:szCs w:val="20"/>
                <w:lang w:eastAsia="ja-JP"/>
              </w:rPr>
              <w:t>9</w:t>
            </w:r>
          </w:p>
        </w:tc>
        <w:tc>
          <w:tcPr>
            <w:cnfStyle w:val="000010000000" w:firstRow="0" w:lastRow="0" w:firstColumn="0" w:lastColumn="0" w:oddVBand="1" w:evenVBand="0" w:oddHBand="0" w:evenHBand="0" w:firstRowFirstColumn="0" w:firstRowLastColumn="0" w:lastRowFirstColumn="0" w:lastRowLastColumn="0"/>
            <w:tcW w:w="1244" w:type="dxa"/>
            <w:shd w:val="clear" w:color="auto" w:fill="FFFFFF" w:themeFill="background1"/>
            <w:vAlign w:val="center"/>
          </w:tcPr>
          <w:p w14:paraId="63B90351" w14:textId="04939718"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color w:val="auto"/>
                <w:kern w:val="2"/>
                <w:szCs w:val="20"/>
                <w:lang w:eastAsia="ja-JP"/>
              </w:rPr>
              <w:t>M</w:t>
            </w:r>
            <w:r w:rsidRPr="002100AE">
              <w:rPr>
                <w:rFonts w:eastAsia="MS Mincho" w:cs="Times New Roman" w:hint="eastAsia"/>
                <w:color w:val="auto"/>
                <w:kern w:val="2"/>
                <w:szCs w:val="20"/>
                <w:lang w:eastAsia="ja-JP"/>
              </w:rPr>
              <w:t>unday (2012)</w:t>
            </w:r>
          </w:p>
        </w:tc>
        <w:tc>
          <w:tcPr>
            <w:tcW w:w="646" w:type="dxa"/>
            <w:shd w:val="clear" w:color="auto" w:fill="FFFFFF" w:themeFill="background1"/>
            <w:vAlign w:val="center"/>
          </w:tcPr>
          <w:p w14:paraId="4BC11B02" w14:textId="10FB0DFB" w:rsidR="00D02C31" w:rsidRPr="002100AE" w:rsidRDefault="00D02C31" w:rsidP="00F675E2">
            <w:pPr>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hint="eastAsia"/>
                <w:color w:val="auto"/>
                <w:kern w:val="2"/>
                <w:szCs w:val="20"/>
                <w:lang w:eastAsia="ja-JP"/>
              </w:rPr>
              <w:t>20</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4A35FABC" w14:textId="545CB191"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21</w:t>
            </w:r>
          </w:p>
        </w:tc>
      </w:tr>
      <w:tr w:rsidR="002100AE" w:rsidRPr="002100AE" w14:paraId="49E24489" w14:textId="77777777" w:rsidTr="003B7797">
        <w:trPr>
          <w:gridBefore w:val="1"/>
          <w:gridAfter w:val="1"/>
          <w:cnfStyle w:val="000000100000" w:firstRow="0" w:lastRow="0" w:firstColumn="0" w:lastColumn="0" w:oddVBand="0" w:evenVBand="0" w:oddHBand="1" w:evenHBand="0" w:firstRowFirstColumn="0" w:firstRowLastColumn="0" w:lastRowFirstColumn="0" w:lastRowLastColumn="0"/>
          <w:wBefore w:w="180" w:type="dxa"/>
          <w:wAfter w:w="245" w:type="dxa"/>
          <w:trHeight w:val="1152"/>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340C88B2" w14:textId="0314E9E9" w:rsidR="00D02C31" w:rsidRPr="002100AE" w:rsidRDefault="00D02C31" w:rsidP="00F675E2">
            <w:pPr>
              <w:autoSpaceDE w:val="0"/>
              <w:autoSpaceDN w:val="0"/>
              <w:adjustRightInd w:val="0"/>
              <w:spacing w:line="360" w:lineRule="auto"/>
              <w:ind w:left="60" w:right="60" w:firstLine="0"/>
              <w:jc w:val="left"/>
              <w:rPr>
                <w:rFonts w:eastAsia="MS Mincho" w:cs="Times New Roman"/>
                <w:color w:val="auto"/>
                <w:kern w:val="2"/>
                <w:szCs w:val="20"/>
                <w:lang w:eastAsia="ja-JP"/>
              </w:rPr>
            </w:pPr>
            <w:r w:rsidRPr="002100AE">
              <w:rPr>
                <w:rFonts w:eastAsia="MS Mincho" w:cs="Times New Roman" w:hint="eastAsia"/>
                <w:color w:val="auto"/>
                <w:kern w:val="2"/>
                <w:szCs w:val="20"/>
                <w:lang w:eastAsia="ja-JP"/>
              </w:rPr>
              <w:t>7</w:t>
            </w:r>
          </w:p>
        </w:tc>
        <w:tc>
          <w:tcPr>
            <w:tcW w:w="1170" w:type="dxa"/>
            <w:shd w:val="clear" w:color="auto" w:fill="FFFFFF" w:themeFill="background1"/>
            <w:vAlign w:val="center"/>
          </w:tcPr>
          <w:p w14:paraId="5FE4E0B7" w14:textId="545E4824" w:rsidR="00D02C31" w:rsidRPr="002100AE" w:rsidRDefault="00D02C31"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color w:val="auto"/>
                <w:kern w:val="2"/>
                <w:szCs w:val="20"/>
                <w:lang w:eastAsia="ja-JP"/>
              </w:rPr>
              <w:t>M</w:t>
            </w:r>
            <w:r w:rsidRPr="002100AE">
              <w:rPr>
                <w:rFonts w:eastAsia="MS Mincho" w:cs="Times New Roman" w:hint="eastAsia"/>
                <w:color w:val="auto"/>
                <w:kern w:val="2"/>
                <w:szCs w:val="20"/>
                <w:lang w:eastAsia="ja-JP"/>
              </w:rPr>
              <w:t>iller (2014)</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6A8DB454" w14:textId="40026545"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74</w:t>
            </w:r>
          </w:p>
        </w:tc>
        <w:tc>
          <w:tcPr>
            <w:tcW w:w="3058" w:type="dxa"/>
            <w:gridSpan w:val="2"/>
            <w:shd w:val="clear" w:color="auto" w:fill="FFFFFF" w:themeFill="background1"/>
            <w:vAlign w:val="center"/>
          </w:tcPr>
          <w:p w14:paraId="594BF147" w14:textId="36F3F0E4" w:rsidR="00D02C31" w:rsidRPr="002100AE" w:rsidRDefault="00D02C31"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color w:val="auto"/>
                <w:kern w:val="2"/>
                <w:szCs w:val="20"/>
                <w:lang w:eastAsia="ja-JP"/>
              </w:rPr>
              <w:t>T</w:t>
            </w:r>
            <w:r w:rsidRPr="002100AE">
              <w:rPr>
                <w:rFonts w:eastAsia="MS Mincho" w:cs="Times New Roman" w:hint="eastAsia"/>
                <w:color w:val="auto"/>
                <w:kern w:val="2"/>
                <w:szCs w:val="20"/>
                <w:lang w:eastAsia="ja-JP"/>
              </w:rPr>
              <w:t xml:space="preserve">hompson </w:t>
            </w:r>
            <w:r w:rsidRPr="002100AE">
              <w:rPr>
                <w:rFonts w:eastAsia="MS Mincho" w:cs="Times New Roman"/>
                <w:color w:val="auto"/>
                <w:kern w:val="2"/>
                <w:szCs w:val="20"/>
                <w:lang w:eastAsia="ja-JP"/>
              </w:rPr>
              <w:t>G</w:t>
            </w:r>
            <w:r w:rsidRPr="002100AE">
              <w:rPr>
                <w:rFonts w:eastAsia="MS Mincho" w:cs="Times New Roman" w:hint="eastAsia"/>
                <w:color w:val="auto"/>
                <w:kern w:val="2"/>
                <w:szCs w:val="20"/>
                <w:lang w:eastAsia="ja-JP"/>
              </w:rPr>
              <w:t xml:space="preserve">., </w:t>
            </w:r>
            <w:r w:rsidRPr="002100AE">
              <w:rPr>
                <w:rFonts w:eastAsia="MS Mincho" w:cs="Times New Roman"/>
                <w:color w:val="auto"/>
                <w:kern w:val="2"/>
                <w:szCs w:val="20"/>
                <w:lang w:eastAsia="ja-JP"/>
              </w:rPr>
              <w:t>E</w:t>
            </w:r>
            <w:r w:rsidRPr="002100AE">
              <w:rPr>
                <w:rFonts w:eastAsia="MS Mincho" w:cs="Times New Roman" w:hint="eastAsia"/>
                <w:color w:val="auto"/>
                <w:kern w:val="2"/>
                <w:szCs w:val="20"/>
                <w:lang w:eastAsia="ja-JP"/>
              </w:rPr>
              <w:t>valuation in text: authorial stance and the construction of discourse, (2000)</w:t>
            </w:r>
          </w:p>
        </w:tc>
        <w:tc>
          <w:tcPr>
            <w:cnfStyle w:val="000010000000" w:firstRow="0" w:lastRow="0" w:firstColumn="0" w:lastColumn="0" w:oddVBand="1" w:evenVBand="0" w:oddHBand="0" w:evenHBand="0" w:firstRowFirstColumn="0" w:firstRowLastColumn="0" w:lastRowFirstColumn="0" w:lastRowLastColumn="0"/>
            <w:tcW w:w="565" w:type="dxa"/>
            <w:gridSpan w:val="2"/>
            <w:shd w:val="clear" w:color="auto" w:fill="FFFFFF" w:themeFill="background1"/>
            <w:vAlign w:val="center"/>
          </w:tcPr>
          <w:p w14:paraId="517406CF" w14:textId="476D3916"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7</w:t>
            </w:r>
          </w:p>
        </w:tc>
        <w:tc>
          <w:tcPr>
            <w:tcW w:w="630" w:type="dxa"/>
            <w:shd w:val="clear" w:color="auto" w:fill="FFFFFF" w:themeFill="background1"/>
            <w:vAlign w:val="center"/>
          </w:tcPr>
          <w:p w14:paraId="6B36211E" w14:textId="4433EE2A" w:rsidR="00D02C31" w:rsidRPr="002100AE" w:rsidRDefault="00D02C31"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hint="eastAsia"/>
                <w:color w:val="auto"/>
                <w:kern w:val="2"/>
                <w:szCs w:val="20"/>
                <w:lang w:eastAsia="ja-JP"/>
              </w:rPr>
              <w:t>14</w:t>
            </w:r>
          </w:p>
        </w:tc>
        <w:tc>
          <w:tcPr>
            <w:cnfStyle w:val="000010000000" w:firstRow="0" w:lastRow="0" w:firstColumn="0" w:lastColumn="0" w:oddVBand="1" w:evenVBand="0" w:oddHBand="0" w:evenHBand="0" w:firstRowFirstColumn="0" w:firstRowLastColumn="0" w:lastRowFirstColumn="0" w:lastRowLastColumn="0"/>
            <w:tcW w:w="1244" w:type="dxa"/>
            <w:shd w:val="clear" w:color="auto" w:fill="FFFFFF" w:themeFill="background1"/>
            <w:vAlign w:val="center"/>
          </w:tcPr>
          <w:p w14:paraId="16A167A6" w14:textId="17448DB0"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color w:val="auto"/>
                <w:kern w:val="2"/>
                <w:szCs w:val="20"/>
                <w:lang w:eastAsia="ja-JP"/>
              </w:rPr>
              <w:t>M</w:t>
            </w:r>
            <w:r w:rsidRPr="002100AE">
              <w:rPr>
                <w:rFonts w:eastAsia="MS Mincho" w:cs="Times New Roman" w:hint="eastAsia"/>
                <w:color w:val="auto"/>
                <w:kern w:val="2"/>
                <w:szCs w:val="20"/>
                <w:lang w:eastAsia="ja-JP"/>
              </w:rPr>
              <w:t>iller (2014)</w:t>
            </w:r>
          </w:p>
        </w:tc>
        <w:tc>
          <w:tcPr>
            <w:tcW w:w="646" w:type="dxa"/>
            <w:shd w:val="clear" w:color="auto" w:fill="FFFFFF" w:themeFill="background1"/>
            <w:vAlign w:val="center"/>
          </w:tcPr>
          <w:p w14:paraId="49120693" w14:textId="3BFC56E7" w:rsidR="00D02C31" w:rsidRPr="002100AE" w:rsidRDefault="00D02C31"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hint="eastAsia"/>
                <w:color w:val="auto"/>
                <w:kern w:val="2"/>
                <w:szCs w:val="20"/>
                <w:lang w:eastAsia="ja-JP"/>
              </w:rPr>
              <w:t>74</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539302E1" w14:textId="5A9EBE13"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32</w:t>
            </w:r>
          </w:p>
        </w:tc>
      </w:tr>
      <w:tr w:rsidR="00190FC8" w:rsidRPr="002100AE" w14:paraId="3F3717F6" w14:textId="77777777" w:rsidTr="003B7797">
        <w:trPr>
          <w:gridBefore w:val="1"/>
          <w:gridAfter w:val="1"/>
          <w:wBefore w:w="180" w:type="dxa"/>
          <w:wAfter w:w="245" w:type="dxa"/>
          <w:trHeight w:val="1152"/>
        </w:trPr>
        <w:tc>
          <w:tcPr>
            <w:cnfStyle w:val="000010000000" w:firstRow="0" w:lastRow="0" w:firstColumn="0" w:lastColumn="0" w:oddVBand="1" w:evenVBand="0" w:oddHBand="0" w:evenHBand="0" w:firstRowFirstColumn="0" w:firstRowLastColumn="0" w:lastRowFirstColumn="0" w:lastRowLastColumn="0"/>
            <w:tcW w:w="270" w:type="dxa"/>
            <w:shd w:val="clear" w:color="auto" w:fill="FFFFFF" w:themeFill="background1"/>
            <w:vAlign w:val="center"/>
          </w:tcPr>
          <w:p w14:paraId="086C0A99" w14:textId="16EEB6CC" w:rsidR="00D02C31" w:rsidRPr="002100AE" w:rsidRDefault="00D02C31" w:rsidP="00F675E2">
            <w:pPr>
              <w:autoSpaceDE w:val="0"/>
              <w:autoSpaceDN w:val="0"/>
              <w:adjustRightInd w:val="0"/>
              <w:spacing w:line="360" w:lineRule="auto"/>
              <w:ind w:left="60" w:right="60" w:firstLine="0"/>
              <w:jc w:val="left"/>
              <w:rPr>
                <w:rFonts w:eastAsia="MS Mincho" w:cs="Times New Roman"/>
                <w:color w:val="auto"/>
                <w:kern w:val="2"/>
                <w:szCs w:val="20"/>
                <w:lang w:eastAsia="ja-JP"/>
              </w:rPr>
            </w:pPr>
            <w:r w:rsidRPr="002100AE">
              <w:rPr>
                <w:rFonts w:eastAsia="MS Mincho" w:cs="Times New Roman" w:hint="eastAsia"/>
                <w:color w:val="auto"/>
                <w:kern w:val="2"/>
                <w:szCs w:val="20"/>
                <w:lang w:eastAsia="ja-JP"/>
              </w:rPr>
              <w:t>8</w:t>
            </w:r>
          </w:p>
        </w:tc>
        <w:tc>
          <w:tcPr>
            <w:tcW w:w="1170" w:type="dxa"/>
            <w:shd w:val="clear" w:color="auto" w:fill="FFFFFF" w:themeFill="background1"/>
            <w:vAlign w:val="center"/>
          </w:tcPr>
          <w:p w14:paraId="33DF465B" w14:textId="5EE7660E" w:rsidR="00D02C31" w:rsidRPr="002100AE" w:rsidRDefault="00D02C31" w:rsidP="00F675E2">
            <w:pPr>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color w:val="auto"/>
                <w:kern w:val="2"/>
                <w:szCs w:val="20"/>
                <w:lang w:eastAsia="ja-JP"/>
              </w:rPr>
              <w:t>L</w:t>
            </w:r>
            <w:r w:rsidRPr="002100AE">
              <w:rPr>
                <w:rFonts w:eastAsia="MS Mincho" w:cs="Times New Roman" w:hint="eastAsia"/>
                <w:color w:val="auto"/>
                <w:kern w:val="2"/>
                <w:szCs w:val="20"/>
                <w:lang w:eastAsia="ja-JP"/>
              </w:rPr>
              <w:t>iardét (2018)</w:t>
            </w:r>
          </w:p>
        </w:tc>
        <w:tc>
          <w:tcPr>
            <w:cnfStyle w:val="000010000000" w:firstRow="0" w:lastRow="0" w:firstColumn="0" w:lastColumn="0" w:oddVBand="1" w:evenVBand="0" w:oddHBand="0" w:evenHBand="0" w:firstRowFirstColumn="0" w:firstRowLastColumn="0" w:lastRowFirstColumn="0" w:lastRowLastColumn="0"/>
            <w:tcW w:w="722" w:type="dxa"/>
            <w:shd w:val="clear" w:color="auto" w:fill="FFFFFF" w:themeFill="background1"/>
            <w:vAlign w:val="center"/>
          </w:tcPr>
          <w:p w14:paraId="179AE26F" w14:textId="6E431EE5"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33</w:t>
            </w:r>
          </w:p>
        </w:tc>
        <w:tc>
          <w:tcPr>
            <w:tcW w:w="3058" w:type="dxa"/>
            <w:gridSpan w:val="2"/>
            <w:shd w:val="clear" w:color="auto" w:fill="FFFFFF" w:themeFill="background1"/>
            <w:vAlign w:val="center"/>
          </w:tcPr>
          <w:p w14:paraId="2BED79D8" w14:textId="2005220B" w:rsidR="00D02C31" w:rsidRPr="002100AE" w:rsidRDefault="00D02C31" w:rsidP="00F675E2">
            <w:pPr>
              <w:autoSpaceDE w:val="0"/>
              <w:autoSpaceDN w:val="0"/>
              <w:adjustRightInd w:val="0"/>
              <w:spacing w:line="360" w:lineRule="auto"/>
              <w:ind w:left="60" w:right="60" w:firstLine="0"/>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color w:val="auto"/>
                <w:kern w:val="2"/>
                <w:szCs w:val="20"/>
                <w:lang w:eastAsia="ja-JP"/>
              </w:rPr>
              <w:t>W</w:t>
            </w:r>
            <w:r w:rsidRPr="002100AE">
              <w:rPr>
                <w:rFonts w:eastAsia="MS Mincho" w:cs="Times New Roman" w:hint="eastAsia"/>
                <w:color w:val="auto"/>
                <w:kern w:val="2"/>
                <w:szCs w:val="20"/>
                <w:lang w:eastAsia="ja-JP"/>
              </w:rPr>
              <w:t xml:space="preserve">hite </w:t>
            </w:r>
            <w:r w:rsidRPr="002100AE">
              <w:rPr>
                <w:rFonts w:eastAsia="MS Mincho" w:cs="Times New Roman"/>
                <w:color w:val="auto"/>
                <w:kern w:val="2"/>
                <w:szCs w:val="20"/>
                <w:lang w:eastAsia="ja-JP"/>
              </w:rPr>
              <w:t>P</w:t>
            </w:r>
            <w:r w:rsidRPr="002100AE">
              <w:rPr>
                <w:rFonts w:eastAsia="MS Mincho" w:cs="Times New Roman" w:hint="eastAsia"/>
                <w:color w:val="auto"/>
                <w:kern w:val="2"/>
                <w:szCs w:val="20"/>
                <w:lang w:eastAsia="ja-JP"/>
              </w:rPr>
              <w:t xml:space="preserve">., </w:t>
            </w:r>
            <w:r w:rsidRPr="002100AE">
              <w:rPr>
                <w:rFonts w:eastAsia="MS Mincho" w:cs="Times New Roman"/>
                <w:color w:val="auto"/>
                <w:kern w:val="2"/>
                <w:szCs w:val="20"/>
                <w:lang w:eastAsia="ja-JP"/>
              </w:rPr>
              <w:t>T</w:t>
            </w:r>
            <w:r w:rsidRPr="002100AE">
              <w:rPr>
                <w:rFonts w:eastAsia="MS Mincho" w:cs="Times New Roman" w:hint="eastAsia"/>
                <w:color w:val="auto"/>
                <w:kern w:val="2"/>
                <w:szCs w:val="20"/>
                <w:lang w:eastAsia="ja-JP"/>
              </w:rPr>
              <w:t>he language of evaluation: appraisal in english, (2005)</w:t>
            </w:r>
          </w:p>
        </w:tc>
        <w:tc>
          <w:tcPr>
            <w:cnfStyle w:val="000010000000" w:firstRow="0" w:lastRow="0" w:firstColumn="0" w:lastColumn="0" w:oddVBand="1" w:evenVBand="0" w:oddHBand="0" w:evenHBand="0" w:firstRowFirstColumn="0" w:firstRowLastColumn="0" w:lastRowFirstColumn="0" w:lastRowLastColumn="0"/>
            <w:tcW w:w="565" w:type="dxa"/>
            <w:gridSpan w:val="2"/>
            <w:shd w:val="clear" w:color="auto" w:fill="FFFFFF" w:themeFill="background1"/>
            <w:vAlign w:val="center"/>
          </w:tcPr>
          <w:p w14:paraId="50680BD0" w14:textId="7FF7B45E"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6</w:t>
            </w:r>
          </w:p>
        </w:tc>
        <w:tc>
          <w:tcPr>
            <w:tcW w:w="630" w:type="dxa"/>
            <w:shd w:val="clear" w:color="auto" w:fill="FFFFFF" w:themeFill="background1"/>
            <w:vAlign w:val="center"/>
          </w:tcPr>
          <w:p w14:paraId="429A1B2E" w14:textId="5CCF7913" w:rsidR="00D02C31" w:rsidRPr="002100AE" w:rsidRDefault="00D02C31" w:rsidP="00F675E2">
            <w:pPr>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hint="eastAsia"/>
                <w:color w:val="auto"/>
                <w:kern w:val="2"/>
                <w:szCs w:val="20"/>
                <w:lang w:eastAsia="ja-JP"/>
              </w:rPr>
              <w:t>7</w:t>
            </w:r>
          </w:p>
        </w:tc>
        <w:tc>
          <w:tcPr>
            <w:cnfStyle w:val="000010000000" w:firstRow="0" w:lastRow="0" w:firstColumn="0" w:lastColumn="0" w:oddVBand="1" w:evenVBand="0" w:oddHBand="0" w:evenHBand="0" w:firstRowFirstColumn="0" w:firstRowLastColumn="0" w:lastRowFirstColumn="0" w:lastRowLastColumn="0"/>
            <w:tcW w:w="1244" w:type="dxa"/>
            <w:shd w:val="clear" w:color="auto" w:fill="FFFFFF" w:themeFill="background1"/>
            <w:vAlign w:val="center"/>
          </w:tcPr>
          <w:p w14:paraId="2D118DC7" w14:textId="1E64C2B8"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color w:val="auto"/>
                <w:kern w:val="2"/>
                <w:szCs w:val="20"/>
                <w:lang w:eastAsia="ja-JP"/>
              </w:rPr>
              <w:t>L</w:t>
            </w:r>
            <w:r w:rsidRPr="002100AE">
              <w:rPr>
                <w:rFonts w:eastAsia="MS Mincho" w:cs="Times New Roman" w:hint="eastAsia"/>
                <w:color w:val="auto"/>
                <w:kern w:val="2"/>
                <w:szCs w:val="20"/>
                <w:lang w:eastAsia="ja-JP"/>
              </w:rPr>
              <w:t>iardét (2018)</w:t>
            </w:r>
          </w:p>
        </w:tc>
        <w:tc>
          <w:tcPr>
            <w:tcW w:w="646" w:type="dxa"/>
            <w:shd w:val="clear" w:color="auto" w:fill="FFFFFF" w:themeFill="background1"/>
            <w:vAlign w:val="center"/>
          </w:tcPr>
          <w:p w14:paraId="1578CB82" w14:textId="1A8EC724" w:rsidR="00D02C31" w:rsidRPr="002100AE" w:rsidRDefault="00D02C31" w:rsidP="00F675E2">
            <w:pPr>
              <w:autoSpaceDE w:val="0"/>
              <w:autoSpaceDN w:val="0"/>
              <w:adjustRightInd w:val="0"/>
              <w:spacing w:line="360" w:lineRule="auto"/>
              <w:ind w:left="60" w:right="60" w:firstLine="0"/>
              <w:jc w:val="center"/>
              <w:cnfStyle w:val="000000000000" w:firstRow="0" w:lastRow="0" w:firstColumn="0" w:lastColumn="0" w:oddVBand="0" w:evenVBand="0" w:oddHBand="0"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hint="eastAsia"/>
                <w:color w:val="auto"/>
                <w:kern w:val="2"/>
                <w:szCs w:val="20"/>
                <w:lang w:eastAsia="ja-JP"/>
              </w:rPr>
              <w:t>33</w:t>
            </w:r>
          </w:p>
        </w:tc>
        <w:tc>
          <w:tcPr>
            <w:cnfStyle w:val="000010000000" w:firstRow="0" w:lastRow="0" w:firstColumn="0" w:lastColumn="0" w:oddVBand="1" w:evenVBand="0" w:oddHBand="0" w:evenHBand="0" w:firstRowFirstColumn="0" w:firstRowLastColumn="0" w:lastRowFirstColumn="0" w:lastRowLastColumn="0"/>
            <w:tcW w:w="630" w:type="dxa"/>
            <w:shd w:val="clear" w:color="auto" w:fill="FFFFFF" w:themeFill="background1"/>
            <w:vAlign w:val="center"/>
          </w:tcPr>
          <w:p w14:paraId="56240740" w14:textId="727A6FB1"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24</w:t>
            </w:r>
          </w:p>
        </w:tc>
      </w:tr>
      <w:tr w:rsidR="002100AE" w:rsidRPr="002100AE" w14:paraId="10BFDB8F" w14:textId="77777777" w:rsidTr="003B7797">
        <w:trPr>
          <w:gridBefore w:val="1"/>
          <w:gridAfter w:val="1"/>
          <w:cnfStyle w:val="000000100000" w:firstRow="0" w:lastRow="0" w:firstColumn="0" w:lastColumn="0" w:oddVBand="0" w:evenVBand="0" w:oddHBand="1" w:evenHBand="0" w:firstRowFirstColumn="0" w:firstRowLastColumn="0" w:lastRowFirstColumn="0" w:lastRowLastColumn="0"/>
          <w:wBefore w:w="180" w:type="dxa"/>
          <w:wAfter w:w="245" w:type="dxa"/>
          <w:trHeight w:val="1152"/>
        </w:trPr>
        <w:tc>
          <w:tcPr>
            <w:cnfStyle w:val="000010000000" w:firstRow="0" w:lastRow="0" w:firstColumn="0" w:lastColumn="0" w:oddVBand="1" w:evenVBand="0" w:oddHBand="0" w:evenHBand="0" w:firstRowFirstColumn="0" w:firstRowLastColumn="0" w:lastRowFirstColumn="0" w:lastRowLastColumn="0"/>
            <w:tcW w:w="270" w:type="dxa"/>
            <w:tcBorders>
              <w:bottom w:val="single" w:sz="4" w:space="0" w:color="auto"/>
            </w:tcBorders>
            <w:shd w:val="clear" w:color="auto" w:fill="FFFFFF" w:themeFill="background1"/>
            <w:vAlign w:val="center"/>
          </w:tcPr>
          <w:p w14:paraId="3F9F1FEB" w14:textId="5E1BBB4E" w:rsidR="00D02C31" w:rsidRPr="002100AE" w:rsidRDefault="00D02C31" w:rsidP="00F675E2">
            <w:pPr>
              <w:autoSpaceDE w:val="0"/>
              <w:autoSpaceDN w:val="0"/>
              <w:adjustRightInd w:val="0"/>
              <w:spacing w:line="360" w:lineRule="auto"/>
              <w:ind w:left="60" w:right="60" w:firstLine="0"/>
              <w:jc w:val="left"/>
              <w:rPr>
                <w:rFonts w:eastAsia="MS Mincho" w:cs="Times New Roman"/>
                <w:color w:val="auto"/>
                <w:kern w:val="2"/>
                <w:szCs w:val="20"/>
                <w:lang w:eastAsia="ja-JP"/>
              </w:rPr>
            </w:pPr>
            <w:r w:rsidRPr="002100AE">
              <w:rPr>
                <w:rFonts w:eastAsia="MS Mincho" w:cs="Times New Roman" w:hint="eastAsia"/>
                <w:color w:val="auto"/>
                <w:kern w:val="2"/>
                <w:szCs w:val="20"/>
                <w:lang w:eastAsia="ja-JP"/>
              </w:rPr>
              <w:t>9</w:t>
            </w:r>
          </w:p>
        </w:tc>
        <w:tc>
          <w:tcPr>
            <w:tcW w:w="1170" w:type="dxa"/>
            <w:tcBorders>
              <w:bottom w:val="single" w:sz="4" w:space="0" w:color="auto"/>
            </w:tcBorders>
            <w:shd w:val="clear" w:color="auto" w:fill="FFFFFF" w:themeFill="background1"/>
            <w:vAlign w:val="center"/>
          </w:tcPr>
          <w:p w14:paraId="56985542" w14:textId="68ED8FA7" w:rsidR="00D02C31" w:rsidRPr="002100AE" w:rsidRDefault="00D02C31"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color w:val="auto"/>
                <w:kern w:val="2"/>
                <w:szCs w:val="20"/>
                <w:lang w:eastAsia="ja-JP"/>
              </w:rPr>
              <w:t>L</w:t>
            </w:r>
            <w:r w:rsidRPr="002100AE">
              <w:rPr>
                <w:rFonts w:eastAsia="MS Mincho" w:cs="Times New Roman" w:hint="eastAsia"/>
                <w:color w:val="auto"/>
                <w:kern w:val="2"/>
                <w:szCs w:val="20"/>
                <w:lang w:eastAsia="ja-JP"/>
              </w:rPr>
              <w:t>linares (2015)</w:t>
            </w:r>
          </w:p>
        </w:tc>
        <w:tc>
          <w:tcPr>
            <w:cnfStyle w:val="000010000000" w:firstRow="0" w:lastRow="0" w:firstColumn="0" w:lastColumn="0" w:oddVBand="1" w:evenVBand="0" w:oddHBand="0" w:evenHBand="0" w:firstRowFirstColumn="0" w:firstRowLastColumn="0" w:lastRowFirstColumn="0" w:lastRowLastColumn="0"/>
            <w:tcW w:w="722" w:type="dxa"/>
            <w:tcBorders>
              <w:bottom w:val="single" w:sz="4" w:space="0" w:color="auto"/>
            </w:tcBorders>
            <w:shd w:val="clear" w:color="auto" w:fill="FFFFFF" w:themeFill="background1"/>
            <w:vAlign w:val="center"/>
          </w:tcPr>
          <w:p w14:paraId="2D0BAB7B" w14:textId="7CACDE38"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34</w:t>
            </w:r>
          </w:p>
        </w:tc>
        <w:tc>
          <w:tcPr>
            <w:tcW w:w="3058" w:type="dxa"/>
            <w:gridSpan w:val="2"/>
            <w:tcBorders>
              <w:bottom w:val="single" w:sz="4" w:space="0" w:color="auto"/>
            </w:tcBorders>
            <w:shd w:val="clear" w:color="auto" w:fill="FFFFFF" w:themeFill="background1"/>
            <w:vAlign w:val="center"/>
          </w:tcPr>
          <w:p w14:paraId="33BE53BE" w14:textId="0ED60168" w:rsidR="00D02C31" w:rsidRPr="002100AE" w:rsidRDefault="00D02C31" w:rsidP="00F675E2">
            <w:pPr>
              <w:autoSpaceDE w:val="0"/>
              <w:autoSpaceDN w:val="0"/>
              <w:adjustRightInd w:val="0"/>
              <w:spacing w:line="360" w:lineRule="auto"/>
              <w:ind w:left="60" w:right="60" w:firstLine="0"/>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color w:val="auto"/>
                <w:kern w:val="2"/>
                <w:szCs w:val="20"/>
                <w:lang w:eastAsia="ja-JP"/>
              </w:rPr>
              <w:t>W</w:t>
            </w:r>
            <w:r w:rsidRPr="002100AE">
              <w:rPr>
                <w:rFonts w:eastAsia="MS Mincho" w:cs="Times New Roman" w:hint="eastAsia"/>
                <w:color w:val="auto"/>
                <w:kern w:val="2"/>
                <w:szCs w:val="20"/>
                <w:lang w:eastAsia="ja-JP"/>
              </w:rPr>
              <w:t xml:space="preserve">hite </w:t>
            </w:r>
            <w:r w:rsidRPr="002100AE">
              <w:rPr>
                <w:rFonts w:eastAsia="MS Mincho" w:cs="Times New Roman"/>
                <w:color w:val="auto"/>
                <w:kern w:val="2"/>
                <w:szCs w:val="20"/>
                <w:lang w:eastAsia="ja-JP"/>
              </w:rPr>
              <w:t>P</w:t>
            </w:r>
            <w:r w:rsidRPr="002100AE">
              <w:rPr>
                <w:rFonts w:eastAsia="MS Mincho" w:cs="Times New Roman" w:hint="eastAsia"/>
                <w:color w:val="auto"/>
                <w:kern w:val="2"/>
                <w:szCs w:val="20"/>
                <w:lang w:eastAsia="ja-JP"/>
              </w:rPr>
              <w:t>.</w:t>
            </w:r>
            <w:r w:rsidRPr="002100AE">
              <w:rPr>
                <w:rFonts w:eastAsia="MS Mincho" w:cs="Times New Roman"/>
                <w:color w:val="auto"/>
                <w:kern w:val="2"/>
                <w:szCs w:val="20"/>
                <w:lang w:eastAsia="ja-JP"/>
              </w:rPr>
              <w:t>R</w:t>
            </w:r>
            <w:r w:rsidRPr="002100AE">
              <w:rPr>
                <w:rFonts w:eastAsia="MS Mincho" w:cs="Times New Roman" w:hint="eastAsia"/>
                <w:color w:val="auto"/>
                <w:kern w:val="2"/>
                <w:szCs w:val="20"/>
                <w:lang w:eastAsia="ja-JP"/>
              </w:rPr>
              <w:t>.</w:t>
            </w:r>
            <w:r w:rsidRPr="002100AE">
              <w:rPr>
                <w:rFonts w:eastAsia="MS Mincho" w:cs="Times New Roman"/>
                <w:color w:val="auto"/>
                <w:kern w:val="2"/>
                <w:szCs w:val="20"/>
                <w:lang w:eastAsia="ja-JP"/>
              </w:rPr>
              <w:t>R</w:t>
            </w:r>
            <w:r w:rsidRPr="002100AE">
              <w:rPr>
                <w:rFonts w:eastAsia="MS Mincho" w:cs="Times New Roman" w:hint="eastAsia"/>
                <w:color w:val="auto"/>
                <w:kern w:val="2"/>
                <w:szCs w:val="20"/>
                <w:lang w:eastAsia="ja-JP"/>
              </w:rPr>
              <w:t xml:space="preserve">., </w:t>
            </w:r>
            <w:r w:rsidRPr="002100AE">
              <w:rPr>
                <w:rFonts w:eastAsia="MS Mincho" w:cs="Times New Roman"/>
                <w:color w:val="auto"/>
                <w:kern w:val="2"/>
                <w:szCs w:val="20"/>
                <w:lang w:eastAsia="ja-JP"/>
              </w:rPr>
              <w:t>T</w:t>
            </w:r>
            <w:r w:rsidRPr="002100AE">
              <w:rPr>
                <w:rFonts w:eastAsia="MS Mincho" w:cs="Times New Roman" w:hint="eastAsia"/>
                <w:color w:val="auto"/>
                <w:kern w:val="2"/>
                <w:szCs w:val="20"/>
                <w:lang w:eastAsia="ja-JP"/>
              </w:rPr>
              <w:t>he language of evaluation: appraisal in english, (2005)</w:t>
            </w:r>
          </w:p>
        </w:tc>
        <w:tc>
          <w:tcPr>
            <w:cnfStyle w:val="000010000000" w:firstRow="0" w:lastRow="0" w:firstColumn="0" w:lastColumn="0" w:oddVBand="1" w:evenVBand="0" w:oddHBand="0" w:evenHBand="0" w:firstRowFirstColumn="0" w:firstRowLastColumn="0" w:lastRowFirstColumn="0" w:lastRowLastColumn="0"/>
            <w:tcW w:w="565" w:type="dxa"/>
            <w:gridSpan w:val="2"/>
            <w:tcBorders>
              <w:bottom w:val="single" w:sz="4" w:space="0" w:color="auto"/>
            </w:tcBorders>
            <w:shd w:val="clear" w:color="auto" w:fill="FFFFFF" w:themeFill="background1"/>
            <w:vAlign w:val="center"/>
          </w:tcPr>
          <w:p w14:paraId="279F737F" w14:textId="4300BE62"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17</w:t>
            </w:r>
          </w:p>
        </w:tc>
        <w:tc>
          <w:tcPr>
            <w:tcW w:w="630" w:type="dxa"/>
            <w:tcBorders>
              <w:bottom w:val="single" w:sz="4" w:space="0" w:color="auto"/>
            </w:tcBorders>
            <w:shd w:val="clear" w:color="auto" w:fill="FFFFFF" w:themeFill="background1"/>
            <w:vAlign w:val="center"/>
          </w:tcPr>
          <w:p w14:paraId="2B1E8FF4" w14:textId="0E949A02" w:rsidR="00D02C31" w:rsidRPr="002100AE" w:rsidRDefault="00D02C31"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hint="eastAsia"/>
                <w:color w:val="auto"/>
                <w:kern w:val="2"/>
                <w:szCs w:val="20"/>
                <w:lang w:eastAsia="ja-JP"/>
              </w:rPr>
              <w:t>28</w:t>
            </w:r>
          </w:p>
        </w:tc>
        <w:tc>
          <w:tcPr>
            <w:cnfStyle w:val="000010000000" w:firstRow="0" w:lastRow="0" w:firstColumn="0" w:lastColumn="0" w:oddVBand="1" w:evenVBand="0" w:oddHBand="0" w:evenHBand="0" w:firstRowFirstColumn="0" w:firstRowLastColumn="0" w:lastRowFirstColumn="0" w:lastRowLastColumn="0"/>
            <w:tcW w:w="1244" w:type="dxa"/>
            <w:tcBorders>
              <w:bottom w:val="single" w:sz="4" w:space="0" w:color="auto"/>
            </w:tcBorders>
            <w:shd w:val="clear" w:color="auto" w:fill="FFFFFF" w:themeFill="background1"/>
            <w:vAlign w:val="center"/>
          </w:tcPr>
          <w:p w14:paraId="4E853BB0" w14:textId="75E5017C"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color w:val="auto"/>
                <w:kern w:val="2"/>
                <w:szCs w:val="20"/>
                <w:lang w:eastAsia="ja-JP"/>
              </w:rPr>
              <w:t>L</w:t>
            </w:r>
            <w:r w:rsidRPr="002100AE">
              <w:rPr>
                <w:rFonts w:eastAsia="MS Mincho" w:cs="Times New Roman" w:hint="eastAsia"/>
                <w:color w:val="auto"/>
                <w:kern w:val="2"/>
                <w:szCs w:val="20"/>
                <w:lang w:eastAsia="ja-JP"/>
              </w:rPr>
              <w:t>linares (2015)</w:t>
            </w:r>
          </w:p>
        </w:tc>
        <w:tc>
          <w:tcPr>
            <w:tcW w:w="646" w:type="dxa"/>
            <w:tcBorders>
              <w:bottom w:val="single" w:sz="4" w:space="0" w:color="auto"/>
            </w:tcBorders>
            <w:shd w:val="clear" w:color="auto" w:fill="FFFFFF" w:themeFill="background1"/>
            <w:vAlign w:val="center"/>
          </w:tcPr>
          <w:p w14:paraId="684FA3AE" w14:textId="6D76EC2D" w:rsidR="00D02C31" w:rsidRPr="002100AE" w:rsidRDefault="00D02C31" w:rsidP="00F675E2">
            <w:pPr>
              <w:autoSpaceDE w:val="0"/>
              <w:autoSpaceDN w:val="0"/>
              <w:adjustRightInd w:val="0"/>
              <w:spacing w:line="360" w:lineRule="auto"/>
              <w:ind w:left="60" w:right="60" w:firstLine="0"/>
              <w:jc w:val="center"/>
              <w:cnfStyle w:val="000000100000" w:firstRow="0" w:lastRow="0" w:firstColumn="0" w:lastColumn="0" w:oddVBand="0" w:evenVBand="0" w:oddHBand="1" w:evenHBand="0" w:firstRowFirstColumn="0" w:firstRowLastColumn="0" w:lastRowFirstColumn="0" w:lastRowLastColumn="0"/>
              <w:rPr>
                <w:rFonts w:eastAsia="MS Mincho" w:cs="Times New Roman"/>
                <w:color w:val="auto"/>
                <w:kern w:val="2"/>
                <w:szCs w:val="20"/>
                <w:lang w:eastAsia="ja-JP"/>
              </w:rPr>
            </w:pPr>
            <w:r w:rsidRPr="002100AE">
              <w:rPr>
                <w:rFonts w:eastAsia="MS Mincho" w:cs="Times New Roman" w:hint="eastAsia"/>
                <w:color w:val="auto"/>
                <w:kern w:val="2"/>
                <w:szCs w:val="20"/>
                <w:lang w:eastAsia="ja-JP"/>
              </w:rPr>
              <w:t>34</w:t>
            </w:r>
          </w:p>
        </w:tc>
        <w:tc>
          <w:tcPr>
            <w:cnfStyle w:val="000010000000" w:firstRow="0" w:lastRow="0" w:firstColumn="0" w:lastColumn="0" w:oddVBand="1" w:evenVBand="0" w:oddHBand="0" w:evenHBand="0" w:firstRowFirstColumn="0" w:firstRowLastColumn="0" w:lastRowFirstColumn="0" w:lastRowLastColumn="0"/>
            <w:tcW w:w="630" w:type="dxa"/>
            <w:tcBorders>
              <w:bottom w:val="single" w:sz="4" w:space="0" w:color="auto"/>
            </w:tcBorders>
            <w:shd w:val="clear" w:color="auto" w:fill="FFFFFF" w:themeFill="background1"/>
            <w:vAlign w:val="center"/>
          </w:tcPr>
          <w:p w14:paraId="524734C2" w14:textId="064F7D8D" w:rsidR="00D02C31" w:rsidRPr="002100AE" w:rsidRDefault="00D02C31" w:rsidP="00F675E2">
            <w:pPr>
              <w:autoSpaceDE w:val="0"/>
              <w:autoSpaceDN w:val="0"/>
              <w:adjustRightInd w:val="0"/>
              <w:spacing w:line="360" w:lineRule="auto"/>
              <w:ind w:left="60" w:right="60" w:firstLine="0"/>
              <w:jc w:val="center"/>
              <w:rPr>
                <w:rFonts w:eastAsia="MS Mincho" w:cs="Times New Roman"/>
                <w:color w:val="auto"/>
                <w:kern w:val="2"/>
                <w:szCs w:val="20"/>
                <w:lang w:eastAsia="ja-JP"/>
              </w:rPr>
            </w:pPr>
            <w:r w:rsidRPr="002100AE">
              <w:rPr>
                <w:rFonts w:eastAsia="MS Mincho" w:cs="Times New Roman" w:hint="eastAsia"/>
                <w:color w:val="auto"/>
                <w:kern w:val="2"/>
                <w:szCs w:val="20"/>
                <w:lang w:eastAsia="ja-JP"/>
              </w:rPr>
              <w:t>23</w:t>
            </w:r>
          </w:p>
        </w:tc>
      </w:tr>
    </w:tbl>
    <w:p w14:paraId="549E7D28" w14:textId="6D710F4A" w:rsidR="002B27BE" w:rsidRPr="002100AE" w:rsidRDefault="002B27BE" w:rsidP="00D13835">
      <w:pPr>
        <w:pStyle w:val="RALs-Heading2"/>
        <w:spacing w:before="120" w:after="120" w:line="480" w:lineRule="auto"/>
        <w:ind w:left="288" w:hanging="288"/>
        <w:rPr>
          <w:rFonts w:asciiTheme="majorBidi" w:hAnsiTheme="majorBidi" w:cstheme="majorBidi"/>
          <w:sz w:val="24"/>
          <w:szCs w:val="24"/>
        </w:rPr>
      </w:pPr>
      <w:r w:rsidRPr="002100AE">
        <w:rPr>
          <w:rFonts w:asciiTheme="majorBidi" w:hAnsiTheme="majorBidi" w:cstheme="majorBidi"/>
          <w:sz w:val="24"/>
          <w:szCs w:val="24"/>
        </w:rPr>
        <w:t>4.3. The Co-occurence analysis</w:t>
      </w:r>
    </w:p>
    <w:p w14:paraId="0BDA6698" w14:textId="3561FAEE" w:rsidR="002B27BE" w:rsidRPr="002100AE" w:rsidRDefault="002B27BE"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The results of the co-occurrence analysis will identify prominent research trends in recent years and, simultaneously, indicate the degree of keyword prominence (density)—that is, the extent to which particular terms attract scholarly attention and reflect sustained interest within the field.</w:t>
      </w:r>
    </w:p>
    <w:p w14:paraId="6AC829B4" w14:textId="0B3B9796" w:rsidR="002B27BE" w:rsidRPr="002100AE" w:rsidRDefault="002B27BE" w:rsidP="00F675E2">
      <w:pPr>
        <w:pStyle w:val="RALs-Heading3"/>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rPr>
        <w:t>4.3.1. Dominant Trends</w:t>
      </w:r>
    </w:p>
    <w:p w14:paraId="547898B3" w14:textId="1A5D5893" w:rsidR="002B27BE" w:rsidRPr="002100AE" w:rsidRDefault="002B27BE"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 xml:space="preserve">Figure </w:t>
      </w:r>
      <w:r w:rsidR="00E95596" w:rsidRPr="002100AE">
        <w:rPr>
          <w:rFonts w:asciiTheme="majorBidi" w:hAnsiTheme="majorBidi" w:cstheme="majorBidi"/>
          <w:sz w:val="24"/>
          <w:szCs w:val="24"/>
          <w:lang w:val="vi-VN"/>
        </w:rPr>
        <w:t>4</w:t>
      </w:r>
      <w:r w:rsidRPr="002100AE">
        <w:rPr>
          <w:rFonts w:asciiTheme="majorBidi" w:hAnsiTheme="majorBidi" w:cstheme="majorBidi"/>
          <w:sz w:val="24"/>
          <w:szCs w:val="24"/>
          <w:lang w:val="vi-VN"/>
        </w:rPr>
        <w:t xml:space="preserve"> identifies six prominent clusters regarding the application of Appraisal theory to foreign language teaching. Overall, the clustering structure suggests a diversity of implementation scopes and, at the same time, delineates key research directions through central keywords and their discourse-linked networks.</w:t>
      </w:r>
    </w:p>
    <w:p w14:paraId="3186E9E3" w14:textId="6C26D620" w:rsidR="002B27BE" w:rsidRPr="002100AE" w:rsidRDefault="002B27BE"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 xml:space="preserve">Cluster 1 (yellow) is located in the upper portion of Figure </w:t>
      </w:r>
      <w:r w:rsidR="00E95596" w:rsidRPr="002100AE">
        <w:rPr>
          <w:rFonts w:asciiTheme="majorBidi" w:hAnsiTheme="majorBidi" w:cstheme="majorBidi"/>
          <w:sz w:val="24"/>
          <w:szCs w:val="24"/>
          <w:lang w:val="vi-VN"/>
        </w:rPr>
        <w:t>4</w:t>
      </w:r>
      <w:r w:rsidRPr="002100AE">
        <w:rPr>
          <w:rFonts w:asciiTheme="majorBidi" w:hAnsiTheme="majorBidi" w:cstheme="majorBidi"/>
          <w:sz w:val="24"/>
          <w:szCs w:val="24"/>
          <w:lang w:val="vi-VN"/>
        </w:rPr>
        <w:t xml:space="preserve">, with the central keyword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appraisal</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linked to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teacher education,</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higher education,</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and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engagement.</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This cluster indicates a research trajectory that employs Appraisal theory as an analytical framework to </w:t>
      </w:r>
      <w:r w:rsidRPr="002100AE">
        <w:rPr>
          <w:rFonts w:asciiTheme="majorBidi" w:hAnsiTheme="majorBidi" w:cstheme="majorBidi"/>
          <w:sz w:val="24"/>
          <w:szCs w:val="24"/>
          <w:lang w:val="vi-VN"/>
        </w:rPr>
        <w:lastRenderedPageBreak/>
        <w:t>support teacher education, extending to instructional contexts at both undergraduate and postgraduate levels. Notable scholars include Adlington et al. (2024), Godoy-Echiburú and Flores-Calvo (2025), and Nurhadi et al. (2025).</w:t>
      </w:r>
    </w:p>
    <w:p w14:paraId="1FC781A8" w14:textId="6837F1F0" w:rsidR="002B27BE" w:rsidRPr="002100AE" w:rsidRDefault="002B27BE"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 xml:space="preserve">Cluster 2 (green), positioned on the left side of Figure </w:t>
      </w:r>
      <w:r w:rsidR="00E95596" w:rsidRPr="002100AE">
        <w:rPr>
          <w:rFonts w:asciiTheme="majorBidi" w:hAnsiTheme="majorBidi" w:cstheme="majorBidi"/>
          <w:sz w:val="24"/>
          <w:szCs w:val="24"/>
          <w:lang w:val="vi-VN"/>
        </w:rPr>
        <w:t>4</w:t>
      </w:r>
      <w:r w:rsidRPr="002100AE">
        <w:rPr>
          <w:rFonts w:asciiTheme="majorBidi" w:hAnsiTheme="majorBidi" w:cstheme="majorBidi"/>
          <w:sz w:val="24"/>
          <w:szCs w:val="24"/>
          <w:lang w:val="vi-VN"/>
        </w:rPr>
        <w:t xml:space="preserve">, has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academic writing</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as the central keyword and connects to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translation,</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discourse analysis,</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L2 writing,</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SFL,</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and </w:t>
      </w:r>
      <w:r w:rsidR="00C40C65" w:rsidRPr="002100AE">
        <w:rPr>
          <w:rFonts w:asciiTheme="majorBidi" w:hAnsiTheme="majorBidi" w:cstheme="majorBidi"/>
          <w:sz w:val="24"/>
          <w:szCs w:val="24"/>
          <w:lang w:val="vi-VN"/>
        </w:rPr>
        <w:t>“attitude.”</w:t>
      </w:r>
      <w:r w:rsidRPr="002100AE">
        <w:rPr>
          <w:rFonts w:asciiTheme="majorBidi" w:hAnsiTheme="majorBidi" w:cstheme="majorBidi"/>
          <w:sz w:val="24"/>
          <w:szCs w:val="24"/>
          <w:lang w:val="vi-VN"/>
        </w:rPr>
        <w:t xml:space="preserve"> The cluster reflects research on teaching academic writing, where discourse analysis is treated as a foundational tool for explaining and guiding text production. Importantly, the outcomes of discourse analysis are also applied to translation studies and L2 writing instruction. Representative works include Munday </w:t>
      </w:r>
      <w:r w:rsidR="00D13835">
        <w:rPr>
          <w:rFonts w:asciiTheme="majorBidi" w:hAnsiTheme="majorBidi" w:cstheme="majorBidi"/>
          <w:sz w:val="24"/>
          <w:szCs w:val="24"/>
          <w:lang w:val="vi-VN"/>
        </w:rPr>
        <w:t>(2012) and</w:t>
      </w:r>
      <w:r w:rsidRPr="002100AE">
        <w:rPr>
          <w:rFonts w:asciiTheme="majorBidi" w:hAnsiTheme="majorBidi" w:cstheme="majorBidi"/>
          <w:sz w:val="24"/>
          <w:szCs w:val="24"/>
          <w:lang w:val="vi-VN"/>
        </w:rPr>
        <w:t xml:space="preserve"> Yu and Wu (2018).</w:t>
      </w:r>
    </w:p>
    <w:p w14:paraId="5469F966" w14:textId="03BC1B1C" w:rsidR="002B27BE" w:rsidRPr="002100AE" w:rsidRDefault="002B27BE"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 xml:space="preserve">Cluster 3 (light blue) appears on the left, below Figure </w:t>
      </w:r>
      <w:r w:rsidR="00E95596" w:rsidRPr="002100AE">
        <w:rPr>
          <w:rFonts w:asciiTheme="majorBidi" w:hAnsiTheme="majorBidi" w:cstheme="majorBidi"/>
          <w:sz w:val="24"/>
          <w:szCs w:val="24"/>
          <w:lang w:val="vi-VN"/>
        </w:rPr>
        <w:t>4</w:t>
      </w:r>
      <w:r w:rsidRPr="002100AE">
        <w:rPr>
          <w:rFonts w:asciiTheme="majorBidi" w:hAnsiTheme="majorBidi" w:cstheme="majorBidi"/>
          <w:sz w:val="24"/>
          <w:szCs w:val="24"/>
          <w:lang w:val="vi-VN"/>
        </w:rPr>
        <w:t xml:space="preserve">, using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appraisal theory</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as the central keyword and showing prominent links to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argumentative essays</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and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legal translation.</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This cluster represents a line of inquiry centered on analyzing texts for specific discourse purposes, particularly argumentative essays and legal translation. Representative authors include Cheung and Low (2019) and Geng et al. (2024).</w:t>
      </w:r>
    </w:p>
    <w:p w14:paraId="78D0ABC4" w14:textId="221304C9" w:rsidR="002B27BE" w:rsidRPr="002100AE" w:rsidRDefault="002B27BE"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 xml:space="preserve">Cluster 4 (red) is located at the bottom of Figure </w:t>
      </w:r>
      <w:r w:rsidR="00E95596" w:rsidRPr="002100AE">
        <w:rPr>
          <w:rFonts w:asciiTheme="majorBidi" w:hAnsiTheme="majorBidi" w:cstheme="majorBidi"/>
          <w:sz w:val="24"/>
          <w:szCs w:val="24"/>
          <w:lang w:val="vi-VN"/>
        </w:rPr>
        <w:t>4</w:t>
      </w:r>
      <w:r w:rsidRPr="002100AE">
        <w:rPr>
          <w:rFonts w:asciiTheme="majorBidi" w:hAnsiTheme="majorBidi" w:cstheme="majorBidi"/>
          <w:sz w:val="24"/>
          <w:szCs w:val="24"/>
          <w:lang w:val="vi-VN"/>
        </w:rPr>
        <w:t xml:space="preserve">, with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Systemic Functional Linguistics</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as the central keyword. It is linked to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disciplinary writing,</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stance,</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corpus analysis,</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academic discourse,</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and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engagement resources.</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This trend emphasizes investigating interpersonal relations in academic texts and connecting such insights to discipline-specific writing practices. Representative studies include Reznicek-Parrado et al. (2018) and Cederholm (2026).</w:t>
      </w:r>
    </w:p>
    <w:p w14:paraId="6D24A4FF" w14:textId="02CB02F8" w:rsidR="00AD18C5" w:rsidRPr="002100AE" w:rsidRDefault="002B27BE"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 xml:space="preserve">Cluster 5 (purple) is situated on the right side of Figure </w:t>
      </w:r>
      <w:r w:rsidR="00E95596" w:rsidRPr="002100AE">
        <w:rPr>
          <w:rFonts w:asciiTheme="majorBidi" w:hAnsiTheme="majorBidi" w:cstheme="majorBidi"/>
          <w:sz w:val="24"/>
          <w:szCs w:val="24"/>
          <w:lang w:val="vi-VN"/>
        </w:rPr>
        <w:t>4</w:t>
      </w:r>
      <w:r w:rsidRPr="002100AE">
        <w:rPr>
          <w:rFonts w:asciiTheme="majorBidi" w:hAnsiTheme="majorBidi" w:cstheme="majorBidi"/>
          <w:sz w:val="24"/>
          <w:szCs w:val="24"/>
          <w:lang w:val="vi-VN"/>
        </w:rPr>
        <w:t xml:space="preserve">. With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appraisal framework</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as the central keyword, it connects to </w:t>
      </w:r>
      <w:r w:rsidR="00C40C65" w:rsidRPr="002100AE">
        <w:rPr>
          <w:rFonts w:asciiTheme="majorBidi" w:hAnsiTheme="majorBidi" w:cstheme="majorBidi"/>
          <w:sz w:val="24"/>
          <w:szCs w:val="24"/>
          <w:lang w:val="vi-VN"/>
        </w:rPr>
        <w:t>“classroom</w:t>
      </w:r>
      <w:r w:rsidRPr="002100AE">
        <w:rPr>
          <w:rFonts w:asciiTheme="majorBidi" w:hAnsiTheme="majorBidi" w:cstheme="majorBidi"/>
          <w:sz w:val="24"/>
          <w:szCs w:val="24"/>
          <w:lang w:val="vi-VN"/>
        </w:rPr>
        <w:t xml:space="preserve"> discourse and evaluative language.</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This cluster suggests growing interest in analyzing classroom discourse and evaluative language in educational settings. Representative authors include Cavanna et al. (2015) and Myskow (2018).</w:t>
      </w:r>
    </w:p>
    <w:p w14:paraId="16CA0C93" w14:textId="46B552EE" w:rsidR="00AD18C5" w:rsidRPr="002100AE" w:rsidRDefault="002B27BE" w:rsidP="00F675E2">
      <w:pPr>
        <w:spacing w:before="0" w:after="120" w:line="480" w:lineRule="auto"/>
        <w:rPr>
          <w:rFonts w:asciiTheme="majorBidi" w:hAnsiTheme="majorBidi" w:cstheme="majorBidi"/>
          <w:b/>
          <w:bCs/>
          <w:sz w:val="24"/>
          <w:szCs w:val="24"/>
          <w:lang w:val="vi-VN"/>
        </w:rPr>
      </w:pPr>
      <w:r w:rsidRPr="002100AE">
        <w:rPr>
          <w:rFonts w:asciiTheme="majorBidi" w:hAnsiTheme="majorBidi" w:cstheme="majorBidi"/>
          <w:sz w:val="24"/>
          <w:szCs w:val="24"/>
          <w:lang w:val="vi-VN"/>
        </w:rPr>
        <w:lastRenderedPageBreak/>
        <w:t xml:space="preserve">Cluster 6 (sky blue) is also located on the right side of Figure </w:t>
      </w:r>
      <w:r w:rsidR="00E95596" w:rsidRPr="002100AE">
        <w:rPr>
          <w:rFonts w:asciiTheme="majorBidi" w:hAnsiTheme="majorBidi" w:cstheme="majorBidi"/>
          <w:sz w:val="24"/>
          <w:szCs w:val="24"/>
          <w:lang w:val="vi-VN"/>
        </w:rPr>
        <w:t>4</w:t>
      </w:r>
      <w:r w:rsidRPr="002100AE">
        <w:rPr>
          <w:rFonts w:asciiTheme="majorBidi" w:hAnsiTheme="majorBidi" w:cstheme="majorBidi"/>
          <w:sz w:val="24"/>
          <w:szCs w:val="24"/>
          <w:lang w:val="vi-VN"/>
        </w:rPr>
        <w:t xml:space="preserve">, taking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argumentative writing</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as the central keyword and linking to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graduation resource</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and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appraisal system.</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The principal research direction in this cluster concerns the analysis of </w:t>
      </w:r>
      <w:r w:rsidR="00C40C65" w:rsidRPr="002100AE">
        <w:rPr>
          <w:rFonts w:asciiTheme="majorBidi" w:hAnsiTheme="majorBidi" w:cstheme="majorBidi"/>
          <w:sz w:val="24"/>
          <w:szCs w:val="24"/>
          <w:lang w:val="vi-VN"/>
        </w:rPr>
        <w:t>g</w:t>
      </w:r>
      <w:r w:rsidRPr="002100AE">
        <w:rPr>
          <w:rFonts w:asciiTheme="majorBidi" w:hAnsiTheme="majorBidi" w:cstheme="majorBidi"/>
          <w:sz w:val="24"/>
          <w:szCs w:val="24"/>
          <w:lang w:val="vi-VN"/>
        </w:rPr>
        <w:t xml:space="preserve">raduation in texts intended for argumentative writing. Representative scholars include Yang (2016) and Vo and </w:t>
      </w:r>
      <w:r w:rsidR="001A67FD" w:rsidRPr="002100AE">
        <w:rPr>
          <w:rFonts w:asciiTheme="majorBidi" w:hAnsiTheme="majorBidi" w:cstheme="majorBidi"/>
          <w:sz w:val="24"/>
          <w:szCs w:val="24"/>
          <w:lang w:val="vi-VN"/>
        </w:rPr>
        <w:t>Viet</w:t>
      </w:r>
      <w:r w:rsidRPr="002100AE">
        <w:rPr>
          <w:rFonts w:asciiTheme="majorBidi" w:hAnsiTheme="majorBidi" w:cstheme="majorBidi"/>
          <w:sz w:val="24"/>
          <w:szCs w:val="24"/>
          <w:lang w:val="vi-VN"/>
        </w:rPr>
        <w:t xml:space="preserve"> (2025).</w:t>
      </w:r>
      <w:r w:rsidR="00AD18C5" w:rsidRPr="002100AE">
        <w:rPr>
          <w:rFonts w:asciiTheme="majorBidi" w:hAnsiTheme="majorBidi" w:cstheme="majorBidi"/>
          <w:b/>
          <w:bCs/>
          <w:sz w:val="24"/>
          <w:szCs w:val="24"/>
        </w:rPr>
        <w:t xml:space="preserve"> </w:t>
      </w:r>
    </w:p>
    <w:p w14:paraId="3A496315" w14:textId="780945DC" w:rsidR="00AD18C5" w:rsidRPr="002100AE" w:rsidRDefault="00AD18C5" w:rsidP="00AD18C5">
      <w:pPr>
        <w:pStyle w:val="RALs-FigureCaption"/>
        <w:keepLines/>
        <w:ind w:right="380"/>
        <w:jc w:val="left"/>
        <w:rPr>
          <w:rFonts w:asciiTheme="majorBidi" w:hAnsiTheme="majorBidi" w:cstheme="majorBidi"/>
          <w:b/>
          <w:bCs/>
          <w:sz w:val="24"/>
          <w:szCs w:val="24"/>
          <w:lang w:val="vi-VN"/>
        </w:rPr>
      </w:pPr>
      <w:r w:rsidRPr="002100AE">
        <w:rPr>
          <w:rFonts w:asciiTheme="majorBidi" w:hAnsiTheme="majorBidi" w:cstheme="majorBidi"/>
          <w:b/>
          <w:bCs/>
          <w:sz w:val="24"/>
          <w:szCs w:val="24"/>
        </w:rPr>
        <w:t>Figure 4</w:t>
      </w:r>
    </w:p>
    <w:p w14:paraId="2C6AF75E" w14:textId="77777777" w:rsidR="00AD18C5" w:rsidRPr="002100AE" w:rsidRDefault="00AD18C5" w:rsidP="00AD18C5">
      <w:pPr>
        <w:keepNext/>
        <w:keepLines/>
        <w:ind w:firstLine="0"/>
        <w:rPr>
          <w:rFonts w:asciiTheme="majorBidi" w:hAnsiTheme="majorBidi" w:cstheme="majorBidi"/>
          <w:i/>
          <w:iCs/>
          <w:sz w:val="24"/>
          <w:szCs w:val="24"/>
          <w:lang w:val="vi-VN"/>
        </w:rPr>
      </w:pPr>
      <w:r w:rsidRPr="002100AE">
        <w:rPr>
          <w:rFonts w:asciiTheme="majorBidi" w:hAnsiTheme="majorBidi" w:cstheme="majorBidi"/>
          <w:i/>
          <w:iCs/>
          <w:sz w:val="24"/>
          <w:szCs w:val="24"/>
        </w:rPr>
        <w:t>Dominant Trends of Appraisal Theory</w:t>
      </w:r>
    </w:p>
    <w:p w14:paraId="1EA0A9B7" w14:textId="77777777" w:rsidR="00AD18C5" w:rsidRPr="002100AE" w:rsidRDefault="00AD18C5" w:rsidP="00AD18C5">
      <w:pPr>
        <w:keepNext/>
        <w:keepLines/>
        <w:ind w:firstLine="0"/>
        <w:jc w:val="center"/>
        <w:rPr>
          <w:lang w:val="vi-VN"/>
        </w:rPr>
      </w:pPr>
      <w:r w:rsidRPr="002100AE">
        <w:rPr>
          <w:noProof/>
          <w:lang w:eastAsia="ja-JP"/>
        </w:rPr>
        <w:drawing>
          <wp:inline distT="0" distB="0" distL="0" distR="0" wp14:anchorId="314D8E61" wp14:editId="2FD47A52">
            <wp:extent cx="5229554" cy="38404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twor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29554" cy="3840480"/>
                    </a:xfrm>
                    <a:prstGeom prst="rect">
                      <a:avLst/>
                    </a:prstGeom>
                  </pic:spPr>
                </pic:pic>
              </a:graphicData>
            </a:graphic>
          </wp:inline>
        </w:drawing>
      </w:r>
    </w:p>
    <w:p w14:paraId="12A5606C" w14:textId="4484E8BC" w:rsidR="002B27BE" w:rsidRPr="002100AE" w:rsidRDefault="002B27BE" w:rsidP="00F675E2">
      <w:pPr>
        <w:pStyle w:val="RALs-Heading3"/>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rPr>
        <w:t xml:space="preserve">4.3.2. New research trends in the last five </w:t>
      </w:r>
      <w:r w:rsidR="00A40310" w:rsidRPr="002100AE">
        <w:rPr>
          <w:rFonts w:asciiTheme="majorBidi" w:hAnsiTheme="majorBidi" w:cstheme="majorBidi"/>
          <w:sz w:val="24"/>
          <w:szCs w:val="24"/>
          <w:lang w:val="vi-VN"/>
        </w:rPr>
        <w:t>years</w:t>
      </w:r>
    </w:p>
    <w:p w14:paraId="09DD2059" w14:textId="1B6B4384" w:rsidR="002B27BE" w:rsidRPr="002100AE" w:rsidRDefault="002B27BE"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 xml:space="preserve">Figure </w:t>
      </w:r>
      <w:r w:rsidR="00E95596" w:rsidRPr="002100AE">
        <w:rPr>
          <w:rFonts w:asciiTheme="majorBidi" w:hAnsiTheme="majorBidi" w:cstheme="majorBidi"/>
          <w:sz w:val="24"/>
          <w:szCs w:val="24"/>
          <w:lang w:val="vi-VN"/>
        </w:rPr>
        <w:t>5</w:t>
      </w:r>
      <w:r w:rsidRPr="002100AE">
        <w:rPr>
          <w:rFonts w:asciiTheme="majorBidi" w:hAnsiTheme="majorBidi" w:cstheme="majorBidi"/>
          <w:sz w:val="24"/>
          <w:szCs w:val="24"/>
          <w:lang w:val="vi-VN"/>
        </w:rPr>
        <w:t xml:space="preserve"> synthesizes prominent research trends observed over the past five years. The keywords highlighted in bright yellow—L2 writing, higher education, argumentative writings, graduation resources, engagement, and stance—are highly concentrated, indicating that recent studies have largely focused on leveraging appraisal resources, particularly engagement and graduation, to address core issues closely related to writing instruction at the university level. These findings also demonstrate the applicability of appraisal theory in higher education </w:t>
      </w:r>
      <w:r w:rsidRPr="002100AE">
        <w:rPr>
          <w:rFonts w:asciiTheme="majorBidi" w:hAnsiTheme="majorBidi" w:cstheme="majorBidi"/>
          <w:sz w:val="24"/>
          <w:szCs w:val="24"/>
          <w:lang w:val="vi-VN"/>
        </w:rPr>
        <w:lastRenderedPageBreak/>
        <w:t>contexts, as evidenced by representative studies such as Cederholm (2026), Hutasuhut et al. (2023), and Ilić (2022).</w:t>
      </w:r>
    </w:p>
    <w:p w14:paraId="19049E97" w14:textId="17C96088" w:rsidR="00D02C31" w:rsidRPr="002100AE" w:rsidRDefault="00D02C31" w:rsidP="00AD18C5">
      <w:pPr>
        <w:pStyle w:val="RALs-FigureCaption"/>
        <w:keepLines/>
        <w:ind w:right="380"/>
        <w:jc w:val="left"/>
        <w:rPr>
          <w:rFonts w:asciiTheme="majorBidi" w:hAnsiTheme="majorBidi" w:cstheme="majorBidi"/>
          <w:b/>
          <w:bCs/>
          <w:sz w:val="24"/>
          <w:szCs w:val="24"/>
          <w:lang w:val="vi-VN"/>
        </w:rPr>
      </w:pPr>
      <w:r w:rsidRPr="002100AE">
        <w:rPr>
          <w:rFonts w:asciiTheme="majorBidi" w:hAnsiTheme="majorBidi" w:cstheme="majorBidi"/>
          <w:b/>
          <w:bCs/>
          <w:sz w:val="24"/>
          <w:szCs w:val="24"/>
        </w:rPr>
        <w:t>Figure 5</w:t>
      </w:r>
    </w:p>
    <w:p w14:paraId="0215D350" w14:textId="0B7F5C9C" w:rsidR="00A40310" w:rsidRPr="002100AE" w:rsidRDefault="00A40310" w:rsidP="00AD18C5">
      <w:pPr>
        <w:keepNext/>
        <w:keepLines/>
        <w:ind w:firstLine="0"/>
        <w:rPr>
          <w:rFonts w:asciiTheme="majorBidi" w:hAnsiTheme="majorBidi" w:cstheme="majorBidi"/>
          <w:i/>
          <w:iCs/>
          <w:sz w:val="24"/>
          <w:szCs w:val="24"/>
          <w:lang w:val="vi-VN"/>
        </w:rPr>
      </w:pPr>
      <w:r w:rsidRPr="002100AE">
        <w:rPr>
          <w:rFonts w:asciiTheme="majorBidi" w:hAnsiTheme="majorBidi" w:cstheme="majorBidi"/>
          <w:i/>
          <w:iCs/>
          <w:sz w:val="24"/>
          <w:szCs w:val="24"/>
        </w:rPr>
        <w:t>New research trends in Appraisal Theory</w:t>
      </w:r>
      <w:r w:rsidRPr="002100AE">
        <w:t xml:space="preserve"> o</w:t>
      </w:r>
      <w:r w:rsidRPr="002100AE">
        <w:rPr>
          <w:rFonts w:asciiTheme="majorBidi" w:hAnsiTheme="majorBidi" w:cstheme="majorBidi"/>
          <w:i/>
          <w:iCs/>
          <w:sz w:val="24"/>
          <w:szCs w:val="24"/>
        </w:rPr>
        <w:t>ver the last five years</w:t>
      </w:r>
    </w:p>
    <w:p w14:paraId="69591496" w14:textId="6DA58615" w:rsidR="002B27BE" w:rsidRPr="002100AE" w:rsidRDefault="002B27BE" w:rsidP="00AD18C5">
      <w:pPr>
        <w:keepNext/>
        <w:keepLines/>
        <w:ind w:firstLine="0"/>
        <w:jc w:val="center"/>
        <w:rPr>
          <w:rFonts w:asciiTheme="majorBidi" w:hAnsiTheme="majorBidi" w:cstheme="majorBidi"/>
          <w:sz w:val="24"/>
          <w:szCs w:val="24"/>
          <w:lang w:val="vi-VN"/>
        </w:rPr>
      </w:pPr>
      <w:r w:rsidRPr="002100AE">
        <w:rPr>
          <w:noProof/>
          <w:lang w:eastAsia="ja-JP"/>
        </w:rPr>
        <w:drawing>
          <wp:inline distT="0" distB="0" distL="0" distR="0" wp14:anchorId="14974AF8" wp14:editId="190A00FC">
            <wp:extent cx="5229555" cy="3840480"/>
            <wp:effectExtent l="0" t="0" r="952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Verla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29555" cy="3840480"/>
                    </a:xfrm>
                    <a:prstGeom prst="rect">
                      <a:avLst/>
                    </a:prstGeom>
                  </pic:spPr>
                </pic:pic>
              </a:graphicData>
            </a:graphic>
          </wp:inline>
        </w:drawing>
      </w:r>
    </w:p>
    <w:p w14:paraId="77991FA2" w14:textId="12A9DA7B" w:rsidR="002B27BE" w:rsidRPr="002100AE" w:rsidRDefault="002B27BE" w:rsidP="00F675E2">
      <w:pPr>
        <w:pStyle w:val="RALs-Heading3"/>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rPr>
        <w:t>4.3.3. Trend Capturing Scholarly Attention</w:t>
      </w:r>
    </w:p>
    <w:p w14:paraId="4EDFDD4A" w14:textId="77777777" w:rsidR="002B27BE" w:rsidRPr="002100AE" w:rsidRDefault="002B27BE"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Structurally, within the appraisal theory framework, the keywords highlighted in dark yellow operate as central nodes and maintain direct linkages with the associated research content. Specifically, most studies in this cluster foreground appraisal and appraisal theory. Moreover, among the key terms, academic writing and argumentative writing exhibit comparatively high density, suggesting that these represent the two most distinctly emphasized research directions. This pattern implies that scholars prioritize using appraisal theory to explain and analyze linguistic phenomena related to the construction of academic texts, while also using such insights to inform the design of teaching and learning activities aligned with writing objectives.</w:t>
      </w:r>
    </w:p>
    <w:p w14:paraId="268CA55D" w14:textId="61F19B34" w:rsidR="00A40310" w:rsidRPr="002100AE" w:rsidRDefault="00A40310" w:rsidP="00AD18C5">
      <w:pPr>
        <w:pStyle w:val="RALs-FigureCaption"/>
        <w:keepLines/>
        <w:ind w:right="380"/>
        <w:jc w:val="left"/>
        <w:rPr>
          <w:rFonts w:asciiTheme="majorBidi" w:hAnsiTheme="majorBidi" w:cstheme="majorBidi"/>
          <w:b/>
          <w:bCs/>
          <w:sz w:val="24"/>
          <w:szCs w:val="24"/>
          <w:lang w:val="vi-VN"/>
        </w:rPr>
      </w:pPr>
      <w:r w:rsidRPr="002100AE">
        <w:rPr>
          <w:rFonts w:asciiTheme="majorBidi" w:hAnsiTheme="majorBidi" w:cstheme="majorBidi"/>
          <w:b/>
          <w:bCs/>
          <w:sz w:val="24"/>
          <w:szCs w:val="24"/>
        </w:rPr>
        <w:lastRenderedPageBreak/>
        <w:t>Figure 6</w:t>
      </w:r>
    </w:p>
    <w:p w14:paraId="06D30F65" w14:textId="77777777" w:rsidR="00A40310" w:rsidRPr="002100AE" w:rsidRDefault="00A40310" w:rsidP="00AD18C5">
      <w:pPr>
        <w:keepNext/>
        <w:keepLines/>
        <w:ind w:firstLine="0"/>
        <w:rPr>
          <w:rFonts w:asciiTheme="majorBidi" w:hAnsiTheme="majorBidi" w:cstheme="majorBidi"/>
          <w:i/>
          <w:iCs/>
          <w:sz w:val="24"/>
          <w:szCs w:val="24"/>
          <w:lang w:val="vi-VN"/>
        </w:rPr>
      </w:pPr>
      <w:r w:rsidRPr="002100AE">
        <w:rPr>
          <w:rFonts w:asciiTheme="majorBidi" w:hAnsiTheme="majorBidi" w:cstheme="majorBidi"/>
          <w:i/>
          <w:iCs/>
          <w:sz w:val="24"/>
          <w:szCs w:val="24"/>
        </w:rPr>
        <w:t xml:space="preserve">Trends Capturing Scholarly Attention in Appraisal Theory </w:t>
      </w:r>
    </w:p>
    <w:p w14:paraId="7D392CD5" w14:textId="7AA77F7E" w:rsidR="002B27BE" w:rsidRPr="002100AE" w:rsidRDefault="002B27BE" w:rsidP="00AD18C5">
      <w:pPr>
        <w:keepNext/>
        <w:keepLines/>
        <w:ind w:firstLine="0"/>
        <w:jc w:val="center"/>
        <w:rPr>
          <w:rFonts w:asciiTheme="majorBidi" w:hAnsiTheme="majorBidi" w:cstheme="majorBidi"/>
          <w:sz w:val="24"/>
          <w:szCs w:val="24"/>
          <w:lang w:val="vi-VN"/>
        </w:rPr>
      </w:pPr>
      <w:r w:rsidRPr="002100AE">
        <w:rPr>
          <w:noProof/>
          <w:lang w:eastAsia="ja-JP"/>
        </w:rPr>
        <w:drawing>
          <wp:inline distT="0" distB="0" distL="0" distR="0" wp14:anchorId="3B889C4C" wp14:editId="09C43D7A">
            <wp:extent cx="5603093" cy="411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nsity.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03093" cy="4114800"/>
                    </a:xfrm>
                    <a:prstGeom prst="rect">
                      <a:avLst/>
                    </a:prstGeom>
                  </pic:spPr>
                </pic:pic>
              </a:graphicData>
            </a:graphic>
          </wp:inline>
        </w:drawing>
      </w:r>
    </w:p>
    <w:p w14:paraId="1CE1D146" w14:textId="0ABBBA72" w:rsidR="002B27BE" w:rsidRPr="002100AE" w:rsidRDefault="002B27BE"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 xml:space="preserve"> Overall, Figure </w:t>
      </w:r>
      <w:r w:rsidR="00E95596" w:rsidRPr="002100AE">
        <w:rPr>
          <w:rFonts w:asciiTheme="majorBidi" w:hAnsiTheme="majorBidi" w:cstheme="majorBidi"/>
          <w:sz w:val="24"/>
          <w:szCs w:val="24"/>
          <w:lang w:val="vi-VN"/>
        </w:rPr>
        <w:t>6</w:t>
      </w:r>
      <w:r w:rsidRPr="002100AE">
        <w:rPr>
          <w:rFonts w:asciiTheme="majorBidi" w:hAnsiTheme="majorBidi" w:cstheme="majorBidi"/>
          <w:sz w:val="24"/>
          <w:szCs w:val="24"/>
          <w:lang w:val="vi-VN"/>
        </w:rPr>
        <w:t xml:space="preserve"> suggests that the effectiveness of appraisal theory for teaching writing skills has been widely recognized in recent scholarship, as reflected in studies such as Ndoricimpa and Barad (2024) and Li (2025).</w:t>
      </w:r>
    </w:p>
    <w:p w14:paraId="77AB1779" w14:textId="107C30E4" w:rsidR="002B27BE" w:rsidRPr="002100AE" w:rsidRDefault="002B27BE" w:rsidP="00F675E2">
      <w:pPr>
        <w:pStyle w:val="RALs-Heading2"/>
        <w:spacing w:before="0" w:after="120" w:line="480" w:lineRule="auto"/>
        <w:rPr>
          <w:rFonts w:asciiTheme="majorBidi" w:hAnsiTheme="majorBidi" w:cstheme="majorBidi"/>
          <w:sz w:val="24"/>
          <w:szCs w:val="24"/>
        </w:rPr>
      </w:pPr>
      <w:r w:rsidRPr="002100AE">
        <w:rPr>
          <w:rFonts w:asciiTheme="majorBidi" w:hAnsiTheme="majorBidi" w:cstheme="majorBidi"/>
          <w:sz w:val="24"/>
          <w:szCs w:val="24"/>
        </w:rPr>
        <w:t>4.4. Discussion on the Feasibility of Appraisal Theory in ESL Teaching in Vietnam</w:t>
      </w:r>
    </w:p>
    <w:p w14:paraId="574B53F8" w14:textId="77777777" w:rsidR="002B27BE" w:rsidRPr="002100AE" w:rsidRDefault="002B27BE" w:rsidP="00F675E2">
      <w:pPr>
        <w:spacing w:before="0" w:after="120" w:line="480" w:lineRule="auto"/>
        <w:rPr>
          <w:rFonts w:asciiTheme="majorBidi" w:hAnsiTheme="majorBidi" w:cstheme="majorBidi"/>
          <w:sz w:val="24"/>
          <w:szCs w:val="24"/>
          <w:lang w:val="vi-VN"/>
        </w:rPr>
      </w:pPr>
      <w:bookmarkStart w:id="1" w:name="_Hlk233905798"/>
      <w:r w:rsidRPr="002100AE">
        <w:rPr>
          <w:rFonts w:asciiTheme="majorBidi" w:hAnsiTheme="majorBidi" w:cstheme="majorBidi"/>
          <w:sz w:val="24"/>
          <w:szCs w:val="24"/>
          <w:lang w:val="vi-VN"/>
        </w:rPr>
        <w:t>In spite of a strong position in linguistics, the application of Appraisal Theory to English as a Language (ELT) teaching in Vietnam remains a potential gap that has not been adequately explored. However, recent studies have been proving the feasibility and high practical value of this theory in complementing the academic competence of Vietnamese learners.</w:t>
      </w:r>
    </w:p>
    <w:bookmarkEnd w:id="1"/>
    <w:p w14:paraId="7FE1448E" w14:textId="77777777" w:rsidR="002B27BE" w:rsidRPr="002100AE" w:rsidRDefault="002B27BE"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 xml:space="preserve">Indeed, Appraisal Theory has indicated its power in contouring 'writers’ authorial voice' which is believed to be a key element of academic discourse. Vo and Viet (2025) inspected the use of Graduation resources in TESOL master's theses by Vietnamese EFL learners. This </w:t>
      </w:r>
      <w:r w:rsidRPr="002100AE">
        <w:rPr>
          <w:rFonts w:asciiTheme="majorBidi" w:hAnsiTheme="majorBidi" w:cstheme="majorBidi"/>
          <w:sz w:val="24"/>
          <w:szCs w:val="24"/>
          <w:lang w:val="vi-VN"/>
        </w:rPr>
        <w:lastRenderedPageBreak/>
        <w:t>research confirms the essential role of instructions in Appraisal Theory for helping students manage professional and persuasive academic voice. Similarly, Chung and Crosthwaite (2026), found significant differences in the expression of attitudes between native English speakers and Vietnamese learners who use English as second language. The fact that the latter often express themselves too directly but lack diversity in their choice of assessment language. This demonstrates that Appraisal Theory is necessary for teachers to guide learners in conveying attitudes subtly and for examiners to more accurately assess academic stances.</w:t>
      </w:r>
    </w:p>
    <w:p w14:paraId="000FF845" w14:textId="77777777" w:rsidR="002B27BE" w:rsidRPr="002100AE" w:rsidRDefault="002B27BE"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Apart from written texts, the elasticity of Appraisal Theory is also displayed in studies of spoken discourse. Ngo and Unsworth (2015) suggested powerful clarifications to the Attitude system based on group discussion data from graduate students in both English and Vietnamese. These improvements enrich the theoretical framework and at the same time provide valuable learning resources to enhance the effectiveness of expressing students' positions in multilingual contexts.</w:t>
      </w:r>
    </w:p>
    <w:p w14:paraId="7FB42C21" w14:textId="77777777" w:rsidR="002B27BE" w:rsidRPr="002100AE" w:rsidRDefault="002B27BE"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In addition to the desired results brought about for language learning, especially for teaching English as second language, this theory can be used as a dynamic accompanying framework to evaluate learners' perceptions of technology support in education. Ngan and Le (2025) delivered a study adopting Appraisal Theory. Their paper explores the awareness of 450 students and 12 teachers about the use of Google Translate. The results of this study bring up penetrating perspectives for policymakers on the role of technology. In addition, they confirm that Appraisal Theory is a functional tool capable of comprehensively improving the teaching and learning of foreign languages by understanding attitudes and promoting ethical technology use.</w:t>
      </w:r>
    </w:p>
    <w:p w14:paraId="71E964DB" w14:textId="2AB15E0A" w:rsidR="006A0AE2" w:rsidRPr="002100AE" w:rsidRDefault="002B27BE"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 xml:space="preserve">Although the application of Appraisal Theory appeared not to arouse much attention from researchers in Vietnam, the aforementioned studies have soundly established its implication in both general linguistics and teaching English as a Second Language (ESL). In </w:t>
      </w:r>
      <w:r w:rsidRPr="002100AE">
        <w:rPr>
          <w:rFonts w:asciiTheme="majorBidi" w:hAnsiTheme="majorBidi" w:cstheme="majorBidi"/>
          <w:sz w:val="24"/>
          <w:szCs w:val="24"/>
          <w:lang w:val="vi-VN"/>
        </w:rPr>
        <w:lastRenderedPageBreak/>
        <w:t xml:space="preserve">short, the practicality of Appraisal Theory extends a broad range of academic needs—from decoding the complexities of argumentative writing and spoken discourse to evaluating user perceptions of emerging educational technologies. This implication proves that the framework is a descriptive linguistic tool and it also offers a practical, far-reaching methodology for classroom variation. As educators and researchers have had a shift to more communicative and evaluative-based instruction, Appraisal Theory has been becoming a central part in the modernization of English language teaching in Vietnam. Its adoption assures the prospect that learners are able to employ the </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evaluative literacy</w:t>
      </w:r>
      <w:r w:rsidR="00E95596" w:rsidRPr="002100AE">
        <w:rPr>
          <w:rFonts w:asciiTheme="majorBidi" w:hAnsiTheme="majorBidi" w:cstheme="majorBidi"/>
          <w:sz w:val="24"/>
          <w:szCs w:val="24"/>
          <w:lang w:val="vi-VN"/>
        </w:rPr>
        <w:t>”</w:t>
      </w:r>
      <w:r w:rsidRPr="002100AE">
        <w:rPr>
          <w:rFonts w:asciiTheme="majorBidi" w:hAnsiTheme="majorBidi" w:cstheme="majorBidi"/>
          <w:sz w:val="24"/>
          <w:szCs w:val="24"/>
          <w:lang w:val="vi-VN"/>
        </w:rPr>
        <w:t xml:space="preserve"> necessary to navigate the demands of global academic and professional discourse with confidence and precision.</w:t>
      </w:r>
    </w:p>
    <w:p w14:paraId="43C33D35" w14:textId="10FEA6FF" w:rsidR="002B27BE" w:rsidRPr="002100AE" w:rsidRDefault="002B27BE" w:rsidP="00F675E2">
      <w:pPr>
        <w:pStyle w:val="RALs-Heading1"/>
        <w:spacing w:before="0" w:after="120" w:line="480" w:lineRule="auto"/>
        <w:rPr>
          <w:rFonts w:asciiTheme="majorBidi" w:hAnsiTheme="majorBidi" w:cstheme="majorBidi"/>
          <w:sz w:val="24"/>
          <w:szCs w:val="24"/>
        </w:rPr>
      </w:pPr>
      <w:r w:rsidRPr="002100AE">
        <w:rPr>
          <w:rFonts w:asciiTheme="majorBidi" w:hAnsiTheme="majorBidi" w:cstheme="majorBidi"/>
          <w:sz w:val="24"/>
          <w:szCs w:val="24"/>
        </w:rPr>
        <w:t>5. Conclusion</w:t>
      </w:r>
    </w:p>
    <w:p w14:paraId="2804DBEA" w14:textId="77777777" w:rsidR="00FD6361" w:rsidRPr="002100AE" w:rsidRDefault="00FD6361" w:rsidP="00FD6361">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In this paper, we mapped the research landscape of applying Appraisal theory in language education by examining publication development, research trends, and the feasibility of this theory within the context of Vietnam. Overall, the field has shown a clear recovery and growth trajectory: after 2020, publication numbers rebounded and continued to rise, reaching a second peak in 2024. In terms of international contributions, Australia leads the field by a wide margin over other countries. At the journal level, </w:t>
      </w:r>
      <w:r w:rsidRPr="002100AE">
        <w:rPr>
          <w:rFonts w:asciiTheme="majorBidi" w:hAnsiTheme="majorBidi" w:cstheme="majorBidi"/>
          <w:i/>
          <w:iCs/>
          <w:sz w:val="24"/>
          <w:szCs w:val="24"/>
          <w:lang w:val="vi-VN"/>
        </w:rPr>
        <w:t>Journal of English for Academic Purposes</w:t>
      </w:r>
      <w:r w:rsidRPr="002100AE">
        <w:rPr>
          <w:rFonts w:asciiTheme="majorBidi" w:hAnsiTheme="majorBidi" w:cstheme="majorBidi"/>
          <w:sz w:val="24"/>
          <w:szCs w:val="24"/>
          <w:lang w:val="vi-VN"/>
        </w:rPr>
        <w:t> and </w:t>
      </w:r>
      <w:r w:rsidRPr="002100AE">
        <w:rPr>
          <w:rFonts w:asciiTheme="majorBidi" w:hAnsiTheme="majorBidi" w:cstheme="majorBidi"/>
          <w:i/>
          <w:iCs/>
          <w:sz w:val="24"/>
          <w:szCs w:val="24"/>
          <w:lang w:val="vi-VN"/>
        </w:rPr>
        <w:t>Linguistics and Education</w:t>
      </w:r>
      <w:r w:rsidRPr="002100AE">
        <w:rPr>
          <w:rFonts w:asciiTheme="majorBidi" w:hAnsiTheme="majorBidi" w:cstheme="majorBidi"/>
          <w:sz w:val="24"/>
          <w:szCs w:val="24"/>
          <w:lang w:val="vi-VN"/>
        </w:rPr>
        <w:t> emerged as the two most prominent venues in this research area. The analysis of authorship impact further indicates that Yadan Li, Ana Llinares, and Ryan T. Miller are key contributors shaping scholarly influence in this domain, while Hood’s (2006) work remains the most cited and has exerted substantial impact on subsequent studies.</w:t>
      </w:r>
    </w:p>
    <w:p w14:paraId="5D75683D" w14:textId="77777777" w:rsidR="00FD6361" w:rsidRPr="002100AE" w:rsidRDefault="00FD6361" w:rsidP="00FD6361">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 xml:space="preserve">Beyond identifying major outlets, authors, and influential prior research, the present study also explored six prominent clusters related to the application of Appraisal theory to foreign language teaching. Importantly, the findings suggest that Appraisal Theory is increasingly becoming a central component in the modernization of English language teaching </w:t>
      </w:r>
      <w:r w:rsidRPr="002100AE">
        <w:rPr>
          <w:rFonts w:asciiTheme="majorBidi" w:hAnsiTheme="majorBidi" w:cstheme="majorBidi"/>
          <w:sz w:val="24"/>
          <w:szCs w:val="24"/>
          <w:lang w:val="vi-VN"/>
        </w:rPr>
        <w:lastRenderedPageBreak/>
        <w:t>in Vietnam, offering meaningful theoretical and practical value for advancing how language evaluation, interpersonal meaning, and textual stance can be analyzed and taught in educational settings.</w:t>
      </w:r>
    </w:p>
    <w:p w14:paraId="2D8E5BB8" w14:textId="6087643D" w:rsidR="00E95596" w:rsidRPr="002100AE" w:rsidRDefault="00E95596" w:rsidP="00F675E2">
      <w:pPr>
        <w:spacing w:before="0" w:after="120" w:line="480" w:lineRule="auto"/>
        <w:rPr>
          <w:rFonts w:asciiTheme="majorBidi" w:hAnsiTheme="majorBidi" w:cstheme="majorBidi"/>
          <w:sz w:val="24"/>
          <w:szCs w:val="24"/>
          <w:lang w:val="vi-VN"/>
        </w:rPr>
      </w:pPr>
      <w:r w:rsidRPr="002100AE">
        <w:rPr>
          <w:rFonts w:asciiTheme="majorBidi" w:hAnsiTheme="majorBidi" w:cstheme="majorBidi"/>
          <w:sz w:val="24"/>
          <w:szCs w:val="24"/>
          <w:lang w:val="vi-VN"/>
        </w:rPr>
        <w:t>Although bibliometric analysis enables the identification and generalization of research trends regarding the application of Appraisal Theory in foreign language education using Scopus data, this approach presents several limitations. First, the findings are highly contingent on the selection and frequency of keywords. Consequently, less common keywords—or terms not captured within the principal keyword cluster—may be underrepresented, which can distort estimates of the research community’s attention to particular topics (Zahra et al., 2021). In addition, newly published studies, especially exploratory work or research that has not yet attracted substantial citation uptake, may not be fully indexed in the database, resulting in gaps within the analytical dataset (Thelwall, 2018). These constraints are partly attributable to the indexing characteristics of bibliographic databases, particularly open-access data infrastructures.</w:t>
      </w:r>
    </w:p>
    <w:p w14:paraId="65770359" w14:textId="4961740A" w:rsidR="00E95596" w:rsidRDefault="00E95596" w:rsidP="00F675E2">
      <w:pPr>
        <w:spacing w:before="0" w:after="120" w:line="480" w:lineRule="auto"/>
        <w:rPr>
          <w:rFonts w:asciiTheme="majorBidi" w:hAnsiTheme="majorBidi" w:cstheme="majorBidi"/>
          <w:sz w:val="24"/>
          <w:szCs w:val="24"/>
          <w:lang w:val="vi-VN"/>
        </w:rPr>
      </w:pPr>
      <w:r w:rsidRPr="00E95596">
        <w:rPr>
          <w:rFonts w:asciiTheme="majorBidi" w:hAnsiTheme="majorBidi" w:cstheme="majorBidi"/>
          <w:sz w:val="24"/>
          <w:szCs w:val="24"/>
          <w:lang w:val="vi-VN"/>
        </w:rPr>
        <w:t>Second, restricting the analysis to a single database (e.g., Scopus) may limit the comprehensiveness of the study, as relevant publications are not always indexed within the same system. To mitigate these issues, future research should integrate multiple bibliographic sources and adopt complementary analytical methods. For example, time-series trend analysis and author-based citation network construction could be used alongside bibliometric indicators to provide a more nuanced and robust account of how the field has evolved over time. Collectively, these strategies would improve both the completeness and accuracy of the evidence regarding the development of this research area.</w:t>
      </w:r>
    </w:p>
    <w:p w14:paraId="466DF4AB" w14:textId="77777777" w:rsidR="00722EDE" w:rsidRPr="00E40940" w:rsidRDefault="00722EDE" w:rsidP="00D13835">
      <w:pPr>
        <w:pStyle w:val="RALs-Heading1"/>
        <w:pageBreakBefore/>
        <w:spacing w:before="0" w:after="120" w:line="360" w:lineRule="auto"/>
        <w:ind w:left="720" w:hanging="720"/>
        <w:jc w:val="both"/>
        <w:rPr>
          <w:rFonts w:asciiTheme="majorBidi" w:hAnsiTheme="majorBidi" w:cstheme="majorBidi"/>
          <w:sz w:val="24"/>
          <w:szCs w:val="24"/>
        </w:rPr>
      </w:pPr>
      <w:r w:rsidRPr="00E40940">
        <w:rPr>
          <w:rFonts w:asciiTheme="majorBidi" w:hAnsiTheme="majorBidi" w:cstheme="majorBidi"/>
          <w:sz w:val="24"/>
          <w:szCs w:val="24"/>
        </w:rPr>
        <w:lastRenderedPageBreak/>
        <w:t>References</w:t>
      </w:r>
    </w:p>
    <w:p w14:paraId="6A655295"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Adlington, R., O’Neill, K., Volpe, C. R., &amp; Harrington, I. (2024). Promoting a sense of belonging in university online learning: How and why initial teacher education students experience an increased sense of belonging. Australasian Journal of Educational Technology, 40(5), 84. </w:t>
      </w:r>
      <w:hyperlink r:id="rId14" w:history="1">
        <w:r w:rsidRPr="002100AE">
          <w:rPr>
            <w:rStyle w:val="Hyperlink"/>
            <w:rFonts w:asciiTheme="majorBidi" w:hAnsiTheme="majorBidi" w:cstheme="majorBidi"/>
            <w:sz w:val="24"/>
            <w:szCs w:val="24"/>
          </w:rPr>
          <w:t>https://doi.org/10.14742/ajet.9487</w:t>
        </w:r>
      </w:hyperlink>
    </w:p>
    <w:p w14:paraId="4C1E08D4" w14:textId="77777777" w:rsidR="002100AE" w:rsidRPr="002100AE" w:rsidRDefault="002100AE" w:rsidP="00D13835">
      <w:pPr>
        <w:pStyle w:val="RALs-ReferencesList"/>
        <w:spacing w:before="0" w:after="120" w:line="360" w:lineRule="auto"/>
        <w:ind w:left="720" w:hanging="720"/>
        <w:rPr>
          <w:sz w:val="24"/>
          <w:szCs w:val="24"/>
          <w:lang w:val="vi-VN"/>
        </w:rPr>
      </w:pPr>
      <w:r w:rsidRPr="002100AE">
        <w:rPr>
          <w:sz w:val="24"/>
          <w:szCs w:val="24"/>
        </w:rPr>
        <w:t>Aria, M., &amp; Cuccurullo, C. (2017). Bibliometrix: An R-tool for comprehensive science mapping analysis. </w:t>
      </w:r>
      <w:r w:rsidRPr="002100AE">
        <w:rPr>
          <w:i/>
          <w:iCs/>
          <w:sz w:val="24"/>
          <w:szCs w:val="24"/>
        </w:rPr>
        <w:t>Journal of Informetrics, 11</w:t>
      </w:r>
      <w:r w:rsidRPr="002100AE">
        <w:rPr>
          <w:sz w:val="24"/>
          <w:szCs w:val="24"/>
        </w:rPr>
        <w:t>(4), 959–975. </w:t>
      </w:r>
      <w:hyperlink r:id="rId15" w:tgtFrame="_blank" w:history="1">
        <w:r w:rsidRPr="002100AE">
          <w:rPr>
            <w:rStyle w:val="Hyperlink"/>
            <w:sz w:val="24"/>
            <w:szCs w:val="24"/>
          </w:rPr>
          <w:t>https://doi.org/10.1016/j.joi.2017.08.007</w:t>
        </w:r>
      </w:hyperlink>
    </w:p>
    <w:p w14:paraId="374579AB" w14:textId="77777777" w:rsidR="002100AE" w:rsidRPr="002100AE" w:rsidRDefault="002100AE" w:rsidP="00D13835">
      <w:pPr>
        <w:pStyle w:val="RALs-ReferencesList"/>
        <w:spacing w:before="0" w:after="120" w:line="360" w:lineRule="auto"/>
        <w:ind w:left="720" w:hanging="720"/>
        <w:rPr>
          <w:sz w:val="24"/>
          <w:szCs w:val="24"/>
          <w:lang w:val="vi-VN"/>
        </w:rPr>
      </w:pPr>
      <w:r w:rsidRPr="002100AE">
        <w:rPr>
          <w:sz w:val="24"/>
          <w:szCs w:val="24"/>
        </w:rPr>
        <w:t>Callon, M., Courtial, J.-P., Turner, W. A., &amp; Bauin, S. (1983). From translations to problematic networks: An introduction to co-word analysis. </w:t>
      </w:r>
      <w:r w:rsidRPr="002100AE">
        <w:rPr>
          <w:i/>
          <w:iCs/>
          <w:sz w:val="24"/>
          <w:szCs w:val="24"/>
        </w:rPr>
        <w:t>Information (International Social Science Council), 22</w:t>
      </w:r>
      <w:r w:rsidRPr="002100AE">
        <w:rPr>
          <w:sz w:val="24"/>
          <w:szCs w:val="24"/>
        </w:rPr>
        <w:t>(2), 191–235. </w:t>
      </w:r>
      <w:hyperlink r:id="rId16" w:tgtFrame="_blank" w:history="1">
        <w:r w:rsidRPr="002100AE">
          <w:rPr>
            <w:rStyle w:val="Hyperlink"/>
            <w:sz w:val="24"/>
            <w:szCs w:val="24"/>
          </w:rPr>
          <w:t>https://doi.org/10.1177/0306302483222002</w:t>
        </w:r>
      </w:hyperlink>
    </w:p>
    <w:p w14:paraId="7F5967FD"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rPr>
      </w:pPr>
      <w:r w:rsidRPr="002100AE">
        <w:rPr>
          <w:rFonts w:asciiTheme="majorBidi" w:hAnsiTheme="majorBidi" w:cstheme="majorBidi"/>
          <w:sz w:val="24"/>
          <w:szCs w:val="24"/>
        </w:rPr>
        <w:t>Caputo, A., Fiorentino, R., &amp; Garzella, S. (2019). From the boundaries of management to the management of boundaries: Business processes, capabilities, and negotiations. </w:t>
      </w:r>
      <w:r w:rsidRPr="002100AE">
        <w:rPr>
          <w:rFonts w:asciiTheme="majorBidi" w:hAnsiTheme="majorBidi" w:cstheme="majorBidi"/>
          <w:i/>
          <w:iCs/>
          <w:sz w:val="24"/>
          <w:szCs w:val="24"/>
        </w:rPr>
        <w:t>Business Process Management Journal, 25</w:t>
      </w:r>
      <w:r w:rsidRPr="002100AE">
        <w:rPr>
          <w:rFonts w:asciiTheme="majorBidi" w:hAnsiTheme="majorBidi" w:cstheme="majorBidi"/>
          <w:sz w:val="24"/>
          <w:szCs w:val="24"/>
        </w:rPr>
        <w:t>(3), 391–413. </w:t>
      </w:r>
      <w:hyperlink r:id="rId17" w:tgtFrame="_blank" w:history="1">
        <w:r w:rsidRPr="002100AE">
          <w:rPr>
            <w:rStyle w:val="Hyperlink"/>
            <w:rFonts w:asciiTheme="majorBidi" w:hAnsiTheme="majorBidi" w:cstheme="majorBidi"/>
            <w:sz w:val="24"/>
            <w:szCs w:val="24"/>
          </w:rPr>
          <w:t>https://doi.org/10.1108/BPMJ-08-2018-0256</w:t>
        </w:r>
      </w:hyperlink>
    </w:p>
    <w:p w14:paraId="23F75112"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355913">
        <w:rPr>
          <w:rFonts w:asciiTheme="majorBidi" w:hAnsiTheme="majorBidi" w:cstheme="majorBidi"/>
          <w:sz w:val="24"/>
          <w:szCs w:val="24"/>
        </w:rPr>
        <w:t xml:space="preserve">Cavanna, J. M., Herbel-Eisenmann, B., &amp; Seah, W. T. (2015). </w:t>
      </w:r>
      <w:r w:rsidRPr="002100AE">
        <w:rPr>
          <w:rFonts w:asciiTheme="majorBidi" w:hAnsiTheme="majorBidi" w:cstheme="majorBidi"/>
          <w:sz w:val="24"/>
          <w:szCs w:val="24"/>
        </w:rPr>
        <w:t xml:space="preserve">Investigating teachers’ appraisal of unexpected moments and underlying values: An exploratory case in the context of changing mathematics classroom discourse. Research in Mathematics Education, 17(3), 163–182. </w:t>
      </w:r>
      <w:hyperlink r:id="rId18" w:history="1">
        <w:r w:rsidRPr="002100AE">
          <w:rPr>
            <w:rStyle w:val="Hyperlink"/>
            <w:rFonts w:asciiTheme="majorBidi" w:hAnsiTheme="majorBidi" w:cstheme="majorBidi"/>
            <w:sz w:val="24"/>
            <w:szCs w:val="24"/>
          </w:rPr>
          <w:t>https://doi.org/10.1080/14794802.2015.1112301</w:t>
        </w:r>
      </w:hyperlink>
    </w:p>
    <w:p w14:paraId="61EDD244"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Cederholm, P. (2026). Explain and engage: Linguistic resources in Swedish as a second language textbooks to support academic writing. Language and Education, 40(2), 329–346. </w:t>
      </w:r>
      <w:hyperlink r:id="rId19" w:history="1">
        <w:r w:rsidRPr="002100AE">
          <w:rPr>
            <w:rStyle w:val="Hyperlink"/>
            <w:rFonts w:asciiTheme="majorBidi" w:hAnsiTheme="majorBidi" w:cstheme="majorBidi"/>
            <w:sz w:val="24"/>
            <w:szCs w:val="24"/>
          </w:rPr>
          <w:t>https://doi.org/10.1080/09500782.2025.2521432</w:t>
        </w:r>
      </w:hyperlink>
    </w:p>
    <w:p w14:paraId="7BA8536A"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Cheung, Y. L., &amp; Low, T. H. (2019). Pre-university students’ voice construction in argumentative essays. RELC Journal, 50(2), 269–284. </w:t>
      </w:r>
      <w:hyperlink r:id="rId20" w:history="1">
        <w:r w:rsidRPr="002100AE">
          <w:rPr>
            <w:rStyle w:val="Hyperlink"/>
            <w:rFonts w:asciiTheme="majorBidi" w:hAnsiTheme="majorBidi" w:cstheme="majorBidi"/>
            <w:sz w:val="24"/>
            <w:szCs w:val="24"/>
          </w:rPr>
          <w:t>https://doi.org/10.1177/0033688217716508</w:t>
        </w:r>
      </w:hyperlink>
    </w:p>
    <w:p w14:paraId="03950C1D"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Chung, T. T., &amp; Crosthwaite, P. R. (2026). Stance-taking through appraisal in L1 and L2 English argumentative essays: Insights from Vietnamese L2 English. IRAL - International Review of Applied Linguistics in Language Teaching, 64(1), 265–299. </w:t>
      </w:r>
      <w:hyperlink r:id="rId21" w:history="1">
        <w:r w:rsidRPr="002100AE">
          <w:rPr>
            <w:rStyle w:val="Hyperlink"/>
            <w:rFonts w:asciiTheme="majorBidi" w:hAnsiTheme="majorBidi" w:cstheme="majorBidi"/>
            <w:sz w:val="24"/>
            <w:szCs w:val="24"/>
          </w:rPr>
          <w:t>https://doi.org/10.1515/iral-2024-0079</w:t>
        </w:r>
      </w:hyperlink>
    </w:p>
    <w:p w14:paraId="07FE58BB"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Geng, Y., Chen, G., &amp; Li, M. (2024). Analyzing engagement strategies in argument chain: A comparison between high- and low-scoring EFL undergraduate argumentative essays. </w:t>
      </w:r>
      <w:r w:rsidRPr="002100AE">
        <w:rPr>
          <w:rFonts w:asciiTheme="majorBidi" w:hAnsiTheme="majorBidi" w:cstheme="majorBidi"/>
          <w:sz w:val="24"/>
          <w:szCs w:val="24"/>
        </w:rPr>
        <w:lastRenderedPageBreak/>
        <w:t xml:space="preserve">Journal of English for Academic Purposes, 71, Article 101428. </w:t>
      </w:r>
      <w:hyperlink r:id="rId22" w:history="1">
        <w:r w:rsidRPr="002100AE">
          <w:rPr>
            <w:rStyle w:val="Hyperlink"/>
            <w:rFonts w:asciiTheme="majorBidi" w:hAnsiTheme="majorBidi" w:cstheme="majorBidi"/>
            <w:sz w:val="24"/>
            <w:szCs w:val="24"/>
          </w:rPr>
          <w:t>https://doi.org/10.1016/j.jeap.2024.101428</w:t>
        </w:r>
      </w:hyperlink>
    </w:p>
    <w:p w14:paraId="439EA725"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Godoy-Echiburú, G., &amp; Flores-Calvo, L. (2025). Construction of dialogic stances in work written by students of literature teacher education in Uruguay. </w:t>
      </w:r>
      <w:r w:rsidRPr="002100AE">
        <w:rPr>
          <w:rFonts w:asciiTheme="majorBidi" w:hAnsiTheme="majorBidi" w:cstheme="majorBidi"/>
          <w:sz w:val="24"/>
          <w:szCs w:val="24"/>
          <w:lang w:val="nb-NO"/>
        </w:rPr>
        <w:t xml:space="preserve">Logos: Revista de Lingüística, Filosofía y Literatura, 35(2). </w:t>
      </w:r>
      <w:hyperlink r:id="rId23" w:history="1">
        <w:r w:rsidRPr="002100AE">
          <w:rPr>
            <w:rStyle w:val="Hyperlink"/>
            <w:rFonts w:asciiTheme="majorBidi" w:hAnsiTheme="majorBidi" w:cstheme="majorBidi"/>
            <w:sz w:val="24"/>
            <w:szCs w:val="24"/>
            <w:lang w:val="nb-NO"/>
          </w:rPr>
          <w:t>https://doi.org/10.15443/RL3550</w:t>
        </w:r>
      </w:hyperlink>
    </w:p>
    <w:p w14:paraId="387F0C89"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Halliday, M. A. K. (1994).</w:t>
      </w:r>
      <w:r w:rsidRPr="002100AE">
        <w:rPr>
          <w:rFonts w:asciiTheme="majorBidi" w:hAnsiTheme="majorBidi" w:cstheme="majorBidi"/>
          <w:sz w:val="24"/>
          <w:szCs w:val="24"/>
          <w:lang w:val="vi-VN"/>
        </w:rPr>
        <w:t xml:space="preserve"> </w:t>
      </w:r>
      <w:r w:rsidRPr="002100AE">
        <w:rPr>
          <w:rFonts w:asciiTheme="majorBidi" w:hAnsiTheme="majorBidi" w:cstheme="majorBidi"/>
          <w:sz w:val="24"/>
          <w:szCs w:val="24"/>
        </w:rPr>
        <w:t>An introduction to functional grammar. London: Edward Arnold</w:t>
      </w:r>
      <w:r w:rsidRPr="002100AE">
        <w:rPr>
          <w:rFonts w:asciiTheme="majorBidi" w:hAnsiTheme="majorBidi" w:cstheme="majorBidi"/>
          <w:sz w:val="24"/>
          <w:szCs w:val="24"/>
          <w:lang w:val="vi-VN"/>
        </w:rPr>
        <w:t>.</w:t>
      </w:r>
    </w:p>
    <w:p w14:paraId="7D10B24A"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Hood, S. (2006). The persuasive power of prosodies: Radiating values in academic writing. Journal of English for Academic Purposes, 5(1), 37–49. </w:t>
      </w:r>
      <w:hyperlink r:id="rId24" w:history="1">
        <w:r w:rsidRPr="002100AE">
          <w:rPr>
            <w:rStyle w:val="Hyperlink"/>
            <w:rFonts w:asciiTheme="majorBidi" w:hAnsiTheme="majorBidi" w:cstheme="majorBidi"/>
            <w:sz w:val="24"/>
            <w:szCs w:val="24"/>
          </w:rPr>
          <w:t>https://doi.org/10.1016/j.jeap.2005.11.001</w:t>
        </w:r>
      </w:hyperlink>
    </w:p>
    <w:p w14:paraId="0494CEE0"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Hutasuhut, M. L., Chen, H., &amp; Matruglio, E. (2023). Engaged at the first sight! Anticipating your audience as a way to think critically in writing an argument. Indonesian Journal of Applied Linguistics, 12(3), 680–693. </w:t>
      </w:r>
      <w:hyperlink r:id="rId25" w:history="1">
        <w:r w:rsidRPr="002100AE">
          <w:rPr>
            <w:rStyle w:val="Hyperlink"/>
            <w:rFonts w:asciiTheme="majorBidi" w:hAnsiTheme="majorBidi" w:cstheme="majorBidi"/>
            <w:sz w:val="24"/>
            <w:szCs w:val="24"/>
          </w:rPr>
          <w:t>https://doi.org/10.17509/ijal.v12i3.55170</w:t>
        </w:r>
      </w:hyperlink>
    </w:p>
    <w:p w14:paraId="5BD122F1"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Ilić, K. M. (2022). Engagement resources in ESP research article abstracts. Filolog, 13(25), 240–264. </w:t>
      </w:r>
      <w:hyperlink r:id="rId26" w:history="1">
        <w:r w:rsidRPr="002100AE">
          <w:rPr>
            <w:rStyle w:val="Hyperlink"/>
            <w:rFonts w:asciiTheme="majorBidi" w:hAnsiTheme="majorBidi" w:cstheme="majorBidi"/>
            <w:sz w:val="24"/>
            <w:szCs w:val="24"/>
          </w:rPr>
          <w:t>https://doi.org/10.21618/fil2225240i</w:t>
        </w:r>
      </w:hyperlink>
    </w:p>
    <w:p w14:paraId="013660E7" w14:textId="77777777" w:rsidR="002100AE" w:rsidRPr="002100AE" w:rsidRDefault="002100AE" w:rsidP="00D13835">
      <w:pPr>
        <w:pStyle w:val="RALs-ReferencesList"/>
        <w:spacing w:before="0" w:after="120" w:line="360" w:lineRule="auto"/>
        <w:ind w:left="720" w:hanging="720"/>
        <w:rPr>
          <w:sz w:val="24"/>
          <w:szCs w:val="24"/>
          <w:lang w:val="vi-VN"/>
        </w:rPr>
      </w:pPr>
      <w:r w:rsidRPr="002100AE">
        <w:rPr>
          <w:sz w:val="24"/>
          <w:szCs w:val="24"/>
        </w:rPr>
        <w:t>Iwami, S., Ojala, A., Watanabe, C., &amp; Neittaanmäki, P. (2020). A bibliometric approach to finding fields that co-evolved with information technology. </w:t>
      </w:r>
      <w:r w:rsidRPr="002100AE">
        <w:rPr>
          <w:i/>
          <w:iCs/>
          <w:sz w:val="24"/>
          <w:szCs w:val="24"/>
        </w:rPr>
        <w:t>Scientometrics, 122</w:t>
      </w:r>
      <w:r w:rsidRPr="002100AE">
        <w:rPr>
          <w:sz w:val="24"/>
          <w:szCs w:val="24"/>
        </w:rPr>
        <w:t>(1), 3–21. </w:t>
      </w:r>
      <w:hyperlink r:id="rId27" w:tgtFrame="_blank" w:history="1">
        <w:r w:rsidRPr="002100AE">
          <w:rPr>
            <w:rStyle w:val="Hyperlink"/>
            <w:sz w:val="24"/>
            <w:szCs w:val="24"/>
          </w:rPr>
          <w:t>https://doi.org/10.1007/s11192-019-03372-4</w:t>
        </w:r>
      </w:hyperlink>
    </w:p>
    <w:p w14:paraId="1E30403B"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Lancaster, Z. (2014). Exploring valued patterns of stance in upper-level student writing in the disciplines. Written Communication, 31(1), 27–57. </w:t>
      </w:r>
      <w:hyperlink r:id="rId28" w:history="1">
        <w:r w:rsidRPr="002100AE">
          <w:rPr>
            <w:rStyle w:val="Hyperlink"/>
            <w:rFonts w:asciiTheme="majorBidi" w:hAnsiTheme="majorBidi" w:cstheme="majorBidi"/>
            <w:sz w:val="24"/>
            <w:szCs w:val="24"/>
          </w:rPr>
          <w:t>https://doi.org/10.1177/0741088313515170</w:t>
        </w:r>
      </w:hyperlink>
    </w:p>
    <w:p w14:paraId="3C1CE7C2"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Li, R. (2025). Beyond surfaces and depths: An SFL analysis of fine gradations of meaning in undergraduates’ writing about literature. Written Communication, 42(1), 85–119. </w:t>
      </w:r>
      <w:hyperlink r:id="rId29" w:history="1">
        <w:r w:rsidRPr="002100AE">
          <w:rPr>
            <w:rStyle w:val="Hyperlink"/>
            <w:rFonts w:asciiTheme="majorBidi" w:hAnsiTheme="majorBidi" w:cstheme="majorBidi"/>
            <w:sz w:val="24"/>
            <w:szCs w:val="24"/>
          </w:rPr>
          <w:t>https://doi.org/10.1177/07410883241286899</w:t>
        </w:r>
      </w:hyperlink>
    </w:p>
    <w:p w14:paraId="3BF3D807"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rPr>
      </w:pPr>
      <w:r w:rsidRPr="002100AE">
        <w:rPr>
          <w:rFonts w:asciiTheme="majorBidi" w:hAnsiTheme="majorBidi" w:cstheme="majorBidi"/>
          <w:sz w:val="24"/>
          <w:szCs w:val="24"/>
        </w:rPr>
        <w:t>Martin, J. R., &amp; White, P. R. (2005). The Language of Evaluation: Appraisal in English. Basingstoke: Palgrave Macmillan.</w:t>
      </w:r>
    </w:p>
    <w:p w14:paraId="14B35EE9"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Miller, R. T., Mitchell, T. D., &amp; Pessoa, S. (2014). Valued voices: Students' use of engagement in argumentative history writing. Linguistics and Education, 28, 107–120. </w:t>
      </w:r>
      <w:hyperlink r:id="rId30" w:history="1">
        <w:r w:rsidRPr="002100AE">
          <w:rPr>
            <w:rStyle w:val="Hyperlink"/>
            <w:rFonts w:asciiTheme="majorBidi" w:hAnsiTheme="majorBidi" w:cstheme="majorBidi"/>
            <w:sz w:val="24"/>
            <w:szCs w:val="24"/>
          </w:rPr>
          <w:t>https://doi.org/10.1016/j.linged.2014.10.002</w:t>
        </w:r>
      </w:hyperlink>
    </w:p>
    <w:p w14:paraId="404CC65E"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Munday, J. (2012). New directions in discourse analysis for translation: A study of decision-making in crowdsourced subtitles of Obama’s 2012 State of the Union speech. </w:t>
      </w:r>
      <w:r w:rsidRPr="002100AE">
        <w:rPr>
          <w:rFonts w:asciiTheme="majorBidi" w:hAnsiTheme="majorBidi" w:cstheme="majorBidi"/>
          <w:sz w:val="24"/>
          <w:szCs w:val="24"/>
        </w:rPr>
        <w:lastRenderedPageBreak/>
        <w:t xml:space="preserve">Language and Intercultural Communication, 12(4), 321–334. </w:t>
      </w:r>
      <w:hyperlink r:id="rId31" w:history="1">
        <w:r w:rsidRPr="002100AE">
          <w:rPr>
            <w:rStyle w:val="Hyperlink"/>
            <w:rFonts w:asciiTheme="majorBidi" w:hAnsiTheme="majorBidi" w:cstheme="majorBidi"/>
            <w:sz w:val="24"/>
            <w:szCs w:val="24"/>
          </w:rPr>
          <w:t>https://doi.org/10.1080/14708477.2012.722099</w:t>
        </w:r>
      </w:hyperlink>
    </w:p>
    <w:p w14:paraId="5C62E70D"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Myskow, G. (2018). Changes in attitude: Evaluative language in secondary school and university history textbooks. Linguistics and Education, 43, 53–63. </w:t>
      </w:r>
      <w:hyperlink r:id="rId32" w:history="1">
        <w:r w:rsidRPr="002100AE">
          <w:rPr>
            <w:rStyle w:val="Hyperlink"/>
            <w:rFonts w:asciiTheme="majorBidi" w:hAnsiTheme="majorBidi" w:cstheme="majorBidi"/>
            <w:sz w:val="24"/>
            <w:szCs w:val="24"/>
          </w:rPr>
          <w:t>https://doi.org/10.1016/j.linged.2017.12.001</w:t>
        </w:r>
      </w:hyperlink>
    </w:p>
    <w:p w14:paraId="5946D4EF"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Ndoricimpa, C., &amp; Barad, D. P. (2024). Writing in the disciplines: Comparison of critical stance qualities in literary analyses by university students writing in L1 and L2 contexts. Indonesian Journal of Applied Linguistics, 14(2), 415–428. </w:t>
      </w:r>
      <w:hyperlink r:id="rId33" w:history="1">
        <w:r w:rsidRPr="002100AE">
          <w:rPr>
            <w:rStyle w:val="Hyperlink"/>
            <w:rFonts w:asciiTheme="majorBidi" w:hAnsiTheme="majorBidi" w:cstheme="majorBidi"/>
            <w:sz w:val="24"/>
            <w:szCs w:val="24"/>
          </w:rPr>
          <w:t>https://doi.org/10.17509/ijal.v14i2.74890</w:t>
        </w:r>
      </w:hyperlink>
    </w:p>
    <w:p w14:paraId="0D63AE4B"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lang w:val="nb-NO"/>
        </w:rPr>
        <w:t xml:space="preserve">Ngan, C. H., &amp; Le, T. H. V. (2025). </w:t>
      </w:r>
      <w:r w:rsidRPr="002100AE">
        <w:rPr>
          <w:rFonts w:asciiTheme="majorBidi" w:hAnsiTheme="majorBidi" w:cstheme="majorBidi"/>
          <w:sz w:val="24"/>
          <w:szCs w:val="24"/>
        </w:rPr>
        <w:t xml:space="preserve">Vietnamese EFL teachers' and students' perceptions of using Google Translate in the classroom. Computer-Assisted Language Learning Electronic Journal, 26(3), 136–161. </w:t>
      </w:r>
      <w:hyperlink r:id="rId34" w:history="1">
        <w:r w:rsidRPr="002100AE">
          <w:rPr>
            <w:rStyle w:val="Hyperlink"/>
            <w:rFonts w:asciiTheme="majorBidi" w:hAnsiTheme="majorBidi" w:cstheme="majorBidi"/>
            <w:sz w:val="24"/>
            <w:szCs w:val="24"/>
          </w:rPr>
          <w:t>https://doi.org/10.54855/callej.252638</w:t>
        </w:r>
      </w:hyperlink>
    </w:p>
    <w:p w14:paraId="44222214"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Ngo, T., &amp; Unsworth, L. (2015). Reworking the appraisal framework in ESL research: Refining attitude resources. Functional Linguistics, 2(1), Article 1. </w:t>
      </w:r>
      <w:hyperlink r:id="rId35" w:history="1">
        <w:r w:rsidRPr="002100AE">
          <w:rPr>
            <w:rStyle w:val="Hyperlink"/>
            <w:rFonts w:asciiTheme="majorBidi" w:hAnsiTheme="majorBidi" w:cstheme="majorBidi"/>
            <w:sz w:val="24"/>
            <w:szCs w:val="24"/>
          </w:rPr>
          <w:t>https://doi.org/10.1186/s40554-015-0013-x</w:t>
        </w:r>
      </w:hyperlink>
    </w:p>
    <w:p w14:paraId="6C8220E5"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Nurhadi, K., Rahman, A., Khasyar, M. L., &amp; Suharwanto, S. (2025). The emotional geography of faculty members engaging in virtual teacher professional development (VTPD): Evidence from Indonesia. Journal of Applied Research in Higher Education, 17(2), 663–674. </w:t>
      </w:r>
      <w:hyperlink r:id="rId36" w:history="1">
        <w:r w:rsidRPr="002100AE">
          <w:rPr>
            <w:rStyle w:val="Hyperlink"/>
            <w:rFonts w:asciiTheme="majorBidi" w:hAnsiTheme="majorBidi" w:cstheme="majorBidi"/>
            <w:sz w:val="24"/>
            <w:szCs w:val="24"/>
          </w:rPr>
          <w:t>https://doi.org/10.1108/JARHE-06-2022-0187</w:t>
        </w:r>
      </w:hyperlink>
      <w:r w:rsidRPr="002100AE">
        <w:rPr>
          <w:rFonts w:asciiTheme="majorBidi" w:hAnsiTheme="majorBidi" w:cstheme="majorBidi"/>
          <w:sz w:val="24"/>
          <w:szCs w:val="24"/>
          <w:lang w:val="vi-VN"/>
        </w:rPr>
        <w:t xml:space="preserve"> </w:t>
      </w:r>
    </w:p>
    <w:p w14:paraId="5734E3E8"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rPr>
      </w:pPr>
      <w:r w:rsidRPr="002100AE">
        <w:rPr>
          <w:rFonts w:asciiTheme="majorBidi" w:hAnsiTheme="majorBidi" w:cstheme="majorBidi"/>
          <w:sz w:val="24"/>
          <w:szCs w:val="24"/>
        </w:rPr>
        <w:t>Oteíza, T. (2017). The appraisal framework and discourse analysis. Trong G. O. Tom Bartlett, The Routledge handbook of systemic functional linguistics (trang 457-472). Abingdon: Routledge.</w:t>
      </w:r>
    </w:p>
    <w:p w14:paraId="231818B8"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Phan, T. L. (2022). Lí thuyết đánh giá trong phân tích diễn ngôn: nghiên cứu thử nghiệm từ cáo trạng tiếng việt. Tạp chí khoa học trường Đại học Sư phạm TP Hồ Chí Minh, 19(12), 2146-2159.</w:t>
      </w:r>
    </w:p>
    <w:p w14:paraId="6E7911B9"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Reznicek-Parrado, L. M., Patiño-Vega, M., &amp; Colombi, M. C. (2018). Academic peer tutors and academic biliteracy development in students of Spanish as a heritage language. Journal of Spanish Language Teaching, 5(2), 152–167. </w:t>
      </w:r>
      <w:hyperlink r:id="rId37" w:history="1">
        <w:r w:rsidRPr="002100AE">
          <w:rPr>
            <w:rStyle w:val="Hyperlink"/>
            <w:rFonts w:asciiTheme="majorBidi" w:hAnsiTheme="majorBidi" w:cstheme="majorBidi"/>
            <w:sz w:val="24"/>
            <w:szCs w:val="24"/>
          </w:rPr>
          <w:t>https://doi.org/10.1080/23247797.2018.1538358</w:t>
        </w:r>
      </w:hyperlink>
    </w:p>
    <w:p w14:paraId="35A9DFF7"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Rose, D. (2003). </w:t>
      </w:r>
      <w:r w:rsidRPr="002100AE">
        <w:rPr>
          <w:rFonts w:asciiTheme="majorBidi" w:hAnsiTheme="majorBidi" w:cstheme="majorBidi"/>
          <w:i/>
          <w:iCs/>
          <w:sz w:val="24"/>
          <w:szCs w:val="24"/>
        </w:rPr>
        <w:t>Working with discourse: Meaning beyond the clause</w:t>
      </w:r>
      <w:r w:rsidRPr="002100AE">
        <w:rPr>
          <w:rFonts w:asciiTheme="majorBidi" w:hAnsiTheme="majorBidi" w:cstheme="majorBidi"/>
          <w:sz w:val="24"/>
          <w:szCs w:val="24"/>
        </w:rPr>
        <w:t>. Bloomsbury Publishing</w:t>
      </w:r>
      <w:r w:rsidRPr="002100AE">
        <w:rPr>
          <w:rFonts w:asciiTheme="majorBidi" w:hAnsiTheme="majorBidi" w:cstheme="majorBidi"/>
          <w:sz w:val="24"/>
          <w:szCs w:val="24"/>
          <w:lang w:val="vi-VN"/>
        </w:rPr>
        <w:t>.</w:t>
      </w:r>
    </w:p>
    <w:p w14:paraId="5101E703"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lastRenderedPageBreak/>
        <w:t xml:space="preserve">Szenes, E., &amp; Tilakaratna, N. (2021). Deconstructing critical reflection in social work and business: Negotiating emotions and opinions in reflective writing. Journal of English for Academic Purposes, 49, Article 100931. </w:t>
      </w:r>
      <w:hyperlink r:id="rId38" w:history="1">
        <w:r w:rsidRPr="002100AE">
          <w:rPr>
            <w:rStyle w:val="Hyperlink"/>
            <w:rFonts w:asciiTheme="majorBidi" w:hAnsiTheme="majorBidi" w:cstheme="majorBidi"/>
            <w:sz w:val="24"/>
            <w:szCs w:val="24"/>
          </w:rPr>
          <w:t>https://doi.org/10.1016/j.jeap.2020.100931</w:t>
        </w:r>
      </w:hyperlink>
    </w:p>
    <w:p w14:paraId="51084797"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rPr>
      </w:pPr>
      <w:r w:rsidRPr="002100AE">
        <w:rPr>
          <w:rFonts w:asciiTheme="majorBidi" w:hAnsiTheme="majorBidi" w:cstheme="majorBidi"/>
          <w:sz w:val="24"/>
          <w:szCs w:val="24"/>
        </w:rPr>
        <w:t>Thelwall, M. (2018). Dimensions: A competitor to Scopus and the Web of Science? </w:t>
      </w:r>
      <w:r w:rsidRPr="002100AE">
        <w:rPr>
          <w:rFonts w:asciiTheme="majorBidi" w:hAnsiTheme="majorBidi" w:cstheme="majorBidi"/>
          <w:i/>
          <w:iCs/>
          <w:sz w:val="24"/>
          <w:szCs w:val="24"/>
        </w:rPr>
        <w:t>Journal of Informetrics, 12</w:t>
      </w:r>
      <w:r w:rsidRPr="002100AE">
        <w:rPr>
          <w:rFonts w:asciiTheme="majorBidi" w:hAnsiTheme="majorBidi" w:cstheme="majorBidi"/>
          <w:sz w:val="24"/>
          <w:szCs w:val="24"/>
        </w:rPr>
        <w:t>(2), 430-435. </w:t>
      </w:r>
      <w:hyperlink r:id="rId39" w:tgtFrame="_blank" w:history="1">
        <w:r w:rsidRPr="002100AE">
          <w:rPr>
            <w:rStyle w:val="Hyperlink"/>
            <w:rFonts w:asciiTheme="majorBidi" w:hAnsiTheme="majorBidi" w:cstheme="majorBidi"/>
            <w:sz w:val="24"/>
            <w:szCs w:val="24"/>
          </w:rPr>
          <w:t>https://doi.org/10.1016/j.joi.2018.02.005</w:t>
        </w:r>
      </w:hyperlink>
    </w:p>
    <w:p w14:paraId="45AF3C1B"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Thompson, G. (Eds.). (2000). </w:t>
      </w:r>
      <w:r w:rsidRPr="002100AE">
        <w:rPr>
          <w:rFonts w:asciiTheme="majorBidi" w:hAnsiTheme="majorBidi" w:cstheme="majorBidi"/>
          <w:i/>
          <w:iCs/>
          <w:sz w:val="24"/>
          <w:szCs w:val="24"/>
        </w:rPr>
        <w:t>Evaluation in text: Authorial stance and the construction of discourse: Authorial stance and the construction of discourse</w:t>
      </w:r>
      <w:r w:rsidRPr="002100AE">
        <w:rPr>
          <w:rFonts w:asciiTheme="majorBidi" w:hAnsiTheme="majorBidi" w:cstheme="majorBidi"/>
          <w:sz w:val="24"/>
          <w:szCs w:val="24"/>
        </w:rPr>
        <w:t>. Oxford University Press, UK.</w:t>
      </w:r>
    </w:p>
    <w:p w14:paraId="6EA19FE3"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sz w:val="24"/>
          <w:szCs w:val="24"/>
        </w:rPr>
        <w:t>Van Eck, N. J., &amp; Waltman, L. (2007). VOS: A new method for visualizing similarities between objects. In </w:t>
      </w:r>
      <w:r w:rsidRPr="002100AE">
        <w:rPr>
          <w:i/>
          <w:iCs/>
          <w:sz w:val="24"/>
          <w:szCs w:val="24"/>
        </w:rPr>
        <w:t>Advances in Data Analysis</w:t>
      </w:r>
      <w:r w:rsidRPr="002100AE">
        <w:rPr>
          <w:sz w:val="24"/>
          <w:szCs w:val="24"/>
        </w:rPr>
        <w:t> (pp. 299–306). Springer. </w:t>
      </w:r>
      <w:hyperlink r:id="rId40" w:tgtFrame="_blank" w:history="1">
        <w:r w:rsidRPr="002100AE">
          <w:rPr>
            <w:rStyle w:val="Hyperlink"/>
            <w:sz w:val="24"/>
            <w:szCs w:val="24"/>
          </w:rPr>
          <w:t>https://doi.org/10.1007/978-3-540-73589-6_23</w:t>
        </w:r>
      </w:hyperlink>
    </w:p>
    <w:p w14:paraId="497FBDA0"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Vo, L.-H., &amp; Viet Le, L. (2025). Exploring EFL writers' authorial voice in academic discussions: A graduation-based appraisal analysis. Forum for Linguistic Studies, 7(5), 932–946. </w:t>
      </w:r>
      <w:hyperlink r:id="rId41" w:history="1">
        <w:r w:rsidRPr="002100AE">
          <w:rPr>
            <w:rStyle w:val="Hyperlink"/>
            <w:rFonts w:asciiTheme="majorBidi" w:hAnsiTheme="majorBidi" w:cstheme="majorBidi"/>
            <w:sz w:val="24"/>
            <w:szCs w:val="24"/>
          </w:rPr>
          <w:t>https://doi.org/10.30564/fls.v7i5.8873</w:t>
        </w:r>
      </w:hyperlink>
    </w:p>
    <w:p w14:paraId="449A8E33"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rPr>
      </w:pPr>
      <w:r w:rsidRPr="002100AE">
        <w:rPr>
          <w:rFonts w:asciiTheme="majorBidi" w:hAnsiTheme="majorBidi" w:cstheme="majorBidi"/>
          <w:sz w:val="24"/>
          <w:szCs w:val="24"/>
        </w:rPr>
        <w:t>Wei, Y., Wherrity, M., &amp; Zhang, Y. (2015). An Analysis of Current Research on the Appraisal Theory. Linguistics and Literature Studies, 3(5), 235–239.</w:t>
      </w:r>
    </w:p>
    <w:p w14:paraId="784E03A7"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Whittaker, R., &amp; McCabe, A. (2023). Expressing evaluation across disciplines in primary and secondary CLIL writing: A longitudinal study. International Journal of Bilingual Education and Bilingualism, 26(3), 345–362. </w:t>
      </w:r>
      <w:hyperlink r:id="rId42" w:history="1">
        <w:r w:rsidRPr="002100AE">
          <w:rPr>
            <w:rStyle w:val="Hyperlink"/>
            <w:rFonts w:asciiTheme="majorBidi" w:hAnsiTheme="majorBidi" w:cstheme="majorBidi"/>
            <w:sz w:val="24"/>
            <w:szCs w:val="24"/>
          </w:rPr>
          <w:t>https://doi.org/10.1080/13670050.2020.1798869</w:t>
        </w:r>
      </w:hyperlink>
      <w:r w:rsidRPr="002100AE">
        <w:rPr>
          <w:rFonts w:asciiTheme="majorBidi" w:hAnsiTheme="majorBidi" w:cstheme="majorBidi"/>
          <w:sz w:val="24"/>
          <w:szCs w:val="24"/>
          <w:lang w:val="vi-VN"/>
        </w:rPr>
        <w:t xml:space="preserve"> </w:t>
      </w:r>
    </w:p>
    <w:p w14:paraId="63EF28A8"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Yang, Y. (2016). Appraisal resources in Chinese college students’ English argumentative writing. Journal of Language Teaching and Research, 7(5), 1002–1013. </w:t>
      </w:r>
      <w:hyperlink r:id="rId43" w:history="1">
        <w:r w:rsidRPr="002100AE">
          <w:rPr>
            <w:rStyle w:val="Hyperlink"/>
            <w:rFonts w:asciiTheme="majorBidi" w:hAnsiTheme="majorBidi" w:cstheme="majorBidi"/>
            <w:sz w:val="24"/>
            <w:szCs w:val="24"/>
          </w:rPr>
          <w:t>https://doi.org/10.17507/jltr.0705.23</w:t>
        </w:r>
      </w:hyperlink>
    </w:p>
    <w:p w14:paraId="68F7B322" w14:textId="77777777" w:rsidR="002100AE" w:rsidRPr="001A67FD"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 xml:space="preserve">Yu, H., &amp; Wu, C. (2018). Attitude as mediation: Peritextual commentary in the translation of the Platform Sutra. Text &amp; Talk, 38(5), 633–654. </w:t>
      </w:r>
      <w:hyperlink r:id="rId44" w:history="1">
        <w:r w:rsidRPr="002100AE">
          <w:rPr>
            <w:rStyle w:val="Hyperlink"/>
            <w:rFonts w:asciiTheme="majorBidi" w:hAnsiTheme="majorBidi" w:cstheme="majorBidi"/>
            <w:sz w:val="24"/>
            <w:szCs w:val="24"/>
          </w:rPr>
          <w:t>https://doi.org/10.1515/text-2018-0017</w:t>
        </w:r>
      </w:hyperlink>
    </w:p>
    <w:p w14:paraId="01A01418" w14:textId="77777777" w:rsidR="002100AE" w:rsidRPr="002100AE" w:rsidRDefault="002100AE" w:rsidP="00D13835">
      <w:pPr>
        <w:pStyle w:val="RALs-ReferencesList"/>
        <w:spacing w:before="0" w:after="120" w:line="360" w:lineRule="auto"/>
        <w:ind w:left="720" w:hanging="720"/>
        <w:rPr>
          <w:rFonts w:asciiTheme="majorBidi" w:hAnsiTheme="majorBidi" w:cstheme="majorBidi"/>
          <w:sz w:val="24"/>
          <w:szCs w:val="24"/>
          <w:lang w:val="vi-VN"/>
        </w:rPr>
      </w:pPr>
      <w:r w:rsidRPr="002100AE">
        <w:rPr>
          <w:rFonts w:asciiTheme="majorBidi" w:hAnsiTheme="majorBidi" w:cstheme="majorBidi"/>
          <w:sz w:val="24"/>
          <w:szCs w:val="24"/>
        </w:rPr>
        <w:t>Zahra, A. A., Nurmandi, A., Tenario, C. B., Rahayu, R., Benectitos, S. H., Mina, F. L. P., &amp; Haictin, K. M. (2021). Bibliometric analysis of trends in theory-related policy publications. </w:t>
      </w:r>
      <w:r w:rsidRPr="002100AE">
        <w:rPr>
          <w:rFonts w:asciiTheme="majorBidi" w:hAnsiTheme="majorBidi" w:cstheme="majorBidi"/>
          <w:i/>
          <w:iCs/>
          <w:sz w:val="24"/>
          <w:szCs w:val="24"/>
        </w:rPr>
        <w:t>Emerging Science Journal, 5</w:t>
      </w:r>
      <w:r w:rsidRPr="002100AE">
        <w:rPr>
          <w:rFonts w:asciiTheme="majorBidi" w:hAnsiTheme="majorBidi" w:cstheme="majorBidi"/>
          <w:sz w:val="24"/>
          <w:szCs w:val="24"/>
        </w:rPr>
        <w:t>(1), 96-110. </w:t>
      </w:r>
      <w:hyperlink r:id="rId45" w:tgtFrame="_blank" w:history="1">
        <w:r w:rsidRPr="002100AE">
          <w:rPr>
            <w:rStyle w:val="Hyperlink"/>
            <w:rFonts w:asciiTheme="majorBidi" w:hAnsiTheme="majorBidi" w:cstheme="majorBidi"/>
            <w:sz w:val="24"/>
            <w:szCs w:val="24"/>
          </w:rPr>
          <w:t>https://doi.org/10.28991/esj-2021-01278</w:t>
        </w:r>
      </w:hyperlink>
    </w:p>
    <w:p w14:paraId="33131E1E" w14:textId="7390459E" w:rsidR="002334D9" w:rsidRDefault="002334D9" w:rsidP="00D13835">
      <w:pPr>
        <w:pStyle w:val="RALs-ReferencesList"/>
        <w:pageBreakBefore/>
        <w:spacing w:before="0" w:after="120" w:line="480" w:lineRule="auto"/>
        <w:ind w:left="720" w:hanging="720"/>
        <w:rPr>
          <w:rFonts w:asciiTheme="majorBidi" w:eastAsiaTheme="minorHAnsi" w:hAnsiTheme="majorBidi" w:cstheme="majorBidi"/>
          <w:b/>
          <w:bCs/>
          <w:sz w:val="24"/>
          <w:szCs w:val="24"/>
        </w:rPr>
      </w:pPr>
      <w:r w:rsidRPr="002334D9">
        <w:rPr>
          <w:rFonts w:asciiTheme="majorBidi" w:eastAsiaTheme="minorHAnsi" w:hAnsiTheme="majorBidi" w:cstheme="majorBidi"/>
          <w:b/>
          <w:bCs/>
          <w:sz w:val="24"/>
          <w:szCs w:val="24"/>
        </w:rPr>
        <w:lastRenderedPageBreak/>
        <w:t>Bionote</w:t>
      </w:r>
    </w:p>
    <w:p w14:paraId="6EB1D9D9" w14:textId="5BB7FFB4" w:rsidR="009E2438" w:rsidRPr="009E2438" w:rsidRDefault="009E2438" w:rsidP="00D13835">
      <w:pPr>
        <w:spacing w:before="0" w:after="120" w:line="480" w:lineRule="auto"/>
        <w:rPr>
          <w:rFonts w:asciiTheme="majorBidi" w:hAnsiTheme="majorBidi" w:cstheme="majorBidi"/>
          <w:sz w:val="24"/>
          <w:szCs w:val="24"/>
          <w:lang w:val="vi-VN"/>
        </w:rPr>
      </w:pPr>
      <w:r w:rsidRPr="009E2438">
        <w:rPr>
          <w:rFonts w:asciiTheme="majorBidi" w:hAnsiTheme="majorBidi" w:cstheme="majorBidi"/>
          <w:sz w:val="24"/>
          <w:szCs w:val="24"/>
        </w:rPr>
        <w:t>Ly Tuan Phan earned a PhD in Contrastive Linguistics from the University of Social Sciences and Humanities, Ho Chi Minh City - Vietnam National University. He is currently a lecturer at Ho Chi Minh City University of Law. His research interests include legal discourse and Systemic Functional L</w:t>
      </w:r>
      <w:r>
        <w:rPr>
          <w:rFonts w:asciiTheme="majorBidi" w:hAnsiTheme="majorBidi" w:cstheme="majorBidi"/>
          <w:sz w:val="24"/>
          <w:szCs w:val="24"/>
        </w:rPr>
        <w:t>inguistics</w:t>
      </w:r>
      <w:r>
        <w:rPr>
          <w:rFonts w:asciiTheme="majorBidi" w:hAnsiTheme="majorBidi" w:cstheme="majorBidi"/>
          <w:sz w:val="24"/>
          <w:szCs w:val="24"/>
          <w:lang w:val="vi-VN"/>
        </w:rPr>
        <w:t>.</w:t>
      </w:r>
    </w:p>
    <w:p w14:paraId="69459D34" w14:textId="4CC68820" w:rsidR="009E2438" w:rsidRDefault="009E2438" w:rsidP="00D13835">
      <w:pPr>
        <w:spacing w:before="0" w:after="120" w:line="480" w:lineRule="auto"/>
        <w:rPr>
          <w:rFonts w:asciiTheme="majorBidi" w:hAnsiTheme="majorBidi" w:cstheme="majorBidi"/>
          <w:sz w:val="24"/>
          <w:szCs w:val="24"/>
          <w:lang w:val="vi-VN"/>
        </w:rPr>
      </w:pPr>
      <w:r>
        <w:rPr>
          <w:rFonts w:asciiTheme="majorBidi" w:hAnsiTheme="majorBidi" w:cstheme="majorBidi"/>
          <w:sz w:val="24"/>
          <w:szCs w:val="24"/>
        </w:rPr>
        <w:t>Tru</w:t>
      </w:r>
      <w:r w:rsidRPr="009E2438">
        <w:rPr>
          <w:rFonts w:asciiTheme="majorBidi" w:hAnsiTheme="majorBidi" w:cstheme="majorBidi"/>
          <w:sz w:val="24"/>
          <w:szCs w:val="24"/>
        </w:rPr>
        <w:t>c</w:t>
      </w:r>
      <w:r>
        <w:rPr>
          <w:rFonts w:asciiTheme="majorBidi" w:hAnsiTheme="majorBidi" w:cstheme="majorBidi"/>
          <w:sz w:val="24"/>
          <w:szCs w:val="24"/>
        </w:rPr>
        <w:t xml:space="preserve"> Ngo</w:t>
      </w:r>
      <w:r w:rsidRPr="009E2438">
        <w:rPr>
          <w:rFonts w:asciiTheme="majorBidi" w:hAnsiTheme="majorBidi" w:cstheme="majorBidi"/>
          <w:sz w:val="24"/>
          <w:szCs w:val="24"/>
        </w:rPr>
        <w:t xml:space="preserve">c Thanh </w:t>
      </w:r>
      <w:r>
        <w:rPr>
          <w:rFonts w:asciiTheme="majorBidi" w:hAnsiTheme="majorBidi" w:cstheme="majorBidi"/>
          <w:sz w:val="24"/>
          <w:szCs w:val="24"/>
        </w:rPr>
        <w:t>Hoa</w:t>
      </w:r>
      <w:r w:rsidRPr="009E2438">
        <w:rPr>
          <w:rFonts w:asciiTheme="majorBidi" w:hAnsiTheme="majorBidi" w:cstheme="majorBidi"/>
          <w:sz w:val="24"/>
          <w:szCs w:val="24"/>
        </w:rPr>
        <w:t>ng holds an MA in Linguistics and is currently a lecturer at</w:t>
      </w:r>
      <w:r>
        <w:rPr>
          <w:rFonts w:asciiTheme="majorBidi" w:hAnsiTheme="majorBidi" w:cstheme="majorBidi"/>
          <w:sz w:val="24"/>
          <w:szCs w:val="24"/>
          <w:lang w:val="vi-VN"/>
        </w:rPr>
        <w:t xml:space="preserve"> </w:t>
      </w:r>
      <w:r w:rsidRPr="009E2438">
        <w:rPr>
          <w:rFonts w:asciiTheme="majorBidi" w:hAnsiTheme="majorBidi" w:cstheme="majorBidi"/>
          <w:sz w:val="24"/>
          <w:szCs w:val="24"/>
        </w:rPr>
        <w:t>Ho Chi Minh City University of Law.</w:t>
      </w:r>
      <w:r>
        <w:rPr>
          <w:rFonts w:asciiTheme="majorBidi" w:hAnsiTheme="majorBidi" w:cstheme="majorBidi"/>
          <w:sz w:val="24"/>
          <w:szCs w:val="24"/>
          <w:lang w:val="vi-VN"/>
        </w:rPr>
        <w:t xml:space="preserve"> </w:t>
      </w:r>
      <w:r w:rsidRPr="009E2438">
        <w:rPr>
          <w:rFonts w:asciiTheme="majorBidi" w:hAnsiTheme="majorBidi" w:cstheme="majorBidi"/>
          <w:sz w:val="24"/>
          <w:szCs w:val="24"/>
        </w:rPr>
        <w:t xml:space="preserve">With a focus on the intersection of linguistics and law, her scholarly interests include legal discourse </w:t>
      </w:r>
      <w:r>
        <w:rPr>
          <w:rFonts w:asciiTheme="majorBidi" w:hAnsiTheme="majorBidi" w:cstheme="majorBidi"/>
          <w:sz w:val="24"/>
          <w:szCs w:val="24"/>
          <w:lang w:val="vi-VN"/>
        </w:rPr>
        <w:t>analysis and</w:t>
      </w:r>
      <w:r w:rsidRPr="009E2438">
        <w:rPr>
          <w:rFonts w:asciiTheme="majorBidi" w:hAnsiTheme="majorBidi" w:cstheme="majorBidi"/>
          <w:sz w:val="24"/>
          <w:szCs w:val="24"/>
        </w:rPr>
        <w:t xml:space="preserve"> the application of linguistic theories to the study and teaching.</w:t>
      </w:r>
    </w:p>
    <w:p w14:paraId="5BCE338C" w14:textId="5D33E8A2" w:rsidR="009E2438" w:rsidRPr="009E2438" w:rsidRDefault="009E2438" w:rsidP="00D13835">
      <w:pPr>
        <w:spacing w:before="0" w:after="120" w:line="480" w:lineRule="auto"/>
        <w:rPr>
          <w:rFonts w:asciiTheme="majorBidi" w:hAnsiTheme="majorBidi" w:cstheme="majorBidi"/>
          <w:sz w:val="24"/>
          <w:szCs w:val="24"/>
          <w:lang w:val="vi-VN"/>
        </w:rPr>
      </w:pPr>
      <w:r w:rsidRPr="009E2438">
        <w:rPr>
          <w:rFonts w:asciiTheme="majorBidi" w:hAnsiTheme="majorBidi" w:cstheme="majorBidi"/>
          <w:sz w:val="24"/>
          <w:szCs w:val="24"/>
        </w:rPr>
        <w:t xml:space="preserve">Dung </w:t>
      </w:r>
      <w:r>
        <w:rPr>
          <w:rFonts w:asciiTheme="majorBidi" w:hAnsiTheme="majorBidi" w:cstheme="majorBidi"/>
          <w:sz w:val="24"/>
          <w:szCs w:val="24"/>
        </w:rPr>
        <w:t>Thi</w:t>
      </w:r>
      <w:r>
        <w:rPr>
          <w:rFonts w:asciiTheme="majorBidi" w:hAnsiTheme="majorBidi" w:cstheme="majorBidi"/>
          <w:sz w:val="24"/>
          <w:szCs w:val="24"/>
          <w:lang w:val="vi-VN"/>
        </w:rPr>
        <w:t xml:space="preserve"> Thuy </w:t>
      </w:r>
      <w:r>
        <w:rPr>
          <w:rFonts w:asciiTheme="majorBidi" w:hAnsiTheme="majorBidi" w:cstheme="majorBidi"/>
          <w:sz w:val="24"/>
          <w:szCs w:val="24"/>
        </w:rPr>
        <w:t>Pha</w:t>
      </w:r>
      <w:r w:rsidRPr="009E2438">
        <w:rPr>
          <w:rFonts w:asciiTheme="majorBidi" w:hAnsiTheme="majorBidi" w:cstheme="majorBidi"/>
          <w:sz w:val="24"/>
          <w:szCs w:val="24"/>
        </w:rPr>
        <w:t>m holds an MA in TESOL and is currently a PhD candidate in Contrastive Linguistics. With a background in English language pedagogy, her research has evolved to specialize in the intersection of language and law. Her current scholarly work focuses on legal English teaching and the linguistic nuances of legal discourse. Looking forward, her research interests involve contrastive linguistics within legal frameworks, specifically examining the structural and functional disparities between legal languages.</w:t>
      </w:r>
    </w:p>
    <w:sectPr w:rsidR="009E2438" w:rsidRPr="009E2438"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D29CF" w14:textId="77777777" w:rsidR="00A8276B" w:rsidRDefault="00A8276B" w:rsidP="00722EDE">
      <w:pPr>
        <w:spacing w:before="0" w:after="0" w:line="240" w:lineRule="auto"/>
      </w:pPr>
      <w:r>
        <w:separator/>
      </w:r>
    </w:p>
  </w:endnote>
  <w:endnote w:type="continuationSeparator" w:id="0">
    <w:p w14:paraId="7DCBABB2" w14:textId="77777777" w:rsidR="00A8276B" w:rsidRDefault="00A8276B"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B Zar">
    <w:altName w:val="Times New Roman"/>
    <w:charset w:val="B2"/>
    <w:family w:val="auto"/>
    <w:pitch w:val="variable"/>
    <w:sig w:usb0="00002000"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BC797" w14:textId="77777777" w:rsidR="00A8276B" w:rsidRDefault="00A8276B" w:rsidP="00722EDE">
      <w:pPr>
        <w:spacing w:before="0" w:after="0" w:line="240" w:lineRule="auto"/>
      </w:pPr>
      <w:r>
        <w:separator/>
      </w:r>
    </w:p>
  </w:footnote>
  <w:footnote w:type="continuationSeparator" w:id="0">
    <w:p w14:paraId="1FDA9101" w14:textId="77777777" w:rsidR="00A8276B" w:rsidRDefault="00A8276B" w:rsidP="00722EDE">
      <w:pPr>
        <w:spacing w:before="0" w:after="0" w:line="240" w:lineRule="auto"/>
      </w:pPr>
      <w:r>
        <w:continuationSeparator/>
      </w:r>
    </w:p>
  </w:footnote>
  <w:footnote w:id="1">
    <w:p w14:paraId="01BAAB85" w14:textId="060E5DA4" w:rsidR="00722EDE" w:rsidRDefault="00722EDE" w:rsidP="00AD7745">
      <w:pPr>
        <w:pStyle w:val="FootnoteText"/>
        <w:rPr>
          <w:rFonts w:cs="Times New Roman"/>
          <w:i/>
          <w:iCs/>
          <w:lang w:val="vi-VN"/>
        </w:rPr>
      </w:pPr>
      <w:r w:rsidRPr="00D00215">
        <w:rPr>
          <w:rStyle w:val="FootnoteReference"/>
          <w:rFonts w:cs="Times New Roman"/>
        </w:rPr>
        <w:footnoteRef/>
      </w:r>
      <w:r w:rsidRPr="00D00215">
        <w:rPr>
          <w:rFonts w:cs="Times New Roman"/>
        </w:rPr>
        <w:t xml:space="preserve"> </w:t>
      </w:r>
      <w:r w:rsidR="002D1588" w:rsidRPr="002D1588">
        <w:rPr>
          <w:rFonts w:cs="Times New Roman"/>
          <w:spacing w:val="-2"/>
        </w:rPr>
        <w:t xml:space="preserve">PhD; </w:t>
      </w:r>
      <w:r w:rsidR="00A40310" w:rsidRPr="00A40310">
        <w:rPr>
          <w:rFonts w:cs="Times New Roman"/>
          <w:spacing w:val="-2"/>
        </w:rPr>
        <w:t xml:space="preserve">Faculty of </w:t>
      </w:r>
      <w:r w:rsidR="00897FFC" w:rsidRPr="002D1588">
        <w:rPr>
          <w:rFonts w:cs="Times New Roman"/>
          <w:spacing w:val="-2"/>
        </w:rPr>
        <w:t xml:space="preserve">Legal </w:t>
      </w:r>
      <w:r w:rsidR="00897FFC">
        <w:rPr>
          <w:rFonts w:cs="Times New Roman"/>
          <w:spacing w:val="-2"/>
        </w:rPr>
        <w:t>Foreign Languages</w:t>
      </w:r>
      <w:r w:rsidR="002D1588" w:rsidRPr="002D1588">
        <w:rPr>
          <w:rFonts w:cs="Times New Roman"/>
          <w:spacing w:val="-2"/>
        </w:rPr>
        <w:t>; Ho Chi Minh City University of Law; Ho Chi Minh City, Vietnam</w:t>
      </w:r>
      <w:r w:rsidR="002D1588">
        <w:rPr>
          <w:rFonts w:cs="Times New Roman"/>
          <w:i/>
          <w:iCs/>
          <w:lang w:val="vi-VN"/>
        </w:rPr>
        <w:t xml:space="preserve"> </w:t>
      </w:r>
    </w:p>
    <w:p w14:paraId="4F6506EA" w14:textId="7927671D" w:rsidR="002D1588" w:rsidRPr="002D1588" w:rsidRDefault="002D1588" w:rsidP="00AD7745">
      <w:pPr>
        <w:pStyle w:val="FootnoteText"/>
        <w:rPr>
          <w:lang w:val="vi-VN"/>
        </w:rPr>
      </w:pPr>
      <w:r>
        <w:rPr>
          <w:rStyle w:val="FootnoteReference"/>
          <w:rFonts w:cs="Times New Roman"/>
        </w:rPr>
        <w:t>2</w:t>
      </w:r>
      <w:r>
        <w:rPr>
          <w:rFonts w:cs="Times New Roman"/>
          <w:lang w:val="vi-VN"/>
        </w:rPr>
        <w:t xml:space="preserve"> </w:t>
      </w:r>
      <w:r>
        <w:rPr>
          <w:rFonts w:cs="Times New Roman"/>
          <w:spacing w:val="-2"/>
        </w:rPr>
        <w:t>MA</w:t>
      </w:r>
      <w:r w:rsidRPr="002D1588">
        <w:rPr>
          <w:rFonts w:cs="Times New Roman"/>
          <w:spacing w:val="-2"/>
        </w:rPr>
        <w:t xml:space="preserve">; </w:t>
      </w:r>
      <w:r w:rsidR="00897FFC" w:rsidRPr="00A40310">
        <w:rPr>
          <w:rFonts w:cs="Times New Roman"/>
          <w:spacing w:val="-2"/>
        </w:rPr>
        <w:t xml:space="preserve">Faculty of </w:t>
      </w:r>
      <w:r w:rsidR="00897FFC" w:rsidRPr="002D1588">
        <w:rPr>
          <w:rFonts w:cs="Times New Roman"/>
          <w:spacing w:val="-2"/>
        </w:rPr>
        <w:t xml:space="preserve">Legal </w:t>
      </w:r>
      <w:r w:rsidR="00897FFC">
        <w:rPr>
          <w:rFonts w:cs="Times New Roman"/>
          <w:spacing w:val="-2"/>
        </w:rPr>
        <w:t>Foreign Languages</w:t>
      </w:r>
      <w:r w:rsidR="00897FFC" w:rsidRPr="002D1588">
        <w:rPr>
          <w:rFonts w:cs="Times New Roman"/>
          <w:spacing w:val="-2"/>
        </w:rPr>
        <w:t xml:space="preserve">; </w:t>
      </w:r>
      <w:r w:rsidRPr="002D1588">
        <w:rPr>
          <w:rFonts w:cs="Times New Roman"/>
          <w:spacing w:val="-2"/>
        </w:rPr>
        <w:t xml:space="preserve">Ho Chi Minh City University of Law; Ho Chi Minh City, Vietnam; </w:t>
      </w:r>
    </w:p>
    <w:p w14:paraId="74D0FA54" w14:textId="279E2613" w:rsidR="002D1588" w:rsidRPr="002D1588" w:rsidRDefault="002D1588" w:rsidP="00897FFC">
      <w:pPr>
        <w:pStyle w:val="FootnoteText"/>
        <w:rPr>
          <w:rFonts w:cs="Times New Roman"/>
          <w:lang w:val="vi-VN"/>
        </w:rPr>
      </w:pPr>
      <w:r>
        <w:rPr>
          <w:rStyle w:val="FootnoteReference"/>
          <w:rFonts w:cs="Times New Roman"/>
          <w:lang w:val="vi-VN"/>
        </w:rPr>
        <w:t>3</w:t>
      </w:r>
      <w:r>
        <w:rPr>
          <w:rFonts w:cs="Times New Roman"/>
          <w:lang w:val="vi-VN"/>
        </w:rPr>
        <w:t xml:space="preserve"> </w:t>
      </w:r>
      <w:r w:rsidRPr="002D1588">
        <w:rPr>
          <w:rFonts w:cs="Times New Roman"/>
        </w:rPr>
        <w:t>PhD Candidate; Faculty of Literature and L</w:t>
      </w:r>
      <w:r w:rsidR="00897FFC">
        <w:rPr>
          <w:rFonts w:cs="Times New Roman"/>
        </w:rPr>
        <w:t>inguistics,</w:t>
      </w:r>
      <w:r w:rsidRPr="002D1588">
        <w:rPr>
          <w:rFonts w:cs="Times New Roman"/>
        </w:rPr>
        <w:t xml:space="preserve"> University of Social S</w:t>
      </w:r>
      <w:r w:rsidR="00897FFC">
        <w:rPr>
          <w:rFonts w:cs="Times New Roman"/>
        </w:rPr>
        <w:t xml:space="preserve">ciences and Humanities, Vietnam; </w:t>
      </w:r>
      <w:r w:rsidRPr="002D1588">
        <w:rPr>
          <w:rFonts w:cs="Times New Roman"/>
        </w:rPr>
        <w:t>National University Ho Chi Minh City; Ho Chi Minh City, Vietnam</w:t>
      </w:r>
      <w:r w:rsidR="00897FFC">
        <w:rPr>
          <w:rFonts w:cs="Times New Roman"/>
        </w:rPr>
        <w:t>;</w:t>
      </w:r>
      <w:r>
        <w:rPr>
          <w:rFonts w:cs="Times New Roman"/>
          <w:lang w:val="vi-VN"/>
        </w:rPr>
        <w:t xml:space="preserve"> </w:t>
      </w:r>
      <w:r w:rsidR="00897FFC" w:rsidRPr="002D1588">
        <w:rPr>
          <w:rFonts w:cs="Times New Roman"/>
          <w:spacing w:val="-2"/>
        </w:rPr>
        <w:t xml:space="preserve">Email: </w:t>
      </w:r>
      <w:hyperlink r:id="rId1" w:history="1">
        <w:r w:rsidR="00897FFC" w:rsidRPr="00E725D1">
          <w:rPr>
            <w:rStyle w:val="Hyperlink"/>
          </w:rPr>
          <w:t>pttdung@hcmulaw.edu.vn</w:t>
        </w:r>
      </w:hyperlink>
      <w:r w:rsidR="00897FFC">
        <w:rPr>
          <w:lang w:val="vi-V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63A1855"/>
    <w:multiLevelType w:val="multilevel"/>
    <w:tmpl w:val="2F400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hideSpellingErrors/>
  <w:hideGrammaticalErrors/>
  <w:defaultTabStop w:val="720"/>
  <w:characterSpacingControl w:val="doNotCompress"/>
  <w:hdrShapeDefaults>
    <o:shapedefaults v:ext="edit" spidmax="2049">
      <v:textbox inset="5.85pt,.7pt,5.85pt,.7pt"/>
    </o:shapedefaults>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255FB"/>
    <w:rsid w:val="000452F9"/>
    <w:rsid w:val="0008495B"/>
    <w:rsid w:val="00097731"/>
    <w:rsid w:val="000D02DA"/>
    <w:rsid w:val="00100186"/>
    <w:rsid w:val="00105F23"/>
    <w:rsid w:val="00190FC8"/>
    <w:rsid w:val="001A67FD"/>
    <w:rsid w:val="001B5420"/>
    <w:rsid w:val="001D1F3F"/>
    <w:rsid w:val="002100AE"/>
    <w:rsid w:val="00230B4C"/>
    <w:rsid w:val="002334D9"/>
    <w:rsid w:val="0024049F"/>
    <w:rsid w:val="002639BD"/>
    <w:rsid w:val="00263F22"/>
    <w:rsid w:val="002830A9"/>
    <w:rsid w:val="002835DB"/>
    <w:rsid w:val="00291EBB"/>
    <w:rsid w:val="002B27BE"/>
    <w:rsid w:val="002D1588"/>
    <w:rsid w:val="002E660C"/>
    <w:rsid w:val="00316775"/>
    <w:rsid w:val="003334C2"/>
    <w:rsid w:val="00352213"/>
    <w:rsid w:val="00352D49"/>
    <w:rsid w:val="00355913"/>
    <w:rsid w:val="00374F3D"/>
    <w:rsid w:val="00385D90"/>
    <w:rsid w:val="003943D0"/>
    <w:rsid w:val="003B2CC0"/>
    <w:rsid w:val="003B7797"/>
    <w:rsid w:val="003C1DED"/>
    <w:rsid w:val="003E053B"/>
    <w:rsid w:val="003E395E"/>
    <w:rsid w:val="003E7F04"/>
    <w:rsid w:val="00413B55"/>
    <w:rsid w:val="004161C4"/>
    <w:rsid w:val="00486E01"/>
    <w:rsid w:val="00492B4B"/>
    <w:rsid w:val="004B180F"/>
    <w:rsid w:val="004F256B"/>
    <w:rsid w:val="00524C90"/>
    <w:rsid w:val="00531702"/>
    <w:rsid w:val="00534412"/>
    <w:rsid w:val="00536236"/>
    <w:rsid w:val="0055247B"/>
    <w:rsid w:val="0055635B"/>
    <w:rsid w:val="005A7D80"/>
    <w:rsid w:val="005D200D"/>
    <w:rsid w:val="005E6521"/>
    <w:rsid w:val="005F4AE4"/>
    <w:rsid w:val="0060356B"/>
    <w:rsid w:val="00622A07"/>
    <w:rsid w:val="006505BE"/>
    <w:rsid w:val="00660CAB"/>
    <w:rsid w:val="00690757"/>
    <w:rsid w:val="006A0AE2"/>
    <w:rsid w:val="006D5B06"/>
    <w:rsid w:val="006F01BE"/>
    <w:rsid w:val="00722EDE"/>
    <w:rsid w:val="007270FC"/>
    <w:rsid w:val="00731225"/>
    <w:rsid w:val="007507FE"/>
    <w:rsid w:val="00762AAD"/>
    <w:rsid w:val="007B54D6"/>
    <w:rsid w:val="0084425D"/>
    <w:rsid w:val="00871571"/>
    <w:rsid w:val="00881C36"/>
    <w:rsid w:val="008856AD"/>
    <w:rsid w:val="00897FFC"/>
    <w:rsid w:val="008F53A1"/>
    <w:rsid w:val="00906B59"/>
    <w:rsid w:val="00934FC5"/>
    <w:rsid w:val="00942596"/>
    <w:rsid w:val="00943C2F"/>
    <w:rsid w:val="00950C30"/>
    <w:rsid w:val="009627F9"/>
    <w:rsid w:val="0099284F"/>
    <w:rsid w:val="009A2266"/>
    <w:rsid w:val="009E2438"/>
    <w:rsid w:val="009F046B"/>
    <w:rsid w:val="009F2FC1"/>
    <w:rsid w:val="00A01970"/>
    <w:rsid w:val="00A1301C"/>
    <w:rsid w:val="00A40310"/>
    <w:rsid w:val="00A43867"/>
    <w:rsid w:val="00A6273B"/>
    <w:rsid w:val="00A6559E"/>
    <w:rsid w:val="00A8276B"/>
    <w:rsid w:val="00AA0B64"/>
    <w:rsid w:val="00AB1BE1"/>
    <w:rsid w:val="00AB40B0"/>
    <w:rsid w:val="00AD18C5"/>
    <w:rsid w:val="00AD29B9"/>
    <w:rsid w:val="00AD7745"/>
    <w:rsid w:val="00AE1120"/>
    <w:rsid w:val="00B13FAF"/>
    <w:rsid w:val="00B53319"/>
    <w:rsid w:val="00B641E1"/>
    <w:rsid w:val="00BA7885"/>
    <w:rsid w:val="00BD19F5"/>
    <w:rsid w:val="00C14BD2"/>
    <w:rsid w:val="00C40C65"/>
    <w:rsid w:val="00C47E23"/>
    <w:rsid w:val="00C51D2A"/>
    <w:rsid w:val="00C863B2"/>
    <w:rsid w:val="00C86B20"/>
    <w:rsid w:val="00CD3D29"/>
    <w:rsid w:val="00CD5CC3"/>
    <w:rsid w:val="00CE3B80"/>
    <w:rsid w:val="00D02C31"/>
    <w:rsid w:val="00D13835"/>
    <w:rsid w:val="00D27A4B"/>
    <w:rsid w:val="00D32C1E"/>
    <w:rsid w:val="00D3302B"/>
    <w:rsid w:val="00D84728"/>
    <w:rsid w:val="00DA4167"/>
    <w:rsid w:val="00DC5B1A"/>
    <w:rsid w:val="00DC5BCF"/>
    <w:rsid w:val="00DD1C98"/>
    <w:rsid w:val="00DD7139"/>
    <w:rsid w:val="00DE422F"/>
    <w:rsid w:val="00E2595C"/>
    <w:rsid w:val="00E40940"/>
    <w:rsid w:val="00E60357"/>
    <w:rsid w:val="00E9262E"/>
    <w:rsid w:val="00E95596"/>
    <w:rsid w:val="00EB35B5"/>
    <w:rsid w:val="00EC1FC8"/>
    <w:rsid w:val="00EC6ACB"/>
    <w:rsid w:val="00ED0941"/>
    <w:rsid w:val="00ED4AE4"/>
    <w:rsid w:val="00EE6618"/>
    <w:rsid w:val="00F03E1A"/>
    <w:rsid w:val="00F63596"/>
    <w:rsid w:val="00F675E2"/>
    <w:rsid w:val="00F80056"/>
    <w:rsid w:val="00F80631"/>
    <w:rsid w:val="00F907C6"/>
    <w:rsid w:val="00FB2BFF"/>
    <w:rsid w:val="00FD63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B67F09"/>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7BE"/>
    <w:pPr>
      <w:spacing w:before="120" w:after="60" w:line="276" w:lineRule="auto"/>
      <w:ind w:firstLine="720"/>
      <w:jc w:val="both"/>
    </w:pPr>
    <w:rPr>
      <w:rFonts w:ascii="Times New Roman" w:eastAsia="Times New Roman" w:hAnsi="Times New Roman" w:cs="B Za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
    <w:name w:val="Unresolved Mention1"/>
    <w:basedOn w:val="DefaultParagraphFont"/>
    <w:uiPriority w:val="99"/>
    <w:semiHidden/>
    <w:unhideWhenUsed/>
    <w:rsid w:val="002D1588"/>
    <w:rPr>
      <w:color w:val="605E5C"/>
      <w:shd w:val="clear" w:color="auto" w:fill="E1DFDD"/>
    </w:rPr>
  </w:style>
  <w:style w:type="table" w:styleId="TableGrid">
    <w:name w:val="Table Grid"/>
    <w:basedOn w:val="TableNormal"/>
    <w:uiPriority w:val="39"/>
    <w:rsid w:val="00A1301C"/>
    <w:pPr>
      <w:spacing w:after="0" w:line="240" w:lineRule="auto"/>
    </w:pPr>
    <w:rPr>
      <w:rFonts w:ascii="Times New Roman" w:eastAsia="MS Mincho" w:hAnsi="Times New Roman"/>
      <w:kern w:val="2"/>
      <w:sz w:val="26"/>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B27BE"/>
    <w:pPr>
      <w:spacing w:after="0" w:line="240" w:lineRule="auto"/>
    </w:pPr>
    <w:rPr>
      <w:rFonts w:ascii="Times New Roman" w:eastAsia="MS Mincho" w:hAnsi="Times New Roman"/>
      <w:kern w:val="2"/>
      <w:sz w:val="26"/>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B27BE"/>
    <w:pPr>
      <w:spacing w:after="0" w:line="240" w:lineRule="auto"/>
    </w:pPr>
    <w:rPr>
      <w:rFonts w:ascii="Times New Roman" w:eastAsia="MS Mincho" w:hAnsi="Times New Roman"/>
      <w:kern w:val="2"/>
      <w:sz w:val="26"/>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B27BE"/>
    <w:pPr>
      <w:spacing w:after="0" w:line="240" w:lineRule="auto"/>
    </w:pPr>
    <w:rPr>
      <w:rFonts w:ascii="Times New Roman" w:eastAsia="MS Mincho" w:hAnsi="Times New Roman"/>
      <w:kern w:val="2"/>
      <w:sz w:val="26"/>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595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95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51837">
      <w:bodyDiv w:val="1"/>
      <w:marLeft w:val="0"/>
      <w:marRight w:val="0"/>
      <w:marTop w:val="0"/>
      <w:marBottom w:val="0"/>
      <w:divBdr>
        <w:top w:val="none" w:sz="0" w:space="0" w:color="auto"/>
        <w:left w:val="none" w:sz="0" w:space="0" w:color="auto"/>
        <w:bottom w:val="none" w:sz="0" w:space="0" w:color="auto"/>
        <w:right w:val="none" w:sz="0" w:space="0" w:color="auto"/>
      </w:divBdr>
    </w:div>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1080/14794802.2015.1112301" TargetMode="External"/><Relationship Id="rId26" Type="http://schemas.openxmlformats.org/officeDocument/2006/relationships/hyperlink" Target="https://doi.org/10.21618/fil2225240i" TargetMode="External"/><Relationship Id="rId39" Type="http://schemas.openxmlformats.org/officeDocument/2006/relationships/hyperlink" Target="https://doi.org/10.1016/j.joi.2018.02.005" TargetMode="External"/><Relationship Id="rId21" Type="http://schemas.openxmlformats.org/officeDocument/2006/relationships/hyperlink" Target="https://doi.org/10.1515/iral-2024-0079" TargetMode="External"/><Relationship Id="rId34" Type="http://schemas.openxmlformats.org/officeDocument/2006/relationships/hyperlink" Target="https://doi.org/10.54855/callej.252638" TargetMode="External"/><Relationship Id="rId42" Type="http://schemas.openxmlformats.org/officeDocument/2006/relationships/hyperlink" Target="https://doi.org/10.1080/13670050.2020.1798869"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7/0306302483222002" TargetMode="External"/><Relationship Id="rId29" Type="http://schemas.openxmlformats.org/officeDocument/2006/relationships/hyperlink" Target="https://doi.org/10.1177/074108832412868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016/j.jeap.2005.11.001" TargetMode="External"/><Relationship Id="rId32" Type="http://schemas.openxmlformats.org/officeDocument/2006/relationships/hyperlink" Target="https://doi.org/10.1016/j.linged.2017.12.001" TargetMode="External"/><Relationship Id="rId37" Type="http://schemas.openxmlformats.org/officeDocument/2006/relationships/hyperlink" Target="https://doi.org/10.1080/23247797.2018.1538358" TargetMode="External"/><Relationship Id="rId40" Type="http://schemas.openxmlformats.org/officeDocument/2006/relationships/hyperlink" Target="https://doi.org/10.1007/978-3-540-73589-6_23" TargetMode="External"/><Relationship Id="rId45" Type="http://schemas.openxmlformats.org/officeDocument/2006/relationships/hyperlink" Target="https://doi.org/10.28991/esj-2021-01278" TargetMode="External"/><Relationship Id="rId5" Type="http://schemas.openxmlformats.org/officeDocument/2006/relationships/webSettings" Target="webSettings.xml"/><Relationship Id="rId15" Type="http://schemas.openxmlformats.org/officeDocument/2006/relationships/hyperlink" Target="https://doi.org/10.1016/j.joi.2017.08.007" TargetMode="External"/><Relationship Id="rId23" Type="http://schemas.openxmlformats.org/officeDocument/2006/relationships/hyperlink" Target="https://doi.org/10.15443/RL3550" TargetMode="External"/><Relationship Id="rId28" Type="http://schemas.openxmlformats.org/officeDocument/2006/relationships/hyperlink" Target="https://doi.org/10.1177/0741088313515170" TargetMode="External"/><Relationship Id="rId36" Type="http://schemas.openxmlformats.org/officeDocument/2006/relationships/hyperlink" Target="https://doi.org/10.1108/JARHE-06-2022-0187" TargetMode="External"/><Relationship Id="rId10" Type="http://schemas.openxmlformats.org/officeDocument/2006/relationships/image" Target="media/image3.emf"/><Relationship Id="rId19" Type="http://schemas.openxmlformats.org/officeDocument/2006/relationships/hyperlink" Target="https://doi.org/10.1080/09500782.2025.2521432" TargetMode="External"/><Relationship Id="rId31" Type="http://schemas.openxmlformats.org/officeDocument/2006/relationships/hyperlink" Target="https://doi.org/10.1080/14708477.2012.722099" TargetMode="External"/><Relationship Id="rId44" Type="http://schemas.openxmlformats.org/officeDocument/2006/relationships/hyperlink" Target="https://doi.org/10.1515/text-2018-0017"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doi.org/10.14742/ajet.9487" TargetMode="External"/><Relationship Id="rId22" Type="http://schemas.openxmlformats.org/officeDocument/2006/relationships/hyperlink" Target="https://doi.org/10.1016/j.jeap.2024.101428" TargetMode="External"/><Relationship Id="rId27" Type="http://schemas.openxmlformats.org/officeDocument/2006/relationships/hyperlink" Target="https://doi.org/10.1007/s11192-019-03372-4" TargetMode="External"/><Relationship Id="rId30" Type="http://schemas.openxmlformats.org/officeDocument/2006/relationships/hyperlink" Target="https://doi.org/10.1016/j.linged.2014.10.002" TargetMode="External"/><Relationship Id="rId35" Type="http://schemas.openxmlformats.org/officeDocument/2006/relationships/hyperlink" Target="https://doi.org/10.1186/s40554-015-0013-x" TargetMode="External"/><Relationship Id="rId43" Type="http://schemas.openxmlformats.org/officeDocument/2006/relationships/hyperlink" Target="https://doi.org/10.17507/jltr.0705.23" TargetMode="Externa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doi.org/10.1108/BPMJ-08-2018-0256" TargetMode="External"/><Relationship Id="rId25" Type="http://schemas.openxmlformats.org/officeDocument/2006/relationships/hyperlink" Target="https://doi.org/10.17509/ijal.v12i3.55170" TargetMode="External"/><Relationship Id="rId33" Type="http://schemas.openxmlformats.org/officeDocument/2006/relationships/hyperlink" Target="https://doi.org/10.17509/ijal.v14i2.74890" TargetMode="External"/><Relationship Id="rId38" Type="http://schemas.openxmlformats.org/officeDocument/2006/relationships/hyperlink" Target="https://doi.org/10.1016/j.jeap.2020.100931" TargetMode="External"/><Relationship Id="rId46" Type="http://schemas.openxmlformats.org/officeDocument/2006/relationships/fontTable" Target="fontTable.xml"/><Relationship Id="rId20" Type="http://schemas.openxmlformats.org/officeDocument/2006/relationships/hyperlink" Target="https://doi.org/10.1177/0033688217716508" TargetMode="External"/><Relationship Id="rId41" Type="http://schemas.openxmlformats.org/officeDocument/2006/relationships/hyperlink" Target="https://doi.org/10.30564/fls.v7i5.887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pttdung@hcmulaw.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FE147-2B88-48CD-AE76-6F48C9AFF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6595</Words>
  <Characters>37596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Administrator</cp:lastModifiedBy>
  <cp:revision>20</cp:revision>
  <dcterms:created xsi:type="dcterms:W3CDTF">2026-04-30T12:37:00Z</dcterms:created>
  <dcterms:modified xsi:type="dcterms:W3CDTF">2026-07-03T07:26:00Z</dcterms:modified>
</cp:coreProperties>
</file>