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5DD" w:rsidRDefault="00000000">
      <w:pPr>
        <w:pStyle w:val="RALs-Title"/>
      </w:pPr>
      <w:r>
        <w:t>Exploring the Effects of AI-Mediated Low-Stakes Practice on Speaking Anxiety in Vietnamese EFL Classrooms: A Quasi-Experimental Study</w:t>
      </w:r>
    </w:p>
    <w:p w:rsidR="00AA45DD" w:rsidRDefault="00144D9F">
      <w:pPr>
        <w:pStyle w:val="RALs-Authors"/>
      </w:pPr>
      <w:r>
        <w:t xml:space="preserve">Minh </w:t>
      </w:r>
      <w:r w:rsidR="00B72A89">
        <w:t xml:space="preserve">Hang Le </w:t>
      </w:r>
      <w:r w:rsidR="00B72A89">
        <w:rPr>
          <w:vertAlign w:val="superscript"/>
        </w:rPr>
        <w:t>1</w:t>
      </w:r>
    </w:p>
    <w:p w:rsidR="00AA45DD" w:rsidRDefault="00AA45DD">
      <w:pPr>
        <w:pStyle w:val="RALs-HeadingsNoIndent"/>
      </w:pPr>
    </w:p>
    <w:p w:rsidR="00AA45DD" w:rsidRPr="00B47B8C" w:rsidRDefault="00000000" w:rsidP="00CF02D6">
      <w:pPr>
        <w:pStyle w:val="RALs-HeadingsNoIndent"/>
        <w:spacing w:line="240" w:lineRule="auto"/>
        <w:rPr>
          <w:sz w:val="24"/>
          <w:szCs w:val="24"/>
        </w:rPr>
      </w:pPr>
      <w:r w:rsidRPr="00B47B8C">
        <w:rPr>
          <w:sz w:val="24"/>
          <w:szCs w:val="24"/>
        </w:rPr>
        <w:t>Abstract</w:t>
      </w:r>
    </w:p>
    <w:p w:rsidR="00B72A89" w:rsidRPr="00B47B8C" w:rsidRDefault="00B72A89" w:rsidP="00CF02D6">
      <w:pPr>
        <w:spacing w:line="240" w:lineRule="auto"/>
        <w:rPr>
          <w:rFonts w:cs="Times New Roman"/>
          <w:color w:val="141413"/>
          <w:sz w:val="24"/>
          <w:szCs w:val="24"/>
          <w:lang w:val="en-VN"/>
        </w:rPr>
      </w:pPr>
      <w:r w:rsidRPr="00B47B8C">
        <w:rPr>
          <w:rFonts w:cs="Times New Roman"/>
          <w:color w:val="141413"/>
          <w:sz w:val="24"/>
          <w:szCs w:val="24"/>
          <w:lang w:val="en-VN"/>
        </w:rPr>
        <w:t>Speaking anxiety continues to constrain learners' participation and oral performance in English-as-a-Foreign-Language (EFL) classrooms. Although recent work has examined the use of artificial intelligence (AI) in language learning, its role in addressing affective factors remains insufficiently investigated. This study examines the effects of AI-mediated low-stakes practice on speaking anxiety among Vietnamese university students. A quasi-experimental design was implemented with two intact classes of 64 second-year English-majored students at a Vietnamese university. The experimental group engaged in AI-supported speaking activities, including guided role-plays and repeated practice using conversational AI tools over a six-week period, while the control group followed conventional speaking instruction. Data were collected through pre- and post-tests using a speaking anxiety questionnaire adapted from the Foreign Language Classroom Anxiety Scale (FLCAS) and an analytic speaking rubric. The results indicate that students in the experimental group reported significantly lower levels of speaking anxiety and higher levels of confidence compared to those in the control group. Student feedback further suggests that AI-mediated practice enabled repeated, low-pressure exposure and reduced concerns about negative evaluation. The findings provide empirical support for the integration of AI-mediated low-stakes activities in speaking instruction as a means of addressing affective constraints and supporting learner participation in EFL contexts.</w:t>
      </w:r>
    </w:p>
    <w:p w:rsidR="00B72A89" w:rsidRPr="00B47B8C" w:rsidRDefault="00B72A89" w:rsidP="00CF02D6">
      <w:pPr>
        <w:spacing w:line="240" w:lineRule="auto"/>
        <w:rPr>
          <w:rFonts w:cs="Times New Roman"/>
          <w:sz w:val="24"/>
          <w:szCs w:val="24"/>
          <w:lang w:val="en-VN"/>
        </w:rPr>
      </w:pPr>
    </w:p>
    <w:p w:rsidR="00B72A89" w:rsidRPr="00B47B8C" w:rsidRDefault="00B72A89" w:rsidP="00B72A89">
      <w:pPr>
        <w:pStyle w:val="NormalWeb"/>
      </w:pPr>
      <w:r w:rsidRPr="00B47B8C">
        <w:t>    </w:t>
      </w:r>
      <w:r w:rsidRPr="00B47B8C">
        <w:rPr>
          <w:rStyle w:val="Emphasis"/>
          <w:b/>
          <w:bCs/>
        </w:rPr>
        <w:t>Keywords:</w:t>
      </w:r>
      <w:r w:rsidRPr="00B47B8C">
        <w:t xml:space="preserve"> AI-mediated learning, speaking anxiety, low-stakes practice, EFL classrooms, quasi-experimental design</w:t>
      </w:r>
    </w:p>
    <w:p w:rsidR="00AA45DD" w:rsidRPr="00B47B8C" w:rsidRDefault="00AA45DD">
      <w:pPr>
        <w:rPr>
          <w:sz w:val="24"/>
          <w:szCs w:val="24"/>
        </w:rPr>
      </w:pPr>
    </w:p>
    <w:p w:rsidR="00AA45DD" w:rsidRPr="00CF02D6" w:rsidRDefault="00000000">
      <w:pPr>
        <w:pStyle w:val="RALs-Heading1"/>
        <w:rPr>
          <w:sz w:val="24"/>
          <w:szCs w:val="24"/>
        </w:rPr>
      </w:pPr>
      <w:r w:rsidRPr="00CF02D6">
        <w:rPr>
          <w:sz w:val="24"/>
          <w:szCs w:val="24"/>
        </w:rPr>
        <w:t>1. Introduction</w:t>
      </w:r>
    </w:p>
    <w:p w:rsidR="00AA45DD" w:rsidRPr="00CF02D6" w:rsidRDefault="00000000">
      <w:pPr>
        <w:rPr>
          <w:sz w:val="24"/>
          <w:szCs w:val="24"/>
        </w:rPr>
      </w:pPr>
      <w:r w:rsidRPr="00CF02D6">
        <w:rPr>
          <w:sz w:val="24"/>
          <w:szCs w:val="24"/>
        </w:rPr>
        <w:t>Speaking is widely regarded as the most anxiety-provoking skill in foreign language learning (Horwitz et al., 1986; Young, 1991). Horwitz et al. (1986) identified three interrelated components of foreign language anxiety (FLA): communication apprehension, fear of negative evaluation, and test anxiety. Subsequent factor-analytic work confirmed the distinctiveness of speaking anxiety within the broader FLA construct (Aida, 1994). Of these three components, fear of negative evaluation has been most consistently associated with speaking reticence in EFL contexts (MacIntyre &amp; Gardner, 1994; Teimouri et al., 2019; Young, 1991). In English-as-a-Foreign-Language (EFL) settings, speaking anxiety frequently undermines participation and overall oral performance (Liu &amp; Jackson, 2008; Woodrow, 2006). Meta-analytic evidence confirms that the negative relationship between anxiety and L2 achievement is robust, with speaking consistently the most susceptible domain (Teimouri et al., 2019).</w:t>
      </w:r>
    </w:p>
    <w:p w:rsidR="00AA45DD" w:rsidRPr="00A53FB2" w:rsidRDefault="00000000">
      <w:pPr>
        <w:rPr>
          <w:bCs/>
          <w:sz w:val="24"/>
          <w:szCs w:val="24"/>
        </w:rPr>
      </w:pPr>
      <w:r w:rsidRPr="00CF02D6">
        <w:rPr>
          <w:sz w:val="24"/>
          <w:szCs w:val="24"/>
        </w:rPr>
        <w:lastRenderedPageBreak/>
        <w:t>Vietnamese EFL classrooms present a particularly acute instance. Large class sizes, examination-oriented curricula, and Confucian-heritage norms that privilege face preservation interact synergistically to compound speaking anxiety (Bao, 2013; Le, 2011). Truong and Ho (2022), in a study of 297 Vietnamese freshmen, confirmed that speaking anxiety remains pervasive, with communication apprehension, fear of negative evaluation, and test anxiety all contributing to students’ reluctance to speak. Tran and Moni (2015) further showed that Vietnamese learners’ reticence was mediated by collectivist norms of passive reception.</w:t>
      </w:r>
      <w:r w:rsidRPr="00CF02D6">
        <w:rPr>
          <w:b/>
          <w:sz w:val="24"/>
          <w:szCs w:val="24"/>
        </w:rPr>
        <w:t xml:space="preserve"> </w:t>
      </w:r>
      <w:r w:rsidRPr="00A53FB2">
        <w:rPr>
          <w:bCs/>
          <w:sz w:val="24"/>
          <w:szCs w:val="24"/>
        </w:rPr>
        <w:t>Despite the well-documented severity of this problem, no systematic attempt has been made to investigate whether emerging AI technologies can alleviate speaking anxiety in Vietnamese higher education. This absence is particularly problematic given that Vietnam’s Ministry of Education and Training has actively promoted technology integration in foreign language teaching, yet empirical evidence to guide AI-mediated pedagogical practices in this context remains unavailable.</w:t>
      </w:r>
    </w:p>
    <w:p w:rsidR="0014790F" w:rsidRPr="00A53FB2" w:rsidRDefault="00000000">
      <w:pPr>
        <w:rPr>
          <w:bCs/>
          <w:sz w:val="24"/>
          <w:szCs w:val="24"/>
        </w:rPr>
      </w:pPr>
      <w:r w:rsidRPr="00A53FB2">
        <w:rPr>
          <w:bCs/>
          <w:sz w:val="24"/>
          <w:szCs w:val="24"/>
        </w:rPr>
        <w:t>The motivation for this study arose from a recurring observation in Vietnamese university speaking classrooms: students who demonstrate strong grammatical knowledge and reading comprehension in written assessments become visibly anxious and largely silent when asked to speak. In classes of 40 to 50 students, it is not uncommon for only three or four to voluntarily contribute to oral activities, while the majority resort to rehearsed scripts or avoid eye contact to escape being called upon. This persistent gap between what students know and what they are willing to say motivated the present investigation into whether AI-mediated practice could offer a way to break the cycle of silence.</w:t>
      </w:r>
    </w:p>
    <w:p w:rsidR="00AA45DD" w:rsidRPr="00CF02D6" w:rsidRDefault="00000000">
      <w:pPr>
        <w:rPr>
          <w:sz w:val="24"/>
          <w:szCs w:val="24"/>
        </w:rPr>
      </w:pPr>
      <w:r w:rsidRPr="00CF02D6">
        <w:rPr>
          <w:sz w:val="24"/>
          <w:szCs w:val="24"/>
        </w:rPr>
        <w:t>Against this backdrop, voice-enabled AI platforms now allow learners to practice speaking without the social pressure of face-to-face interaction (Fathi et al., 2024; Huang et al., 2022). For the purposes of this study, low-stakes practice is operationally defined as speaking activities that: (a) are not formally graded, (b) do not involve real-time performance before a peer or instructor audience, and (c) permit self-paced repetition without social consequence. This definition draws on the desirable difficulties framework (Bjork &amp; Bjork, 2011) and recent AI-mediated speaking research (Fryer et al., 2019; Fathi et al., 2024).</w:t>
      </w:r>
    </w:p>
    <w:p w:rsidR="00AA45DD" w:rsidRPr="00CF02D6" w:rsidRDefault="00000000">
      <w:pPr>
        <w:rPr>
          <w:sz w:val="24"/>
          <w:szCs w:val="24"/>
        </w:rPr>
      </w:pPr>
      <w:r w:rsidRPr="00CF02D6">
        <w:rPr>
          <w:sz w:val="24"/>
          <w:szCs w:val="24"/>
        </w:rPr>
        <w:t>The theoretical rationale draws on Krashen’s (1982) affective filter hypothesis and Horwitz et al.’s (1986) tripartite model. Despite acknowledged limitations regarding empirical testability (McLaughlin, 1987), the affective filter remains a productive heuristic, and its core prediction—that reducing anxiety facilitates acquisition—continues to receive empirical support (Teimouri et al., 2019). AI-mediated practice may lower this filter by targeting two of the three FLA components. Fear of negative evaluation is reduced because the AI interlocutor is non-judgmental and does not relay performance information to peers. Communication apprehension is attenuated because private, repeatable practice removes real-time audience pressure. Empirical support for these mechanisms comes from Zhang et al. (2024), who found reduced anxiety and increased enjoyment among Chinese EFL learners using AI chatbots, and Fathi et al. (2024), who reported improved speaking skills in an AI-mediated experimental condition. Test anxiety, tied to formal assessment contexts, is less directly addressed.</w:t>
      </w:r>
    </w:p>
    <w:p w:rsidR="00AA45DD" w:rsidRPr="00CF02D6" w:rsidRDefault="00000000">
      <w:pPr>
        <w:rPr>
          <w:sz w:val="24"/>
          <w:szCs w:val="24"/>
        </w:rPr>
      </w:pPr>
      <w:r w:rsidRPr="00CF02D6">
        <w:rPr>
          <w:sz w:val="24"/>
          <w:szCs w:val="24"/>
        </w:rPr>
        <w:t xml:space="preserve">A necessary </w:t>
      </w:r>
      <w:r w:rsidR="00A53FB2">
        <w:rPr>
          <w:sz w:val="24"/>
          <w:szCs w:val="24"/>
        </w:rPr>
        <w:t>warning</w:t>
      </w:r>
      <w:r w:rsidRPr="00CF02D6">
        <w:rPr>
          <w:sz w:val="24"/>
          <w:szCs w:val="24"/>
        </w:rPr>
        <w:t xml:space="preserve">, however, is that AI-mediated interaction is not anxiety-neutral. Speech recognition failures, unnatural turn-taking, and the sheer unfamiliarity of talking to a </w:t>
      </w:r>
      <w:r w:rsidRPr="00CF02D6">
        <w:rPr>
          <w:sz w:val="24"/>
          <w:szCs w:val="24"/>
        </w:rPr>
        <w:lastRenderedPageBreak/>
        <w:t>machine could partially offset the benefits of a non-evaluative practice space (El Shazly, 2021). Recent findings suggest such frustrations diminish as familiarity develops (Chen et al., 2025; Fathi et al., 2024).</w:t>
      </w:r>
    </w:p>
    <w:p w:rsidR="00AA45DD" w:rsidRPr="00CF02D6" w:rsidRDefault="00000000">
      <w:pPr>
        <w:rPr>
          <w:sz w:val="24"/>
          <w:szCs w:val="24"/>
        </w:rPr>
      </w:pPr>
      <w:r w:rsidRPr="00CF02D6">
        <w:rPr>
          <w:sz w:val="24"/>
          <w:szCs w:val="24"/>
        </w:rPr>
        <w:t>The empirical base, though growing rapidly, remains thin and geographically uneven. Fathi et al. (2024), in a true experimental study with 40 Iranian EFL learners, found significant improvements in speaking skills, though the small sample limits statistical power. Zhang et al. (2024) reported reduced anxiety among 99 Chinese students with moderate effect sizes. Chen et al. (2025) found significant anxiety reductions with 71 Chinese learners over eight weeks. Fathi et al. (2025) demonstrated reduced anxiety among 75 Indonesian students. These studies span East Asian, Middle Eastern, and Southeast Asian contexts, but none has examined Vietnamese higher education. A systematic search of Scopus, Web of Science, and ERIC in January 2025 using (“artificial intelligence” OR “chatbot” OR “AI”) AND (“speaking anxiety” OR “oral anxiety” OR “FLSA”) AND (“Vietnam*”) in titles, abstracts, and keywords yielded zero results.</w:t>
      </w:r>
    </w:p>
    <w:p w:rsidR="00AA45DD" w:rsidRPr="00CF02D6" w:rsidRDefault="00000000">
      <w:pPr>
        <w:rPr>
          <w:sz w:val="24"/>
          <w:szCs w:val="24"/>
        </w:rPr>
      </w:pPr>
      <w:r w:rsidRPr="00CF02D6">
        <w:rPr>
          <w:sz w:val="24"/>
          <w:szCs w:val="24"/>
        </w:rPr>
        <w:t>The present study was designed to fill this void. The inclusion of oral performance as a dependent variable is theoretically motivated: if AI-mediated practice lowers the affective filter, learners should show greater willingness to attempt output and increased engagement with input, facilitating gains in fluency and interactional competence (Krashen, 1982). Furthermore, repeated practice may develop procedural knowledge through automatization (DeKeyser, 2007). By examining anxiety sub-components alongside oral performance and learner perceptions, this study contributes not only contextual evidence from Vietnam but also a more fine-grained understanding of how AI-mediated low-stakes practice may influence affective and communicative dimensions of EFL speaking development. Accordingly, this study pursues three specific objectives: (1) to measure the effect of AI-mediated low-stakes practice on total and sub-component speaking anxiety; (2) to assess whether anxiety reduction translates into measurable improvements in oral performance; and (3) to explore students’ lived experiences with AI-mediated practice through qualitative inquiry. The study is guided by the following research questions:</w:t>
      </w:r>
    </w:p>
    <w:p w:rsidR="00AA45DD" w:rsidRPr="00CF02D6" w:rsidRDefault="00000000">
      <w:pPr>
        <w:pStyle w:val="RALs-Normal-NoIndent"/>
        <w:rPr>
          <w:sz w:val="24"/>
          <w:szCs w:val="24"/>
        </w:rPr>
      </w:pPr>
      <w:r w:rsidRPr="00CF02D6">
        <w:rPr>
          <w:sz w:val="24"/>
          <w:szCs w:val="24"/>
        </w:rPr>
        <w:t>RQ1: To what extent does AI-mediated low-stakes speaking practice reduce foreign language speaking anxiety among Vietnamese EFL university students?</w:t>
      </w:r>
    </w:p>
    <w:p w:rsidR="00AA45DD" w:rsidRPr="00CF02D6" w:rsidRDefault="00000000">
      <w:pPr>
        <w:pStyle w:val="RALs-Normal-NoIndent"/>
        <w:rPr>
          <w:sz w:val="24"/>
          <w:szCs w:val="24"/>
        </w:rPr>
      </w:pPr>
      <w:r w:rsidRPr="00CF02D6">
        <w:rPr>
          <w:sz w:val="24"/>
          <w:szCs w:val="24"/>
        </w:rPr>
        <w:t>RQ2: What are the effects of AI-mediated low-stakes speaking practice on students’ oral performance as measured by an analytic speaking rubric?</w:t>
      </w:r>
    </w:p>
    <w:p w:rsidR="00AA45DD" w:rsidRPr="00CF02D6" w:rsidRDefault="00000000">
      <w:pPr>
        <w:pStyle w:val="RALs-Normal-NoIndent"/>
        <w:rPr>
          <w:sz w:val="24"/>
          <w:szCs w:val="24"/>
        </w:rPr>
      </w:pPr>
      <w:r w:rsidRPr="00CF02D6">
        <w:rPr>
          <w:sz w:val="24"/>
          <w:szCs w:val="24"/>
        </w:rPr>
        <w:t>RQ3: How do students in the experimental group perceive the role of AI-mediated practice in their speaking anxiety reduction and confidence development?</w:t>
      </w:r>
    </w:p>
    <w:p w:rsidR="00AA45DD" w:rsidRPr="00CF02D6" w:rsidRDefault="00000000">
      <w:pPr>
        <w:pStyle w:val="RALs-Heading1"/>
        <w:rPr>
          <w:sz w:val="24"/>
          <w:szCs w:val="24"/>
        </w:rPr>
      </w:pPr>
      <w:r w:rsidRPr="00CF02D6">
        <w:rPr>
          <w:sz w:val="24"/>
          <w:szCs w:val="24"/>
        </w:rPr>
        <w:t>2. Literature Review</w:t>
      </w:r>
    </w:p>
    <w:p w:rsidR="00AA45DD" w:rsidRPr="00CF02D6" w:rsidRDefault="00000000">
      <w:pPr>
        <w:pStyle w:val="RALs-Heading2"/>
        <w:rPr>
          <w:sz w:val="24"/>
          <w:szCs w:val="24"/>
        </w:rPr>
      </w:pPr>
      <w:r w:rsidRPr="00CF02D6">
        <w:rPr>
          <w:sz w:val="24"/>
          <w:szCs w:val="24"/>
        </w:rPr>
        <w:t>2.1. Methodological Evolution in AI-Mediated Speaking Research</w:t>
      </w:r>
    </w:p>
    <w:p w:rsidR="00AA45DD" w:rsidRPr="00CF02D6" w:rsidRDefault="00000000">
      <w:pPr>
        <w:rPr>
          <w:sz w:val="24"/>
          <w:szCs w:val="24"/>
        </w:rPr>
      </w:pPr>
      <w:r w:rsidRPr="00CF02D6">
        <w:rPr>
          <w:sz w:val="24"/>
          <w:szCs w:val="24"/>
        </w:rPr>
        <w:t xml:space="preserve">The rapid proliferation of generative AI tools has prompted a wave of review studies mapping the evolving landscape. Crompton et al. (2024), in a systematic review of 42 studies on AI in English language teaching, found that speaking was among the skills most frequently supported by AI, yet affective outcomes remained underexamined. Koç and Savaş (2025), in a </w:t>
      </w:r>
      <w:r w:rsidRPr="00CF02D6">
        <w:rPr>
          <w:sz w:val="24"/>
          <w:szCs w:val="24"/>
        </w:rPr>
        <w:lastRenderedPageBreak/>
        <w:t>meta-synthesis of 57 studies on voice-based AI chatbots, noted a conspicuous absence of research applying the FLA framework to AI-mediated speaking practice. Earlier work focused primarily on cognitive and linguistic outcomes. Bibauw et al. (2022) synthesized dialogue-based CALL findings and reported moderate effects on vocabulary and grammar, noting that affective outcomes were rarely primary variables. Huang et al. (2022) concluded that most chatbot studies emphasized linguistic accuracy over anxiety. Kim et al. (2021) and Jeon (2022) provided early qualitative evidence that learners valued non-judgmental AI interaction, but both lacked control groups. The landscape has since improved: Fathi et al. (2024) employed a true experimental design, Zhang et al. (2024) included validated anxiety instruments, and Chen et al. (2025) demonstrated that longer interventions (eight weeks) may yield more robust affective outcomes. Wu and Li (2024), in a recent meta-analysis, reported a substantial overall effect of AI-enhanced instruction on speaking proficiency, though affective outcomes were not separately meta-analyzed. However, no study has examined sub-component effects across the FLA construct (CA, FNE, TA separately). In summary, existing studies demonstrate promising effects of AI-mediated speaking practice, but three limitations persist: limited attention to affective mechanisms beyond total anxiety scores, underrepresentation of Vietnamese and other ASEAN learners, and insufficient analysis of how AI practice differentially affects FLA sub-components. The present study addresses all three gaps.</w:t>
      </w:r>
    </w:p>
    <w:p w:rsidR="00AA45DD" w:rsidRPr="00CF02D6" w:rsidRDefault="00000000">
      <w:pPr>
        <w:pStyle w:val="RALs-Heading2"/>
        <w:rPr>
          <w:sz w:val="24"/>
          <w:szCs w:val="24"/>
        </w:rPr>
      </w:pPr>
      <w:r w:rsidRPr="00CF02D6">
        <w:rPr>
          <w:sz w:val="24"/>
          <w:szCs w:val="24"/>
        </w:rPr>
        <w:t>2.2. The Vietnamese EFL Context: Sociocultural Amplifiers</w:t>
      </w:r>
    </w:p>
    <w:p w:rsidR="00AA45DD" w:rsidRPr="00CF02D6" w:rsidRDefault="00000000">
      <w:pPr>
        <w:rPr>
          <w:sz w:val="24"/>
          <w:szCs w:val="24"/>
        </w:rPr>
      </w:pPr>
      <w:r w:rsidRPr="00CF02D6">
        <w:rPr>
          <w:sz w:val="24"/>
          <w:szCs w:val="24"/>
        </w:rPr>
        <w:t>Bao (2013) argued that Confucian-heritage values create a deference-to-authority dynamic rendering student-initiated speech an implicit norm violation. Truong and Ho (2022), surveying 297 Vietnamese freshmen, found that all three FLA components contributed to speaking anxiety, with assessment-related concerns particularly salient, suggesting that Vietnamese examination-oriented culture may intensify FLA beyond what is observed in contexts with more formative evaluation traditions. This profile suggests that an AI-mediated intervention could be particularly effective in Vietnam, but also raises the question of whether technology anxiety may be more pronounced in developing infrastructure contexts. Nguyen and Nguyen (2023) found positive Vietnamese EFL student attitudes toward AI writing tools, but did not address oral skills.</w:t>
      </w:r>
    </w:p>
    <w:p w:rsidR="00AA45DD" w:rsidRPr="00CF02D6" w:rsidRDefault="00000000">
      <w:pPr>
        <w:pStyle w:val="RALs-Heading2"/>
        <w:rPr>
          <w:sz w:val="24"/>
          <w:szCs w:val="24"/>
        </w:rPr>
      </w:pPr>
      <w:r w:rsidRPr="00CF02D6">
        <w:rPr>
          <w:sz w:val="24"/>
          <w:szCs w:val="24"/>
        </w:rPr>
        <w:t>2.3. Desirable Difficulties and the Affective Filter: Convergent Frameworks</w:t>
      </w:r>
    </w:p>
    <w:p w:rsidR="00AA45DD" w:rsidRPr="00CF02D6" w:rsidRDefault="00000000">
      <w:pPr>
        <w:rPr>
          <w:sz w:val="24"/>
          <w:szCs w:val="24"/>
        </w:rPr>
      </w:pPr>
      <w:r w:rsidRPr="00CF02D6">
        <w:rPr>
          <w:sz w:val="24"/>
          <w:szCs w:val="24"/>
        </w:rPr>
        <w:t>This study draws on two convergent frameworks. Krashen’s (1982) affective filter operates at the input-processing level: anxiety blocks comprehensible input. The desirable difficulties framework (Bjork &amp; Bjork, 2011) operates at the practice-design level: optimal learning requires challenge without threat. They converge in predicting that low-stakes AI practice should benefit learners but differ in mechanism—reduced input blockage (Krashen) versus optimized practice conditions (Bjork &amp; Bjork). The mixed-methods design allows exploration of both: quantitative anxiety reduction maps onto the affective filter, while qualitative reports of automatization map onto desirable difficulties. Additionally, DeKeyser’s (2007) skill acquisition framework predicts that repeated practice develops procedural knowledge, enabling more fluent production—directly testable through dimension-level speaking performance analysis.</w:t>
      </w:r>
    </w:p>
    <w:p w:rsidR="00AA45DD" w:rsidRPr="00CF02D6" w:rsidRDefault="00000000">
      <w:pPr>
        <w:pStyle w:val="RALs-Heading1"/>
        <w:rPr>
          <w:sz w:val="24"/>
          <w:szCs w:val="24"/>
        </w:rPr>
      </w:pPr>
      <w:r w:rsidRPr="00CF02D6">
        <w:rPr>
          <w:sz w:val="24"/>
          <w:szCs w:val="24"/>
        </w:rPr>
        <w:lastRenderedPageBreak/>
        <w:t>3. Methodology</w:t>
      </w:r>
    </w:p>
    <w:p w:rsidR="00AA45DD" w:rsidRPr="00CF02D6" w:rsidRDefault="00000000">
      <w:pPr>
        <w:pStyle w:val="RALs-Heading2"/>
        <w:rPr>
          <w:sz w:val="24"/>
          <w:szCs w:val="24"/>
        </w:rPr>
      </w:pPr>
      <w:r w:rsidRPr="00CF02D6">
        <w:rPr>
          <w:sz w:val="24"/>
          <w:szCs w:val="24"/>
        </w:rPr>
        <w:t>3.1. Research Design</w:t>
      </w:r>
    </w:p>
    <w:p w:rsidR="00AA45DD" w:rsidRPr="00CF02D6" w:rsidRDefault="00000000">
      <w:pPr>
        <w:rPr>
          <w:sz w:val="24"/>
          <w:szCs w:val="24"/>
        </w:rPr>
      </w:pPr>
      <w:r w:rsidRPr="00CF02D6">
        <w:rPr>
          <w:sz w:val="24"/>
          <w:szCs w:val="24"/>
        </w:rPr>
        <w:t>This study employed a quasi-experimental pretest–posttest non-equivalent control group design (Creswell &amp; Creswell, 2018). Two intact classes of second-year English-major students at a Vietnamese university were assigned as experimental (n = 32) and control (n = 32) groups. The two classes were purposively selected based on comparable prior-semester GPA in English skills courses, equivalent CEFR placement results (B1 or above, as determined by the university’s standardized placement test), and similar instructor-reported participation patterns from the preceding semester.</w:t>
      </w:r>
    </w:p>
    <w:p w:rsidR="00AA45DD" w:rsidRPr="00CF02D6" w:rsidRDefault="00000000">
      <w:pPr>
        <w:pStyle w:val="RALs-Heading2"/>
        <w:rPr>
          <w:sz w:val="24"/>
          <w:szCs w:val="24"/>
        </w:rPr>
      </w:pPr>
      <w:r w:rsidRPr="00CF02D6">
        <w:rPr>
          <w:sz w:val="24"/>
          <w:szCs w:val="24"/>
        </w:rPr>
        <w:t>3.2. Participants</w:t>
      </w:r>
    </w:p>
    <w:p w:rsidR="00AA45DD" w:rsidRPr="00CF02D6" w:rsidRDefault="00000000">
      <w:pPr>
        <w:rPr>
          <w:sz w:val="24"/>
          <w:szCs w:val="24"/>
        </w:rPr>
      </w:pPr>
      <w:r w:rsidRPr="00CF02D6">
        <w:rPr>
          <w:sz w:val="24"/>
          <w:szCs w:val="24"/>
        </w:rPr>
        <w:t>A total of 64 second-year English-major students participated. All were Vietnamese nationals aged 19–21 at a public university in Ho Chi Minh City. The experimental group consisted of 32 students (24 female, 8 male) and the control group of 32 students (22 female, 10 male). All had achieved at least B1 on the CEFR as determined by the university’s standardized placement test. Prior AI experience was assessed via a screening questionnaire administered during recruitment; no participant reported prior sustained use of conversational AI tools for English speaking practice. Ethical approval was obtained from the university’s Institutional Review Board (IRB), and all participants provided written informed consent. No participants withdrew during the study period; all 64 completed both pretest and posttest assessments.</w:t>
      </w:r>
    </w:p>
    <w:p w:rsidR="00AA45DD" w:rsidRPr="00CF02D6" w:rsidRDefault="00000000">
      <w:pPr>
        <w:pStyle w:val="RALs-Heading2"/>
        <w:rPr>
          <w:sz w:val="24"/>
          <w:szCs w:val="24"/>
        </w:rPr>
      </w:pPr>
      <w:r w:rsidRPr="00CF02D6">
        <w:rPr>
          <w:sz w:val="24"/>
          <w:szCs w:val="24"/>
        </w:rPr>
        <w:t>3.3. Instruments</w:t>
      </w:r>
    </w:p>
    <w:p w:rsidR="00AA45DD" w:rsidRPr="00CF02D6" w:rsidRDefault="00000000">
      <w:pPr>
        <w:pStyle w:val="RALs-Heading3"/>
        <w:rPr>
          <w:sz w:val="24"/>
          <w:szCs w:val="24"/>
        </w:rPr>
      </w:pPr>
      <w:r w:rsidRPr="00CF02D6">
        <w:rPr>
          <w:sz w:val="24"/>
          <w:szCs w:val="24"/>
        </w:rPr>
        <w:t>3.3.1. Speaking anxiety questionnaire</w:t>
      </w:r>
    </w:p>
    <w:p w:rsidR="00AA45DD" w:rsidRPr="00CF02D6" w:rsidRDefault="00000000">
      <w:pPr>
        <w:rPr>
          <w:sz w:val="24"/>
          <w:szCs w:val="24"/>
        </w:rPr>
      </w:pPr>
      <w:r w:rsidRPr="00CF02D6">
        <w:rPr>
          <w:sz w:val="24"/>
          <w:szCs w:val="24"/>
        </w:rPr>
        <w:t>Speaking anxiety was measured using a 20-item questionnaire adapted from the 33-item FLCAS (Horwitz et al., 1986). Items were selected through a two-stage process: first, two applied linguistics experts independently identified items specifically relevant to speaking anxiety (excluding items pertaining solely to reading, writing, or general classroom behavior); second, items with factor loadings below .40 in prior validation studies were excluded. The resulting 20-item instrument comprised communication apprehension (8 items), fear of negative evaluation (7 items), and test anxiety (5 items) subscales. Items used a five-point Likert scale (1 = strongly disagree to 5 = strongly agree; total range: 20–100). The instrument was piloted with 30 students from a non-participating class. Cronbach’s alpha for the total scale was .89; subscale alphas were .84 (CA), .86 (FNE), and .78 (TA), all exceeding the .70 threshold recommended for research instruments. A Vietnamese translation was provided following back-translation procedures (Brislin, 1970).</w:t>
      </w:r>
    </w:p>
    <w:p w:rsidR="00AA45DD" w:rsidRPr="00CF02D6" w:rsidRDefault="00000000">
      <w:pPr>
        <w:pStyle w:val="RALs-Heading3"/>
        <w:rPr>
          <w:sz w:val="24"/>
          <w:szCs w:val="24"/>
        </w:rPr>
      </w:pPr>
      <w:r w:rsidRPr="00CF02D6">
        <w:rPr>
          <w:sz w:val="24"/>
          <w:szCs w:val="24"/>
        </w:rPr>
        <w:t>3.3.2. Analytic speaking rubric</w:t>
      </w:r>
    </w:p>
    <w:p w:rsidR="00AA45DD" w:rsidRPr="00CF02D6" w:rsidRDefault="00000000">
      <w:pPr>
        <w:rPr>
          <w:sz w:val="24"/>
          <w:szCs w:val="24"/>
        </w:rPr>
      </w:pPr>
      <w:r w:rsidRPr="00CF02D6">
        <w:rPr>
          <w:sz w:val="24"/>
          <w:szCs w:val="24"/>
        </w:rPr>
        <w:t xml:space="preserve">Oral performance was assessed using an analytic rubric adapted from Luoma (2004), evaluating fluency, pronunciation, grammatical accuracy, vocabulary range, and interactional competence on a 1–5 scale (maximum 25). Two trained raters—both experienced EFL lecturers—underwent a three-hour calibration session in which they independently scored 10 practice samples, discussed discrepancies, and reached consensus on scoring criteria. During </w:t>
      </w:r>
      <w:r w:rsidRPr="00CF02D6">
        <w:rPr>
          <w:sz w:val="24"/>
          <w:szCs w:val="24"/>
        </w:rPr>
        <w:lastRenderedPageBreak/>
        <w:t>data collection, both raters independently scored all 128 speaking samples (64 participants × 2 time points) while blind to group membership and time point. Scoring disagreements exceeding one point on any dimension were resolved through discussion to consensus. A two-way mixed-effects ICC computed on all 128 samples yielded .91, indicating excellent agreement (Koo &amp; Li, 2016).</w:t>
      </w:r>
    </w:p>
    <w:p w:rsidR="00AA45DD" w:rsidRPr="00CF02D6" w:rsidRDefault="00000000">
      <w:pPr>
        <w:pStyle w:val="RALs-Heading3"/>
        <w:rPr>
          <w:sz w:val="24"/>
          <w:szCs w:val="24"/>
        </w:rPr>
      </w:pPr>
      <w:r w:rsidRPr="00CF02D6">
        <w:rPr>
          <w:sz w:val="24"/>
          <w:szCs w:val="24"/>
        </w:rPr>
        <w:t>3.3.3. Semi-structured interview guide</w:t>
      </w:r>
    </w:p>
    <w:p w:rsidR="00AA45DD" w:rsidRPr="00CF02D6" w:rsidRDefault="00000000">
      <w:pPr>
        <w:rPr>
          <w:sz w:val="24"/>
          <w:szCs w:val="24"/>
        </w:rPr>
      </w:pPr>
      <w:r w:rsidRPr="00CF02D6">
        <w:rPr>
          <w:sz w:val="24"/>
          <w:szCs w:val="24"/>
        </w:rPr>
        <w:t>A semi-structured interview guide consisting of eight open-ended questions addressed students’ experiences with the AI tool, perceived changes in anxiety and confidence, and suggestions for improvement. Twelve experimental-group participants were selected based on pretest FLCAS scores: four from the top quartile (high anxiety), four from the middle quartiles (moderate), and four from the bottom quartile (low anxiety). Interviews were conducted individually in Vietnamese by a research assistant not involved in teaching the course, to minimize social desirability effects. Each interview lasted approximately 20–30 minutes, was audio-recorded with participant consent, and was transcribed verbatim. Transcripts were member-checked by sending summaries to participants for verification.</w:t>
      </w:r>
    </w:p>
    <w:p w:rsidR="00AA45DD" w:rsidRPr="00CF02D6" w:rsidRDefault="00000000">
      <w:pPr>
        <w:pStyle w:val="RALs-Heading2"/>
        <w:rPr>
          <w:sz w:val="24"/>
          <w:szCs w:val="24"/>
        </w:rPr>
      </w:pPr>
      <w:r w:rsidRPr="00CF02D6">
        <w:rPr>
          <w:sz w:val="24"/>
          <w:szCs w:val="24"/>
        </w:rPr>
        <w:t>3.4. Intervention Design</w:t>
      </w:r>
    </w:p>
    <w:p w:rsidR="00AA45DD" w:rsidRPr="00CF02D6" w:rsidRDefault="00000000">
      <w:pPr>
        <w:rPr>
          <w:sz w:val="24"/>
          <w:szCs w:val="24"/>
        </w:rPr>
      </w:pPr>
      <w:r w:rsidRPr="00CF02D6">
        <w:rPr>
          <w:sz w:val="24"/>
          <w:szCs w:val="24"/>
        </w:rPr>
        <w:t>The six-week intervention was embedded within the regular Speaking Skills II course. Both groups received the same weekly two-hour face-to-face class, taught by the same instructor using identical lesson plans and materials, to control for instructor effects. The experimental group additionally completed three 30-minute AI-mediated speaking sessions per week using ChatGPT (GPT-4o voice mode), which supports real-time voice-based conversation and automatic speech recognition. The platform provides implicit corrective feedback through conversational recasts, pronunciation modeling via text-to-speech output, and vocabulary suggestions within conversational context, though it does not offer systematic grammar correction or scored pronunciation assessment. Compliance was monitored through weekly self-report logs verified against conversation screenshots (mean compliance: 87%; range: 72–97%). Activities were scaffolded:</w:t>
      </w:r>
    </w:p>
    <w:p w:rsidR="00AA45DD" w:rsidRPr="00CF02D6" w:rsidRDefault="00000000">
      <w:pPr>
        <w:rPr>
          <w:sz w:val="24"/>
          <w:szCs w:val="24"/>
        </w:rPr>
      </w:pPr>
      <w:r w:rsidRPr="00CF02D6">
        <w:rPr>
          <w:b/>
          <w:sz w:val="24"/>
          <w:szCs w:val="24"/>
        </w:rPr>
        <w:t xml:space="preserve">Weeks 1–2: Guided role-plays. </w:t>
      </w:r>
      <w:r w:rsidRPr="00CF02D6">
        <w:rPr>
          <w:sz w:val="24"/>
          <w:szCs w:val="24"/>
        </w:rPr>
        <w:t>Structured scenarios with scripted prompts and vocabulary support.</w:t>
      </w:r>
    </w:p>
    <w:p w:rsidR="00AA45DD" w:rsidRPr="00CF02D6" w:rsidRDefault="00000000">
      <w:pPr>
        <w:rPr>
          <w:sz w:val="24"/>
          <w:szCs w:val="24"/>
        </w:rPr>
      </w:pPr>
      <w:r w:rsidRPr="00CF02D6">
        <w:rPr>
          <w:b/>
          <w:sz w:val="24"/>
          <w:szCs w:val="24"/>
        </w:rPr>
        <w:t xml:space="preserve">Weeks 3–4: Semi-guided conversations. </w:t>
      </w:r>
      <w:r w:rsidRPr="00CF02D6">
        <w:rPr>
          <w:sz w:val="24"/>
          <w:szCs w:val="24"/>
        </w:rPr>
        <w:t>Topic-based conversations with minimal structural support.</w:t>
      </w:r>
    </w:p>
    <w:p w:rsidR="00AA45DD" w:rsidRPr="00CF02D6" w:rsidRDefault="00000000">
      <w:pPr>
        <w:rPr>
          <w:sz w:val="24"/>
          <w:szCs w:val="24"/>
        </w:rPr>
      </w:pPr>
      <w:r w:rsidRPr="00CF02D6">
        <w:rPr>
          <w:b/>
          <w:sz w:val="24"/>
          <w:szCs w:val="24"/>
        </w:rPr>
        <w:t xml:space="preserve">Weeks 5–6: Open-ended discussions. </w:t>
      </w:r>
      <w:r w:rsidRPr="00CF02D6">
        <w:rPr>
          <w:sz w:val="24"/>
          <w:szCs w:val="24"/>
        </w:rPr>
        <w:t>Self-selected topics simulating naturalistic spoken interaction.</w:t>
      </w:r>
    </w:p>
    <w:p w:rsidR="00AA45DD" w:rsidRPr="00CF02D6" w:rsidRDefault="00000000">
      <w:pPr>
        <w:rPr>
          <w:sz w:val="24"/>
          <w:szCs w:val="24"/>
        </w:rPr>
      </w:pPr>
      <w:r w:rsidRPr="00CF02D6">
        <w:rPr>
          <w:sz w:val="24"/>
          <w:szCs w:val="24"/>
        </w:rPr>
        <w:t>The control group completed equivalent speaking preparation tasks, including recorded self-practice monologues, textbook-based speaking prompts, and vocabulary rehearsal logs (approximately 90 minutes/week), but without interactive AI-mediated oral practice. Thus, the comparison is between AI-mediated interactive speaking practice and non-interactive conventional preparation tasks.</w:t>
      </w:r>
    </w:p>
    <w:p w:rsidR="00AA45DD" w:rsidRPr="00CF02D6" w:rsidRDefault="00000000">
      <w:pPr>
        <w:pStyle w:val="RALs-Heading2"/>
        <w:rPr>
          <w:sz w:val="24"/>
          <w:szCs w:val="24"/>
        </w:rPr>
      </w:pPr>
      <w:r w:rsidRPr="00CF02D6">
        <w:rPr>
          <w:sz w:val="24"/>
          <w:szCs w:val="24"/>
        </w:rPr>
        <w:lastRenderedPageBreak/>
        <w:t>3.5. Data Collection</w:t>
      </w:r>
    </w:p>
    <w:p w:rsidR="00AA45DD" w:rsidRPr="00CF02D6" w:rsidRDefault="00000000">
      <w:pPr>
        <w:rPr>
          <w:sz w:val="24"/>
          <w:szCs w:val="24"/>
        </w:rPr>
      </w:pPr>
      <w:r w:rsidRPr="00CF02D6">
        <w:rPr>
          <w:sz w:val="24"/>
          <w:szCs w:val="24"/>
        </w:rPr>
        <w:t>At both pretest (Week 1) and posttest (Week 6), data collection followed a fixed sequence: participants first completed the speaking anxiety questionnaire in a private setting, then proceeded to the individual speaking assessment. This order was chosen to capture anxiety levels prior to the potential stress of the speaking task. Speaking assessments involved a three-minute conversation with a trained interlocutor (the same interlocutor at both time points) on a topic drawn randomly from a pool of 10 pre-validated topics. Different topics were assigned at pretest and posttest to minimize practice effects. Conversations were audio-recorded and rated by two raters blind to group membership and time point.</w:t>
      </w:r>
    </w:p>
    <w:p w:rsidR="00AA45DD" w:rsidRPr="00CF02D6" w:rsidRDefault="00000000">
      <w:pPr>
        <w:pStyle w:val="RALs-Heading2"/>
        <w:rPr>
          <w:sz w:val="24"/>
          <w:szCs w:val="24"/>
        </w:rPr>
      </w:pPr>
      <w:r w:rsidRPr="00CF02D6">
        <w:rPr>
          <w:sz w:val="24"/>
          <w:szCs w:val="24"/>
        </w:rPr>
        <w:t>3.6. Data Analysis</w:t>
      </w:r>
    </w:p>
    <w:p w:rsidR="00AA45DD" w:rsidRPr="00CF02D6" w:rsidRDefault="00000000">
      <w:pPr>
        <w:rPr>
          <w:sz w:val="24"/>
          <w:szCs w:val="24"/>
        </w:rPr>
      </w:pPr>
      <w:r w:rsidRPr="00CF02D6">
        <w:rPr>
          <w:sz w:val="24"/>
          <w:szCs w:val="24"/>
        </w:rPr>
        <w:t>Quantitative data were analyzed using SPSS (Version 28). Mixed-design ANOVAs examined changes in anxiety and performance. Effect sizes were reported using η²p and Cohen’s d (calculated as the within-group mean difference divided by the pooled standard deviation of pretest and posttest scores) with 95% confidence intervals. An ANCOVA was performed with pretest scores as covariate. Normality (Shapiro-Wilk) and homogeneity of variance (Levene’s) were verified. Given the multiple sub-component (3) and dimension-level (5) analyses, a Bonferroni-adjusted alpha of .006 was applied for the sub-component tests and .01 for the dimension-level tests; however, results are also reported at the conventional .05 level for transparency. Qualitative data were analyzed inductively using thematic analysis (Braun &amp; Clarke, 2006): transcripts were open-coded without a priori categories, and codes were iteratively grouped into themes. A second researcher independently coded 25% of transcripts (κ = .81).</w:t>
      </w:r>
    </w:p>
    <w:p w:rsidR="0014790F" w:rsidRPr="00CF02D6" w:rsidRDefault="00000000">
      <w:pPr>
        <w:pStyle w:val="RALs-Heading2"/>
        <w:rPr>
          <w:sz w:val="24"/>
          <w:szCs w:val="24"/>
        </w:rPr>
      </w:pPr>
      <w:r w:rsidRPr="00CF02D6">
        <w:rPr>
          <w:sz w:val="24"/>
          <w:szCs w:val="24"/>
        </w:rPr>
        <w:t>3.7. Delimitations</w:t>
      </w:r>
    </w:p>
    <w:p w:rsidR="0014790F" w:rsidRPr="00CF02D6" w:rsidRDefault="00000000">
      <w:pPr>
        <w:rPr>
          <w:sz w:val="24"/>
          <w:szCs w:val="24"/>
        </w:rPr>
      </w:pPr>
      <w:r w:rsidRPr="00CF02D6">
        <w:rPr>
          <w:sz w:val="24"/>
          <w:szCs w:val="24"/>
        </w:rPr>
        <w:t>This study is delimited in several respects. First, it is confined to second-year English-major students at a single public university in Ho Chi Minh City; findings may not generalize to non-English majors, private universities, or other regions. Second, the AI tool is limited to ChatGPT (GPT-4o voice mode); other platforms may yield different results. Third, the study examines short-term effects over six weeks; long-term retention falls outside its scope. Fourth, speaking performance is assessed via a researcher-designed analytic rubric rather than a standardized proficiency test. Fifth, the study does not measure technology proficiency or digital literacy as moderating variables.</w:t>
      </w:r>
    </w:p>
    <w:p w:rsidR="00AA45DD" w:rsidRPr="00CF02D6" w:rsidRDefault="00000000">
      <w:pPr>
        <w:pStyle w:val="RALs-Heading1"/>
        <w:rPr>
          <w:sz w:val="24"/>
          <w:szCs w:val="24"/>
        </w:rPr>
      </w:pPr>
      <w:r w:rsidRPr="00CF02D6">
        <w:rPr>
          <w:sz w:val="24"/>
          <w:szCs w:val="24"/>
        </w:rPr>
        <w:t>4. Results</w:t>
      </w:r>
    </w:p>
    <w:p w:rsidR="00AA45DD" w:rsidRPr="00CF02D6" w:rsidRDefault="00000000">
      <w:pPr>
        <w:pStyle w:val="RALs-Heading2"/>
        <w:rPr>
          <w:sz w:val="24"/>
          <w:szCs w:val="24"/>
        </w:rPr>
      </w:pPr>
      <w:r w:rsidRPr="00CF02D6">
        <w:rPr>
          <w:sz w:val="24"/>
          <w:szCs w:val="24"/>
        </w:rPr>
        <w:t>4.1. Baseline Comparability</w:t>
      </w:r>
    </w:p>
    <w:p w:rsidR="00AA45DD" w:rsidRPr="00CF02D6" w:rsidRDefault="00000000">
      <w:pPr>
        <w:rPr>
          <w:sz w:val="24"/>
          <w:szCs w:val="24"/>
        </w:rPr>
      </w:pPr>
      <w:r w:rsidRPr="00CF02D6">
        <w:rPr>
          <w:sz w:val="24"/>
          <w:szCs w:val="24"/>
        </w:rPr>
        <w:t xml:space="preserve">Independent samples t-tests confirmed no significant pretest differences for total speaking anxiety, </w:t>
      </w:r>
      <w:proofErr w:type="gramStart"/>
      <w:r w:rsidRPr="00CF02D6">
        <w:rPr>
          <w:sz w:val="24"/>
          <w:szCs w:val="24"/>
        </w:rPr>
        <w:t>t(</w:t>
      </w:r>
      <w:proofErr w:type="gramEnd"/>
      <w:r w:rsidRPr="00CF02D6">
        <w:rPr>
          <w:sz w:val="24"/>
          <w:szCs w:val="24"/>
        </w:rPr>
        <w:t>62) = 0.21, p = .834, d = 0.05, or speaking performance, t(62) = 0.23, p = .820, d = 0.06, nor across any anxiety sub-component (all p &gt; .70).</w:t>
      </w:r>
    </w:p>
    <w:p w:rsidR="00AA45DD" w:rsidRPr="00CF02D6" w:rsidRDefault="00000000">
      <w:pPr>
        <w:pStyle w:val="RALs-Heading2"/>
        <w:rPr>
          <w:sz w:val="24"/>
          <w:szCs w:val="24"/>
        </w:rPr>
      </w:pPr>
      <w:r w:rsidRPr="00CF02D6">
        <w:rPr>
          <w:sz w:val="24"/>
          <w:szCs w:val="24"/>
        </w:rPr>
        <w:t>4.2. Effects on Speaking Anxiety (RQ1)</w:t>
      </w:r>
    </w:p>
    <w:p w:rsidR="00AA45DD" w:rsidRPr="00CF02D6" w:rsidRDefault="00000000">
      <w:pPr>
        <w:rPr>
          <w:sz w:val="24"/>
          <w:szCs w:val="24"/>
        </w:rPr>
      </w:pPr>
      <w:r w:rsidRPr="00CF02D6">
        <w:rPr>
          <w:sz w:val="24"/>
          <w:szCs w:val="24"/>
        </w:rPr>
        <w:t>Normality was confirmed (Shapiro-Wilk, all p &gt; .05) and homogeneity of variance satisfied (Levene’s, all p &gt; .70). Descriptive statistics are presented in Table 1.</w:t>
      </w:r>
    </w:p>
    <w:p w:rsidR="00AA45DD" w:rsidRPr="00CF02D6" w:rsidRDefault="00000000">
      <w:pPr>
        <w:pStyle w:val="RALs-TableCaption"/>
        <w:rPr>
          <w:sz w:val="24"/>
          <w:szCs w:val="24"/>
        </w:rPr>
      </w:pPr>
      <w:r w:rsidRPr="00CF02D6">
        <w:rPr>
          <w:sz w:val="24"/>
          <w:szCs w:val="24"/>
        </w:rPr>
        <w:lastRenderedPageBreak/>
        <w:t>Table 1</w:t>
      </w:r>
    </w:p>
    <w:p w:rsidR="00AA45DD" w:rsidRPr="00CF02D6" w:rsidRDefault="00000000">
      <w:pPr>
        <w:pStyle w:val="RALs-TableCaption"/>
        <w:rPr>
          <w:i/>
          <w:sz w:val="24"/>
          <w:szCs w:val="24"/>
        </w:rPr>
      </w:pPr>
      <w:r w:rsidRPr="00CF02D6">
        <w:rPr>
          <w:i/>
          <w:sz w:val="24"/>
          <w:szCs w:val="24"/>
        </w:rPr>
        <w:t>Descriptive Statistics for Total Speaking Anxiety Scores by Group and 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9"/>
        <w:gridCol w:w="954"/>
        <w:gridCol w:w="1055"/>
        <w:gridCol w:w="1055"/>
        <w:gridCol w:w="1156"/>
        <w:gridCol w:w="1042"/>
        <w:gridCol w:w="2185"/>
      </w:tblGrid>
      <w:tr w:rsidR="00456F22" w:rsidRPr="00456F22" w:rsidTr="00D92D8F">
        <w:tc>
          <w:tcPr>
            <w:tcW w:w="870"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3D3D3A"/>
                <w:szCs w:val="20"/>
                <w:lang w:val="en-VN"/>
              </w:rPr>
            </w:pPr>
            <w:r w:rsidRPr="00456F22">
              <w:rPr>
                <w:rFonts w:cs="Times New Roman"/>
                <w:color w:val="3D3D3A"/>
                <w:szCs w:val="20"/>
                <w:lang w:val="en-VN"/>
              </w:rPr>
              <w:t>Group</w:t>
            </w:r>
          </w:p>
        </w:tc>
        <w:tc>
          <w:tcPr>
            <w:tcW w:w="529"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3D3D3A"/>
                <w:szCs w:val="20"/>
                <w:lang w:val="en-VN"/>
              </w:rPr>
            </w:pPr>
            <w:r w:rsidRPr="00456F22">
              <w:rPr>
                <w:rFonts w:cs="Times New Roman"/>
                <w:color w:val="3D3D3A"/>
                <w:szCs w:val="20"/>
                <w:lang w:val="en-VN"/>
              </w:rPr>
              <w:t>Pre M</w:t>
            </w:r>
          </w:p>
        </w:tc>
        <w:tc>
          <w:tcPr>
            <w:tcW w:w="585"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3D3D3A"/>
                <w:szCs w:val="20"/>
                <w:lang w:val="en-VN"/>
              </w:rPr>
            </w:pPr>
            <w:r w:rsidRPr="00456F22">
              <w:rPr>
                <w:rFonts w:cs="Times New Roman"/>
                <w:color w:val="3D3D3A"/>
                <w:szCs w:val="20"/>
                <w:lang w:val="en-VN"/>
              </w:rPr>
              <w:t>Pre SD</w:t>
            </w:r>
          </w:p>
        </w:tc>
        <w:tc>
          <w:tcPr>
            <w:tcW w:w="585"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3D3D3A"/>
                <w:szCs w:val="20"/>
                <w:lang w:val="en-VN"/>
              </w:rPr>
            </w:pPr>
            <w:r w:rsidRPr="00456F22">
              <w:rPr>
                <w:rFonts w:cs="Times New Roman"/>
                <w:color w:val="3D3D3A"/>
                <w:szCs w:val="20"/>
                <w:lang w:val="en-VN"/>
              </w:rPr>
              <w:t>Post M</w:t>
            </w:r>
          </w:p>
        </w:tc>
        <w:tc>
          <w:tcPr>
            <w:tcW w:w="641"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3D3D3A"/>
                <w:szCs w:val="20"/>
                <w:lang w:val="en-VN"/>
              </w:rPr>
            </w:pPr>
            <w:r w:rsidRPr="00456F22">
              <w:rPr>
                <w:rFonts w:cs="Times New Roman"/>
                <w:color w:val="3D3D3A"/>
                <w:szCs w:val="20"/>
                <w:lang w:val="en-VN"/>
              </w:rPr>
              <w:t>Post SD</w:t>
            </w:r>
          </w:p>
        </w:tc>
        <w:tc>
          <w:tcPr>
            <w:tcW w:w="578"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3D3D3A"/>
                <w:szCs w:val="20"/>
                <w:lang w:val="en-VN"/>
              </w:rPr>
            </w:pPr>
            <w:r w:rsidRPr="00456F22">
              <w:rPr>
                <w:rFonts w:cs="Times New Roman"/>
                <w:color w:val="3D3D3A"/>
                <w:szCs w:val="20"/>
                <w:lang w:val="en-VN"/>
              </w:rPr>
              <w:t>Diff.</w:t>
            </w:r>
          </w:p>
        </w:tc>
        <w:tc>
          <w:tcPr>
            <w:tcW w:w="1213"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3D3D3A"/>
                <w:szCs w:val="20"/>
                <w:lang w:val="en-VN"/>
              </w:rPr>
            </w:pPr>
            <w:r w:rsidRPr="00456F22">
              <w:rPr>
                <w:rFonts w:cs="Times New Roman"/>
                <w:color w:val="3D3D3A"/>
                <w:szCs w:val="20"/>
                <w:lang w:val="en-VN"/>
              </w:rPr>
              <w:t>d [95% CI]</w:t>
            </w:r>
          </w:p>
        </w:tc>
      </w:tr>
      <w:tr w:rsidR="00456F22" w:rsidRPr="00456F22" w:rsidTr="00D92D8F">
        <w:tc>
          <w:tcPr>
            <w:tcW w:w="870"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left"/>
              <w:rPr>
                <w:rFonts w:cs="Times New Roman"/>
                <w:color w:val="141413"/>
                <w:szCs w:val="20"/>
                <w:lang w:val="en-VN"/>
              </w:rPr>
            </w:pPr>
            <w:r w:rsidRPr="00456F22">
              <w:rPr>
                <w:rFonts w:cs="Times New Roman"/>
                <w:color w:val="141413"/>
                <w:szCs w:val="20"/>
                <w:lang w:val="en-VN"/>
              </w:rPr>
              <w:t>Exp. (n=32)</w:t>
            </w:r>
          </w:p>
        </w:tc>
        <w:tc>
          <w:tcPr>
            <w:tcW w:w="529"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72.41</w:t>
            </w:r>
          </w:p>
        </w:tc>
        <w:tc>
          <w:tcPr>
            <w:tcW w:w="585"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9.83</w:t>
            </w:r>
          </w:p>
        </w:tc>
        <w:tc>
          <w:tcPr>
            <w:tcW w:w="585"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58.63</w:t>
            </w:r>
          </w:p>
        </w:tc>
        <w:tc>
          <w:tcPr>
            <w:tcW w:w="641"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10.14</w:t>
            </w:r>
          </w:p>
        </w:tc>
        <w:tc>
          <w:tcPr>
            <w:tcW w:w="578"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−13.78</w:t>
            </w:r>
          </w:p>
        </w:tc>
        <w:tc>
          <w:tcPr>
            <w:tcW w:w="1213"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1.38 [0.98, 1.78]</w:t>
            </w:r>
          </w:p>
        </w:tc>
      </w:tr>
      <w:tr w:rsidR="00456F22" w:rsidRPr="00456F22" w:rsidTr="00D92D8F">
        <w:tc>
          <w:tcPr>
            <w:tcW w:w="870"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left"/>
              <w:rPr>
                <w:rFonts w:cs="Times New Roman"/>
                <w:color w:val="141413"/>
                <w:szCs w:val="20"/>
                <w:lang w:val="en-VN"/>
              </w:rPr>
            </w:pPr>
            <w:r w:rsidRPr="00456F22">
              <w:rPr>
                <w:rFonts w:cs="Times New Roman"/>
                <w:color w:val="141413"/>
                <w:szCs w:val="20"/>
                <w:lang w:val="en-VN"/>
              </w:rPr>
              <w:t>Ctrl. (n=32)</w:t>
            </w:r>
          </w:p>
        </w:tc>
        <w:tc>
          <w:tcPr>
            <w:tcW w:w="529"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71.88</w:t>
            </w:r>
          </w:p>
        </w:tc>
        <w:tc>
          <w:tcPr>
            <w:tcW w:w="585"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10.27</w:t>
            </w:r>
          </w:p>
        </w:tc>
        <w:tc>
          <w:tcPr>
            <w:tcW w:w="585"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69.22</w:t>
            </w:r>
          </w:p>
        </w:tc>
        <w:tc>
          <w:tcPr>
            <w:tcW w:w="641"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9.91</w:t>
            </w:r>
          </w:p>
        </w:tc>
        <w:tc>
          <w:tcPr>
            <w:tcW w:w="578"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−2.66</w:t>
            </w:r>
          </w:p>
        </w:tc>
        <w:tc>
          <w:tcPr>
            <w:tcW w:w="1213" w:type="pct"/>
            <w:tcMar>
              <w:top w:w="150" w:type="dxa"/>
              <w:left w:w="120" w:type="dxa"/>
              <w:bottom w:w="150" w:type="dxa"/>
              <w:right w:w="120" w:type="dxa"/>
            </w:tcMar>
            <w:vAlign w:val="center"/>
            <w:hideMark/>
          </w:tcPr>
          <w:p w:rsidR="00456F22" w:rsidRPr="00456F22" w:rsidRDefault="00456F22" w:rsidP="00456F22">
            <w:pPr>
              <w:spacing w:before="0" w:after="0" w:line="240" w:lineRule="auto"/>
              <w:ind w:firstLine="0"/>
              <w:jc w:val="center"/>
              <w:rPr>
                <w:rFonts w:cs="Times New Roman"/>
                <w:color w:val="141413"/>
                <w:szCs w:val="20"/>
                <w:lang w:val="en-VN"/>
              </w:rPr>
            </w:pPr>
            <w:r w:rsidRPr="00456F22">
              <w:rPr>
                <w:rFonts w:cs="Times New Roman"/>
                <w:color w:val="141413"/>
                <w:szCs w:val="20"/>
                <w:lang w:val="en-VN"/>
              </w:rPr>
              <w:t>0.26 [−0.13, 0.65]</w:t>
            </w:r>
          </w:p>
        </w:tc>
      </w:tr>
    </w:tbl>
    <w:p w:rsidR="00456F22" w:rsidRPr="00456F22" w:rsidRDefault="00456F22" w:rsidP="00456F22">
      <w:pPr>
        <w:pStyle w:val="RALs-Normal-NoIndent"/>
      </w:pPr>
    </w:p>
    <w:p w:rsidR="00AA45DD" w:rsidRPr="00CF02D6" w:rsidRDefault="00000000">
      <w:pPr>
        <w:rPr>
          <w:sz w:val="24"/>
          <w:szCs w:val="24"/>
        </w:rPr>
      </w:pPr>
      <w:r w:rsidRPr="00CF02D6">
        <w:rPr>
          <w:sz w:val="24"/>
          <w:szCs w:val="24"/>
        </w:rPr>
        <w:t xml:space="preserve">The mixed-design ANOVA revealed a significant main effect of time, </w:t>
      </w:r>
      <w:proofErr w:type="gramStart"/>
      <w:r w:rsidRPr="00CF02D6">
        <w:rPr>
          <w:sz w:val="24"/>
          <w:szCs w:val="24"/>
        </w:rPr>
        <w:t>F(</w:t>
      </w:r>
      <w:proofErr w:type="gramEnd"/>
      <w:r w:rsidRPr="00CF02D6">
        <w:rPr>
          <w:sz w:val="24"/>
          <w:szCs w:val="24"/>
        </w:rPr>
        <w:t xml:space="preserve">1, 62) = 48.73, p &lt; .001, η²p = .44; a significant Group × Time interaction, F(1, 62) = 31.56, p &lt; .001, η²p = .34; and a significant main effect of group, F(1, 62) = 7.41, p = .008, η²p = .11. Post hoc pairwise comparisons indicated that the experimental group’s anxiety scores decreased significantly from pretest to posttest (M = 72.41 to M = 58.63; mean difference = 13.78, p &lt; .001, d = 1.38, 95% CI [0.98, 1.78]), while the control group showed a small, non-significant decrease (M = 71.88 to M = 69.22; mean difference = 2.66, p = .187, d = 0.26, 95% CI [−0.13, 0.65]). The ANCOVA with pretest scores as covariate confirmed these findings, </w:t>
      </w:r>
      <w:proofErr w:type="gramStart"/>
      <w:r w:rsidRPr="00CF02D6">
        <w:rPr>
          <w:sz w:val="24"/>
          <w:szCs w:val="24"/>
        </w:rPr>
        <w:t>F(</w:t>
      </w:r>
      <w:proofErr w:type="gramEnd"/>
      <w:r w:rsidRPr="00CF02D6">
        <w:rPr>
          <w:sz w:val="24"/>
          <w:szCs w:val="24"/>
        </w:rPr>
        <w:t>1, 61) = 29.84, p &lt; .001, η²p = .33, indicating that the between-group difference was not attributable to pretest variation.</w:t>
      </w:r>
    </w:p>
    <w:p w:rsidR="00AA45DD" w:rsidRPr="00CF02D6" w:rsidRDefault="00000000">
      <w:pPr>
        <w:rPr>
          <w:sz w:val="24"/>
          <w:szCs w:val="24"/>
        </w:rPr>
      </w:pPr>
      <w:r w:rsidRPr="00CF02D6">
        <w:rPr>
          <w:sz w:val="24"/>
          <w:szCs w:val="24"/>
        </w:rPr>
        <w:t xml:space="preserve">Sub-component analysis (Table 2) revealed differential effects. The experimental group showed reductions across all three sub-components: communication apprehension decreased by 6.22 points (d = 1.29), fear of negative evaluation by 5.94 points (d = 1.47), and test anxiety by 1.62 points (d = 0.44). In standardized terms, the effect was largest for FNE, followed by CA, with TA showing only a small effect. Significant Group × Time interactions were found for FNE, </w:t>
      </w:r>
      <w:proofErr w:type="gramStart"/>
      <w:r w:rsidRPr="00CF02D6">
        <w:rPr>
          <w:sz w:val="24"/>
          <w:szCs w:val="24"/>
        </w:rPr>
        <w:t>F(</w:t>
      </w:r>
      <w:proofErr w:type="gramEnd"/>
      <w:r w:rsidRPr="00CF02D6">
        <w:rPr>
          <w:sz w:val="24"/>
          <w:szCs w:val="24"/>
        </w:rPr>
        <w:t>1, 62) = 24.81, p &lt; .001, η²p = .29, and CA, F(1, 62) = 18.63, p &lt; .001, η²p = .23, but not for TA, F(1, 62) = 1.94, p = .169, η²p = .03. This pattern confirms the theoretical prediction that AI-mediated low-stakes practice primarily targets evaluative and communicative anxiety while leaving assessment-related anxiety relatively unchanged.</w:t>
      </w:r>
    </w:p>
    <w:p w:rsidR="00AA45DD" w:rsidRPr="00CF02D6" w:rsidRDefault="00000000">
      <w:pPr>
        <w:pStyle w:val="RALs-TableCaption"/>
        <w:rPr>
          <w:sz w:val="24"/>
          <w:szCs w:val="24"/>
        </w:rPr>
      </w:pPr>
      <w:r w:rsidRPr="00CF02D6">
        <w:rPr>
          <w:sz w:val="24"/>
          <w:szCs w:val="24"/>
        </w:rPr>
        <w:t>Table 2</w:t>
      </w:r>
    </w:p>
    <w:p w:rsidR="00AA45DD" w:rsidRPr="00CF02D6" w:rsidRDefault="00000000">
      <w:pPr>
        <w:pStyle w:val="RALs-TableCaption"/>
        <w:rPr>
          <w:i/>
          <w:sz w:val="24"/>
          <w:szCs w:val="24"/>
        </w:rPr>
      </w:pPr>
      <w:r w:rsidRPr="00CF02D6">
        <w:rPr>
          <w:i/>
          <w:sz w:val="24"/>
          <w:szCs w:val="24"/>
        </w:rPr>
        <w:t>Anxiety Sub-Component Scores by Group and Time</w:t>
      </w:r>
    </w:p>
    <w:tbl>
      <w:tblPr>
        <w:tblStyle w:val="TableGrid"/>
        <w:tblW w:w="5000" w:type="pct"/>
        <w:tblLook w:val="04A0" w:firstRow="1" w:lastRow="0" w:firstColumn="1" w:lastColumn="0" w:noHBand="0" w:noVBand="1"/>
      </w:tblPr>
      <w:tblGrid>
        <w:gridCol w:w="2114"/>
        <w:gridCol w:w="1148"/>
        <w:gridCol w:w="1034"/>
        <w:gridCol w:w="878"/>
        <w:gridCol w:w="1033"/>
        <w:gridCol w:w="878"/>
        <w:gridCol w:w="1053"/>
        <w:gridCol w:w="878"/>
      </w:tblGrid>
      <w:tr w:rsidR="004C65F7" w:rsidRPr="00CF02D6" w:rsidTr="00D92D8F">
        <w:tc>
          <w:tcPr>
            <w:tcW w:w="1172" w:type="pct"/>
            <w:hideMark/>
          </w:tcPr>
          <w:p w:rsidR="004C65F7" w:rsidRPr="00CF02D6" w:rsidRDefault="004C65F7" w:rsidP="004C65F7">
            <w:pPr>
              <w:spacing w:before="0" w:after="0" w:line="240" w:lineRule="auto"/>
              <w:ind w:firstLine="0"/>
              <w:jc w:val="left"/>
              <w:rPr>
                <w:rFonts w:cs="Times New Roman"/>
                <w:i/>
                <w:iCs/>
                <w:szCs w:val="20"/>
                <w:lang w:val="en-VN"/>
              </w:rPr>
            </w:pPr>
            <w:r w:rsidRPr="00CF02D6">
              <w:rPr>
                <w:rFonts w:cs="Times New Roman"/>
                <w:i/>
                <w:iCs/>
                <w:szCs w:val="20"/>
                <w:lang w:val="en-VN"/>
              </w:rPr>
              <w:t>Component</w:t>
            </w:r>
          </w:p>
        </w:tc>
        <w:tc>
          <w:tcPr>
            <w:tcW w:w="636" w:type="pct"/>
            <w:hideMark/>
          </w:tcPr>
          <w:p w:rsidR="004C65F7" w:rsidRPr="00CF02D6" w:rsidRDefault="004C65F7" w:rsidP="004C65F7">
            <w:pPr>
              <w:spacing w:before="0" w:after="0" w:line="240" w:lineRule="auto"/>
              <w:ind w:firstLine="0"/>
              <w:jc w:val="left"/>
              <w:rPr>
                <w:rFonts w:cs="Times New Roman"/>
                <w:i/>
                <w:iCs/>
                <w:szCs w:val="20"/>
                <w:lang w:val="en-VN"/>
              </w:rPr>
            </w:pPr>
            <w:r w:rsidRPr="00CF02D6">
              <w:rPr>
                <w:rFonts w:cs="Times New Roman"/>
                <w:i/>
                <w:iCs/>
                <w:szCs w:val="20"/>
                <w:lang w:val="en-VN"/>
              </w:rPr>
              <w:t>Group</w:t>
            </w:r>
          </w:p>
        </w:tc>
        <w:tc>
          <w:tcPr>
            <w:tcW w:w="573" w:type="pct"/>
            <w:hideMark/>
          </w:tcPr>
          <w:p w:rsidR="004C65F7" w:rsidRPr="00CF02D6" w:rsidRDefault="004C65F7" w:rsidP="004C65F7">
            <w:pPr>
              <w:spacing w:before="0" w:after="0" w:line="240" w:lineRule="auto"/>
              <w:ind w:firstLine="0"/>
              <w:jc w:val="center"/>
              <w:rPr>
                <w:rFonts w:cs="Times New Roman"/>
                <w:i/>
                <w:iCs/>
                <w:szCs w:val="20"/>
                <w:lang w:val="en-VN"/>
              </w:rPr>
            </w:pPr>
            <w:r w:rsidRPr="00CF02D6">
              <w:rPr>
                <w:rFonts w:cs="Times New Roman"/>
                <w:i/>
                <w:iCs/>
                <w:szCs w:val="20"/>
                <w:lang w:val="en-VN"/>
              </w:rPr>
              <w:t>M</w:t>
            </w:r>
          </w:p>
        </w:tc>
        <w:tc>
          <w:tcPr>
            <w:tcW w:w="487" w:type="pct"/>
            <w:hideMark/>
          </w:tcPr>
          <w:p w:rsidR="004C65F7" w:rsidRPr="00CF02D6" w:rsidRDefault="004C65F7" w:rsidP="004C65F7">
            <w:pPr>
              <w:spacing w:before="0" w:after="0" w:line="240" w:lineRule="auto"/>
              <w:ind w:firstLine="0"/>
              <w:jc w:val="center"/>
              <w:rPr>
                <w:rFonts w:cs="Times New Roman"/>
                <w:i/>
                <w:iCs/>
                <w:szCs w:val="20"/>
                <w:lang w:val="en-VN"/>
              </w:rPr>
            </w:pPr>
            <w:r w:rsidRPr="00CF02D6">
              <w:rPr>
                <w:rFonts w:cs="Times New Roman"/>
                <w:i/>
                <w:iCs/>
                <w:szCs w:val="20"/>
                <w:lang w:val="en-VN"/>
              </w:rPr>
              <w:t>SD</w:t>
            </w:r>
          </w:p>
        </w:tc>
        <w:tc>
          <w:tcPr>
            <w:tcW w:w="573" w:type="pct"/>
            <w:hideMark/>
          </w:tcPr>
          <w:p w:rsidR="004C65F7" w:rsidRPr="00CF02D6" w:rsidRDefault="004C65F7" w:rsidP="004C65F7">
            <w:pPr>
              <w:spacing w:before="0" w:after="0" w:line="240" w:lineRule="auto"/>
              <w:ind w:firstLine="0"/>
              <w:jc w:val="center"/>
              <w:rPr>
                <w:rFonts w:cs="Times New Roman"/>
                <w:i/>
                <w:iCs/>
                <w:szCs w:val="20"/>
                <w:lang w:val="en-VN"/>
              </w:rPr>
            </w:pPr>
            <w:r w:rsidRPr="00CF02D6">
              <w:rPr>
                <w:rFonts w:cs="Times New Roman"/>
                <w:i/>
                <w:iCs/>
                <w:szCs w:val="20"/>
                <w:lang w:val="en-VN"/>
              </w:rPr>
              <w:t>M</w:t>
            </w:r>
          </w:p>
        </w:tc>
        <w:tc>
          <w:tcPr>
            <w:tcW w:w="487" w:type="pct"/>
            <w:hideMark/>
          </w:tcPr>
          <w:p w:rsidR="004C65F7" w:rsidRPr="00CF02D6" w:rsidRDefault="004C65F7" w:rsidP="004C65F7">
            <w:pPr>
              <w:spacing w:before="0" w:after="0" w:line="240" w:lineRule="auto"/>
              <w:ind w:firstLine="0"/>
              <w:jc w:val="center"/>
              <w:rPr>
                <w:rFonts w:cs="Times New Roman"/>
                <w:i/>
                <w:iCs/>
                <w:szCs w:val="20"/>
                <w:lang w:val="en-VN"/>
              </w:rPr>
            </w:pPr>
            <w:r w:rsidRPr="00CF02D6">
              <w:rPr>
                <w:rFonts w:cs="Times New Roman"/>
                <w:i/>
                <w:iCs/>
                <w:szCs w:val="20"/>
                <w:lang w:val="en-VN"/>
              </w:rPr>
              <w:t>SD</w:t>
            </w:r>
          </w:p>
        </w:tc>
        <w:tc>
          <w:tcPr>
            <w:tcW w:w="584" w:type="pct"/>
            <w:hideMark/>
          </w:tcPr>
          <w:p w:rsidR="004C65F7" w:rsidRPr="00CF02D6" w:rsidRDefault="004C65F7" w:rsidP="004C65F7">
            <w:pPr>
              <w:spacing w:before="0" w:after="0" w:line="240" w:lineRule="auto"/>
              <w:ind w:firstLine="0"/>
              <w:jc w:val="center"/>
              <w:rPr>
                <w:rFonts w:cs="Times New Roman"/>
                <w:i/>
                <w:iCs/>
                <w:szCs w:val="20"/>
                <w:lang w:val="en-VN"/>
              </w:rPr>
            </w:pPr>
            <w:r w:rsidRPr="00CF02D6">
              <w:rPr>
                <w:rFonts w:cs="Times New Roman"/>
                <w:i/>
                <w:iCs/>
                <w:szCs w:val="20"/>
                <w:lang w:val="en-VN"/>
              </w:rPr>
              <w:t>Diff.</w:t>
            </w:r>
          </w:p>
        </w:tc>
        <w:tc>
          <w:tcPr>
            <w:tcW w:w="487" w:type="pct"/>
            <w:hideMark/>
          </w:tcPr>
          <w:p w:rsidR="004C65F7" w:rsidRPr="00CF02D6" w:rsidRDefault="004C65F7" w:rsidP="004C65F7">
            <w:pPr>
              <w:spacing w:before="0" w:after="0" w:line="240" w:lineRule="auto"/>
              <w:ind w:firstLine="0"/>
              <w:jc w:val="center"/>
              <w:rPr>
                <w:rFonts w:cs="Times New Roman"/>
                <w:i/>
                <w:iCs/>
                <w:szCs w:val="20"/>
                <w:lang w:val="en-VN"/>
              </w:rPr>
            </w:pPr>
            <w:r w:rsidRPr="00CF02D6">
              <w:rPr>
                <w:rFonts w:cs="Times New Roman"/>
                <w:i/>
                <w:iCs/>
                <w:szCs w:val="20"/>
                <w:lang w:val="en-VN"/>
              </w:rPr>
              <w:t>d</w:t>
            </w:r>
          </w:p>
        </w:tc>
      </w:tr>
      <w:tr w:rsidR="004C65F7" w:rsidRPr="00CF02D6" w:rsidTr="00D92D8F">
        <w:tc>
          <w:tcPr>
            <w:tcW w:w="1172"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CA (8 items)</w:t>
            </w:r>
          </w:p>
        </w:tc>
        <w:tc>
          <w:tcPr>
            <w:tcW w:w="636"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Exp.</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29.38</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4.71</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23.16</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4.93</w:t>
            </w:r>
          </w:p>
        </w:tc>
        <w:tc>
          <w:tcPr>
            <w:tcW w:w="584"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−6.22</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1.29</w:t>
            </w:r>
          </w:p>
        </w:tc>
      </w:tr>
      <w:tr w:rsidR="004C65F7" w:rsidRPr="00CF02D6" w:rsidTr="00D92D8F">
        <w:tc>
          <w:tcPr>
            <w:tcW w:w="1172" w:type="pct"/>
            <w:hideMark/>
          </w:tcPr>
          <w:p w:rsidR="004C65F7" w:rsidRPr="00CF02D6" w:rsidRDefault="004C65F7" w:rsidP="004C65F7">
            <w:pPr>
              <w:spacing w:before="0" w:after="0" w:line="240" w:lineRule="auto"/>
              <w:ind w:firstLine="0"/>
              <w:jc w:val="center"/>
              <w:rPr>
                <w:rFonts w:cs="Times New Roman"/>
                <w:szCs w:val="20"/>
                <w:lang w:val="en-VN"/>
              </w:rPr>
            </w:pPr>
          </w:p>
        </w:tc>
        <w:tc>
          <w:tcPr>
            <w:tcW w:w="636"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Ctrl.</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28.94</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5.02</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27.88</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4.86</w:t>
            </w:r>
          </w:p>
        </w:tc>
        <w:tc>
          <w:tcPr>
            <w:tcW w:w="584"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−1.06</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0.21</w:t>
            </w:r>
          </w:p>
        </w:tc>
      </w:tr>
      <w:tr w:rsidR="004C65F7" w:rsidRPr="00CF02D6" w:rsidTr="00D92D8F">
        <w:tc>
          <w:tcPr>
            <w:tcW w:w="1172"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FNE (7 items)</w:t>
            </w:r>
          </w:p>
        </w:tc>
        <w:tc>
          <w:tcPr>
            <w:tcW w:w="636"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Exp.</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25.47</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3.88</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19.53</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4.22</w:t>
            </w:r>
          </w:p>
        </w:tc>
        <w:tc>
          <w:tcPr>
            <w:tcW w:w="584"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−5.94</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1.47</w:t>
            </w:r>
          </w:p>
        </w:tc>
      </w:tr>
      <w:tr w:rsidR="004C65F7" w:rsidRPr="00CF02D6" w:rsidTr="00D92D8F">
        <w:tc>
          <w:tcPr>
            <w:tcW w:w="1172" w:type="pct"/>
            <w:hideMark/>
          </w:tcPr>
          <w:p w:rsidR="004C65F7" w:rsidRPr="00CF02D6" w:rsidRDefault="004C65F7" w:rsidP="004C65F7">
            <w:pPr>
              <w:spacing w:before="0" w:after="0" w:line="240" w:lineRule="auto"/>
              <w:ind w:firstLine="0"/>
              <w:jc w:val="center"/>
              <w:rPr>
                <w:rFonts w:cs="Times New Roman"/>
                <w:szCs w:val="20"/>
                <w:lang w:val="en-VN"/>
              </w:rPr>
            </w:pPr>
          </w:p>
        </w:tc>
        <w:tc>
          <w:tcPr>
            <w:tcW w:w="636"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Ctrl.</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25.19</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4.13</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24.13</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3.97</w:t>
            </w:r>
          </w:p>
        </w:tc>
        <w:tc>
          <w:tcPr>
            <w:tcW w:w="584"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−1.06</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0.26</w:t>
            </w:r>
          </w:p>
        </w:tc>
      </w:tr>
      <w:tr w:rsidR="004C65F7" w:rsidRPr="00CF02D6" w:rsidTr="00D92D8F">
        <w:tc>
          <w:tcPr>
            <w:tcW w:w="1172"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TA (5 items)</w:t>
            </w:r>
          </w:p>
        </w:tc>
        <w:tc>
          <w:tcPr>
            <w:tcW w:w="636"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Exp.</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17.56</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3.41</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15.94</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3.87</w:t>
            </w:r>
          </w:p>
        </w:tc>
        <w:tc>
          <w:tcPr>
            <w:tcW w:w="584"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−1.62</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0.44</w:t>
            </w:r>
          </w:p>
        </w:tc>
      </w:tr>
      <w:tr w:rsidR="004C65F7" w:rsidRPr="00CF02D6" w:rsidTr="00D92D8F">
        <w:tc>
          <w:tcPr>
            <w:tcW w:w="1172" w:type="pct"/>
            <w:hideMark/>
          </w:tcPr>
          <w:p w:rsidR="004C65F7" w:rsidRPr="00CF02D6" w:rsidRDefault="004C65F7" w:rsidP="004C65F7">
            <w:pPr>
              <w:spacing w:before="0" w:after="0" w:line="240" w:lineRule="auto"/>
              <w:ind w:firstLine="0"/>
              <w:jc w:val="center"/>
              <w:rPr>
                <w:rFonts w:cs="Times New Roman"/>
                <w:szCs w:val="20"/>
                <w:lang w:val="en-VN"/>
              </w:rPr>
            </w:pPr>
          </w:p>
        </w:tc>
        <w:tc>
          <w:tcPr>
            <w:tcW w:w="636" w:type="pct"/>
            <w:hideMark/>
          </w:tcPr>
          <w:p w:rsidR="004C65F7" w:rsidRPr="00CF02D6" w:rsidRDefault="004C65F7" w:rsidP="004C65F7">
            <w:pPr>
              <w:spacing w:before="0" w:after="0" w:line="240" w:lineRule="auto"/>
              <w:ind w:firstLine="0"/>
              <w:jc w:val="left"/>
              <w:rPr>
                <w:rFonts w:cs="Times New Roman"/>
                <w:szCs w:val="20"/>
                <w:lang w:val="en-VN"/>
              </w:rPr>
            </w:pPr>
            <w:r w:rsidRPr="00CF02D6">
              <w:rPr>
                <w:rFonts w:cs="Times New Roman"/>
                <w:szCs w:val="20"/>
                <w:lang w:val="en-VN"/>
              </w:rPr>
              <w:t>Ctrl.</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17.75</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3.53</w:t>
            </w:r>
          </w:p>
        </w:tc>
        <w:tc>
          <w:tcPr>
            <w:tcW w:w="573"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17.21</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3.44</w:t>
            </w:r>
          </w:p>
        </w:tc>
        <w:tc>
          <w:tcPr>
            <w:tcW w:w="584"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−0.54</w:t>
            </w:r>
          </w:p>
        </w:tc>
        <w:tc>
          <w:tcPr>
            <w:tcW w:w="487" w:type="pct"/>
            <w:hideMark/>
          </w:tcPr>
          <w:p w:rsidR="004C65F7" w:rsidRPr="00CF02D6" w:rsidRDefault="004C65F7" w:rsidP="004C65F7">
            <w:pPr>
              <w:spacing w:before="0" w:after="0" w:line="240" w:lineRule="auto"/>
              <w:ind w:firstLine="0"/>
              <w:jc w:val="center"/>
              <w:rPr>
                <w:rFonts w:cs="Times New Roman"/>
                <w:szCs w:val="20"/>
                <w:lang w:val="en-VN"/>
              </w:rPr>
            </w:pPr>
            <w:r w:rsidRPr="00CF02D6">
              <w:rPr>
                <w:rFonts w:cs="Times New Roman"/>
                <w:szCs w:val="20"/>
                <w:lang w:val="en-VN"/>
              </w:rPr>
              <w:t>0.15</w:t>
            </w:r>
          </w:p>
        </w:tc>
      </w:tr>
    </w:tbl>
    <w:p w:rsidR="004C65F7" w:rsidRPr="004C65F7" w:rsidRDefault="004C65F7" w:rsidP="004C65F7">
      <w:pPr>
        <w:spacing w:before="0" w:after="0" w:line="240" w:lineRule="auto"/>
        <w:ind w:firstLine="0"/>
        <w:jc w:val="left"/>
        <w:rPr>
          <w:rFonts w:cs="Times New Roman"/>
          <w:color w:val="000000"/>
          <w:sz w:val="18"/>
          <w:szCs w:val="18"/>
          <w:lang w:val="en-VN"/>
        </w:rPr>
      </w:pPr>
      <w:r w:rsidRPr="004C65F7">
        <w:rPr>
          <w:rFonts w:cs="Times New Roman"/>
          <w:i/>
          <w:iCs/>
          <w:color w:val="000000"/>
          <w:sz w:val="18"/>
          <w:szCs w:val="18"/>
          <w:lang w:val="en-VN"/>
        </w:rPr>
        <w:t>*</w:t>
      </w:r>
      <w:r w:rsidRPr="004C65F7">
        <w:rPr>
          <w:rFonts w:cs="Times New Roman"/>
          <w:color w:val="000000"/>
          <w:sz w:val="18"/>
          <w:szCs w:val="18"/>
          <w:lang w:val="en-VN"/>
        </w:rPr>
        <w:t>CA = Communication Apprehension; FNE = Fear of Negative Evaluation; TA = Test Anxiety.</w:t>
      </w:r>
    </w:p>
    <w:p w:rsidR="004C65F7" w:rsidRPr="004C65F7" w:rsidRDefault="004C65F7" w:rsidP="004C65F7">
      <w:pPr>
        <w:spacing w:before="0" w:after="0" w:line="240" w:lineRule="auto"/>
        <w:ind w:firstLine="0"/>
        <w:jc w:val="left"/>
        <w:rPr>
          <w:rFonts w:cs="Times New Roman"/>
          <w:sz w:val="24"/>
          <w:szCs w:val="24"/>
          <w:lang w:val="en-VN"/>
        </w:rPr>
      </w:pPr>
    </w:p>
    <w:p w:rsidR="00AA45DD" w:rsidRPr="00CF02D6" w:rsidRDefault="00000000" w:rsidP="004C65F7">
      <w:pPr>
        <w:pStyle w:val="RALs-Heading2"/>
        <w:ind w:left="0" w:firstLine="0"/>
        <w:rPr>
          <w:sz w:val="24"/>
          <w:szCs w:val="24"/>
        </w:rPr>
      </w:pPr>
      <w:r w:rsidRPr="00CF02D6">
        <w:rPr>
          <w:sz w:val="24"/>
          <w:szCs w:val="24"/>
        </w:rPr>
        <w:t>4.3. Effects on Speaking Performance (RQ2)</w:t>
      </w:r>
    </w:p>
    <w:p w:rsidR="00AA45DD" w:rsidRPr="00CF02D6" w:rsidRDefault="00000000">
      <w:pPr>
        <w:rPr>
          <w:sz w:val="24"/>
          <w:szCs w:val="24"/>
        </w:rPr>
      </w:pPr>
      <w:r w:rsidRPr="00CF02D6">
        <w:rPr>
          <w:sz w:val="24"/>
          <w:szCs w:val="24"/>
        </w:rPr>
        <w:t xml:space="preserve">The mixed-design ANOVA revealed a significant Group × Time interaction, </w:t>
      </w:r>
      <w:proofErr w:type="gramStart"/>
      <w:r w:rsidRPr="00CF02D6">
        <w:rPr>
          <w:sz w:val="24"/>
          <w:szCs w:val="24"/>
        </w:rPr>
        <w:t>F(</w:t>
      </w:r>
      <w:proofErr w:type="gramEnd"/>
      <w:r w:rsidRPr="00CF02D6">
        <w:rPr>
          <w:sz w:val="24"/>
          <w:szCs w:val="24"/>
        </w:rPr>
        <w:t xml:space="preserve">1, 62) = 12.37, p &lt; .001, η²p = .17 (Table 3). The experimental group’s mean performance score increased from 14.72 (SD = 3.18) to 18.41 (SD = 2.96), a gain of 3.69 points (d = 1.20, 95% </w:t>
      </w:r>
      <w:r w:rsidRPr="00CF02D6">
        <w:rPr>
          <w:sz w:val="24"/>
          <w:szCs w:val="24"/>
        </w:rPr>
        <w:lastRenderedPageBreak/>
        <w:t>CI [0.82, 1.58]). The control group also improved, from 14.53 (SD = 3.41) to 15.88 (SD = 3.27), a gain of 1.35 points (d = 0.40, 95% CI [0.02, 0.78]). Dimension-level analysis (Table 4) indicated significant Group × Time interactions for fluency (p &lt; .01), vocabulary (p &lt; .05), and interactional competence (p &lt; .01), but non-significant interactions for pronunciation (p = .083) and grammatical accuracy (p = .114).</w:t>
      </w:r>
    </w:p>
    <w:p w:rsidR="00AA45DD" w:rsidRPr="00CF02D6" w:rsidRDefault="00000000">
      <w:pPr>
        <w:pStyle w:val="RALs-TableCaption"/>
        <w:rPr>
          <w:sz w:val="24"/>
          <w:szCs w:val="24"/>
        </w:rPr>
      </w:pPr>
      <w:r w:rsidRPr="00CF02D6">
        <w:rPr>
          <w:sz w:val="24"/>
          <w:szCs w:val="24"/>
        </w:rPr>
        <w:t>Table 3</w:t>
      </w:r>
    </w:p>
    <w:p w:rsidR="00AA45DD" w:rsidRPr="00CF02D6" w:rsidRDefault="00000000">
      <w:pPr>
        <w:pStyle w:val="RALs-TableCaption"/>
        <w:rPr>
          <w:i/>
          <w:sz w:val="24"/>
          <w:szCs w:val="24"/>
        </w:rPr>
      </w:pPr>
      <w:r w:rsidRPr="00CF02D6">
        <w:rPr>
          <w:i/>
          <w:sz w:val="24"/>
          <w:szCs w:val="24"/>
        </w:rPr>
        <w:t>Total Speaking Performance Scores by Group and 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7"/>
        <w:gridCol w:w="1017"/>
        <w:gridCol w:w="860"/>
        <w:gridCol w:w="1017"/>
        <w:gridCol w:w="860"/>
        <w:gridCol w:w="1037"/>
        <w:gridCol w:w="2398"/>
      </w:tblGrid>
      <w:tr w:rsidR="00FD1575" w:rsidRPr="00CF02D6" w:rsidTr="00D92D8F">
        <w:trPr>
          <w:gridAfter w:val="1"/>
          <w:wAfter w:w="1330" w:type="pct"/>
          <w:tblHeader/>
        </w:trPr>
        <w:tc>
          <w:tcPr>
            <w:tcW w:w="1577" w:type="pct"/>
            <w:gridSpan w:val="2"/>
            <w:tcMar>
              <w:top w:w="90" w:type="dxa"/>
              <w:left w:w="90" w:type="dxa"/>
              <w:bottom w:w="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br/>
              <w:t>Pretest</w:t>
            </w:r>
          </w:p>
        </w:tc>
        <w:tc>
          <w:tcPr>
            <w:tcW w:w="1041" w:type="pct"/>
            <w:gridSpan w:val="2"/>
            <w:tcMar>
              <w:top w:w="90" w:type="dxa"/>
              <w:left w:w="90" w:type="dxa"/>
              <w:bottom w:w="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Posttest</w:t>
            </w:r>
          </w:p>
        </w:tc>
        <w:tc>
          <w:tcPr>
            <w:tcW w:w="477" w:type="pct"/>
            <w:tcMar>
              <w:top w:w="90" w:type="dxa"/>
              <w:left w:w="90" w:type="dxa"/>
              <w:bottom w:w="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p>
        </w:tc>
        <w:tc>
          <w:tcPr>
            <w:tcW w:w="575" w:type="pct"/>
            <w:tcMar>
              <w:top w:w="90" w:type="dxa"/>
              <w:left w:w="90" w:type="dxa"/>
              <w:bottom w:w="0" w:type="dxa"/>
              <w:right w:w="90" w:type="dxa"/>
            </w:tcMar>
            <w:vAlign w:val="center"/>
            <w:hideMark/>
          </w:tcPr>
          <w:p w:rsidR="00FD1575" w:rsidRPr="00CF02D6" w:rsidRDefault="00FD1575" w:rsidP="00FD1575">
            <w:pPr>
              <w:spacing w:before="0" w:after="0" w:line="240" w:lineRule="auto"/>
              <w:ind w:firstLine="0"/>
              <w:jc w:val="center"/>
              <w:rPr>
                <w:rFonts w:cs="Times New Roman"/>
                <w:szCs w:val="20"/>
                <w:lang w:val="en-VN"/>
              </w:rPr>
            </w:pPr>
          </w:p>
        </w:tc>
      </w:tr>
      <w:tr w:rsidR="00FD1575" w:rsidRPr="00CF02D6" w:rsidTr="00D92D8F">
        <w:trPr>
          <w:tblHeader/>
        </w:trPr>
        <w:tc>
          <w:tcPr>
            <w:tcW w:w="1013" w:type="pct"/>
            <w:tcMar>
              <w:top w:w="0" w:type="dxa"/>
              <w:left w:w="90" w:type="dxa"/>
              <w:bottom w:w="90" w:type="dxa"/>
              <w:right w:w="90" w:type="dxa"/>
            </w:tcMar>
            <w:vAlign w:val="center"/>
            <w:hideMark/>
          </w:tcPr>
          <w:p w:rsidR="00FD1575" w:rsidRPr="00CF02D6" w:rsidRDefault="00FD1575" w:rsidP="00FD1575">
            <w:pPr>
              <w:spacing w:before="0" w:after="0" w:line="240" w:lineRule="auto"/>
              <w:ind w:firstLine="0"/>
              <w:jc w:val="left"/>
              <w:rPr>
                <w:rFonts w:cs="Times New Roman"/>
                <w:i/>
                <w:iCs/>
                <w:color w:val="141413"/>
                <w:szCs w:val="20"/>
                <w:lang w:val="en-VN"/>
              </w:rPr>
            </w:pPr>
            <w:r w:rsidRPr="00CF02D6">
              <w:rPr>
                <w:rFonts w:cs="Times New Roman"/>
                <w:i/>
                <w:iCs/>
                <w:color w:val="141413"/>
                <w:szCs w:val="20"/>
                <w:lang w:val="en-VN"/>
              </w:rPr>
              <w:t>Group</w:t>
            </w:r>
          </w:p>
        </w:tc>
        <w:tc>
          <w:tcPr>
            <w:tcW w:w="564" w:type="pct"/>
            <w:tcMar>
              <w:top w:w="0" w:type="dxa"/>
              <w:left w:w="90" w:type="dxa"/>
              <w:bottom w:w="9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M</w:t>
            </w:r>
          </w:p>
        </w:tc>
        <w:tc>
          <w:tcPr>
            <w:tcW w:w="477" w:type="pct"/>
            <w:tcMar>
              <w:top w:w="0" w:type="dxa"/>
              <w:left w:w="90" w:type="dxa"/>
              <w:bottom w:w="9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SD</w:t>
            </w:r>
          </w:p>
        </w:tc>
        <w:tc>
          <w:tcPr>
            <w:tcW w:w="564" w:type="pct"/>
            <w:tcMar>
              <w:top w:w="0" w:type="dxa"/>
              <w:left w:w="90" w:type="dxa"/>
              <w:bottom w:w="9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M</w:t>
            </w:r>
          </w:p>
        </w:tc>
        <w:tc>
          <w:tcPr>
            <w:tcW w:w="477" w:type="pct"/>
            <w:tcMar>
              <w:top w:w="0" w:type="dxa"/>
              <w:left w:w="90" w:type="dxa"/>
              <w:bottom w:w="9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SD</w:t>
            </w:r>
          </w:p>
        </w:tc>
        <w:tc>
          <w:tcPr>
            <w:tcW w:w="575" w:type="pct"/>
            <w:tcMar>
              <w:top w:w="0" w:type="dxa"/>
              <w:left w:w="90" w:type="dxa"/>
              <w:bottom w:w="9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Diff.</w:t>
            </w:r>
          </w:p>
        </w:tc>
        <w:tc>
          <w:tcPr>
            <w:tcW w:w="1330" w:type="pct"/>
            <w:tcMar>
              <w:top w:w="0" w:type="dxa"/>
              <w:left w:w="90" w:type="dxa"/>
              <w:bottom w:w="90" w:type="dxa"/>
              <w:right w:w="90" w:type="dxa"/>
            </w:tcMar>
            <w:vAlign w:val="center"/>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d [95% CI]</w:t>
            </w:r>
          </w:p>
        </w:tc>
      </w:tr>
      <w:tr w:rsidR="00FD1575" w:rsidRPr="00CF02D6" w:rsidTr="00D92D8F">
        <w:tc>
          <w:tcPr>
            <w:tcW w:w="1013"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left"/>
              <w:rPr>
                <w:rFonts w:cs="Times New Roman"/>
                <w:color w:val="141413"/>
                <w:szCs w:val="20"/>
                <w:lang w:val="en-VN"/>
              </w:rPr>
            </w:pPr>
            <w:r w:rsidRPr="00CF02D6">
              <w:rPr>
                <w:rFonts w:cs="Times New Roman"/>
                <w:color w:val="141413"/>
                <w:szCs w:val="20"/>
                <w:lang w:val="en-VN"/>
              </w:rPr>
              <w:t>Exp. (n=32)</w:t>
            </w:r>
          </w:p>
        </w:tc>
        <w:tc>
          <w:tcPr>
            <w:tcW w:w="564"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14.72</w:t>
            </w:r>
          </w:p>
        </w:tc>
        <w:tc>
          <w:tcPr>
            <w:tcW w:w="477"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3.18</w:t>
            </w:r>
          </w:p>
        </w:tc>
        <w:tc>
          <w:tcPr>
            <w:tcW w:w="564"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18.41</w:t>
            </w:r>
          </w:p>
        </w:tc>
        <w:tc>
          <w:tcPr>
            <w:tcW w:w="477"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2.96</w:t>
            </w:r>
          </w:p>
        </w:tc>
        <w:tc>
          <w:tcPr>
            <w:tcW w:w="575"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+3.69</w:t>
            </w:r>
          </w:p>
        </w:tc>
        <w:tc>
          <w:tcPr>
            <w:tcW w:w="1330"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1.20 [0.82, 1.58]</w:t>
            </w:r>
          </w:p>
        </w:tc>
      </w:tr>
      <w:tr w:rsidR="00FD1575" w:rsidRPr="00CF02D6" w:rsidTr="00D92D8F">
        <w:tc>
          <w:tcPr>
            <w:tcW w:w="1013"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left"/>
              <w:rPr>
                <w:rFonts w:cs="Times New Roman"/>
                <w:color w:val="141413"/>
                <w:szCs w:val="20"/>
                <w:lang w:val="en-VN"/>
              </w:rPr>
            </w:pPr>
            <w:r w:rsidRPr="00CF02D6">
              <w:rPr>
                <w:rFonts w:cs="Times New Roman"/>
                <w:color w:val="141413"/>
                <w:szCs w:val="20"/>
                <w:lang w:val="en-VN"/>
              </w:rPr>
              <w:t>Ctrl. (n=32)</w:t>
            </w:r>
          </w:p>
        </w:tc>
        <w:tc>
          <w:tcPr>
            <w:tcW w:w="564"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14.53</w:t>
            </w:r>
          </w:p>
        </w:tc>
        <w:tc>
          <w:tcPr>
            <w:tcW w:w="477"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3.41</w:t>
            </w:r>
          </w:p>
        </w:tc>
        <w:tc>
          <w:tcPr>
            <w:tcW w:w="564"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15.88</w:t>
            </w:r>
          </w:p>
        </w:tc>
        <w:tc>
          <w:tcPr>
            <w:tcW w:w="477"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3.27</w:t>
            </w:r>
          </w:p>
        </w:tc>
        <w:tc>
          <w:tcPr>
            <w:tcW w:w="575"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+1.35</w:t>
            </w:r>
          </w:p>
        </w:tc>
        <w:tc>
          <w:tcPr>
            <w:tcW w:w="1330" w:type="pct"/>
            <w:tcMar>
              <w:top w:w="75" w:type="dxa"/>
              <w:left w:w="90" w:type="dxa"/>
              <w:bottom w:w="75" w:type="dxa"/>
              <w:right w:w="90" w:type="dxa"/>
            </w:tcMar>
            <w:vAlign w:val="center"/>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0.40 [0.02, 0.78]</w:t>
            </w:r>
          </w:p>
        </w:tc>
      </w:tr>
    </w:tbl>
    <w:p w:rsidR="00FD1575" w:rsidRPr="00FD1575" w:rsidRDefault="00FD1575" w:rsidP="00FD1575">
      <w:pPr>
        <w:pStyle w:val="RALs-Normal-NoIndent"/>
      </w:pPr>
    </w:p>
    <w:p w:rsidR="00AA45DD" w:rsidRPr="00B47B8C" w:rsidRDefault="00000000">
      <w:pPr>
        <w:pStyle w:val="RALs-TableCaption"/>
        <w:rPr>
          <w:sz w:val="24"/>
          <w:szCs w:val="24"/>
        </w:rPr>
      </w:pPr>
      <w:r w:rsidRPr="00B47B8C">
        <w:rPr>
          <w:sz w:val="24"/>
          <w:szCs w:val="24"/>
        </w:rPr>
        <w:t>Table 4</w:t>
      </w:r>
    </w:p>
    <w:p w:rsidR="00AA45DD" w:rsidRPr="00B47B8C" w:rsidRDefault="00000000">
      <w:pPr>
        <w:pStyle w:val="RALs-TableCaption"/>
        <w:rPr>
          <w:i/>
          <w:sz w:val="24"/>
          <w:szCs w:val="24"/>
        </w:rPr>
      </w:pPr>
      <w:r w:rsidRPr="00B47B8C">
        <w:rPr>
          <w:i/>
          <w:sz w:val="24"/>
          <w:szCs w:val="24"/>
        </w:rPr>
        <w:t>Speaking Performance by Rubric Dimension</w:t>
      </w:r>
    </w:p>
    <w:tbl>
      <w:tblPr>
        <w:tblStyle w:val="TableGrid"/>
        <w:tblW w:w="5000" w:type="pct"/>
        <w:tblLook w:val="04A0" w:firstRow="1" w:lastRow="0" w:firstColumn="1" w:lastColumn="0" w:noHBand="0" w:noVBand="1"/>
      </w:tblPr>
      <w:tblGrid>
        <w:gridCol w:w="1810"/>
        <w:gridCol w:w="1048"/>
        <w:gridCol w:w="1049"/>
        <w:gridCol w:w="970"/>
        <w:gridCol w:w="1049"/>
        <w:gridCol w:w="1049"/>
        <w:gridCol w:w="970"/>
        <w:gridCol w:w="1071"/>
      </w:tblGrid>
      <w:tr w:rsidR="00FD1575" w:rsidRPr="00CF02D6" w:rsidTr="00D92D8F">
        <w:trPr>
          <w:gridAfter w:val="1"/>
          <w:wAfter w:w="594" w:type="pct"/>
        </w:trPr>
        <w:tc>
          <w:tcPr>
            <w:tcW w:w="2166" w:type="pct"/>
            <w:gridSpan w:val="3"/>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Experimental</w:t>
            </w:r>
          </w:p>
        </w:tc>
        <w:tc>
          <w:tcPr>
            <w:tcW w:w="1702" w:type="pct"/>
            <w:gridSpan w:val="3"/>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Control</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p>
        </w:tc>
      </w:tr>
      <w:tr w:rsidR="00FD1575" w:rsidRPr="00CF02D6" w:rsidTr="00D92D8F">
        <w:tc>
          <w:tcPr>
            <w:tcW w:w="1003" w:type="pct"/>
            <w:hideMark/>
          </w:tcPr>
          <w:p w:rsidR="00FD1575" w:rsidRPr="00CF02D6" w:rsidRDefault="00FD1575" w:rsidP="00FD1575">
            <w:pPr>
              <w:spacing w:before="0" w:after="0" w:line="240" w:lineRule="auto"/>
              <w:ind w:firstLine="0"/>
              <w:jc w:val="left"/>
              <w:rPr>
                <w:rFonts w:cs="Times New Roman"/>
                <w:i/>
                <w:iCs/>
                <w:color w:val="141413"/>
                <w:szCs w:val="20"/>
                <w:lang w:val="en-VN"/>
              </w:rPr>
            </w:pPr>
            <w:r w:rsidRPr="00CF02D6">
              <w:rPr>
                <w:rFonts w:cs="Times New Roman"/>
                <w:i/>
                <w:iCs/>
                <w:color w:val="141413"/>
                <w:szCs w:val="20"/>
                <w:lang w:val="en-VN"/>
              </w:rPr>
              <w:t>Dimension</w:t>
            </w:r>
          </w:p>
        </w:tc>
        <w:tc>
          <w:tcPr>
            <w:tcW w:w="581" w:type="pct"/>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Pre</w:t>
            </w:r>
          </w:p>
        </w:tc>
        <w:tc>
          <w:tcPr>
            <w:tcW w:w="581" w:type="pct"/>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Post</w:t>
            </w:r>
          </w:p>
        </w:tc>
        <w:tc>
          <w:tcPr>
            <w:tcW w:w="538" w:type="pct"/>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Gain</w:t>
            </w:r>
          </w:p>
        </w:tc>
        <w:tc>
          <w:tcPr>
            <w:tcW w:w="582" w:type="pct"/>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Pre</w:t>
            </w:r>
          </w:p>
        </w:tc>
        <w:tc>
          <w:tcPr>
            <w:tcW w:w="582" w:type="pct"/>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Post</w:t>
            </w:r>
          </w:p>
        </w:tc>
        <w:tc>
          <w:tcPr>
            <w:tcW w:w="538" w:type="pct"/>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Gain</w:t>
            </w:r>
          </w:p>
        </w:tc>
        <w:tc>
          <w:tcPr>
            <w:tcW w:w="594" w:type="pct"/>
            <w:hideMark/>
          </w:tcPr>
          <w:p w:rsidR="00FD1575" w:rsidRPr="00CF02D6" w:rsidRDefault="00FD1575" w:rsidP="00FD1575">
            <w:pPr>
              <w:spacing w:before="0" w:after="0" w:line="240" w:lineRule="auto"/>
              <w:ind w:firstLine="0"/>
              <w:jc w:val="center"/>
              <w:rPr>
                <w:rFonts w:cs="Times New Roman"/>
                <w:i/>
                <w:iCs/>
                <w:color w:val="141413"/>
                <w:szCs w:val="20"/>
                <w:lang w:val="en-VN"/>
              </w:rPr>
            </w:pPr>
            <w:r w:rsidRPr="00CF02D6">
              <w:rPr>
                <w:rFonts w:cs="Times New Roman"/>
                <w:i/>
                <w:iCs/>
                <w:color w:val="141413"/>
                <w:szCs w:val="20"/>
                <w:lang w:val="en-VN"/>
              </w:rPr>
              <w:t>p</w:t>
            </w:r>
          </w:p>
        </w:tc>
      </w:tr>
      <w:tr w:rsidR="00FD1575" w:rsidRPr="00CF02D6" w:rsidTr="00D92D8F">
        <w:tc>
          <w:tcPr>
            <w:tcW w:w="1003" w:type="pct"/>
            <w:hideMark/>
          </w:tcPr>
          <w:p w:rsidR="00FD1575" w:rsidRPr="00CF02D6" w:rsidRDefault="00FD1575" w:rsidP="00FD1575">
            <w:pPr>
              <w:spacing w:before="0" w:after="0" w:line="240" w:lineRule="auto"/>
              <w:ind w:firstLine="0"/>
              <w:jc w:val="left"/>
              <w:rPr>
                <w:rFonts w:cs="Times New Roman"/>
                <w:color w:val="141413"/>
                <w:szCs w:val="20"/>
                <w:lang w:val="en-VN"/>
              </w:rPr>
            </w:pPr>
            <w:r w:rsidRPr="00CF02D6">
              <w:rPr>
                <w:rFonts w:cs="Times New Roman"/>
                <w:color w:val="141413"/>
                <w:szCs w:val="20"/>
                <w:lang w:val="en-VN"/>
              </w:rPr>
              <w:t>Fluency</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2.72</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3.78</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1.06</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2.69</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3.03</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0.34</w:t>
            </w:r>
          </w:p>
        </w:tc>
        <w:tc>
          <w:tcPr>
            <w:tcW w:w="594"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&lt;.01</w:t>
            </w:r>
          </w:p>
        </w:tc>
      </w:tr>
      <w:tr w:rsidR="00FD1575" w:rsidRPr="00CF02D6" w:rsidTr="00D92D8F">
        <w:tc>
          <w:tcPr>
            <w:tcW w:w="1003" w:type="pct"/>
            <w:hideMark/>
          </w:tcPr>
          <w:p w:rsidR="00FD1575" w:rsidRPr="00CF02D6" w:rsidRDefault="00FD1575" w:rsidP="00FD1575">
            <w:pPr>
              <w:spacing w:before="0" w:after="0" w:line="240" w:lineRule="auto"/>
              <w:ind w:firstLine="0"/>
              <w:jc w:val="left"/>
              <w:rPr>
                <w:rFonts w:cs="Times New Roman"/>
                <w:color w:val="141413"/>
                <w:szCs w:val="20"/>
                <w:lang w:val="en-VN"/>
              </w:rPr>
            </w:pPr>
            <w:r w:rsidRPr="00CF02D6">
              <w:rPr>
                <w:rFonts w:cs="Times New Roman"/>
                <w:color w:val="141413"/>
                <w:szCs w:val="20"/>
                <w:lang w:val="en-VN"/>
              </w:rPr>
              <w:t>Pronunc.</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2.91</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3.44</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0.53</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2.88</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3.13</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0.25</w:t>
            </w:r>
          </w:p>
        </w:tc>
        <w:tc>
          <w:tcPr>
            <w:tcW w:w="594"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.083</w:t>
            </w:r>
          </w:p>
        </w:tc>
      </w:tr>
      <w:tr w:rsidR="00FD1575" w:rsidRPr="00CF02D6" w:rsidTr="00D92D8F">
        <w:tc>
          <w:tcPr>
            <w:tcW w:w="1003" w:type="pct"/>
            <w:hideMark/>
          </w:tcPr>
          <w:p w:rsidR="00FD1575" w:rsidRPr="00CF02D6" w:rsidRDefault="00FD1575" w:rsidP="00FD1575">
            <w:pPr>
              <w:spacing w:before="0" w:after="0" w:line="240" w:lineRule="auto"/>
              <w:ind w:firstLine="0"/>
              <w:jc w:val="left"/>
              <w:rPr>
                <w:rFonts w:cs="Times New Roman"/>
                <w:color w:val="141413"/>
                <w:szCs w:val="20"/>
                <w:lang w:val="en-VN"/>
              </w:rPr>
            </w:pPr>
            <w:r w:rsidRPr="00CF02D6">
              <w:rPr>
                <w:rFonts w:cs="Times New Roman"/>
                <w:color w:val="141413"/>
                <w:szCs w:val="20"/>
                <w:lang w:val="en-VN"/>
              </w:rPr>
              <w:t>Grammar</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3.03</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3.50</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0.47</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2.97</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3.22</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0.25</w:t>
            </w:r>
          </w:p>
        </w:tc>
        <w:tc>
          <w:tcPr>
            <w:tcW w:w="594"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.114</w:t>
            </w:r>
          </w:p>
        </w:tc>
      </w:tr>
      <w:tr w:rsidR="00FD1575" w:rsidRPr="00CF02D6" w:rsidTr="00D92D8F">
        <w:tc>
          <w:tcPr>
            <w:tcW w:w="1003" w:type="pct"/>
            <w:hideMark/>
          </w:tcPr>
          <w:p w:rsidR="00FD1575" w:rsidRPr="00CF02D6" w:rsidRDefault="00FD1575" w:rsidP="00FD1575">
            <w:pPr>
              <w:spacing w:before="0" w:after="0" w:line="240" w:lineRule="auto"/>
              <w:ind w:firstLine="0"/>
              <w:jc w:val="left"/>
              <w:rPr>
                <w:rFonts w:cs="Times New Roman"/>
                <w:color w:val="141413"/>
                <w:szCs w:val="20"/>
                <w:lang w:val="en-VN"/>
              </w:rPr>
            </w:pPr>
            <w:r w:rsidRPr="00CF02D6">
              <w:rPr>
                <w:rFonts w:cs="Times New Roman"/>
                <w:color w:val="141413"/>
                <w:szCs w:val="20"/>
                <w:lang w:val="en-VN"/>
              </w:rPr>
              <w:t>Vocabulary</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3.12</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3.81</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0.69</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3.05</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3.28</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0.23</w:t>
            </w:r>
          </w:p>
        </w:tc>
        <w:tc>
          <w:tcPr>
            <w:tcW w:w="594"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&lt;.05</w:t>
            </w:r>
          </w:p>
        </w:tc>
      </w:tr>
      <w:tr w:rsidR="00FD1575" w:rsidRPr="00CF02D6" w:rsidTr="00D92D8F">
        <w:tc>
          <w:tcPr>
            <w:tcW w:w="1003" w:type="pct"/>
            <w:hideMark/>
          </w:tcPr>
          <w:p w:rsidR="00FD1575" w:rsidRPr="00CF02D6" w:rsidRDefault="00FD1575" w:rsidP="00FD1575">
            <w:pPr>
              <w:spacing w:before="0" w:after="0" w:line="240" w:lineRule="auto"/>
              <w:ind w:firstLine="0"/>
              <w:jc w:val="left"/>
              <w:rPr>
                <w:rFonts w:cs="Times New Roman"/>
                <w:color w:val="141413"/>
                <w:szCs w:val="20"/>
                <w:lang w:val="en-VN"/>
              </w:rPr>
            </w:pPr>
            <w:r w:rsidRPr="00CF02D6">
              <w:rPr>
                <w:rFonts w:cs="Times New Roman"/>
                <w:color w:val="141413"/>
                <w:szCs w:val="20"/>
                <w:lang w:val="en-VN"/>
              </w:rPr>
              <w:t>Interact.</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2.94</w:t>
            </w:r>
          </w:p>
        </w:tc>
        <w:tc>
          <w:tcPr>
            <w:tcW w:w="581"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3.88</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0.94</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2.94</w:t>
            </w:r>
          </w:p>
        </w:tc>
        <w:tc>
          <w:tcPr>
            <w:tcW w:w="582"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3.22</w:t>
            </w:r>
          </w:p>
        </w:tc>
        <w:tc>
          <w:tcPr>
            <w:tcW w:w="538"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0.28</w:t>
            </w:r>
          </w:p>
        </w:tc>
        <w:tc>
          <w:tcPr>
            <w:tcW w:w="594" w:type="pct"/>
            <w:hideMark/>
          </w:tcPr>
          <w:p w:rsidR="00FD1575" w:rsidRPr="00CF02D6" w:rsidRDefault="00FD1575" w:rsidP="00FD1575">
            <w:pPr>
              <w:spacing w:before="0" w:after="0" w:line="240" w:lineRule="auto"/>
              <w:ind w:firstLine="0"/>
              <w:jc w:val="center"/>
              <w:rPr>
                <w:rFonts w:cs="Times New Roman"/>
                <w:color w:val="141413"/>
                <w:szCs w:val="20"/>
                <w:lang w:val="en-VN"/>
              </w:rPr>
            </w:pPr>
            <w:r w:rsidRPr="00CF02D6">
              <w:rPr>
                <w:rFonts w:cs="Times New Roman"/>
                <w:color w:val="141413"/>
                <w:szCs w:val="20"/>
                <w:lang w:val="en-VN"/>
              </w:rPr>
              <w:t>&lt;.01</w:t>
            </w:r>
          </w:p>
        </w:tc>
      </w:tr>
      <w:tr w:rsidR="00FD1575" w:rsidRPr="00CF02D6" w:rsidTr="00D92D8F">
        <w:tc>
          <w:tcPr>
            <w:tcW w:w="1003" w:type="pct"/>
            <w:hideMark/>
          </w:tcPr>
          <w:p w:rsidR="00FD1575" w:rsidRPr="00CF02D6" w:rsidRDefault="00FD1575" w:rsidP="00FD1575">
            <w:pPr>
              <w:spacing w:before="0" w:after="0" w:line="240" w:lineRule="auto"/>
              <w:ind w:firstLine="0"/>
              <w:jc w:val="left"/>
              <w:rPr>
                <w:rFonts w:cs="Times New Roman"/>
                <w:color w:val="141413"/>
                <w:szCs w:val="20"/>
                <w:lang w:val="en-VN"/>
              </w:rPr>
            </w:pPr>
            <w:r w:rsidRPr="00CF02D6">
              <w:rPr>
                <w:rFonts w:cs="Times New Roman"/>
                <w:color w:val="141413"/>
                <w:szCs w:val="20"/>
                <w:lang w:val="en-VN"/>
              </w:rPr>
              <w:t>Total</w:t>
            </w:r>
          </w:p>
        </w:tc>
        <w:tc>
          <w:tcPr>
            <w:tcW w:w="581" w:type="pct"/>
            <w:hideMark/>
          </w:tcPr>
          <w:p w:rsidR="00FD1575" w:rsidRPr="00CF02D6" w:rsidRDefault="00FD1575" w:rsidP="00FD1575">
            <w:pPr>
              <w:spacing w:before="0" w:after="0" w:line="240" w:lineRule="auto"/>
              <w:ind w:firstLine="0"/>
              <w:jc w:val="center"/>
              <w:rPr>
                <w:rFonts w:cs="Times New Roman"/>
                <w:b/>
                <w:bCs/>
                <w:color w:val="141413"/>
                <w:szCs w:val="20"/>
                <w:lang w:val="en-VN"/>
              </w:rPr>
            </w:pPr>
            <w:r w:rsidRPr="00CF02D6">
              <w:rPr>
                <w:rFonts w:cs="Times New Roman"/>
                <w:b/>
                <w:bCs/>
                <w:color w:val="141413"/>
                <w:szCs w:val="20"/>
                <w:lang w:val="en-VN"/>
              </w:rPr>
              <w:t>14.72</w:t>
            </w:r>
          </w:p>
        </w:tc>
        <w:tc>
          <w:tcPr>
            <w:tcW w:w="581" w:type="pct"/>
            <w:hideMark/>
          </w:tcPr>
          <w:p w:rsidR="00FD1575" w:rsidRPr="00CF02D6" w:rsidRDefault="00FD1575" w:rsidP="00FD1575">
            <w:pPr>
              <w:spacing w:before="0" w:after="0" w:line="240" w:lineRule="auto"/>
              <w:ind w:firstLine="0"/>
              <w:jc w:val="center"/>
              <w:rPr>
                <w:rFonts w:cs="Times New Roman"/>
                <w:b/>
                <w:bCs/>
                <w:color w:val="141413"/>
                <w:szCs w:val="20"/>
                <w:lang w:val="en-VN"/>
              </w:rPr>
            </w:pPr>
            <w:r w:rsidRPr="00CF02D6">
              <w:rPr>
                <w:rFonts w:cs="Times New Roman"/>
                <w:b/>
                <w:bCs/>
                <w:color w:val="141413"/>
                <w:szCs w:val="20"/>
                <w:lang w:val="en-VN"/>
              </w:rPr>
              <w:t>18.41</w:t>
            </w:r>
          </w:p>
        </w:tc>
        <w:tc>
          <w:tcPr>
            <w:tcW w:w="538" w:type="pct"/>
            <w:hideMark/>
          </w:tcPr>
          <w:p w:rsidR="00FD1575" w:rsidRPr="00CF02D6" w:rsidRDefault="00FD1575" w:rsidP="00FD1575">
            <w:pPr>
              <w:spacing w:before="0" w:after="0" w:line="240" w:lineRule="auto"/>
              <w:ind w:firstLine="0"/>
              <w:jc w:val="center"/>
              <w:rPr>
                <w:rFonts w:cs="Times New Roman"/>
                <w:b/>
                <w:bCs/>
                <w:color w:val="141413"/>
                <w:szCs w:val="20"/>
                <w:lang w:val="en-VN"/>
              </w:rPr>
            </w:pPr>
            <w:r w:rsidRPr="00CF02D6">
              <w:rPr>
                <w:rFonts w:cs="Times New Roman"/>
                <w:b/>
                <w:bCs/>
                <w:color w:val="141413"/>
                <w:szCs w:val="20"/>
                <w:lang w:val="en-VN"/>
              </w:rPr>
              <w:t>3.69</w:t>
            </w:r>
          </w:p>
        </w:tc>
        <w:tc>
          <w:tcPr>
            <w:tcW w:w="582" w:type="pct"/>
            <w:hideMark/>
          </w:tcPr>
          <w:p w:rsidR="00FD1575" w:rsidRPr="00CF02D6" w:rsidRDefault="00FD1575" w:rsidP="00FD1575">
            <w:pPr>
              <w:spacing w:before="0" w:after="0" w:line="240" w:lineRule="auto"/>
              <w:ind w:firstLine="0"/>
              <w:jc w:val="center"/>
              <w:rPr>
                <w:rFonts w:cs="Times New Roman"/>
                <w:b/>
                <w:bCs/>
                <w:color w:val="141413"/>
                <w:szCs w:val="20"/>
                <w:lang w:val="en-VN"/>
              </w:rPr>
            </w:pPr>
            <w:r w:rsidRPr="00CF02D6">
              <w:rPr>
                <w:rFonts w:cs="Times New Roman"/>
                <w:b/>
                <w:bCs/>
                <w:color w:val="141413"/>
                <w:szCs w:val="20"/>
                <w:lang w:val="en-VN"/>
              </w:rPr>
              <w:t>14.53</w:t>
            </w:r>
          </w:p>
        </w:tc>
        <w:tc>
          <w:tcPr>
            <w:tcW w:w="582" w:type="pct"/>
            <w:hideMark/>
          </w:tcPr>
          <w:p w:rsidR="00FD1575" w:rsidRPr="00CF02D6" w:rsidRDefault="00FD1575" w:rsidP="00FD1575">
            <w:pPr>
              <w:spacing w:before="0" w:after="0" w:line="240" w:lineRule="auto"/>
              <w:ind w:firstLine="0"/>
              <w:jc w:val="center"/>
              <w:rPr>
                <w:rFonts w:cs="Times New Roman"/>
                <w:b/>
                <w:bCs/>
                <w:color w:val="141413"/>
                <w:szCs w:val="20"/>
                <w:lang w:val="en-VN"/>
              </w:rPr>
            </w:pPr>
            <w:r w:rsidRPr="00CF02D6">
              <w:rPr>
                <w:rFonts w:cs="Times New Roman"/>
                <w:b/>
                <w:bCs/>
                <w:color w:val="141413"/>
                <w:szCs w:val="20"/>
                <w:lang w:val="en-VN"/>
              </w:rPr>
              <w:t>15.88</w:t>
            </w:r>
          </w:p>
        </w:tc>
        <w:tc>
          <w:tcPr>
            <w:tcW w:w="538" w:type="pct"/>
            <w:hideMark/>
          </w:tcPr>
          <w:p w:rsidR="00FD1575" w:rsidRPr="00CF02D6" w:rsidRDefault="00FD1575" w:rsidP="00FD1575">
            <w:pPr>
              <w:spacing w:before="0" w:after="0" w:line="240" w:lineRule="auto"/>
              <w:ind w:firstLine="0"/>
              <w:jc w:val="center"/>
              <w:rPr>
                <w:rFonts w:cs="Times New Roman"/>
                <w:b/>
                <w:bCs/>
                <w:color w:val="141413"/>
                <w:szCs w:val="20"/>
                <w:lang w:val="en-VN"/>
              </w:rPr>
            </w:pPr>
            <w:r w:rsidRPr="00CF02D6">
              <w:rPr>
                <w:rFonts w:cs="Times New Roman"/>
                <w:b/>
                <w:bCs/>
                <w:color w:val="141413"/>
                <w:szCs w:val="20"/>
                <w:lang w:val="en-VN"/>
              </w:rPr>
              <w:t>1.35</w:t>
            </w:r>
          </w:p>
        </w:tc>
        <w:tc>
          <w:tcPr>
            <w:tcW w:w="594" w:type="pct"/>
            <w:hideMark/>
          </w:tcPr>
          <w:p w:rsidR="00FD1575" w:rsidRPr="00CF02D6" w:rsidRDefault="00FD1575" w:rsidP="00FD1575">
            <w:pPr>
              <w:spacing w:before="0" w:after="0" w:line="240" w:lineRule="auto"/>
              <w:ind w:firstLine="0"/>
              <w:jc w:val="center"/>
              <w:rPr>
                <w:rFonts w:cs="Times New Roman"/>
                <w:b/>
                <w:bCs/>
                <w:color w:val="141413"/>
                <w:szCs w:val="20"/>
                <w:lang w:val="en-VN"/>
              </w:rPr>
            </w:pPr>
            <w:r w:rsidRPr="00CF02D6">
              <w:rPr>
                <w:rFonts w:cs="Times New Roman"/>
                <w:b/>
                <w:bCs/>
                <w:color w:val="141413"/>
                <w:szCs w:val="20"/>
                <w:lang w:val="en-VN"/>
              </w:rPr>
              <w:t>&lt;.001</w:t>
            </w:r>
          </w:p>
        </w:tc>
      </w:tr>
    </w:tbl>
    <w:p w:rsidR="00FD1575" w:rsidRPr="00FD1575" w:rsidRDefault="00FD1575" w:rsidP="00FD1575">
      <w:pPr>
        <w:pStyle w:val="RALs-Normal-NoIndent"/>
      </w:pPr>
    </w:p>
    <w:p w:rsidR="00AA45DD" w:rsidRPr="00CF02D6" w:rsidRDefault="00000000">
      <w:pPr>
        <w:pStyle w:val="RALs-Heading2"/>
        <w:rPr>
          <w:sz w:val="24"/>
          <w:szCs w:val="24"/>
        </w:rPr>
      </w:pPr>
      <w:r w:rsidRPr="00CF02D6">
        <w:rPr>
          <w:sz w:val="24"/>
          <w:szCs w:val="24"/>
        </w:rPr>
        <w:t>4.4. Student Perceptions (RQ3)</w:t>
      </w:r>
    </w:p>
    <w:p w:rsidR="00AA45DD" w:rsidRPr="00CF02D6" w:rsidRDefault="00000000">
      <w:pPr>
        <w:rPr>
          <w:sz w:val="24"/>
          <w:szCs w:val="24"/>
        </w:rPr>
      </w:pPr>
      <w:r w:rsidRPr="00CF02D6">
        <w:rPr>
          <w:sz w:val="24"/>
          <w:szCs w:val="24"/>
        </w:rPr>
        <w:t>Thematic analysis of the 12 interviews yielded four themes addressing the two dimensions of RQ3: Themes 1 and 2 illuminate the anxiety-reduction dimension, Theme 3 addresses the confidence-development dimension, and Theme 4 captures perceived limitations that contextualize the overall experience.</w:t>
      </w:r>
    </w:p>
    <w:p w:rsidR="00AA45DD" w:rsidRPr="00CF02D6" w:rsidRDefault="00000000">
      <w:pPr>
        <w:pStyle w:val="RALs-Heading3"/>
        <w:rPr>
          <w:b/>
          <w:bCs/>
          <w:sz w:val="24"/>
          <w:szCs w:val="24"/>
        </w:rPr>
      </w:pPr>
      <w:r w:rsidRPr="00CF02D6">
        <w:rPr>
          <w:b/>
          <w:bCs/>
          <w:sz w:val="24"/>
          <w:szCs w:val="24"/>
        </w:rPr>
        <w:t>4.4.1. Reduced fear of judgment (10/12)</w:t>
      </w:r>
    </w:p>
    <w:p w:rsidR="00AA45DD" w:rsidRPr="00CF02D6" w:rsidRDefault="00000000">
      <w:pPr>
        <w:rPr>
          <w:sz w:val="24"/>
          <w:szCs w:val="24"/>
        </w:rPr>
      </w:pPr>
      <w:r w:rsidRPr="00CF02D6">
        <w:rPr>
          <w:sz w:val="24"/>
          <w:szCs w:val="24"/>
        </w:rPr>
        <w:t>Ten participants identified the absence of social evaluation as the primary benefit. Hoa (high-anxiety) explained that with the AI, she could focus entirely on expressing ideas. Minh (moderate-anxiety) noted he could attempt longer sentences without fear of losing face. Two participants (Linh and Quang) did not identify this as primary, noting they had not experienced high evaluative anxiety prior to the intervention.</w:t>
      </w:r>
    </w:p>
    <w:p w:rsidR="00AA45DD" w:rsidRPr="00CF02D6" w:rsidRDefault="00000000">
      <w:pPr>
        <w:pStyle w:val="RALs-Heading3"/>
        <w:rPr>
          <w:b/>
          <w:bCs/>
          <w:sz w:val="24"/>
          <w:szCs w:val="24"/>
        </w:rPr>
      </w:pPr>
      <w:r w:rsidRPr="00CF02D6">
        <w:rPr>
          <w:b/>
          <w:bCs/>
          <w:sz w:val="24"/>
          <w:szCs w:val="24"/>
        </w:rPr>
        <w:t>4.4.2. Benefits of repetition and self-pacing (9/12)</w:t>
      </w:r>
    </w:p>
    <w:p w:rsidR="00AA45DD" w:rsidRPr="00CF02D6" w:rsidRDefault="00000000">
      <w:pPr>
        <w:rPr>
          <w:sz w:val="24"/>
          <w:szCs w:val="24"/>
        </w:rPr>
      </w:pPr>
      <w:r w:rsidRPr="00CF02D6">
        <w:rPr>
          <w:sz w:val="24"/>
          <w:szCs w:val="24"/>
        </w:rPr>
        <w:t xml:space="preserve">Nine participants valued repeating scenarios. Trang practiced a restaurant role-play seven times; by the fourth attempt, she no longer paused for vocabulary. Duc appreciated the AI’s patience. Three participants found repetition less valuable, with </w:t>
      </w:r>
      <w:proofErr w:type="gramStart"/>
      <w:r w:rsidRPr="00CF02D6">
        <w:rPr>
          <w:sz w:val="24"/>
          <w:szCs w:val="24"/>
        </w:rPr>
        <w:t>An</w:t>
      </w:r>
      <w:proofErr w:type="gramEnd"/>
      <w:r w:rsidRPr="00CF02D6">
        <w:rPr>
          <w:sz w:val="24"/>
          <w:szCs w:val="24"/>
        </w:rPr>
        <w:t xml:space="preserve"> noting it became monotonous after the third week.</w:t>
      </w:r>
    </w:p>
    <w:p w:rsidR="00AA45DD" w:rsidRPr="00CF02D6" w:rsidRDefault="00000000">
      <w:pPr>
        <w:pStyle w:val="RALs-Heading3"/>
        <w:rPr>
          <w:b/>
          <w:bCs/>
          <w:sz w:val="24"/>
          <w:szCs w:val="24"/>
        </w:rPr>
      </w:pPr>
      <w:r w:rsidRPr="00CF02D6">
        <w:rPr>
          <w:b/>
          <w:bCs/>
          <w:sz w:val="24"/>
          <w:szCs w:val="24"/>
        </w:rPr>
        <w:lastRenderedPageBreak/>
        <w:t>4.4.3. Gradual confidence building (8/12)</w:t>
      </w:r>
    </w:p>
    <w:p w:rsidR="00AA45DD" w:rsidRPr="00CF02D6" w:rsidRDefault="00000000">
      <w:pPr>
        <w:rPr>
          <w:sz w:val="24"/>
          <w:szCs w:val="24"/>
        </w:rPr>
      </w:pPr>
      <w:r w:rsidRPr="00CF02D6">
        <w:rPr>
          <w:sz w:val="24"/>
          <w:szCs w:val="24"/>
        </w:rPr>
        <w:t>Eight participants described increasing confidence that transferred to classroom settings. Lan, who had never voluntarily spoken in class during three semesters, raised her hand after four weeks of AI practice. Four participants did not report classroom transfer, though they acknowledged greater comfort with the AI itself.</w:t>
      </w:r>
    </w:p>
    <w:p w:rsidR="00AA45DD" w:rsidRPr="00CF02D6" w:rsidRDefault="00000000">
      <w:pPr>
        <w:pStyle w:val="RALs-Heading3"/>
        <w:rPr>
          <w:b/>
          <w:bCs/>
          <w:sz w:val="24"/>
          <w:szCs w:val="24"/>
        </w:rPr>
      </w:pPr>
      <w:r w:rsidRPr="00CF02D6">
        <w:rPr>
          <w:b/>
          <w:bCs/>
          <w:sz w:val="24"/>
          <w:szCs w:val="24"/>
        </w:rPr>
        <w:t>4.4.4. Perceived limitations (12/12)</w:t>
      </w:r>
    </w:p>
    <w:p w:rsidR="00AA45DD" w:rsidRPr="00CF02D6" w:rsidRDefault="00000000">
      <w:pPr>
        <w:rPr>
          <w:sz w:val="24"/>
          <w:szCs w:val="24"/>
        </w:rPr>
      </w:pPr>
      <w:r w:rsidRPr="00CF02D6">
        <w:rPr>
          <w:sz w:val="24"/>
          <w:szCs w:val="24"/>
        </w:rPr>
        <w:t>All 12 identified limitations. Nine mentioned speech recognition errors with Vietnamese-accented English. Seven noted limited conversational depth. Five expressed that the AI could not replace human interaction’s spontaneity. Duc captured the prevailing sentiment: the AI was like a gym—useful for building strength but not the same as playing a real sport.</w:t>
      </w:r>
    </w:p>
    <w:p w:rsidR="00AA45DD" w:rsidRPr="00CF02D6" w:rsidRDefault="00000000">
      <w:pPr>
        <w:pStyle w:val="RALs-Heading1"/>
        <w:rPr>
          <w:sz w:val="24"/>
          <w:szCs w:val="24"/>
        </w:rPr>
      </w:pPr>
      <w:r w:rsidRPr="00CF02D6">
        <w:rPr>
          <w:sz w:val="24"/>
          <w:szCs w:val="24"/>
        </w:rPr>
        <w:t>5. Discussion</w:t>
      </w:r>
    </w:p>
    <w:p w:rsidR="00AA45DD" w:rsidRPr="00CF02D6" w:rsidRDefault="00000000">
      <w:pPr>
        <w:rPr>
          <w:sz w:val="24"/>
          <w:szCs w:val="24"/>
        </w:rPr>
      </w:pPr>
      <w:r w:rsidRPr="00CF02D6">
        <w:rPr>
          <w:sz w:val="24"/>
          <w:szCs w:val="24"/>
        </w:rPr>
        <w:t>The central finding is straightforward: six weeks of AI-mediated practice produced a large reduction in overall speaking anxiety. The experimental group demonstrated a large anxiety reduction (d = 1.38, 95% CI [0.98, 1.78]), consistent with findings from Iranian (Fathi et al., 2024), Chinese (Chen et al., 2025; Zhang et al., 2024), and Indonesian (Fathi et al., 2025) contexts. This study extends the evidence to Vietnamese higher education.</w:t>
      </w:r>
    </w:p>
    <w:p w:rsidR="00AA45DD" w:rsidRPr="00CF02D6" w:rsidRDefault="00000000">
      <w:pPr>
        <w:rPr>
          <w:sz w:val="24"/>
          <w:szCs w:val="24"/>
        </w:rPr>
      </w:pPr>
      <w:r w:rsidRPr="00CF02D6">
        <w:rPr>
          <w:sz w:val="24"/>
          <w:szCs w:val="24"/>
        </w:rPr>
        <w:t>What sets this study apart, however, is the sub-component analysis. FNE showed the largest reduction (d = 1.47), CA the second (d = 1.29), while the TA interaction was non-significant (p = .169). This differential pattern—unprecedented in the AI-mediated speaking literature, where previous studies report only total scores—aligns with the theoretical rationale: AI removes the evaluative audience (reducing FNE) and provides private interaction (reducing CA) but does not simulate formal assessment (leaving TA unchanged). The qualitative findings directly support this quantitative pattern. Theme 1 (reduced fear of judgment), reported by 10 of 12 participants, corresponds to the FNE reduction; Theme 2 (benefits of repetition and self-pacing) corresponds to the CA reduction, as private practice removes the real-time audience pressure that triggers communication apprehension. That TA was minimally affected is consistent with Theme 4, in which no participant reported reduced test-related concerns.</w:t>
      </w:r>
    </w:p>
    <w:p w:rsidR="00AA45DD" w:rsidRPr="00CF02D6" w:rsidRDefault="00000000">
      <w:pPr>
        <w:rPr>
          <w:sz w:val="24"/>
          <w:szCs w:val="24"/>
        </w:rPr>
      </w:pPr>
      <w:r w:rsidRPr="00CF02D6">
        <w:rPr>
          <w:sz w:val="24"/>
          <w:szCs w:val="24"/>
        </w:rPr>
        <w:t>The performance data tell a complementary story. Fluency and interactional competence showed the largest gains, consistent with Fathi et al. (2025). Pronunciation (p = .083) and grammatical accuracy (p = .114) did not show significant differential improvement, indicating that conversational AI practice alone is insufficient for accuracy-related skills requiring explicit metalinguistic instruction. These limitations mirror the system constraints noted by Hsu et al. (2023) and El Shazly (2021). The practical takeaway is clear: AI practice should be supplemented with targeted pronunciation and grammar instruction. The control group also improved modestly (d = 0.40, 95% CI [0.02, 0.78]), likely attributable to the regular classroom instruction both groups received. The differential gain, however, demonstrates that AI-mediated practice conferred benefits substantially beyond what conventional instruction alone provided.</w:t>
      </w:r>
    </w:p>
    <w:p w:rsidR="00AA45DD" w:rsidRPr="00CF02D6" w:rsidRDefault="00000000">
      <w:pPr>
        <w:rPr>
          <w:sz w:val="24"/>
          <w:szCs w:val="24"/>
        </w:rPr>
      </w:pPr>
      <w:r w:rsidRPr="00CF02D6">
        <w:rPr>
          <w:sz w:val="24"/>
          <w:szCs w:val="24"/>
        </w:rPr>
        <w:lastRenderedPageBreak/>
        <w:t xml:space="preserve">The qualitative finding that participants developed automatic responses through repetition is consistent with DeKeyser’s (2007) skill acquisition framework: procedural knowledge develops through practice, enabling production with reduced cognitive effort. The transfer of confidence to classroom settings, reported most vividly by Lan, suggests that automaticity gained through AI practice frees cognitive resources during face-to-face interaction. Duc’s gym metaphor captures the complementary role participants attributed to AI </w:t>
      </w:r>
      <w:proofErr w:type="gramStart"/>
      <w:r w:rsidRPr="00CF02D6">
        <w:rPr>
          <w:sz w:val="24"/>
          <w:szCs w:val="24"/>
        </w:rPr>
        <w:t>practice,</w:t>
      </w:r>
      <w:proofErr w:type="gramEnd"/>
      <w:r w:rsidRPr="00CF02D6">
        <w:rPr>
          <w:sz w:val="24"/>
          <w:szCs w:val="24"/>
        </w:rPr>
        <w:t xml:space="preserve"> a view consistent with sociocultural theory’s insistence that authentic human interaction remains essential for full communicative development (Lantolf &amp; Thorne, 2006).</w:t>
      </w:r>
    </w:p>
    <w:p w:rsidR="0014790F" w:rsidRPr="00CF02D6" w:rsidRDefault="00000000">
      <w:pPr>
        <w:rPr>
          <w:sz w:val="24"/>
          <w:szCs w:val="24"/>
        </w:rPr>
      </w:pPr>
      <w:r w:rsidRPr="00CF02D6">
        <w:rPr>
          <w:sz w:val="24"/>
          <w:szCs w:val="24"/>
        </w:rPr>
        <w:t>Lan’s trajectory is not an isolated case but rather representative of a broader pattern observable in Vietnamese EFL classrooms: once a learner breaks the initial barrier of voluntary speaking — even once — subsequent participation becomes progressively easier. What the AI practice appears to have provided is a safe rehearsal space where that first breakthrough could occur without the social risk that the classroom entails. Various strategies have been attempted to reduce speaking anxiety in this context — pair work, anonymous response systems, small-group rotations — but none addresses the root problem as directly as removing the human audience altogether. The AI tool does precisely this, and the fact that the confidence built in private practice transferred to public classroom participation suggests that the underlying mechanism is not avoidance of speaking but rather graduated exposure.</w:t>
      </w:r>
    </w:p>
    <w:p w:rsidR="00AA45DD" w:rsidRPr="00CF02D6" w:rsidRDefault="00000000">
      <w:pPr>
        <w:pStyle w:val="RALs-Heading2"/>
        <w:rPr>
          <w:sz w:val="24"/>
          <w:szCs w:val="24"/>
        </w:rPr>
      </w:pPr>
      <w:r w:rsidRPr="00CF02D6">
        <w:rPr>
          <w:sz w:val="24"/>
          <w:szCs w:val="24"/>
        </w:rPr>
        <w:t>5.1. Limitations and Directions for Future Research</w:t>
      </w:r>
    </w:p>
    <w:p w:rsidR="00AA45DD" w:rsidRPr="00CF02D6" w:rsidRDefault="00000000">
      <w:pPr>
        <w:rPr>
          <w:sz w:val="24"/>
          <w:szCs w:val="24"/>
        </w:rPr>
      </w:pPr>
      <w:r w:rsidRPr="00CF02D6">
        <w:rPr>
          <w:sz w:val="24"/>
          <w:szCs w:val="24"/>
        </w:rPr>
        <w:t>Several limitations should be acknowledged. First, the quasi-experimental design does not permit full causal inference. Second, the novelty of AI interaction may have generated a Hawthorne effect: engagement with novel technology, rather than the specific anxiety-reducing affordances, may partially explain results. Future research should include a technology-active control group (e.g., using AI for non-speaking tasks) to isolate oral AI practice effects from technology novelty. Third, despite compliance monitoring (87%), self-reported logs may overestimate engagement. Fourth, the sample was limited to English-major students at a single university, and the gender distribution (predominantly female in both groups) may limit generalizability given documented gender differences in FLA (Teimouri et al., 2019). Fifth, the six-week period may not capture long-term trajectories or regression effects. Future studies should employ physiological anxiety measures, delayed posttests, multi-site designs, and comparisons of AI platform types (cf. Wang et al., 2024).</w:t>
      </w:r>
    </w:p>
    <w:p w:rsidR="00AA45DD" w:rsidRPr="00CF02D6" w:rsidRDefault="00000000">
      <w:pPr>
        <w:pStyle w:val="RALs-Heading1"/>
        <w:rPr>
          <w:sz w:val="24"/>
          <w:szCs w:val="24"/>
        </w:rPr>
      </w:pPr>
      <w:r w:rsidRPr="00CF02D6">
        <w:rPr>
          <w:sz w:val="24"/>
          <w:szCs w:val="24"/>
        </w:rPr>
        <w:t>6. Conclusion</w:t>
      </w:r>
    </w:p>
    <w:p w:rsidR="00AA45DD" w:rsidRPr="00CF02D6" w:rsidRDefault="00000000">
      <w:pPr>
        <w:rPr>
          <w:sz w:val="24"/>
          <w:szCs w:val="24"/>
        </w:rPr>
      </w:pPr>
      <w:r w:rsidRPr="00CF02D6">
        <w:rPr>
          <w:sz w:val="24"/>
          <w:szCs w:val="24"/>
        </w:rPr>
        <w:t xml:space="preserve">This study makes two primary contributions. First, it is the first empirical study to examine AI-mediated speaking practice and language anxiety in Vietnamese higher education, extending the evidence base beyond the East Asian, Middle Eastern, and Southeast Asian contexts investigated to date. Second, it is the first AI intervention study to demonstrate differential effects across FLA sub-components, providing granular support for the theoretical claim that AI practice targets evaluative and communicative anxiety rather than producing undifferentiated reduction. Practically, the findings offer a concrete strategy for integrating AI tools as a structured supplement—not a replacement—for conventional speaking instruction. In the context of Vietnamese higher education, where speaking anxiety remains persistent and </w:t>
      </w:r>
      <w:r w:rsidRPr="00CF02D6">
        <w:rPr>
          <w:sz w:val="24"/>
          <w:szCs w:val="24"/>
        </w:rPr>
        <w:lastRenderedPageBreak/>
        <w:t>culturally reinforced, AI-mediated low-stakes practice may serve as a promising supplementary strategy, particularly when integrated with teacher-guided speaking instruction and targeted pronunciation and grammar practice. It should be emphasized that these findings do not suggest replacing teacher-led speaking instruction with AI tools. Rather, they point to a specific and limited role for AI: as a confidence-building bridge between the safety of silent knowledge and the risk of public speech. In the Vietnamese university context, where class sizes make individualized speaking practice virtually impossible and where cultural norms discourage the trial-and-error that fluency development requires, this bridge is not a luxury but a pedagogical necessity. These findings translate into several actionable recommendations for EFL instructors. First, conversational AI should be introduced as a structured homework component—three 30-minute sessions per week with scaffolded tasks progressing from guided role-plays to open-ended discussions over a six-week cycle. Second, AI practice should be explicitly positioned as a fluency and interaction builder; instructors should continue providing direct pronunciation instruction and explicit grammar teaching in class. Third, a one-week familiarization phase should precede formal practice, as qualitative data indicate technology-related frustrations diminish rapidly after initial sessions. Fourth, compliance should be monitored through weekly logs with screenshot verification. Fifth, periodic debriefing sessions should be conducted in which students discuss their AI practice experiences, facilitating metacognitive awareness of anxiety reduction. These guidelines are implementable within existing Vietnamese university curricula without requiring additional institutional resources beyond student access to a smartphone or computer with internet connectivity.</w:t>
      </w:r>
    </w:p>
    <w:p w:rsidR="00AA45DD" w:rsidRPr="00CF02D6" w:rsidRDefault="00000000">
      <w:pPr>
        <w:pStyle w:val="RALs-Heading1"/>
        <w:rPr>
          <w:sz w:val="24"/>
          <w:szCs w:val="24"/>
        </w:rPr>
      </w:pPr>
      <w:r w:rsidRPr="00CF02D6">
        <w:rPr>
          <w:sz w:val="24"/>
          <w:szCs w:val="24"/>
        </w:rPr>
        <w:t>Notes</w:t>
      </w:r>
    </w:p>
    <w:p w:rsidR="00AA45DD" w:rsidRPr="00CF02D6" w:rsidRDefault="00000000">
      <w:pPr>
        <w:pStyle w:val="RALs-Normal-NoIndent"/>
        <w:rPr>
          <w:sz w:val="24"/>
          <w:szCs w:val="24"/>
        </w:rPr>
      </w:pPr>
      <w:r w:rsidRPr="00CF02D6">
        <w:rPr>
          <w:sz w:val="24"/>
          <w:szCs w:val="24"/>
        </w:rPr>
        <w:t>1 Corresponding author, Lecturer, Faculty of Foreign Languages, Ton Duc Thang University, Ho Chi Minh City, Vietnam; Email: leminhhang@tdtu.edu.vn</w:t>
      </w:r>
    </w:p>
    <w:p w:rsidR="00AA45DD" w:rsidRPr="00B47B8C" w:rsidRDefault="00000000">
      <w:pPr>
        <w:pStyle w:val="RALs-Heading1"/>
        <w:rPr>
          <w:sz w:val="24"/>
          <w:szCs w:val="24"/>
        </w:rPr>
      </w:pPr>
      <w:r w:rsidRPr="00B47B8C">
        <w:rPr>
          <w:sz w:val="24"/>
          <w:szCs w:val="24"/>
        </w:rPr>
        <w:t>References</w:t>
      </w:r>
    </w:p>
    <w:p w:rsidR="00AA45DD" w:rsidRPr="00B47B8C" w:rsidRDefault="00000000">
      <w:pPr>
        <w:ind w:left="720" w:hanging="720"/>
        <w:rPr>
          <w:sz w:val="24"/>
          <w:szCs w:val="24"/>
        </w:rPr>
      </w:pPr>
      <w:r w:rsidRPr="00B47B8C">
        <w:rPr>
          <w:sz w:val="24"/>
          <w:szCs w:val="24"/>
        </w:rPr>
        <w:t>Aida, Y. (1994). Examination of Horwitz, Horwitz, and Cope’s construct of foreign language anxiety: The case of students of Japanese. The Modern Language Journal, 78(2), 155–168. https://doi.org/10.1111/j.1540-4781.1994.tb02026.x</w:t>
      </w:r>
    </w:p>
    <w:p w:rsidR="00AA45DD" w:rsidRPr="00B47B8C" w:rsidRDefault="00000000">
      <w:pPr>
        <w:ind w:left="720" w:hanging="720"/>
        <w:rPr>
          <w:sz w:val="24"/>
          <w:szCs w:val="24"/>
        </w:rPr>
      </w:pPr>
      <w:r w:rsidRPr="00B47B8C">
        <w:rPr>
          <w:sz w:val="24"/>
          <w:szCs w:val="24"/>
        </w:rPr>
        <w:t>Bao, D. (2013). Voices of the reticent? Getting inside views of Vietnamese secondary students on learning. In M. Cortazzi &amp; L. Jin (Eds.), Researching cultures of learning (pp. 136–154). Palgrave Macmillan. https://doi.org/10.1057/9781137296344_8</w:t>
      </w:r>
    </w:p>
    <w:p w:rsidR="00AA45DD" w:rsidRPr="00B47B8C" w:rsidRDefault="00000000">
      <w:pPr>
        <w:ind w:left="720" w:hanging="720"/>
        <w:rPr>
          <w:sz w:val="24"/>
          <w:szCs w:val="24"/>
        </w:rPr>
      </w:pPr>
      <w:r w:rsidRPr="00B47B8C">
        <w:rPr>
          <w:sz w:val="24"/>
          <w:szCs w:val="24"/>
        </w:rPr>
        <w:t>Bibauw, S., François, T., &amp; Desmet, P. (2022). Discussing with a computer to practice a foreign language: Research synthesis and conceptual framework of dialogue-based CALL. Computer Assisted Language Learning, 35(5–6), 1132–1183. https://doi.org/10.1080/09588221.2019.1636111</w:t>
      </w:r>
    </w:p>
    <w:p w:rsidR="00AA45DD" w:rsidRPr="00B47B8C" w:rsidRDefault="00000000">
      <w:pPr>
        <w:ind w:left="720" w:hanging="720"/>
        <w:rPr>
          <w:sz w:val="24"/>
          <w:szCs w:val="24"/>
        </w:rPr>
      </w:pPr>
      <w:r w:rsidRPr="00B47B8C">
        <w:rPr>
          <w:sz w:val="24"/>
          <w:szCs w:val="24"/>
        </w:rPr>
        <w:t>Bjork, E. L., &amp; Bjork, R. A. (2011). Making things hard on yourself, but in a good way: Creating desirable difficulties to enhance learning. In M. A. Gernsbacher et al. (Eds.), Psychology and the real world (pp. 56–64). Worth Publishers.</w:t>
      </w:r>
    </w:p>
    <w:p w:rsidR="00AA45DD" w:rsidRPr="00B47B8C" w:rsidRDefault="00000000">
      <w:pPr>
        <w:ind w:left="720" w:hanging="720"/>
        <w:rPr>
          <w:sz w:val="24"/>
          <w:szCs w:val="24"/>
        </w:rPr>
      </w:pPr>
      <w:r w:rsidRPr="00B47B8C">
        <w:rPr>
          <w:sz w:val="24"/>
          <w:szCs w:val="24"/>
        </w:rPr>
        <w:t>Braun, V., &amp; Clarke, V. (2006). Using thematic analysis in psychology. Qualitative Research in Psychology, 3(2), 77–101. https://doi.org/10.1191/1478088706qp063oa</w:t>
      </w:r>
    </w:p>
    <w:p w:rsidR="00AA45DD" w:rsidRPr="00B47B8C" w:rsidRDefault="00000000">
      <w:pPr>
        <w:ind w:left="720" w:hanging="720"/>
        <w:rPr>
          <w:sz w:val="24"/>
          <w:szCs w:val="24"/>
        </w:rPr>
      </w:pPr>
      <w:r w:rsidRPr="00B47B8C">
        <w:rPr>
          <w:sz w:val="24"/>
          <w:szCs w:val="24"/>
        </w:rPr>
        <w:lastRenderedPageBreak/>
        <w:t>Brislin, R. W. (1970). Back-translation for cross-cultural research. Journal of Cross-Cultural Psychology, 1(3), 185–216. https://doi.org/10.1177/135910457000100301</w:t>
      </w:r>
    </w:p>
    <w:p w:rsidR="00AA45DD" w:rsidRPr="00B47B8C" w:rsidRDefault="00000000">
      <w:pPr>
        <w:ind w:left="720" w:hanging="720"/>
        <w:rPr>
          <w:sz w:val="24"/>
          <w:szCs w:val="24"/>
        </w:rPr>
      </w:pPr>
      <w:r w:rsidRPr="00B47B8C">
        <w:rPr>
          <w:sz w:val="24"/>
          <w:szCs w:val="24"/>
        </w:rPr>
        <w:t>Chen, Y., Ke, N., Huang, L., &amp; Luo, R. (2025). The role of GenAI in EFL speaking: Effects on oral proficiency, anxiety and risk-taking. Language Teaching Research. Advance online publication. https://doi.org/10.1177/00336882251341072</w:t>
      </w:r>
    </w:p>
    <w:p w:rsidR="0014790F" w:rsidRPr="00A53FB2" w:rsidRDefault="00000000">
      <w:pPr>
        <w:ind w:left="720" w:hanging="720"/>
        <w:rPr>
          <w:bCs/>
          <w:sz w:val="24"/>
          <w:szCs w:val="24"/>
        </w:rPr>
      </w:pPr>
      <w:r w:rsidRPr="00A53FB2">
        <w:rPr>
          <w:bCs/>
          <w:sz w:val="24"/>
          <w:szCs w:val="24"/>
        </w:rPr>
        <w:t>Crompton, H., Edmett, A., Ichaporia, N., &amp; Burke, D. (2024). AI and English language teaching: Affordances and challenges. British Journal of Educational Technology, 55(6), 2503–2529. https://doi.org/10.1111/bjet.13460</w:t>
      </w:r>
    </w:p>
    <w:p w:rsidR="00AA45DD" w:rsidRPr="00B47B8C" w:rsidRDefault="00000000">
      <w:pPr>
        <w:ind w:left="720" w:hanging="720"/>
        <w:rPr>
          <w:sz w:val="24"/>
          <w:szCs w:val="24"/>
        </w:rPr>
      </w:pPr>
      <w:r w:rsidRPr="00B47B8C">
        <w:rPr>
          <w:sz w:val="24"/>
          <w:szCs w:val="24"/>
        </w:rPr>
        <w:t xml:space="preserve">Creswell, J. W., &amp; Creswell, J. D. (2018). Research design: Qualitative, quantitative, and mixed methods </w:t>
      </w:r>
      <w:proofErr w:type="gramStart"/>
      <w:r w:rsidRPr="00B47B8C">
        <w:rPr>
          <w:sz w:val="24"/>
          <w:szCs w:val="24"/>
        </w:rPr>
        <w:t>approaches</w:t>
      </w:r>
      <w:proofErr w:type="gramEnd"/>
      <w:r w:rsidRPr="00B47B8C">
        <w:rPr>
          <w:sz w:val="24"/>
          <w:szCs w:val="24"/>
        </w:rPr>
        <w:t xml:space="preserve"> (5th ed.). SAGE.</w:t>
      </w:r>
    </w:p>
    <w:p w:rsidR="00AA45DD" w:rsidRPr="00B47B8C" w:rsidRDefault="00000000">
      <w:pPr>
        <w:ind w:left="720" w:hanging="720"/>
        <w:rPr>
          <w:sz w:val="24"/>
          <w:szCs w:val="24"/>
        </w:rPr>
      </w:pPr>
      <w:r w:rsidRPr="00B47B8C">
        <w:rPr>
          <w:sz w:val="24"/>
          <w:szCs w:val="24"/>
        </w:rPr>
        <w:t>DeKeyser, R. M. (2007). Practice in a second language: Perspectives from applied linguistics and cognitive psychology. Cambridge University Press.</w:t>
      </w:r>
    </w:p>
    <w:p w:rsidR="00AA45DD" w:rsidRPr="00B47B8C" w:rsidRDefault="00000000">
      <w:pPr>
        <w:ind w:left="720" w:hanging="720"/>
        <w:rPr>
          <w:sz w:val="24"/>
          <w:szCs w:val="24"/>
        </w:rPr>
      </w:pPr>
      <w:r w:rsidRPr="00B47B8C">
        <w:rPr>
          <w:sz w:val="24"/>
          <w:szCs w:val="24"/>
        </w:rPr>
        <w:t>El Shazly, R. (2021). Effects of artificial intelligence on English speaking anxiety and speaking performance: A case study. Expert Systems, 38(3), Article e12667. https://doi.org/10.1111/exsy.12667</w:t>
      </w:r>
    </w:p>
    <w:p w:rsidR="00AA45DD" w:rsidRPr="00B47B8C" w:rsidRDefault="00000000">
      <w:pPr>
        <w:ind w:left="720" w:hanging="720"/>
        <w:rPr>
          <w:sz w:val="24"/>
          <w:szCs w:val="24"/>
        </w:rPr>
      </w:pPr>
      <w:r w:rsidRPr="00B47B8C">
        <w:rPr>
          <w:sz w:val="24"/>
          <w:szCs w:val="24"/>
        </w:rPr>
        <w:t>Fathi, J., Rahimi, M., &amp; Derakhshan, A. (2024). Improving EFL learners’ speaking skills and willingness to communicate via artificial intelligence-mediated interactions. System, 121, Article 103254. https://doi.org/10.1016/j.system.2024.103254</w:t>
      </w:r>
    </w:p>
    <w:p w:rsidR="00AA45DD" w:rsidRPr="00B47B8C" w:rsidRDefault="00000000">
      <w:pPr>
        <w:ind w:left="720" w:hanging="720"/>
        <w:rPr>
          <w:sz w:val="24"/>
          <w:szCs w:val="24"/>
        </w:rPr>
      </w:pPr>
      <w:r w:rsidRPr="00B47B8C">
        <w:rPr>
          <w:sz w:val="24"/>
          <w:szCs w:val="24"/>
        </w:rPr>
        <w:t>Fathi, J., Liu, G.-Z., &amp; Rahimi, M. (2025). Effects of incorporating AI chatbots into think–pair–share activities on EFL speaking anxiety, language enjoyment, and speaking performance. Computer Assisted Language Learning. Advance online publication. https://doi.org/10.1080/09588221.2025.2478271</w:t>
      </w:r>
    </w:p>
    <w:p w:rsidR="00AA45DD" w:rsidRPr="00B47B8C" w:rsidRDefault="00000000">
      <w:pPr>
        <w:ind w:left="720" w:hanging="720"/>
        <w:rPr>
          <w:sz w:val="24"/>
          <w:szCs w:val="24"/>
        </w:rPr>
      </w:pPr>
      <w:r w:rsidRPr="00B47B8C">
        <w:rPr>
          <w:sz w:val="24"/>
          <w:szCs w:val="24"/>
        </w:rPr>
        <w:t>Fryer, L. K., Nakao, K., &amp; Thompson, A. (2019). Chatbot learning partners: Connecting learning experiences, interest and competence. Computers in Human Behavior, 93, 279–289. https://doi.org/10.1016/j.chb.2018.12.023</w:t>
      </w:r>
    </w:p>
    <w:p w:rsidR="00AA45DD" w:rsidRPr="00B47B8C" w:rsidRDefault="00000000">
      <w:pPr>
        <w:ind w:left="720" w:hanging="720"/>
        <w:rPr>
          <w:sz w:val="24"/>
          <w:szCs w:val="24"/>
        </w:rPr>
      </w:pPr>
      <w:r w:rsidRPr="00B47B8C">
        <w:rPr>
          <w:sz w:val="24"/>
          <w:szCs w:val="24"/>
        </w:rPr>
        <w:t>Horwitz, E. K., Horwitz, M. B., &amp; Cope, J. (1986). Foreign language classroom anxiety. The Modern Language Journal, 70(2), 125–132. https://doi.org/10.1111/j.1540-4781.1986.tb05256.x</w:t>
      </w:r>
    </w:p>
    <w:p w:rsidR="00AA45DD" w:rsidRPr="00B47B8C" w:rsidRDefault="00000000">
      <w:pPr>
        <w:ind w:left="720" w:hanging="720"/>
        <w:rPr>
          <w:sz w:val="24"/>
          <w:szCs w:val="24"/>
        </w:rPr>
      </w:pPr>
      <w:r w:rsidRPr="00B47B8C">
        <w:rPr>
          <w:sz w:val="24"/>
          <w:szCs w:val="24"/>
        </w:rPr>
        <w:t>Hsu, M. H., Chen, P. S., &amp; Yu, C. S. (2023). Proposing a task-oriented AI dialogue system for EFL learners’ speaking practice. Interactive Learning Environments, 31(7), 4457–4468. https://doi.org/10.1080/10494820.2021.1969953</w:t>
      </w:r>
    </w:p>
    <w:p w:rsidR="00AA45DD" w:rsidRPr="00B47B8C" w:rsidRDefault="00000000">
      <w:pPr>
        <w:ind w:left="720" w:hanging="720"/>
        <w:rPr>
          <w:sz w:val="24"/>
          <w:szCs w:val="24"/>
        </w:rPr>
      </w:pPr>
      <w:r w:rsidRPr="00B47B8C">
        <w:rPr>
          <w:sz w:val="24"/>
          <w:szCs w:val="24"/>
        </w:rPr>
        <w:t>Huang, W., Hew, K. F., &amp; Fryer, L. K. (2022). Chatbots for language learning—Are they really useful? A systematic review of chatbot-supported language learning. Journal of Computer Assisted Learning, 38(1), 237–257. https://doi.org/10.1111/jcal.12610</w:t>
      </w:r>
    </w:p>
    <w:p w:rsidR="00AA45DD" w:rsidRPr="00B47B8C" w:rsidRDefault="00000000">
      <w:pPr>
        <w:ind w:left="720" w:hanging="720"/>
        <w:rPr>
          <w:sz w:val="24"/>
          <w:szCs w:val="24"/>
        </w:rPr>
      </w:pPr>
      <w:r w:rsidRPr="00B47B8C">
        <w:rPr>
          <w:sz w:val="24"/>
          <w:szCs w:val="24"/>
        </w:rPr>
        <w:t xml:space="preserve">Jeon, J. (2022). Exploring AI chatbot affordances in the EFL classroom: </w:t>
      </w:r>
      <w:proofErr w:type="gramStart"/>
      <w:r w:rsidRPr="00B47B8C">
        <w:rPr>
          <w:sz w:val="24"/>
          <w:szCs w:val="24"/>
        </w:rPr>
        <w:t>Young</w:t>
      </w:r>
      <w:proofErr w:type="gramEnd"/>
      <w:r w:rsidRPr="00B47B8C">
        <w:rPr>
          <w:sz w:val="24"/>
          <w:szCs w:val="24"/>
        </w:rPr>
        <w:t xml:space="preserve"> learners’ experiences and perspectives. Computer Assisted Language Learning, 37(4), 801–828. https://doi.org/10.1080/09588221.2021.2021241</w:t>
      </w:r>
    </w:p>
    <w:p w:rsidR="00AA45DD" w:rsidRPr="00B47B8C" w:rsidRDefault="00000000">
      <w:pPr>
        <w:ind w:left="720" w:hanging="720"/>
        <w:rPr>
          <w:sz w:val="24"/>
          <w:szCs w:val="24"/>
        </w:rPr>
      </w:pPr>
      <w:r w:rsidRPr="00B47B8C">
        <w:rPr>
          <w:sz w:val="24"/>
          <w:szCs w:val="24"/>
        </w:rPr>
        <w:t>Kim, N. Y., Cha, Y., &amp; Kim, H. S. (2021). Future English learning: Chatbots and artificial intelligence. Multimedia-Assisted Language Learning, 24(1), 32–53.</w:t>
      </w:r>
    </w:p>
    <w:p w:rsidR="0014790F" w:rsidRPr="00A53FB2" w:rsidRDefault="00000000">
      <w:pPr>
        <w:ind w:left="720" w:hanging="720"/>
        <w:rPr>
          <w:sz w:val="24"/>
          <w:szCs w:val="24"/>
        </w:rPr>
      </w:pPr>
      <w:r w:rsidRPr="00A53FB2">
        <w:rPr>
          <w:sz w:val="24"/>
          <w:szCs w:val="24"/>
        </w:rPr>
        <w:lastRenderedPageBreak/>
        <w:t>Koç, F. Ş., &amp; Savaş, P. (2025). The use of artificially intelligent chatbots in English language learning: A systematic meta-synthesis study of articles published between 2010 and 2024. ReCALL, 37(1), 4–21. https://doi.org/10.1017/S0958344024000168</w:t>
      </w:r>
    </w:p>
    <w:p w:rsidR="00AA45DD" w:rsidRPr="00B47B8C" w:rsidRDefault="00000000">
      <w:pPr>
        <w:ind w:left="720" w:hanging="720"/>
        <w:rPr>
          <w:sz w:val="24"/>
          <w:szCs w:val="24"/>
        </w:rPr>
      </w:pPr>
      <w:r w:rsidRPr="00B47B8C">
        <w:rPr>
          <w:sz w:val="24"/>
          <w:szCs w:val="24"/>
        </w:rPr>
        <w:t>Koo, T. K., &amp; Li, M. Y. (2016). A guideline of selecting and reporting intraclass correlation coefficients for reliability research. Journal of Chiropractic Medicine, 15(2), 155–163. https://doi.org/10.1016/j.jcm.2016.02.012</w:t>
      </w:r>
    </w:p>
    <w:p w:rsidR="00AA45DD" w:rsidRPr="00B47B8C" w:rsidRDefault="00000000">
      <w:pPr>
        <w:ind w:left="720" w:hanging="720"/>
        <w:rPr>
          <w:sz w:val="24"/>
          <w:szCs w:val="24"/>
        </w:rPr>
      </w:pPr>
      <w:r w:rsidRPr="00B47B8C">
        <w:rPr>
          <w:sz w:val="24"/>
          <w:szCs w:val="24"/>
        </w:rPr>
        <w:t>Krashen, S. D. (1982). Principles and practice in second language acquisition. Pergamon Press.</w:t>
      </w:r>
    </w:p>
    <w:p w:rsidR="00AA45DD" w:rsidRPr="00B47B8C" w:rsidRDefault="00000000">
      <w:pPr>
        <w:ind w:left="720" w:hanging="720"/>
        <w:rPr>
          <w:sz w:val="24"/>
          <w:szCs w:val="24"/>
        </w:rPr>
      </w:pPr>
      <w:r w:rsidRPr="00B47B8C">
        <w:rPr>
          <w:sz w:val="24"/>
          <w:szCs w:val="24"/>
        </w:rPr>
        <w:t>Lantolf, J. P., &amp; Thorne, S. L. (2006). Sociocultural theory and the genesis of second language development. Oxford University Press.</w:t>
      </w:r>
    </w:p>
    <w:p w:rsidR="00AA45DD" w:rsidRPr="00B47B8C" w:rsidRDefault="00000000">
      <w:pPr>
        <w:ind w:left="720" w:hanging="720"/>
        <w:rPr>
          <w:sz w:val="24"/>
          <w:szCs w:val="24"/>
        </w:rPr>
      </w:pPr>
      <w:r w:rsidRPr="00B47B8C">
        <w:rPr>
          <w:sz w:val="24"/>
          <w:szCs w:val="24"/>
        </w:rPr>
        <w:t>Le, T. M. (2011). An investigation into factors that hinder the participation of university students in English speaking lessons [Unpublished master’s thesis]. University of Languages and International Studies, Vietnam National University, Hanoi.</w:t>
      </w:r>
    </w:p>
    <w:p w:rsidR="00AA45DD" w:rsidRPr="00B47B8C" w:rsidRDefault="00000000">
      <w:pPr>
        <w:ind w:left="720" w:hanging="720"/>
        <w:rPr>
          <w:sz w:val="24"/>
          <w:szCs w:val="24"/>
        </w:rPr>
      </w:pPr>
      <w:r w:rsidRPr="00B47B8C">
        <w:rPr>
          <w:sz w:val="24"/>
          <w:szCs w:val="24"/>
        </w:rPr>
        <w:t>Liu, M., &amp; Jackson, J. (2008). An exploration of Chinese EFL learners’ unwillingness to communicate and foreign language anxiety. The Modern Language Journal, 92(1), 71–86. https://doi.org/10.1111/j.1540-4781.2008.00687.x</w:t>
      </w:r>
    </w:p>
    <w:p w:rsidR="00AA45DD" w:rsidRPr="00B47B8C" w:rsidRDefault="00000000">
      <w:pPr>
        <w:ind w:left="720" w:hanging="720"/>
        <w:rPr>
          <w:sz w:val="24"/>
          <w:szCs w:val="24"/>
        </w:rPr>
      </w:pPr>
      <w:r w:rsidRPr="00B47B8C">
        <w:rPr>
          <w:sz w:val="24"/>
          <w:szCs w:val="24"/>
        </w:rPr>
        <w:t>Luoma, S. (2004). Assessing speaking. Cambridge University Press.</w:t>
      </w:r>
    </w:p>
    <w:p w:rsidR="00AA45DD" w:rsidRPr="00B47B8C" w:rsidRDefault="00000000">
      <w:pPr>
        <w:ind w:left="720" w:hanging="720"/>
        <w:rPr>
          <w:sz w:val="24"/>
          <w:szCs w:val="24"/>
        </w:rPr>
      </w:pPr>
      <w:r w:rsidRPr="00B47B8C">
        <w:rPr>
          <w:sz w:val="24"/>
          <w:szCs w:val="24"/>
        </w:rPr>
        <w:t>MacIntyre, P. D., &amp; Gardner, R. C. (1994). The subtle effects of language anxiety on cognitive processing in the second language. Language Learning, 44(2), 283–305. https://doi.org/10.1111/j.1467-1770.1994.tb01103.x</w:t>
      </w:r>
    </w:p>
    <w:p w:rsidR="00AA45DD" w:rsidRPr="00B47B8C" w:rsidRDefault="00000000">
      <w:pPr>
        <w:ind w:left="720" w:hanging="720"/>
        <w:rPr>
          <w:sz w:val="24"/>
          <w:szCs w:val="24"/>
        </w:rPr>
      </w:pPr>
      <w:r w:rsidRPr="00B47B8C">
        <w:rPr>
          <w:sz w:val="24"/>
          <w:szCs w:val="24"/>
        </w:rPr>
        <w:t>McLaughlin, B. (1987). Theories of second-language learning. Edward Arnold.</w:t>
      </w:r>
    </w:p>
    <w:p w:rsidR="00AA45DD" w:rsidRPr="00B47B8C" w:rsidRDefault="00000000">
      <w:pPr>
        <w:ind w:left="720" w:hanging="720"/>
        <w:rPr>
          <w:sz w:val="24"/>
          <w:szCs w:val="24"/>
        </w:rPr>
      </w:pPr>
      <w:r w:rsidRPr="00B47B8C">
        <w:rPr>
          <w:sz w:val="24"/>
          <w:szCs w:val="24"/>
        </w:rPr>
        <w:t>Nguyen, T. H., &amp; Nguyen, T. M. (2023). Vietnamese EFL students’ perceptions of using AI-powered tools in English writing courses. International Journal of Emerging Technologies in Learning, 18(18), 52–69.</w:t>
      </w:r>
    </w:p>
    <w:p w:rsidR="00AA45DD" w:rsidRPr="00B47B8C" w:rsidRDefault="00000000">
      <w:pPr>
        <w:ind w:left="720" w:hanging="720"/>
        <w:rPr>
          <w:sz w:val="24"/>
          <w:szCs w:val="24"/>
        </w:rPr>
      </w:pPr>
      <w:r w:rsidRPr="00B47B8C">
        <w:rPr>
          <w:sz w:val="24"/>
          <w:szCs w:val="24"/>
        </w:rPr>
        <w:t>Teimouri, Y., Goetze, J., &amp; Plonsky, L. (2019). Second language anxiety and achievement: A meta-analysis. Studies in Second Language Acquisition, 41(2), 363–387. https://doi.org/10.1017/S0272263118000311</w:t>
      </w:r>
    </w:p>
    <w:p w:rsidR="00AA45DD" w:rsidRPr="00B47B8C" w:rsidRDefault="00000000">
      <w:pPr>
        <w:ind w:left="720" w:hanging="720"/>
        <w:rPr>
          <w:sz w:val="24"/>
          <w:szCs w:val="24"/>
        </w:rPr>
      </w:pPr>
      <w:r w:rsidRPr="00B47B8C">
        <w:rPr>
          <w:sz w:val="24"/>
          <w:szCs w:val="24"/>
        </w:rPr>
        <w:t>Tran, T. T., &amp; Moni, K. (2015). Management of foreign language anxiety: Insiders’ awareness and experiences. Cogent Education, 2(1), Article 992593. https://doi.org/10.1080/2331186X.2014.992593</w:t>
      </w:r>
    </w:p>
    <w:p w:rsidR="00AA45DD" w:rsidRPr="00B47B8C" w:rsidRDefault="00000000">
      <w:pPr>
        <w:ind w:left="720" w:hanging="720"/>
        <w:rPr>
          <w:sz w:val="24"/>
          <w:szCs w:val="24"/>
        </w:rPr>
      </w:pPr>
      <w:r w:rsidRPr="00B47B8C">
        <w:rPr>
          <w:sz w:val="24"/>
          <w:szCs w:val="24"/>
        </w:rPr>
        <w:t>Truong, T. N. N., &amp; Ho, D. P. K. (2022). Exploring Vietnamese non-English-majored freshmen’s English-speaking anxiety at a public university in Vietnam. VNU Journal of Foreign Studies, 38(5), 105–125. https://doi.org/10.25073/2525-2445/vnufs.4789</w:t>
      </w:r>
    </w:p>
    <w:p w:rsidR="00AA45DD" w:rsidRPr="00B47B8C" w:rsidRDefault="00000000">
      <w:pPr>
        <w:ind w:left="720" w:hanging="720"/>
        <w:rPr>
          <w:sz w:val="24"/>
          <w:szCs w:val="24"/>
        </w:rPr>
      </w:pPr>
      <w:r w:rsidRPr="00B47B8C">
        <w:rPr>
          <w:sz w:val="24"/>
          <w:szCs w:val="24"/>
        </w:rPr>
        <w:t>Wang, C., Zou, B., Du, Y., &amp; Wang, Z. (2024). The impact of different conversational generative AI chatbots on EFL learners. System, 127, Article 103533. https://doi.org/10.1016/j.system.2024.103533</w:t>
      </w:r>
    </w:p>
    <w:p w:rsidR="00AA45DD" w:rsidRPr="00B47B8C" w:rsidRDefault="00000000">
      <w:pPr>
        <w:ind w:left="720" w:hanging="720"/>
        <w:rPr>
          <w:sz w:val="24"/>
          <w:szCs w:val="24"/>
        </w:rPr>
      </w:pPr>
      <w:r w:rsidRPr="00B47B8C">
        <w:rPr>
          <w:sz w:val="24"/>
          <w:szCs w:val="24"/>
        </w:rPr>
        <w:t>Woodrow, L. (2006). Anxiety and speaking English as a second language. RELC Journal, 37(3), 308–328. https://doi.org/10.1177/0033688206071315</w:t>
      </w:r>
    </w:p>
    <w:p w:rsidR="00AA45DD" w:rsidRPr="00B47B8C" w:rsidRDefault="00000000">
      <w:pPr>
        <w:ind w:left="720" w:hanging="720"/>
        <w:rPr>
          <w:sz w:val="24"/>
          <w:szCs w:val="24"/>
        </w:rPr>
      </w:pPr>
      <w:r w:rsidRPr="00B47B8C">
        <w:rPr>
          <w:sz w:val="24"/>
          <w:szCs w:val="24"/>
        </w:rPr>
        <w:lastRenderedPageBreak/>
        <w:t>Wu, X., &amp; Li, R. (2024). Unraveling effects of AI chatbots on EFL learners’ language skill development: A meta-analysis. Asia-Pacific Education Researcher. Advance online publication. https://doi.org/10.1007/s40299-024-00853-2</w:t>
      </w:r>
    </w:p>
    <w:p w:rsidR="00AA45DD" w:rsidRPr="00B47B8C" w:rsidRDefault="00000000">
      <w:pPr>
        <w:ind w:left="720" w:hanging="720"/>
        <w:rPr>
          <w:sz w:val="24"/>
          <w:szCs w:val="24"/>
        </w:rPr>
      </w:pPr>
      <w:r w:rsidRPr="00B47B8C">
        <w:rPr>
          <w:sz w:val="24"/>
          <w:szCs w:val="24"/>
        </w:rPr>
        <w:t>Young, D. J. (1991). Creating a low-anxiety classroom environment: What does language anxiety research suggest? The Modern Language Journal, 75(4), 426–439. https://doi.org/10.1111/j.1540-4781.1991.tb05378.x</w:t>
      </w:r>
    </w:p>
    <w:p w:rsidR="00AA45DD" w:rsidRPr="00B47B8C" w:rsidRDefault="00000000">
      <w:pPr>
        <w:ind w:left="720" w:hanging="720"/>
        <w:rPr>
          <w:sz w:val="24"/>
          <w:szCs w:val="24"/>
        </w:rPr>
      </w:pPr>
      <w:r w:rsidRPr="00B47B8C">
        <w:rPr>
          <w:sz w:val="24"/>
          <w:szCs w:val="24"/>
        </w:rPr>
        <w:t>Zhang, C., Meng, Y., &amp; Ma, X. (2024). Artificial intelligence in EFL speaking: Impact on enjoyment, anxiety, and willingness to communicate. System, 121, Article 103259. https://doi.org/10.1016/j.system.2024.103259</w:t>
      </w:r>
    </w:p>
    <w:p w:rsidR="00AA45DD" w:rsidRPr="00B47B8C" w:rsidRDefault="00000000">
      <w:pPr>
        <w:pStyle w:val="RALs-Heading1"/>
        <w:rPr>
          <w:sz w:val="24"/>
          <w:szCs w:val="24"/>
        </w:rPr>
      </w:pPr>
      <w:r w:rsidRPr="00B47B8C">
        <w:rPr>
          <w:sz w:val="24"/>
          <w:szCs w:val="24"/>
        </w:rPr>
        <w:t>Bionote</w:t>
      </w:r>
    </w:p>
    <w:p w:rsidR="00AA45DD" w:rsidRDefault="009637EF" w:rsidP="00B47B8C">
      <w:pPr>
        <w:pStyle w:val="NormalWeb"/>
        <w:jc w:val="both"/>
      </w:pPr>
      <w:r w:rsidRPr="00B47B8C">
        <w:rPr>
          <w:rStyle w:val="Strong"/>
        </w:rPr>
        <w:t>Le Minh Hang</w:t>
      </w:r>
      <w:r w:rsidRPr="00B47B8C">
        <w:t xml:space="preserve"> is a lecturer at the Faculty of Foreign Languages, Ton Duc Thang University, Ho Chi Minh City, Vietnam. She holds an MA in TESOL from the University of Huddersfield, United Kingdom. Her research interests include English language teaching methodology, AI literacy, language skills development, and technology-enhanced language learning. Her current work focuses on the integration of artificial intelligence into English language teaching and teacher professional development. Email: leminhhang@tdtu.edu.vn</w:t>
      </w:r>
    </w:p>
    <w:sectPr w:rsidR="00AA45DD" w:rsidSect="00316775">
      <w:footerReference w:type="first" r:id="rId8"/>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FC6" w:rsidRDefault="008F7FC6" w:rsidP="00722EDE">
      <w:pPr>
        <w:spacing w:before="0" w:after="0" w:line="240" w:lineRule="auto"/>
      </w:pPr>
      <w:r>
        <w:separator/>
      </w:r>
    </w:p>
  </w:endnote>
  <w:endnote w:type="continuationSeparator" w:id="0">
    <w:p w:rsidR="008F7FC6" w:rsidRDefault="008F7FC6"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Arial"/>
    <w:panose1 w:val="020B0604020202020204"/>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2D8F" w:rsidRDefault="00144D9F">
    <w:pPr>
      <w:pStyle w:val="Footer"/>
    </w:pPr>
    <w:r w:rsidRPr="00D00215">
      <w:rPr>
        <w:rStyle w:val="FootnoteReference"/>
        <w:rFonts w:cs="Times New Roman"/>
      </w:rPr>
      <w:footnoteRef/>
    </w:r>
    <w:r w:rsidRPr="00D00215">
      <w:rPr>
        <w:rFonts w:cs="Times New Roman"/>
      </w:rPr>
      <w:t xml:space="preserve"> </w:t>
    </w:r>
    <w:r>
      <w:rPr>
        <w:rFonts w:cs="Times New Roman"/>
      </w:rPr>
      <w:t xml:space="preserve">Minh </w:t>
    </w:r>
    <w:r>
      <w:t>Hang Le</w:t>
    </w:r>
    <w:r w:rsidR="00D92D8F">
      <w:t xml:space="preserve">, </w:t>
    </w:r>
    <w:r>
      <w:t xml:space="preserve">lecturer, </w:t>
    </w:r>
    <w:r w:rsidR="00D92D8F">
      <w:t xml:space="preserve">Faculty of Foreign Languages, Ton Duc Thang University, </w:t>
    </w:r>
    <w:r>
      <w:t xml:space="preserve">Ho Chi Minh City, </w:t>
    </w:r>
    <w:r w:rsidR="00D92D8F">
      <w:t>Vietnam</w:t>
    </w:r>
  </w:p>
  <w:p w:rsidR="00D92D8F" w:rsidRDefault="00D92D8F" w:rsidP="00D92D8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FC6" w:rsidRDefault="008F7FC6" w:rsidP="00722EDE">
      <w:pPr>
        <w:spacing w:before="0" w:after="0" w:line="240" w:lineRule="auto"/>
      </w:pPr>
      <w:r>
        <w:separator/>
      </w:r>
    </w:p>
  </w:footnote>
  <w:footnote w:type="continuationSeparator" w:id="0">
    <w:p w:rsidR="008F7FC6" w:rsidRDefault="008F7FC6" w:rsidP="00722ED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636716">
    <w:abstractNumId w:val="0"/>
  </w:num>
  <w:num w:numId="2" w16cid:durableId="86063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452F9"/>
    <w:rsid w:val="0008495B"/>
    <w:rsid w:val="00097731"/>
    <w:rsid w:val="000D02DA"/>
    <w:rsid w:val="00100186"/>
    <w:rsid w:val="00105F23"/>
    <w:rsid w:val="00144D9F"/>
    <w:rsid w:val="00145745"/>
    <w:rsid w:val="0014790F"/>
    <w:rsid w:val="001D1F3F"/>
    <w:rsid w:val="00230B4C"/>
    <w:rsid w:val="002334D9"/>
    <w:rsid w:val="0024049F"/>
    <w:rsid w:val="002639BD"/>
    <w:rsid w:val="00263F22"/>
    <w:rsid w:val="002835DB"/>
    <w:rsid w:val="00291EBB"/>
    <w:rsid w:val="002E660C"/>
    <w:rsid w:val="00316775"/>
    <w:rsid w:val="00352213"/>
    <w:rsid w:val="00352D49"/>
    <w:rsid w:val="00374F3D"/>
    <w:rsid w:val="00385D90"/>
    <w:rsid w:val="003943D0"/>
    <w:rsid w:val="003C1DED"/>
    <w:rsid w:val="003E053B"/>
    <w:rsid w:val="003E395E"/>
    <w:rsid w:val="003E7F04"/>
    <w:rsid w:val="00456F22"/>
    <w:rsid w:val="00486E01"/>
    <w:rsid w:val="00492B4B"/>
    <w:rsid w:val="004C65F7"/>
    <w:rsid w:val="00531702"/>
    <w:rsid w:val="00534412"/>
    <w:rsid w:val="0055247B"/>
    <w:rsid w:val="0055635B"/>
    <w:rsid w:val="005D200D"/>
    <w:rsid w:val="005E6521"/>
    <w:rsid w:val="005F4AE4"/>
    <w:rsid w:val="0060356B"/>
    <w:rsid w:val="00622A07"/>
    <w:rsid w:val="006505BE"/>
    <w:rsid w:val="00660CAB"/>
    <w:rsid w:val="006613A2"/>
    <w:rsid w:val="006A0AE2"/>
    <w:rsid w:val="006D5B06"/>
    <w:rsid w:val="006F01BE"/>
    <w:rsid w:val="00722EDE"/>
    <w:rsid w:val="007270FC"/>
    <w:rsid w:val="00731225"/>
    <w:rsid w:val="007507FE"/>
    <w:rsid w:val="00753D97"/>
    <w:rsid w:val="00762AAD"/>
    <w:rsid w:val="00792B9B"/>
    <w:rsid w:val="007B54D6"/>
    <w:rsid w:val="0084425D"/>
    <w:rsid w:val="00871571"/>
    <w:rsid w:val="00881C36"/>
    <w:rsid w:val="008F7FC6"/>
    <w:rsid w:val="00906B59"/>
    <w:rsid w:val="00934FC5"/>
    <w:rsid w:val="00942596"/>
    <w:rsid w:val="00943C2F"/>
    <w:rsid w:val="00950C30"/>
    <w:rsid w:val="009627F9"/>
    <w:rsid w:val="009637EF"/>
    <w:rsid w:val="00990E3C"/>
    <w:rsid w:val="009A2266"/>
    <w:rsid w:val="009E2025"/>
    <w:rsid w:val="009E5BAF"/>
    <w:rsid w:val="00A01970"/>
    <w:rsid w:val="00A43867"/>
    <w:rsid w:val="00A53FB2"/>
    <w:rsid w:val="00A6273B"/>
    <w:rsid w:val="00AA0B64"/>
    <w:rsid w:val="00AA45DD"/>
    <w:rsid w:val="00AB1BE1"/>
    <w:rsid w:val="00AB40B0"/>
    <w:rsid w:val="00AD29B9"/>
    <w:rsid w:val="00AD7745"/>
    <w:rsid w:val="00AE1120"/>
    <w:rsid w:val="00B13FAF"/>
    <w:rsid w:val="00B47B8C"/>
    <w:rsid w:val="00B72A89"/>
    <w:rsid w:val="00BA7885"/>
    <w:rsid w:val="00C47E23"/>
    <w:rsid w:val="00C51D2A"/>
    <w:rsid w:val="00C863B2"/>
    <w:rsid w:val="00C86B20"/>
    <w:rsid w:val="00CD3D29"/>
    <w:rsid w:val="00CD5CC3"/>
    <w:rsid w:val="00CF02D6"/>
    <w:rsid w:val="00D17782"/>
    <w:rsid w:val="00D27A4B"/>
    <w:rsid w:val="00D3302B"/>
    <w:rsid w:val="00D3509E"/>
    <w:rsid w:val="00D713D8"/>
    <w:rsid w:val="00D92D8F"/>
    <w:rsid w:val="00DB5EB3"/>
    <w:rsid w:val="00DC5B1A"/>
    <w:rsid w:val="00DC5BCF"/>
    <w:rsid w:val="00DD1C98"/>
    <w:rsid w:val="00DD7139"/>
    <w:rsid w:val="00DE422F"/>
    <w:rsid w:val="00E40940"/>
    <w:rsid w:val="00E60357"/>
    <w:rsid w:val="00EB35B5"/>
    <w:rsid w:val="00EC1FC8"/>
    <w:rsid w:val="00EC2A3C"/>
    <w:rsid w:val="00EE6618"/>
    <w:rsid w:val="00F03E1A"/>
    <w:rsid w:val="00F63596"/>
    <w:rsid w:val="00F80056"/>
    <w:rsid w:val="00F80631"/>
    <w:rsid w:val="00FB2BFF"/>
    <w:rsid w:val="00FD1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5957"/>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B72A89"/>
    <w:rPr>
      <w:i/>
      <w:iCs/>
    </w:rPr>
  </w:style>
  <w:style w:type="table" w:styleId="TableGrid">
    <w:name w:val="Table Grid"/>
    <w:basedOn w:val="TableNormal"/>
    <w:uiPriority w:val="39"/>
    <w:rsid w:val="00B7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rsid w:val="004C65F7"/>
    <w:pPr>
      <w:spacing w:before="100" w:beforeAutospacing="1" w:after="100" w:afterAutospacing="1" w:line="240" w:lineRule="auto"/>
      <w:ind w:firstLine="0"/>
      <w:jc w:val="left"/>
    </w:pPr>
    <w:rPr>
      <w:rFonts w:cs="Times New Roman"/>
      <w:sz w:val="24"/>
      <w:szCs w:val="24"/>
      <w:lang w:val="en-VN"/>
    </w:rPr>
  </w:style>
  <w:style w:type="character" w:styleId="Strong">
    <w:name w:val="Strong"/>
    <w:basedOn w:val="DefaultParagraphFont"/>
    <w:uiPriority w:val="22"/>
    <w:qFormat/>
    <w:rsid w:val="00963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507">
      <w:bodyDiv w:val="1"/>
      <w:marLeft w:val="0"/>
      <w:marRight w:val="0"/>
      <w:marTop w:val="0"/>
      <w:marBottom w:val="0"/>
      <w:divBdr>
        <w:top w:val="none" w:sz="0" w:space="0" w:color="auto"/>
        <w:left w:val="none" w:sz="0" w:space="0" w:color="auto"/>
        <w:bottom w:val="none" w:sz="0" w:space="0" w:color="auto"/>
        <w:right w:val="none" w:sz="0" w:space="0" w:color="auto"/>
      </w:divBdr>
    </w:div>
    <w:div w:id="104085776">
      <w:bodyDiv w:val="1"/>
      <w:marLeft w:val="0"/>
      <w:marRight w:val="0"/>
      <w:marTop w:val="0"/>
      <w:marBottom w:val="0"/>
      <w:divBdr>
        <w:top w:val="none" w:sz="0" w:space="0" w:color="auto"/>
        <w:left w:val="none" w:sz="0" w:space="0" w:color="auto"/>
        <w:bottom w:val="none" w:sz="0" w:space="0" w:color="auto"/>
        <w:right w:val="none" w:sz="0" w:space="0" w:color="auto"/>
      </w:divBdr>
    </w:div>
    <w:div w:id="128204813">
      <w:bodyDiv w:val="1"/>
      <w:marLeft w:val="0"/>
      <w:marRight w:val="0"/>
      <w:marTop w:val="0"/>
      <w:marBottom w:val="0"/>
      <w:divBdr>
        <w:top w:val="none" w:sz="0" w:space="0" w:color="auto"/>
        <w:left w:val="none" w:sz="0" w:space="0" w:color="auto"/>
        <w:bottom w:val="none" w:sz="0" w:space="0" w:color="auto"/>
        <w:right w:val="none" w:sz="0" w:space="0" w:color="auto"/>
      </w:divBdr>
    </w:div>
    <w:div w:id="428937325">
      <w:bodyDiv w:val="1"/>
      <w:marLeft w:val="0"/>
      <w:marRight w:val="0"/>
      <w:marTop w:val="0"/>
      <w:marBottom w:val="0"/>
      <w:divBdr>
        <w:top w:val="none" w:sz="0" w:space="0" w:color="auto"/>
        <w:left w:val="none" w:sz="0" w:space="0" w:color="auto"/>
        <w:bottom w:val="none" w:sz="0" w:space="0" w:color="auto"/>
        <w:right w:val="none" w:sz="0" w:space="0" w:color="auto"/>
      </w:divBdr>
      <w:divsChild>
        <w:div w:id="1074743712">
          <w:marLeft w:val="0"/>
          <w:marRight w:val="0"/>
          <w:marTop w:val="0"/>
          <w:marBottom w:val="0"/>
          <w:divBdr>
            <w:top w:val="none" w:sz="0" w:space="0" w:color="auto"/>
            <w:left w:val="none" w:sz="0" w:space="0" w:color="auto"/>
            <w:bottom w:val="none" w:sz="0" w:space="0" w:color="auto"/>
            <w:right w:val="none" w:sz="0" w:space="0" w:color="auto"/>
          </w:divBdr>
          <w:divsChild>
            <w:div w:id="16525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 w:id="1614240136">
      <w:bodyDiv w:val="1"/>
      <w:marLeft w:val="0"/>
      <w:marRight w:val="0"/>
      <w:marTop w:val="0"/>
      <w:marBottom w:val="0"/>
      <w:divBdr>
        <w:top w:val="none" w:sz="0" w:space="0" w:color="auto"/>
        <w:left w:val="none" w:sz="0" w:space="0" w:color="auto"/>
        <w:bottom w:val="none" w:sz="0" w:space="0" w:color="auto"/>
        <w:right w:val="none" w:sz="0" w:space="0" w:color="auto"/>
      </w:divBdr>
      <w:divsChild>
        <w:div w:id="255214693">
          <w:marLeft w:val="0"/>
          <w:marRight w:val="0"/>
          <w:marTop w:val="0"/>
          <w:marBottom w:val="0"/>
          <w:divBdr>
            <w:top w:val="none" w:sz="0" w:space="0" w:color="auto"/>
            <w:left w:val="none" w:sz="0" w:space="0" w:color="auto"/>
            <w:bottom w:val="none" w:sz="0" w:space="0" w:color="auto"/>
            <w:right w:val="none" w:sz="0" w:space="0" w:color="auto"/>
          </w:divBdr>
          <w:divsChild>
            <w:div w:id="1451703717">
              <w:marLeft w:val="0"/>
              <w:marRight w:val="0"/>
              <w:marTop w:val="0"/>
              <w:marBottom w:val="0"/>
              <w:divBdr>
                <w:top w:val="none" w:sz="0" w:space="0" w:color="auto"/>
                <w:left w:val="none" w:sz="0" w:space="0" w:color="auto"/>
                <w:bottom w:val="none" w:sz="0" w:space="0" w:color="auto"/>
                <w:right w:val="none" w:sz="0" w:space="0" w:color="auto"/>
              </w:divBdr>
              <w:divsChild>
                <w:div w:id="869489883">
                  <w:marLeft w:val="0"/>
                  <w:marRight w:val="0"/>
                  <w:marTop w:val="0"/>
                  <w:marBottom w:val="0"/>
                  <w:divBdr>
                    <w:top w:val="none" w:sz="0" w:space="0" w:color="auto"/>
                    <w:left w:val="none" w:sz="0" w:space="0" w:color="auto"/>
                    <w:bottom w:val="none" w:sz="0" w:space="0" w:color="auto"/>
                    <w:right w:val="none" w:sz="0" w:space="0" w:color="auto"/>
                  </w:divBdr>
                  <w:divsChild>
                    <w:div w:id="1662003885">
                      <w:marLeft w:val="0"/>
                      <w:marRight w:val="0"/>
                      <w:marTop w:val="0"/>
                      <w:marBottom w:val="0"/>
                      <w:divBdr>
                        <w:top w:val="none" w:sz="0" w:space="0" w:color="auto"/>
                        <w:left w:val="none" w:sz="0" w:space="0" w:color="auto"/>
                        <w:bottom w:val="none" w:sz="0" w:space="0" w:color="auto"/>
                        <w:right w:val="none" w:sz="0" w:space="0" w:color="auto"/>
                      </w:divBdr>
                      <w:divsChild>
                        <w:div w:id="890464296">
                          <w:marLeft w:val="0"/>
                          <w:marRight w:val="0"/>
                          <w:marTop w:val="0"/>
                          <w:marBottom w:val="0"/>
                          <w:divBdr>
                            <w:top w:val="none" w:sz="0" w:space="0" w:color="auto"/>
                            <w:left w:val="none" w:sz="0" w:space="0" w:color="auto"/>
                            <w:bottom w:val="none" w:sz="0" w:space="0" w:color="auto"/>
                            <w:right w:val="none" w:sz="0" w:space="0" w:color="auto"/>
                          </w:divBdr>
                          <w:divsChild>
                            <w:div w:id="1009525964">
                              <w:marLeft w:val="0"/>
                              <w:marRight w:val="0"/>
                              <w:marTop w:val="0"/>
                              <w:marBottom w:val="0"/>
                              <w:divBdr>
                                <w:top w:val="none" w:sz="0" w:space="0" w:color="auto"/>
                                <w:left w:val="none" w:sz="0" w:space="0" w:color="auto"/>
                                <w:bottom w:val="none" w:sz="0" w:space="0" w:color="auto"/>
                                <w:right w:val="none" w:sz="0" w:space="0" w:color="auto"/>
                              </w:divBdr>
                              <w:divsChild>
                                <w:div w:id="1490633524">
                                  <w:marLeft w:val="0"/>
                                  <w:marRight w:val="0"/>
                                  <w:marTop w:val="0"/>
                                  <w:marBottom w:val="0"/>
                                  <w:divBdr>
                                    <w:top w:val="none" w:sz="0" w:space="0" w:color="auto"/>
                                    <w:left w:val="none" w:sz="0" w:space="0" w:color="auto"/>
                                    <w:bottom w:val="none" w:sz="0" w:space="0" w:color="auto"/>
                                    <w:right w:val="none" w:sz="0" w:space="0" w:color="auto"/>
                                  </w:divBdr>
                                  <w:divsChild>
                                    <w:div w:id="19392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15</Pages>
  <Words>6527</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Minh-Hang Le</cp:lastModifiedBy>
  <cp:revision>98</cp:revision>
  <dcterms:created xsi:type="dcterms:W3CDTF">2020-07-23T03:39:00Z</dcterms:created>
  <dcterms:modified xsi:type="dcterms:W3CDTF">2026-06-14T13:17:00Z</dcterms:modified>
</cp:coreProperties>
</file>