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30C" w:rsidRDefault="00000000">
      <w:pPr>
        <w:spacing w:after="80"/>
        <w:jc w:val="center"/>
      </w:pPr>
      <w:r>
        <w:rPr>
          <w:b/>
          <w:bCs/>
          <w:sz w:val="32"/>
          <w:szCs w:val="32"/>
        </w:rPr>
        <w:t>Revision Note</w:t>
      </w:r>
    </w:p>
    <w:p w:rsidR="00DD030C" w:rsidRDefault="00000000">
      <w:pPr>
        <w:spacing w:after="80"/>
        <w:jc w:val="center"/>
      </w:pPr>
      <w:r>
        <w:rPr>
          <w:i/>
          <w:iCs/>
        </w:rPr>
        <w:t>Response to Reviewer Comments — HUFLIT INTESOL International Conference 2026</w:t>
      </w:r>
    </w:p>
    <w:p w:rsidR="00A56D67" w:rsidRDefault="00A56D67" w:rsidP="00A56D67">
      <w:pPr>
        <w:spacing w:after="240"/>
        <w:rPr>
          <w:sz w:val="20"/>
          <w:szCs w:val="20"/>
        </w:rPr>
      </w:pPr>
      <w:r>
        <w:rPr>
          <w:sz w:val="20"/>
          <w:szCs w:val="20"/>
          <w:lang w:val="en-US"/>
        </w:rPr>
        <w:t>Title:</w:t>
      </w:r>
      <w:r>
        <w:rPr>
          <w:sz w:val="20"/>
          <w:szCs w:val="20"/>
        </w:rPr>
        <w:t xml:space="preserve"> “Exploring the Effects of AI-Mediated Low-Stakes Practice on Speaking Anxiety in Vietnamese EFL Classrooms: A Quasi-Experimental Study”</w:t>
      </w:r>
    </w:p>
    <w:p w:rsidR="00DD030C" w:rsidRDefault="00000000">
      <w:pPr>
        <w:spacing w:after="240"/>
        <w:jc w:val="center"/>
      </w:pPr>
      <w:r>
        <w:rPr>
          <w:sz w:val="20"/>
          <w:szCs w:val="20"/>
        </w:rPr>
        <w:t xml:space="preserve">Author: Le Minh Hang, </w:t>
      </w:r>
      <w:r w:rsidR="00A56D67">
        <w:rPr>
          <w:sz w:val="20"/>
          <w:szCs w:val="20"/>
          <w:lang w:val="en-US"/>
        </w:rPr>
        <w:t xml:space="preserve"> Faculty of Foreign Languages, </w:t>
      </w:r>
      <w:r>
        <w:rPr>
          <w:sz w:val="20"/>
          <w:szCs w:val="20"/>
        </w:rPr>
        <w:t>Ton Duc Thang University</w:t>
      </w:r>
    </w:p>
    <w:p w:rsidR="00DD030C" w:rsidRDefault="00A56D67">
      <w:pPr>
        <w:spacing w:after="240"/>
      </w:pPr>
      <w:r>
        <w:rPr>
          <w:lang w:val="en-US"/>
        </w:rPr>
        <w:t>Thank you so much</w:t>
      </w:r>
      <w:r>
        <w:t xml:space="preserve"> for the thorough and constructive feedback. All comments have been</w:t>
      </w:r>
      <w:r>
        <w:rPr>
          <w:lang w:val="en-US"/>
        </w:rPr>
        <w:t xml:space="preserve"> </w:t>
      </w:r>
      <w:r>
        <w:t xml:space="preserve">addressed as summarized in the table below.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4060"/>
        <w:gridCol w:w="2400"/>
      </w:tblGrid>
      <w:tr w:rsidR="00DD030C">
        <w:trPr>
          <w:tblHeader/>
        </w:trPr>
        <w:tc>
          <w:tcPr>
            <w:tcW w:w="2900" w:type="dxa"/>
            <w:tcBorders>
              <w:top w:val="single" w:sz="4" w:space="0" w:color="999999"/>
              <w:left w:val="single" w:sz="4" w:space="0" w:color="999999"/>
              <w:bottom w:val="single" w:sz="4" w:space="0" w:color="999999"/>
              <w:right w:val="single" w:sz="4" w:space="0" w:color="999999"/>
            </w:tcBorders>
            <w:shd w:val="clear" w:color="auto" w:fill="2E5496"/>
            <w:tcMar>
              <w:top w:w="80" w:type="dxa"/>
              <w:left w:w="120" w:type="dxa"/>
              <w:bottom w:w="80" w:type="dxa"/>
              <w:right w:w="120" w:type="dxa"/>
            </w:tcMar>
          </w:tcPr>
          <w:p w:rsidR="00DD030C" w:rsidRDefault="00000000" w:rsidP="000536CB">
            <w:pPr>
              <w:jc w:val="center"/>
            </w:pPr>
            <w:r>
              <w:rPr>
                <w:b/>
                <w:bCs/>
                <w:color w:val="FFFFFF"/>
              </w:rPr>
              <w:t>Reviewer's Comment</w:t>
            </w:r>
          </w:p>
        </w:tc>
        <w:tc>
          <w:tcPr>
            <w:tcW w:w="4060" w:type="dxa"/>
            <w:tcBorders>
              <w:top w:val="single" w:sz="4" w:space="0" w:color="999999"/>
              <w:left w:val="single" w:sz="4" w:space="0" w:color="999999"/>
              <w:bottom w:val="single" w:sz="4" w:space="0" w:color="999999"/>
              <w:right w:val="single" w:sz="4" w:space="0" w:color="999999"/>
            </w:tcBorders>
            <w:shd w:val="clear" w:color="auto" w:fill="2E5496"/>
            <w:tcMar>
              <w:top w:w="80" w:type="dxa"/>
              <w:left w:w="120" w:type="dxa"/>
              <w:bottom w:w="80" w:type="dxa"/>
              <w:right w:w="120" w:type="dxa"/>
            </w:tcMar>
          </w:tcPr>
          <w:p w:rsidR="00DD030C" w:rsidRDefault="00000000" w:rsidP="000536CB">
            <w:pPr>
              <w:jc w:val="center"/>
            </w:pPr>
            <w:r>
              <w:rPr>
                <w:b/>
                <w:bCs/>
                <w:color w:val="FFFFFF"/>
              </w:rPr>
              <w:t>Revision / Adjustment Made</w:t>
            </w:r>
          </w:p>
        </w:tc>
        <w:tc>
          <w:tcPr>
            <w:tcW w:w="2400" w:type="dxa"/>
            <w:tcBorders>
              <w:top w:val="single" w:sz="4" w:space="0" w:color="999999"/>
              <w:left w:val="single" w:sz="4" w:space="0" w:color="999999"/>
              <w:bottom w:val="single" w:sz="4" w:space="0" w:color="999999"/>
              <w:right w:val="single" w:sz="4" w:space="0" w:color="999999"/>
            </w:tcBorders>
            <w:shd w:val="clear" w:color="auto" w:fill="2E5496"/>
            <w:tcMar>
              <w:top w:w="80" w:type="dxa"/>
              <w:left w:w="120" w:type="dxa"/>
              <w:bottom w:w="80" w:type="dxa"/>
              <w:right w:w="120" w:type="dxa"/>
            </w:tcMar>
          </w:tcPr>
          <w:p w:rsidR="00DD030C" w:rsidRDefault="00000000" w:rsidP="000536CB">
            <w:pPr>
              <w:jc w:val="center"/>
            </w:pPr>
            <w:r>
              <w:rPr>
                <w:b/>
                <w:bCs/>
                <w:color w:val="FFFFFF"/>
              </w:rPr>
              <w:t>Location in Manuscript</w:t>
            </w:r>
          </w:p>
        </w:tc>
      </w:tr>
      <w:tr w:rsidR="00DD030C">
        <w:tc>
          <w:tcPr>
            <w:tcW w:w="29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i/>
                <w:iCs/>
                <w:sz w:val="21"/>
                <w:szCs w:val="21"/>
              </w:rPr>
              <w:t>There is no explicit problem statement clarifying why this specific gap in Vietnamese higher education exists.</w:t>
            </w:r>
          </w:p>
        </w:tc>
        <w:tc>
          <w:tcPr>
            <w:tcW w:w="40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sz w:val="21"/>
                <w:szCs w:val="21"/>
              </w:rPr>
              <w:t>Added an explicit problem statement articulating that no systematic investigation of AI for speaking anxiety exists in Vietnamese higher education, despite the Ministry of Education and Training’s active promotion of technology integration in language teaching.</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color w:val="2E5496"/>
                <w:sz w:val="19"/>
                <w:szCs w:val="19"/>
              </w:rPr>
              <w:t>Introduction</w:t>
            </w:r>
            <w:r w:rsidR="00A56D67">
              <w:rPr>
                <w:color w:val="2E5496"/>
                <w:sz w:val="19"/>
                <w:szCs w:val="19"/>
                <w:lang w:val="en-US"/>
              </w:rPr>
              <w:t>,</w:t>
            </w:r>
            <w:r>
              <w:rPr>
                <w:color w:val="2E5496"/>
                <w:sz w:val="19"/>
                <w:szCs w:val="19"/>
              </w:rPr>
              <w:t xml:space="preserve"> (end of paragraph)</w:t>
            </w:r>
          </w:p>
        </w:tc>
      </w:tr>
      <w:tr w:rsidR="00DD030C">
        <w:tc>
          <w:tcPr>
            <w:tcW w:w="290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i/>
                <w:iCs/>
                <w:sz w:val="21"/>
                <w:szCs w:val="21"/>
              </w:rPr>
              <w:t>No clear research objectives are explicitly defined. You must explicitly state what this study seeks to achieve.</w:t>
            </w:r>
          </w:p>
        </w:tc>
        <w:tc>
          <w:tcPr>
            <w:tcW w:w="406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sz w:val="21"/>
                <w:szCs w:val="21"/>
              </w:rPr>
              <w:t>Added three explicit research objectives before the research questions: (1) to measure effects on total and sub-component anxiety; (2) to assess translation into oral performance; (3) to explore students’ lived experiences through qualitative inquiry.</w:t>
            </w:r>
          </w:p>
        </w:tc>
        <w:tc>
          <w:tcPr>
            <w:tcW w:w="240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color w:val="2E5496"/>
                <w:sz w:val="19"/>
                <w:szCs w:val="19"/>
              </w:rPr>
              <w:t>Introduction,</w:t>
            </w:r>
            <w:r w:rsidR="00A56D67">
              <w:rPr>
                <w:color w:val="2E5496"/>
                <w:sz w:val="19"/>
                <w:szCs w:val="19"/>
                <w:lang w:val="en-US"/>
              </w:rPr>
              <w:t xml:space="preserve"> </w:t>
            </w:r>
            <w:r>
              <w:rPr>
                <w:color w:val="2E5496"/>
                <w:sz w:val="19"/>
                <w:szCs w:val="19"/>
              </w:rPr>
              <w:t>(before RQs)</w:t>
            </w:r>
          </w:p>
        </w:tc>
      </w:tr>
      <w:tr w:rsidR="00DD030C">
        <w:tc>
          <w:tcPr>
            <w:tcW w:w="29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i/>
                <w:iCs/>
                <w:sz w:val="21"/>
                <w:szCs w:val="21"/>
              </w:rPr>
              <w:t>The paper lacks a delimitations section, leaving the boundaries, specific constraints, and scope of your study undefined.</w:t>
            </w:r>
          </w:p>
        </w:tc>
        <w:tc>
          <w:tcPr>
            <w:tcW w:w="40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sz w:val="21"/>
                <w:szCs w:val="21"/>
              </w:rPr>
              <w:t>Added a new Section 3.7 (Delimitations) specifying five boundaries: single site/major, single AI platform (ChatGPT GPT-4o), six-week scope, researcher-designed rubric, and exclusion of digital literacy as a moderating variable.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color w:val="2E5496"/>
                <w:sz w:val="19"/>
                <w:szCs w:val="19"/>
              </w:rPr>
              <w:t>New Section 3.7</w:t>
            </w:r>
          </w:p>
          <w:p w:rsidR="00DD030C" w:rsidRDefault="00000000">
            <w:pPr>
              <w:spacing w:after="60"/>
            </w:pPr>
            <w:r>
              <w:rPr>
                <w:color w:val="2E5496"/>
                <w:sz w:val="19"/>
                <w:szCs w:val="19"/>
              </w:rPr>
              <w:t>(Methodology)</w:t>
            </w:r>
          </w:p>
        </w:tc>
      </w:tr>
      <w:tr w:rsidR="00DD030C">
        <w:tc>
          <w:tcPr>
            <w:tcW w:w="290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i/>
                <w:iCs/>
                <w:sz w:val="21"/>
                <w:szCs w:val="21"/>
              </w:rPr>
              <w:t>The background relies heavily on older-dated author citations. It needs updated citations from recent years to contextualize the work alongside current developments in generative LLMs.</w:t>
            </w:r>
          </w:p>
        </w:tc>
        <w:tc>
          <w:tcPr>
            <w:tcW w:w="406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sz w:val="21"/>
                <w:szCs w:val="21"/>
              </w:rPr>
              <w:t>Integrated two recent systematic reviews of generative-AI language pedagogy:</w:t>
            </w:r>
          </w:p>
          <w:p w:rsidR="00DD030C" w:rsidRDefault="00000000">
            <w:pPr>
              <w:spacing w:after="60"/>
            </w:pPr>
            <w:r>
              <w:rPr>
                <w:sz w:val="21"/>
                <w:szCs w:val="21"/>
              </w:rPr>
              <w:t>• Crompton et al. (2024), British Journal of Educational Technology, 55(6).</w:t>
            </w:r>
          </w:p>
          <w:p w:rsidR="00DD030C" w:rsidRDefault="00000000">
            <w:pPr>
              <w:spacing w:after="60"/>
            </w:pPr>
            <w:r>
              <w:rPr>
                <w:sz w:val="21"/>
                <w:szCs w:val="21"/>
              </w:rPr>
              <w:t>• Koç &amp; Savaş (2025), ReCALL, 37(1).</w:t>
            </w:r>
          </w:p>
        </w:tc>
        <w:tc>
          <w:tcPr>
            <w:tcW w:w="240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color w:val="2E5496"/>
                <w:sz w:val="19"/>
                <w:szCs w:val="19"/>
              </w:rPr>
              <w:t>Section 2.1</w:t>
            </w:r>
          </w:p>
          <w:p w:rsidR="00DD030C" w:rsidRDefault="00000000">
            <w:pPr>
              <w:spacing w:after="60"/>
            </w:pPr>
            <w:r>
              <w:rPr>
                <w:color w:val="2E5496"/>
                <w:sz w:val="19"/>
                <w:szCs w:val="19"/>
              </w:rPr>
              <w:t>+ Reference list</w:t>
            </w:r>
          </w:p>
        </w:tc>
      </w:tr>
      <w:tr w:rsidR="00DD030C">
        <w:tc>
          <w:tcPr>
            <w:tcW w:w="29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i/>
                <w:iCs/>
                <w:sz w:val="21"/>
                <w:szCs w:val="21"/>
              </w:rPr>
              <w:t>The conclusion offers somewhat unclear and inadequate pedagogical recommendations. It describes broad educational goals instead of detailing actionable, practical guidelines.</w:t>
            </w:r>
          </w:p>
        </w:tc>
        <w:tc>
          <w:tcPr>
            <w:tcW w:w="40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sz w:val="21"/>
                <w:szCs w:val="21"/>
              </w:rPr>
              <w:t xml:space="preserve">Expanded the Conclusion with five concrete, implementable guidelines: (1) 3×30-min/week scaffolded AI homework; (2) positioning AI as a fluency/interaction builder while retaining in-class grammar and pronunciation instruction; (3) a one-week familiarization phase; (4) compliance monitoring via weekly logs with screenshots; </w:t>
            </w:r>
            <w:r>
              <w:rPr>
                <w:sz w:val="21"/>
                <w:szCs w:val="21"/>
              </w:rPr>
              <w:lastRenderedPageBreak/>
              <w:t>(5) periodic debriefing sessions. Noted these require no resources beyond a smartphone with internet access.</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rsidR="00DD030C" w:rsidRDefault="00000000">
            <w:pPr>
              <w:spacing w:after="60"/>
            </w:pPr>
            <w:r>
              <w:rPr>
                <w:color w:val="2E5496"/>
                <w:sz w:val="19"/>
                <w:szCs w:val="19"/>
              </w:rPr>
              <w:lastRenderedPageBreak/>
              <w:t>Section 6</w:t>
            </w:r>
          </w:p>
          <w:p w:rsidR="00DD030C" w:rsidRDefault="00000000">
            <w:pPr>
              <w:spacing w:after="60"/>
            </w:pPr>
            <w:r>
              <w:rPr>
                <w:color w:val="2E5496"/>
                <w:sz w:val="19"/>
                <w:szCs w:val="19"/>
              </w:rPr>
              <w:t>(Conclusion)</w:t>
            </w:r>
          </w:p>
        </w:tc>
      </w:tr>
      <w:tr w:rsidR="00DD030C">
        <w:tc>
          <w:tcPr>
            <w:tcW w:w="290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i/>
                <w:iCs/>
                <w:sz w:val="21"/>
                <w:szCs w:val="21"/>
              </w:rPr>
              <w:t>The text relies heavily on an overarching tone that suggests too much AI-generated writing. It prioritizes generic academic fluency over nuanced, researcher-led critical discussion.</w:t>
            </w:r>
          </w:p>
        </w:tc>
        <w:tc>
          <w:tcPr>
            <w:tcW w:w="406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Pr="00BF1293" w:rsidRDefault="00A56D67">
            <w:pPr>
              <w:spacing w:after="60"/>
              <w:rPr>
                <w:lang w:val="en-US"/>
              </w:rPr>
            </w:pPr>
            <w:r>
              <w:rPr>
                <w:sz w:val="21"/>
                <w:szCs w:val="21"/>
                <w:lang w:val="en-US"/>
              </w:rPr>
              <w:t>I recognize</w:t>
            </w:r>
            <w:r>
              <w:rPr>
                <w:sz w:val="21"/>
                <w:szCs w:val="21"/>
              </w:rPr>
              <w:t xml:space="preserve"> that certain passages adopted an overly formal, formulaic academic register — a tendency toward conventional academic phrasing common when writing in English as a non-native speaker, which can produce a distant, template-like tone. Specific formulaic phrases were revised to a more direct, critically engaged voice</w:t>
            </w:r>
            <w:r>
              <w:rPr>
                <w:sz w:val="21"/>
                <w:szCs w:val="21"/>
                <w:lang w:val="en-US"/>
              </w:rPr>
              <w:t xml:space="preserve">. </w:t>
            </w:r>
            <w:r>
              <w:rPr>
                <w:sz w:val="21"/>
                <w:szCs w:val="21"/>
              </w:rPr>
              <w:t>These are phrase-level substitutions preserving the original argumentation</w:t>
            </w:r>
            <w:r w:rsidR="00BF1293">
              <w:rPr>
                <w:sz w:val="21"/>
                <w:szCs w:val="21"/>
              </w:rPr>
              <w:t>. A</w:t>
            </w:r>
            <w:proofErr w:type="spellStart"/>
            <w:r w:rsidR="00BF1293">
              <w:rPr>
                <w:sz w:val="21"/>
                <w:szCs w:val="21"/>
                <w:lang w:val="en-US"/>
              </w:rPr>
              <w:t>lso</w:t>
            </w:r>
            <w:proofErr w:type="spellEnd"/>
            <w:r w:rsidR="00BF1293">
              <w:rPr>
                <w:sz w:val="21"/>
                <w:szCs w:val="21"/>
                <w:lang w:val="en-US"/>
              </w:rPr>
              <w:t xml:space="preserve">, I added 3 </w:t>
            </w:r>
            <w:r>
              <w:rPr>
                <w:sz w:val="21"/>
                <w:szCs w:val="21"/>
              </w:rPr>
              <w:t xml:space="preserve">observational passages reflecting </w:t>
            </w:r>
            <w:r w:rsidR="00BF1293">
              <w:rPr>
                <w:sz w:val="21"/>
                <w:szCs w:val="21"/>
                <w:lang w:val="en-US"/>
              </w:rPr>
              <w:t>my</w:t>
            </w:r>
            <w:r>
              <w:rPr>
                <w:sz w:val="21"/>
                <w:szCs w:val="21"/>
              </w:rPr>
              <w:t xml:space="preserve"> </w:t>
            </w:r>
            <w:r w:rsidR="00BF1293">
              <w:rPr>
                <w:sz w:val="21"/>
                <w:szCs w:val="21"/>
                <w:lang w:val="en-US"/>
              </w:rPr>
              <w:t xml:space="preserve">own </w:t>
            </w:r>
            <w:r>
              <w:rPr>
                <w:sz w:val="21"/>
                <w:szCs w:val="21"/>
              </w:rPr>
              <w:t xml:space="preserve">perspective as a </w:t>
            </w:r>
            <w:r w:rsidR="000536CB">
              <w:rPr>
                <w:sz w:val="21"/>
                <w:szCs w:val="21"/>
              </w:rPr>
              <w:t>practicing</w:t>
            </w:r>
            <w:r>
              <w:rPr>
                <w:sz w:val="21"/>
                <w:szCs w:val="21"/>
              </w:rPr>
              <w:t xml:space="preserve"> EFL instructor</w:t>
            </w:r>
            <w:r w:rsidR="00BF1293">
              <w:rPr>
                <w:sz w:val="21"/>
                <w:szCs w:val="21"/>
                <w:lang w:val="en-US"/>
              </w:rPr>
              <w:t xml:space="preserve">. </w:t>
            </w:r>
          </w:p>
        </w:tc>
        <w:tc>
          <w:tcPr>
            <w:tcW w:w="2400" w:type="dxa"/>
            <w:tcBorders>
              <w:top w:val="single" w:sz="4" w:space="0" w:color="999999"/>
              <w:left w:val="single" w:sz="4" w:space="0" w:color="999999"/>
              <w:bottom w:val="single" w:sz="4" w:space="0" w:color="999999"/>
              <w:right w:val="single" w:sz="4" w:space="0" w:color="999999"/>
            </w:tcBorders>
            <w:shd w:val="clear" w:color="auto" w:fill="F2F5FA"/>
            <w:tcMar>
              <w:top w:w="80" w:type="dxa"/>
              <w:left w:w="120" w:type="dxa"/>
              <w:bottom w:w="80" w:type="dxa"/>
              <w:right w:w="120" w:type="dxa"/>
            </w:tcMar>
          </w:tcPr>
          <w:p w:rsidR="00DD030C" w:rsidRDefault="00000000">
            <w:pPr>
              <w:spacing w:after="60"/>
            </w:pPr>
            <w:r>
              <w:rPr>
                <w:color w:val="2E5496"/>
                <w:sz w:val="19"/>
                <w:szCs w:val="19"/>
              </w:rPr>
              <w:t>Introduction,</w:t>
            </w:r>
          </w:p>
          <w:p w:rsidR="00DD030C" w:rsidRDefault="00000000">
            <w:pPr>
              <w:spacing w:after="60"/>
            </w:pPr>
            <w:r>
              <w:rPr>
                <w:color w:val="2E5496"/>
                <w:sz w:val="19"/>
                <w:szCs w:val="19"/>
              </w:rPr>
              <w:t>Discussion,</w:t>
            </w:r>
          </w:p>
          <w:p w:rsidR="00DD030C" w:rsidRDefault="00000000">
            <w:pPr>
              <w:spacing w:after="60"/>
            </w:pPr>
            <w:r>
              <w:rPr>
                <w:color w:val="2E5496"/>
                <w:sz w:val="19"/>
                <w:szCs w:val="19"/>
              </w:rPr>
              <w:t>Conclusion</w:t>
            </w:r>
          </w:p>
        </w:tc>
      </w:tr>
    </w:tbl>
    <w:p w:rsidR="00DD030C" w:rsidRDefault="00DD030C">
      <w:pPr>
        <w:spacing w:before="240"/>
      </w:pPr>
    </w:p>
    <w:sectPr w:rsidR="00DD030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26544"/>
    <w:multiLevelType w:val="hybridMultilevel"/>
    <w:tmpl w:val="6EC885BC"/>
    <w:lvl w:ilvl="0" w:tplc="27AA1B7E">
      <w:start w:val="1"/>
      <w:numFmt w:val="bullet"/>
      <w:lvlText w:val="●"/>
      <w:lvlJc w:val="left"/>
      <w:pPr>
        <w:ind w:left="720" w:hanging="360"/>
      </w:pPr>
    </w:lvl>
    <w:lvl w:ilvl="1" w:tplc="187A6D1A">
      <w:start w:val="1"/>
      <w:numFmt w:val="bullet"/>
      <w:lvlText w:val="○"/>
      <w:lvlJc w:val="left"/>
      <w:pPr>
        <w:ind w:left="1440" w:hanging="360"/>
      </w:pPr>
    </w:lvl>
    <w:lvl w:ilvl="2" w:tplc="DDDAA28A">
      <w:start w:val="1"/>
      <w:numFmt w:val="bullet"/>
      <w:lvlText w:val="■"/>
      <w:lvlJc w:val="left"/>
      <w:pPr>
        <w:ind w:left="2160" w:hanging="360"/>
      </w:pPr>
    </w:lvl>
    <w:lvl w:ilvl="3" w:tplc="FD30B28E">
      <w:start w:val="1"/>
      <w:numFmt w:val="bullet"/>
      <w:lvlText w:val="●"/>
      <w:lvlJc w:val="left"/>
      <w:pPr>
        <w:ind w:left="2880" w:hanging="360"/>
      </w:pPr>
    </w:lvl>
    <w:lvl w:ilvl="4" w:tplc="8E4EA9E8">
      <w:start w:val="1"/>
      <w:numFmt w:val="bullet"/>
      <w:lvlText w:val="○"/>
      <w:lvlJc w:val="left"/>
      <w:pPr>
        <w:ind w:left="3600" w:hanging="360"/>
      </w:pPr>
    </w:lvl>
    <w:lvl w:ilvl="5" w:tplc="B6F20932">
      <w:start w:val="1"/>
      <w:numFmt w:val="bullet"/>
      <w:lvlText w:val="■"/>
      <w:lvlJc w:val="left"/>
      <w:pPr>
        <w:ind w:left="4320" w:hanging="360"/>
      </w:pPr>
    </w:lvl>
    <w:lvl w:ilvl="6" w:tplc="14FC5A0A">
      <w:start w:val="1"/>
      <w:numFmt w:val="bullet"/>
      <w:lvlText w:val="●"/>
      <w:lvlJc w:val="left"/>
      <w:pPr>
        <w:ind w:left="5040" w:hanging="360"/>
      </w:pPr>
    </w:lvl>
    <w:lvl w:ilvl="7" w:tplc="BF662EC8">
      <w:start w:val="1"/>
      <w:numFmt w:val="bullet"/>
      <w:lvlText w:val="●"/>
      <w:lvlJc w:val="left"/>
      <w:pPr>
        <w:ind w:left="5760" w:hanging="360"/>
      </w:pPr>
    </w:lvl>
    <w:lvl w:ilvl="8" w:tplc="F79A51E6">
      <w:start w:val="1"/>
      <w:numFmt w:val="bullet"/>
      <w:lvlText w:val="●"/>
      <w:lvlJc w:val="left"/>
      <w:pPr>
        <w:ind w:left="6480" w:hanging="360"/>
      </w:pPr>
    </w:lvl>
  </w:abstractNum>
  <w:num w:numId="1" w16cid:durableId="688140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0C"/>
    <w:rsid w:val="000536CB"/>
    <w:rsid w:val="00A56D67"/>
    <w:rsid w:val="00BF1293"/>
    <w:rsid w:val="00DD030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2E27692"/>
  <w15:docId w15:val="{3614FAFB-1E34-9B43-8CD7-511A0518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Minh-Hang Le</cp:lastModifiedBy>
  <cp:revision>3</cp:revision>
  <dcterms:created xsi:type="dcterms:W3CDTF">2026-06-14T12:58:00Z</dcterms:created>
  <dcterms:modified xsi:type="dcterms:W3CDTF">2026-06-14T13:27:00Z</dcterms:modified>
</cp:coreProperties>
</file>