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CA051" w14:textId="3990F8DD" w:rsidR="003416E9" w:rsidRPr="00DF3370" w:rsidRDefault="00E92393" w:rsidP="00970062">
      <w:pPr>
        <w:spacing w:after="120" w:line="288" w:lineRule="auto"/>
        <w:jc w:val="center"/>
        <w:rPr>
          <w:rFonts w:ascii="Times New Roman" w:hAnsi="Times New Roman" w:cs="Times New Roman"/>
          <w:b/>
          <w:bCs/>
          <w:sz w:val="26"/>
          <w:szCs w:val="26"/>
        </w:rPr>
      </w:pPr>
      <w:r w:rsidRPr="00DF3370">
        <w:rPr>
          <w:rFonts w:ascii="Times New Roman" w:hAnsi="Times New Roman" w:cs="Times New Roman"/>
          <w:b/>
          <w:bCs/>
          <w:sz w:val="26"/>
          <w:szCs w:val="26"/>
        </w:rPr>
        <w:t>INSTRUCTORS’ DIGITAL COMPETENCE AFFECTING STUDENT FEEDBACK AND PERSONALIZED LEARNING IN UNIVERSITY EDUCATION</w:t>
      </w:r>
    </w:p>
    <w:p w14:paraId="4EA0F736" w14:textId="77777777" w:rsidR="006F3744" w:rsidRPr="00DF3370" w:rsidRDefault="006F3744" w:rsidP="00D54833">
      <w:pPr>
        <w:spacing w:after="120" w:line="288" w:lineRule="auto"/>
        <w:jc w:val="center"/>
        <w:rPr>
          <w:rFonts w:ascii="Times New Roman" w:hAnsi="Times New Roman" w:cs="Times New Roman"/>
          <w:b/>
          <w:bCs/>
        </w:rPr>
      </w:pPr>
    </w:p>
    <w:p w14:paraId="2A269D10" w14:textId="73CE5BB4" w:rsidR="00935E5C" w:rsidRPr="00DF3370" w:rsidRDefault="00AD24E5" w:rsidP="00D54833">
      <w:pPr>
        <w:spacing w:after="120" w:line="288" w:lineRule="auto"/>
        <w:jc w:val="center"/>
        <w:rPr>
          <w:rFonts w:ascii="Times New Roman" w:hAnsi="Times New Roman" w:cs="Times New Roman"/>
          <w:b/>
          <w:bCs/>
        </w:rPr>
      </w:pPr>
      <w:r w:rsidRPr="00DF3370">
        <w:rPr>
          <w:rFonts w:ascii="Times New Roman" w:hAnsi="Times New Roman" w:cs="Times New Roman"/>
          <w:b/>
          <w:bCs/>
        </w:rPr>
        <w:t>Nguyen Thanh Tuan</w:t>
      </w:r>
    </w:p>
    <w:p w14:paraId="66C5BA81" w14:textId="5DB98B91" w:rsidR="00D54833" w:rsidRPr="00DF3370" w:rsidRDefault="00AD24E5" w:rsidP="00D54833">
      <w:pPr>
        <w:spacing w:after="120" w:line="288" w:lineRule="auto"/>
        <w:jc w:val="center"/>
        <w:rPr>
          <w:rFonts w:ascii="Times New Roman" w:hAnsi="Times New Roman" w:cs="Times New Roman"/>
        </w:rPr>
      </w:pPr>
      <w:r w:rsidRPr="00DF3370">
        <w:rPr>
          <w:rFonts w:ascii="Times New Roman" w:hAnsi="Times New Roman" w:cs="Times New Roman"/>
        </w:rPr>
        <w:t>Can Tho University</w:t>
      </w:r>
      <w:r w:rsidR="002C25F8" w:rsidRPr="00DF3370">
        <w:rPr>
          <w:rFonts w:ascii="Times New Roman" w:hAnsi="Times New Roman" w:cs="Times New Roman"/>
        </w:rPr>
        <w:t xml:space="preserve">; </w:t>
      </w:r>
      <w:r w:rsidRPr="00DF3370">
        <w:rPr>
          <w:rFonts w:ascii="Times New Roman" w:hAnsi="Times New Roman" w:cs="Times New Roman"/>
        </w:rPr>
        <w:t>Hong Bang International University</w:t>
      </w:r>
    </w:p>
    <w:p w14:paraId="133F0A35" w14:textId="77777777" w:rsidR="00AD24E5" w:rsidRPr="00DF3370" w:rsidRDefault="00AD24E5" w:rsidP="00970062">
      <w:pPr>
        <w:spacing w:after="120" w:line="288" w:lineRule="auto"/>
        <w:rPr>
          <w:rFonts w:ascii="Times New Roman" w:hAnsi="Times New Roman" w:cs="Times New Roman"/>
          <w:sz w:val="26"/>
          <w:szCs w:val="26"/>
        </w:rPr>
      </w:pPr>
    </w:p>
    <w:p w14:paraId="67376D74" w14:textId="77777777" w:rsidR="006F3744" w:rsidRPr="00DF3370" w:rsidRDefault="006F3744" w:rsidP="00970062">
      <w:pPr>
        <w:spacing w:after="120" w:line="288" w:lineRule="auto"/>
        <w:jc w:val="center"/>
        <w:rPr>
          <w:rFonts w:ascii="Times New Roman" w:hAnsi="Times New Roman" w:cs="Times New Roman"/>
          <w:b/>
          <w:bCs/>
          <w:sz w:val="26"/>
          <w:szCs w:val="26"/>
        </w:rPr>
      </w:pPr>
    </w:p>
    <w:p w14:paraId="2560AA13" w14:textId="10389EF9" w:rsidR="00B56C20" w:rsidRPr="00DF3370" w:rsidRDefault="005F1B22" w:rsidP="00532212">
      <w:pPr>
        <w:spacing w:after="120" w:line="288" w:lineRule="auto"/>
        <w:rPr>
          <w:rFonts w:ascii="Times New Roman" w:hAnsi="Times New Roman" w:cs="Times New Roman"/>
          <w:b/>
          <w:bCs/>
          <w:sz w:val="26"/>
          <w:szCs w:val="26"/>
        </w:rPr>
      </w:pPr>
      <w:r w:rsidRPr="00DF3370">
        <w:rPr>
          <w:rFonts w:ascii="Times New Roman" w:hAnsi="Times New Roman" w:cs="Times New Roman"/>
          <w:b/>
          <w:bCs/>
          <w:sz w:val="26"/>
          <w:szCs w:val="26"/>
        </w:rPr>
        <w:t>ABSTRACT</w:t>
      </w:r>
    </w:p>
    <w:p w14:paraId="10140654" w14:textId="001337FB" w:rsidR="00B56C20" w:rsidRPr="00DF3370" w:rsidRDefault="00B56C20" w:rsidP="00970062">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 xml:space="preserve">In the context of digital transformation, instructors’ digital competence has become a crucial factor affecting teaching quality and students’ learning experience. </w:t>
      </w:r>
      <w:r w:rsidR="008B3735" w:rsidRPr="00DF3370">
        <w:rPr>
          <w:rFonts w:ascii="Times New Roman" w:hAnsi="Times New Roman" w:cs="Times New Roman"/>
          <w:sz w:val="26"/>
          <w:szCs w:val="26"/>
        </w:rPr>
        <w:t>Digital competence</w:t>
      </w:r>
      <w:r w:rsidR="00254459" w:rsidRPr="00DF3370">
        <w:rPr>
          <w:rFonts w:ascii="Times New Roman" w:hAnsi="Times New Roman" w:cs="Times New Roman"/>
          <w:sz w:val="26"/>
          <w:szCs w:val="26"/>
        </w:rPr>
        <w:t xml:space="preserve"> is not simply a capability of using technology, but it also includes integrating digital tools to design lessons, evaluate, provide feedback, and support learning effectively.</w:t>
      </w:r>
      <w:r w:rsidR="00553030" w:rsidRPr="00DF3370">
        <w:rPr>
          <w:rFonts w:ascii="Times New Roman" w:hAnsi="Times New Roman" w:cs="Times New Roman"/>
          <w:sz w:val="26"/>
          <w:szCs w:val="26"/>
        </w:rPr>
        <w:t xml:space="preserve"> However, feedback practice and personalized learning </w:t>
      </w:r>
      <w:r w:rsidR="0098110F" w:rsidRPr="00DF3370">
        <w:rPr>
          <w:rFonts w:ascii="Times New Roman" w:hAnsi="Times New Roman" w:cs="Times New Roman"/>
          <w:sz w:val="26"/>
          <w:szCs w:val="26"/>
        </w:rPr>
        <w:t>are</w:t>
      </w:r>
      <w:r w:rsidR="00553030" w:rsidRPr="00DF3370">
        <w:rPr>
          <w:rFonts w:ascii="Times New Roman" w:hAnsi="Times New Roman" w:cs="Times New Roman"/>
          <w:sz w:val="26"/>
          <w:szCs w:val="26"/>
        </w:rPr>
        <w:t xml:space="preserve"> still a research gap, especially in university education</w:t>
      </w:r>
      <w:r w:rsidR="0098110F" w:rsidRPr="00DF3370">
        <w:rPr>
          <w:rFonts w:ascii="Times New Roman" w:hAnsi="Times New Roman" w:cs="Times New Roman"/>
          <w:sz w:val="26"/>
          <w:szCs w:val="26"/>
        </w:rPr>
        <w:t>;</w:t>
      </w:r>
      <w:r w:rsidR="00553030" w:rsidRPr="00DF3370">
        <w:rPr>
          <w:rFonts w:ascii="Times New Roman" w:hAnsi="Times New Roman" w:cs="Times New Roman"/>
          <w:sz w:val="26"/>
          <w:szCs w:val="26"/>
        </w:rPr>
        <w:t xml:space="preserve"> </w:t>
      </w:r>
      <w:r w:rsidR="00080DD0" w:rsidRPr="00DF3370">
        <w:rPr>
          <w:rFonts w:ascii="Times New Roman" w:hAnsi="Times New Roman" w:cs="Times New Roman"/>
          <w:sz w:val="26"/>
          <w:szCs w:val="26"/>
        </w:rPr>
        <w:t>both lecturers and students need to adapt</w:t>
      </w:r>
      <w:r w:rsidR="00553030" w:rsidRPr="00DF3370">
        <w:rPr>
          <w:rFonts w:ascii="Times New Roman" w:hAnsi="Times New Roman" w:cs="Times New Roman"/>
          <w:sz w:val="26"/>
          <w:szCs w:val="26"/>
        </w:rPr>
        <w:t xml:space="preserve"> to digital technology. </w:t>
      </w:r>
      <w:r w:rsidRPr="00DF3370">
        <w:rPr>
          <w:rFonts w:ascii="Times New Roman" w:hAnsi="Times New Roman" w:cs="Times New Roman"/>
          <w:sz w:val="26"/>
          <w:szCs w:val="26"/>
        </w:rPr>
        <w:t xml:space="preserve">The study aims to discover </w:t>
      </w:r>
      <w:r w:rsidR="0098110F" w:rsidRPr="00DF3370">
        <w:rPr>
          <w:rFonts w:ascii="Times New Roman" w:hAnsi="Times New Roman" w:cs="Times New Roman"/>
          <w:sz w:val="26"/>
          <w:szCs w:val="26"/>
        </w:rPr>
        <w:t>the effect of digital competence</w:t>
      </w:r>
      <w:r w:rsidRPr="00DF3370">
        <w:rPr>
          <w:rFonts w:ascii="Times New Roman" w:hAnsi="Times New Roman" w:cs="Times New Roman"/>
          <w:sz w:val="26"/>
          <w:szCs w:val="26"/>
        </w:rPr>
        <w:t xml:space="preserve"> on </w:t>
      </w:r>
      <w:r w:rsidR="00BB1C9C" w:rsidRPr="00DF3370">
        <w:rPr>
          <w:rFonts w:ascii="Times New Roman" w:hAnsi="Times New Roman" w:cs="Times New Roman"/>
          <w:sz w:val="26"/>
          <w:szCs w:val="26"/>
        </w:rPr>
        <w:t xml:space="preserve">students’ </w:t>
      </w:r>
      <w:r w:rsidRPr="00DF3370">
        <w:rPr>
          <w:rFonts w:ascii="Times New Roman" w:hAnsi="Times New Roman" w:cs="Times New Roman"/>
          <w:sz w:val="26"/>
          <w:szCs w:val="26"/>
        </w:rPr>
        <w:t>feedback and personalized learning. T</w:t>
      </w:r>
      <w:r w:rsidRPr="00DF3370">
        <w:rPr>
          <w:rFonts w:ascii="Times New Roman" w:hAnsi="Times New Roman" w:cs="Times New Roman"/>
          <w:sz w:val="26"/>
          <w:szCs w:val="26"/>
          <w:lang w:val="en-GB"/>
        </w:rPr>
        <w:t xml:space="preserve">he </w:t>
      </w:r>
      <w:r w:rsidR="002E7F0C" w:rsidRPr="00DF3370">
        <w:rPr>
          <w:rFonts w:ascii="Times New Roman" w:hAnsi="Times New Roman" w:cs="Times New Roman"/>
          <w:sz w:val="26"/>
          <w:szCs w:val="26"/>
          <w:lang w:val="en-GB"/>
        </w:rPr>
        <w:t xml:space="preserve">quantitative </w:t>
      </w:r>
      <w:r w:rsidR="000D1A35" w:rsidRPr="00DF3370">
        <w:rPr>
          <w:rFonts w:ascii="Times New Roman" w:hAnsi="Times New Roman" w:cs="Times New Roman"/>
          <w:sz w:val="26"/>
          <w:szCs w:val="26"/>
          <w:lang w:val="en-GB"/>
        </w:rPr>
        <w:t>approach</w:t>
      </w:r>
      <w:r w:rsidR="002E7F0C" w:rsidRPr="00DF3370">
        <w:rPr>
          <w:rFonts w:ascii="Times New Roman" w:hAnsi="Times New Roman" w:cs="Times New Roman"/>
          <w:sz w:val="26"/>
          <w:szCs w:val="26"/>
          <w:lang w:val="en-GB"/>
        </w:rPr>
        <w:t xml:space="preserve"> with </w:t>
      </w:r>
      <w:r w:rsidR="0098110F" w:rsidRPr="00DF3370">
        <w:rPr>
          <w:rFonts w:ascii="Times New Roman" w:hAnsi="Times New Roman" w:cs="Times New Roman"/>
          <w:sz w:val="26"/>
          <w:szCs w:val="26"/>
          <w:lang w:val="en-GB"/>
        </w:rPr>
        <w:t>a cross-sectional</w:t>
      </w:r>
      <w:r w:rsidR="002E7F0C" w:rsidRPr="00DF3370">
        <w:rPr>
          <w:rFonts w:ascii="Times New Roman" w:hAnsi="Times New Roman" w:cs="Times New Roman"/>
          <w:sz w:val="26"/>
          <w:szCs w:val="26"/>
          <w:lang w:val="en-GB"/>
        </w:rPr>
        <w:t xml:space="preserve"> </w:t>
      </w:r>
      <w:r w:rsidR="00FF5041" w:rsidRPr="00DF3370">
        <w:rPr>
          <w:rFonts w:ascii="Times New Roman" w:hAnsi="Times New Roman" w:cs="Times New Roman"/>
          <w:sz w:val="26"/>
          <w:szCs w:val="26"/>
          <w:lang w:val="en-GB"/>
        </w:rPr>
        <w:t xml:space="preserve">survey </w:t>
      </w:r>
      <w:r w:rsidR="002E7F0C" w:rsidRPr="00DF3370">
        <w:rPr>
          <w:rFonts w:ascii="Times New Roman" w:hAnsi="Times New Roman" w:cs="Times New Roman"/>
          <w:sz w:val="26"/>
          <w:szCs w:val="26"/>
          <w:lang w:val="en-GB"/>
        </w:rPr>
        <w:t>design</w:t>
      </w:r>
      <w:r w:rsidRPr="00DF3370">
        <w:rPr>
          <w:rFonts w:ascii="Times New Roman" w:hAnsi="Times New Roman" w:cs="Times New Roman"/>
          <w:sz w:val="26"/>
          <w:szCs w:val="26"/>
          <w:lang w:val="en-GB"/>
        </w:rPr>
        <w:t xml:space="preserve"> is mainly applied to this study</w:t>
      </w:r>
      <w:r w:rsidR="0098110F" w:rsidRPr="00DF3370">
        <w:rPr>
          <w:rFonts w:ascii="Times New Roman" w:hAnsi="Times New Roman" w:cs="Times New Roman"/>
          <w:sz w:val="26"/>
          <w:szCs w:val="26"/>
          <w:lang w:val="en-GB"/>
        </w:rPr>
        <w:t>,</w:t>
      </w:r>
      <w:r w:rsidRPr="00DF3370">
        <w:rPr>
          <w:rFonts w:ascii="Times New Roman" w:hAnsi="Times New Roman" w:cs="Times New Roman"/>
          <w:sz w:val="26"/>
          <w:szCs w:val="26"/>
          <w:lang w:val="en-GB"/>
        </w:rPr>
        <w:t xml:space="preserve"> </w:t>
      </w:r>
      <w:r w:rsidR="00684D03" w:rsidRPr="00DF3370">
        <w:rPr>
          <w:rFonts w:ascii="Times New Roman" w:hAnsi="Times New Roman" w:cs="Times New Roman"/>
          <w:sz w:val="26"/>
          <w:szCs w:val="26"/>
          <w:lang w:val="en-GB"/>
        </w:rPr>
        <w:t>including</w:t>
      </w:r>
      <w:r w:rsidRPr="00DF3370">
        <w:rPr>
          <w:rFonts w:ascii="Times New Roman" w:hAnsi="Times New Roman" w:cs="Times New Roman"/>
          <w:sz w:val="26"/>
          <w:szCs w:val="26"/>
          <w:lang w:val="en-GB"/>
        </w:rPr>
        <w:t xml:space="preserve"> </w:t>
      </w:r>
      <w:r w:rsidRPr="00DF3370">
        <w:rPr>
          <w:rFonts w:ascii="Times New Roman" w:hAnsi="Times New Roman" w:cs="Times New Roman"/>
          <w:sz w:val="26"/>
          <w:szCs w:val="26"/>
        </w:rPr>
        <w:t>observation</w:t>
      </w:r>
      <w:r w:rsidRPr="00DF3370">
        <w:rPr>
          <w:rFonts w:ascii="Times New Roman" w:hAnsi="Times New Roman" w:cs="Times New Roman"/>
          <w:sz w:val="26"/>
          <w:szCs w:val="26"/>
          <w:lang w:val="en-GB"/>
        </w:rPr>
        <w:t xml:space="preserve">, document analysis, and </w:t>
      </w:r>
      <w:r w:rsidR="0098110F" w:rsidRPr="00DF3370">
        <w:rPr>
          <w:rFonts w:ascii="Times New Roman" w:hAnsi="Times New Roman" w:cs="Times New Roman"/>
          <w:sz w:val="26"/>
          <w:szCs w:val="26"/>
          <w:lang w:val="en-GB"/>
        </w:rPr>
        <w:t xml:space="preserve">a </w:t>
      </w:r>
      <w:r w:rsidRPr="00DF3370">
        <w:rPr>
          <w:rFonts w:ascii="Times New Roman" w:hAnsi="Times New Roman" w:cs="Times New Roman"/>
          <w:sz w:val="26"/>
          <w:szCs w:val="26"/>
          <w:lang w:val="en-GB"/>
        </w:rPr>
        <w:t>questionnaire</w:t>
      </w:r>
      <w:r w:rsidR="00DB654F" w:rsidRPr="00DF3370">
        <w:rPr>
          <w:rFonts w:ascii="Times New Roman" w:hAnsi="Times New Roman" w:cs="Times New Roman"/>
          <w:sz w:val="26"/>
          <w:szCs w:val="26"/>
          <w:lang w:val="en-GB"/>
        </w:rPr>
        <w:t>.</w:t>
      </w:r>
      <w:r w:rsidR="00D23A37" w:rsidRPr="00DF3370">
        <w:rPr>
          <w:rFonts w:ascii="Times New Roman" w:hAnsi="Times New Roman" w:cs="Times New Roman"/>
          <w:sz w:val="26"/>
          <w:szCs w:val="26"/>
          <w:lang w:val="en-GB"/>
        </w:rPr>
        <w:t xml:space="preserve"> </w:t>
      </w:r>
      <w:r w:rsidR="00D96EF8" w:rsidRPr="00DF3370">
        <w:rPr>
          <w:rFonts w:ascii="Times New Roman" w:hAnsi="Times New Roman" w:cs="Times New Roman"/>
          <w:sz w:val="26"/>
          <w:szCs w:val="26"/>
        </w:rPr>
        <w:t xml:space="preserve">Data collection is done through the questionnaire, measuring three main variables: instructors’ digital competence, feedback quality, and personalized learning level. </w:t>
      </w:r>
      <w:r w:rsidR="00DB654F" w:rsidRPr="00DF3370">
        <w:rPr>
          <w:rFonts w:ascii="Times New Roman" w:hAnsi="Times New Roman" w:cs="Times New Roman"/>
          <w:sz w:val="26"/>
          <w:szCs w:val="26"/>
          <w:lang w:val="en-GB"/>
        </w:rPr>
        <w:t xml:space="preserve">Especially, </w:t>
      </w:r>
      <w:r w:rsidRPr="00DF3370">
        <w:rPr>
          <w:rFonts w:ascii="Times New Roman" w:hAnsi="Times New Roman" w:cs="Times New Roman"/>
          <w:sz w:val="26"/>
          <w:szCs w:val="26"/>
          <w:lang w:val="en-GB"/>
        </w:rPr>
        <w:t xml:space="preserve">the </w:t>
      </w:r>
      <w:r w:rsidR="00832CEE" w:rsidRPr="00DF3370">
        <w:rPr>
          <w:rFonts w:ascii="Times New Roman" w:hAnsi="Times New Roman" w:cs="Times New Roman"/>
          <w:sz w:val="26"/>
          <w:szCs w:val="26"/>
          <w:lang w:val="en-GB"/>
        </w:rPr>
        <w:t xml:space="preserve">data </w:t>
      </w:r>
      <w:r w:rsidRPr="00DF3370">
        <w:rPr>
          <w:rFonts w:ascii="Times New Roman" w:hAnsi="Times New Roman" w:cs="Times New Roman"/>
          <w:sz w:val="26"/>
          <w:szCs w:val="26"/>
          <w:lang w:val="en-GB"/>
        </w:rPr>
        <w:t xml:space="preserve">analysis </w:t>
      </w:r>
      <w:r w:rsidRPr="00DF3370">
        <w:rPr>
          <w:rFonts w:ascii="Times New Roman" w:hAnsi="Times New Roman" w:cs="Times New Roman"/>
          <w:sz w:val="26"/>
          <w:szCs w:val="26"/>
        </w:rPr>
        <w:t xml:space="preserve">is based on </w:t>
      </w:r>
      <w:r w:rsidR="0098110F" w:rsidRPr="00DF3370">
        <w:rPr>
          <w:rFonts w:ascii="Times New Roman" w:hAnsi="Times New Roman" w:cs="Times New Roman"/>
          <w:sz w:val="26"/>
          <w:szCs w:val="26"/>
        </w:rPr>
        <w:t xml:space="preserve">the </w:t>
      </w:r>
      <w:r w:rsidRPr="00DF3370">
        <w:rPr>
          <w:rFonts w:ascii="Times New Roman" w:hAnsi="Times New Roman" w:cs="Times New Roman"/>
          <w:sz w:val="26"/>
          <w:szCs w:val="26"/>
        </w:rPr>
        <w:t>SEM model (SmartPLS4) to test research hypotheses</w:t>
      </w:r>
      <w:r w:rsidR="00E61EAF" w:rsidRPr="00DF3370">
        <w:rPr>
          <w:rFonts w:ascii="Times New Roman" w:hAnsi="Times New Roman" w:cs="Times New Roman"/>
          <w:sz w:val="26"/>
          <w:szCs w:val="26"/>
        </w:rPr>
        <w:t xml:space="preserve"> and evaluate the relationship among variables</w:t>
      </w:r>
      <w:r w:rsidRPr="00DF3370">
        <w:rPr>
          <w:rFonts w:ascii="Times New Roman" w:hAnsi="Times New Roman" w:cs="Times New Roman"/>
          <w:sz w:val="26"/>
          <w:szCs w:val="26"/>
        </w:rPr>
        <w:t xml:space="preserve">. The </w:t>
      </w:r>
      <w:r w:rsidR="00544C42" w:rsidRPr="00DF3370">
        <w:rPr>
          <w:rFonts w:ascii="Times New Roman" w:hAnsi="Times New Roman" w:cs="Times New Roman"/>
          <w:sz w:val="26"/>
          <w:szCs w:val="26"/>
        </w:rPr>
        <w:t xml:space="preserve">expected </w:t>
      </w:r>
      <w:r w:rsidRPr="00DF3370">
        <w:rPr>
          <w:rFonts w:ascii="Times New Roman" w:hAnsi="Times New Roman" w:cs="Times New Roman"/>
          <w:sz w:val="26"/>
          <w:szCs w:val="26"/>
        </w:rPr>
        <w:t>results show the positive effect of digital competence on feedback effectiveness</w:t>
      </w:r>
      <w:r w:rsidR="00D96EF8" w:rsidRPr="00DF3370">
        <w:rPr>
          <w:rFonts w:ascii="Times New Roman" w:hAnsi="Times New Roman" w:cs="Times New Roman"/>
          <w:sz w:val="26"/>
          <w:szCs w:val="26"/>
        </w:rPr>
        <w:t xml:space="preserve"> </w:t>
      </w:r>
      <w:r w:rsidR="00E64F7A" w:rsidRPr="00DF3370">
        <w:rPr>
          <w:rFonts w:ascii="Times New Roman" w:hAnsi="Times New Roman" w:cs="Times New Roman"/>
          <w:sz w:val="26"/>
          <w:szCs w:val="26"/>
        </w:rPr>
        <w:t xml:space="preserve">and personalized </w:t>
      </w:r>
      <w:r w:rsidR="00A5524A" w:rsidRPr="00DF3370">
        <w:rPr>
          <w:rFonts w:ascii="Times New Roman" w:hAnsi="Times New Roman" w:cs="Times New Roman"/>
          <w:sz w:val="26"/>
          <w:szCs w:val="26"/>
        </w:rPr>
        <w:t>learning</w:t>
      </w:r>
      <w:r w:rsidR="00B0044E" w:rsidRPr="00DF3370">
        <w:rPr>
          <w:rFonts w:ascii="Times New Roman" w:hAnsi="Times New Roman" w:cs="Times New Roman"/>
          <w:sz w:val="26"/>
          <w:szCs w:val="26"/>
        </w:rPr>
        <w:t xml:space="preserve">. </w:t>
      </w:r>
      <w:r w:rsidR="00E61EAF" w:rsidRPr="00DF3370">
        <w:rPr>
          <w:rFonts w:ascii="Times New Roman" w:hAnsi="Times New Roman" w:cs="Times New Roman"/>
          <w:sz w:val="26"/>
          <w:szCs w:val="26"/>
        </w:rPr>
        <w:t xml:space="preserve">Instructors </w:t>
      </w:r>
      <w:r w:rsidR="007B651A" w:rsidRPr="00DF3370">
        <w:rPr>
          <w:rFonts w:ascii="Times New Roman" w:hAnsi="Times New Roman" w:cs="Times New Roman"/>
          <w:sz w:val="26"/>
          <w:szCs w:val="26"/>
        </w:rPr>
        <w:t xml:space="preserve">with good capabilities of </w:t>
      </w:r>
      <w:r w:rsidR="00BB1C9C" w:rsidRPr="00DF3370">
        <w:rPr>
          <w:rFonts w:ascii="Times New Roman" w:hAnsi="Times New Roman" w:cs="Times New Roman"/>
          <w:sz w:val="26"/>
          <w:szCs w:val="26"/>
        </w:rPr>
        <w:t>using technology can integrate</w:t>
      </w:r>
      <w:r w:rsidR="007B651A" w:rsidRPr="00DF3370">
        <w:rPr>
          <w:rFonts w:ascii="Times New Roman" w:hAnsi="Times New Roman" w:cs="Times New Roman"/>
          <w:sz w:val="26"/>
          <w:szCs w:val="26"/>
        </w:rPr>
        <w:t xml:space="preserve"> digital </w:t>
      </w:r>
      <w:r w:rsidR="00BB1C9C" w:rsidRPr="00DF3370">
        <w:rPr>
          <w:rFonts w:ascii="Times New Roman" w:hAnsi="Times New Roman" w:cs="Times New Roman"/>
          <w:sz w:val="26"/>
          <w:szCs w:val="26"/>
        </w:rPr>
        <w:t xml:space="preserve">tools </w:t>
      </w:r>
      <w:r w:rsidR="000115C0" w:rsidRPr="00DF3370">
        <w:rPr>
          <w:rFonts w:ascii="Times New Roman" w:hAnsi="Times New Roman" w:cs="Times New Roman"/>
          <w:sz w:val="26"/>
          <w:szCs w:val="26"/>
        </w:rPr>
        <w:t xml:space="preserve">to </w:t>
      </w:r>
      <w:r w:rsidR="007B651A" w:rsidRPr="00DF3370">
        <w:rPr>
          <w:rFonts w:ascii="Times New Roman" w:hAnsi="Times New Roman" w:cs="Times New Roman"/>
          <w:sz w:val="26"/>
          <w:szCs w:val="26"/>
        </w:rPr>
        <w:t>provide in-time feedback, transparency, and flexibility to meet learning needs.</w:t>
      </w:r>
      <w:r w:rsidR="00DE339E" w:rsidRPr="00DF3370">
        <w:rPr>
          <w:rFonts w:ascii="Times New Roman" w:hAnsi="Times New Roman" w:cs="Times New Roman"/>
          <w:sz w:val="26"/>
          <w:szCs w:val="26"/>
        </w:rPr>
        <w:t xml:space="preserve"> </w:t>
      </w:r>
      <w:r w:rsidR="00851E10" w:rsidRPr="00DF3370">
        <w:rPr>
          <w:rFonts w:ascii="Times New Roman" w:hAnsi="Times New Roman" w:cs="Times New Roman"/>
          <w:sz w:val="26"/>
          <w:szCs w:val="26"/>
        </w:rPr>
        <w:t>E</w:t>
      </w:r>
      <w:r w:rsidRPr="00DF3370">
        <w:rPr>
          <w:rFonts w:ascii="Times New Roman" w:hAnsi="Times New Roman" w:cs="Times New Roman"/>
          <w:sz w:val="26"/>
          <w:szCs w:val="26"/>
        </w:rPr>
        <w:t>ffective feedback</w:t>
      </w:r>
      <w:r w:rsidR="00851E10" w:rsidRPr="00DF3370">
        <w:rPr>
          <w:rFonts w:ascii="Times New Roman" w:hAnsi="Times New Roman" w:cs="Times New Roman"/>
          <w:sz w:val="26"/>
          <w:szCs w:val="26"/>
        </w:rPr>
        <w:t xml:space="preserve">, which </w:t>
      </w:r>
      <w:r w:rsidRPr="00DF3370">
        <w:rPr>
          <w:rFonts w:ascii="Times New Roman" w:hAnsi="Times New Roman" w:cs="Times New Roman"/>
          <w:sz w:val="26"/>
          <w:szCs w:val="26"/>
        </w:rPr>
        <w:t xml:space="preserve">can strongly promote </w:t>
      </w:r>
      <w:r w:rsidR="00D81E05" w:rsidRPr="00DF3370">
        <w:rPr>
          <w:rFonts w:ascii="Times New Roman" w:hAnsi="Times New Roman" w:cs="Times New Roman"/>
          <w:sz w:val="26"/>
          <w:szCs w:val="26"/>
        </w:rPr>
        <w:t xml:space="preserve">autonomous </w:t>
      </w:r>
      <w:r w:rsidRPr="00DF3370">
        <w:rPr>
          <w:rFonts w:ascii="Times New Roman" w:hAnsi="Times New Roman" w:cs="Times New Roman"/>
          <w:sz w:val="26"/>
          <w:szCs w:val="26"/>
        </w:rPr>
        <w:t xml:space="preserve">learning </w:t>
      </w:r>
      <w:r w:rsidR="0098110F" w:rsidRPr="00DF3370">
        <w:rPr>
          <w:rFonts w:ascii="Times New Roman" w:hAnsi="Times New Roman" w:cs="Times New Roman"/>
          <w:sz w:val="26"/>
          <w:szCs w:val="26"/>
        </w:rPr>
        <w:t>by</w:t>
      </w:r>
      <w:r w:rsidRPr="00DF3370">
        <w:rPr>
          <w:rFonts w:ascii="Times New Roman" w:hAnsi="Times New Roman" w:cs="Times New Roman"/>
          <w:sz w:val="26"/>
          <w:szCs w:val="26"/>
        </w:rPr>
        <w:t xml:space="preserve"> supporting students with self-regulated </w:t>
      </w:r>
      <w:r w:rsidR="0098110F" w:rsidRPr="00DF3370">
        <w:rPr>
          <w:rFonts w:ascii="Times New Roman" w:hAnsi="Times New Roman" w:cs="Times New Roman"/>
          <w:sz w:val="26"/>
          <w:szCs w:val="26"/>
        </w:rPr>
        <w:t>strategies</w:t>
      </w:r>
      <w:r w:rsidR="00851E10" w:rsidRPr="00DF3370">
        <w:rPr>
          <w:rFonts w:ascii="Times New Roman" w:hAnsi="Times New Roman" w:cs="Times New Roman"/>
          <w:sz w:val="26"/>
          <w:szCs w:val="26"/>
        </w:rPr>
        <w:t xml:space="preserve">, </w:t>
      </w:r>
      <w:r w:rsidRPr="00DF3370">
        <w:rPr>
          <w:rFonts w:ascii="Times New Roman" w:hAnsi="Times New Roman" w:cs="Times New Roman"/>
          <w:sz w:val="26"/>
          <w:szCs w:val="26"/>
        </w:rPr>
        <w:t xml:space="preserve">is the intermediary element between digital competence and personalized learning. The </w:t>
      </w:r>
      <w:r w:rsidR="00BB1C9C" w:rsidRPr="00DF3370">
        <w:rPr>
          <w:rFonts w:ascii="Times New Roman" w:hAnsi="Times New Roman" w:cs="Times New Roman"/>
          <w:sz w:val="26"/>
          <w:szCs w:val="26"/>
        </w:rPr>
        <w:t>study significantly contributes to</w:t>
      </w:r>
      <w:r w:rsidRPr="00DF3370">
        <w:rPr>
          <w:rFonts w:ascii="Times New Roman" w:hAnsi="Times New Roman" w:cs="Times New Roman"/>
          <w:sz w:val="26"/>
          <w:szCs w:val="26"/>
        </w:rPr>
        <w:t xml:space="preserve"> </w:t>
      </w:r>
      <w:r w:rsidR="00947EFB" w:rsidRPr="00DF3370">
        <w:rPr>
          <w:rFonts w:ascii="Times New Roman" w:hAnsi="Times New Roman" w:cs="Times New Roman"/>
          <w:sz w:val="26"/>
          <w:szCs w:val="26"/>
        </w:rPr>
        <w:t>developing</w:t>
      </w:r>
      <w:r w:rsidR="0082361F" w:rsidRPr="00DF3370">
        <w:rPr>
          <w:rFonts w:ascii="Times New Roman" w:hAnsi="Times New Roman" w:cs="Times New Roman"/>
          <w:sz w:val="26"/>
          <w:szCs w:val="26"/>
        </w:rPr>
        <w:t xml:space="preserve"> </w:t>
      </w:r>
      <w:r w:rsidR="007B651A" w:rsidRPr="00DF3370">
        <w:rPr>
          <w:rFonts w:ascii="Times New Roman" w:hAnsi="Times New Roman" w:cs="Times New Roman"/>
          <w:sz w:val="26"/>
          <w:szCs w:val="26"/>
        </w:rPr>
        <w:t>professional training</w:t>
      </w:r>
      <w:r w:rsidR="00BB1C9C" w:rsidRPr="00DF3370">
        <w:rPr>
          <w:rFonts w:ascii="Times New Roman" w:hAnsi="Times New Roman" w:cs="Times New Roman"/>
          <w:sz w:val="26"/>
          <w:szCs w:val="26"/>
        </w:rPr>
        <w:t xml:space="preserve"> programs</w:t>
      </w:r>
      <w:r w:rsidR="0082361F" w:rsidRPr="00DF3370">
        <w:rPr>
          <w:rFonts w:ascii="Times New Roman" w:hAnsi="Times New Roman" w:cs="Times New Roman"/>
          <w:sz w:val="26"/>
          <w:szCs w:val="26"/>
        </w:rPr>
        <w:t xml:space="preserve"> for instructors</w:t>
      </w:r>
      <w:r w:rsidRPr="00DF3370">
        <w:rPr>
          <w:rFonts w:ascii="Times New Roman" w:hAnsi="Times New Roman" w:cs="Times New Roman"/>
          <w:sz w:val="26"/>
          <w:szCs w:val="26"/>
        </w:rPr>
        <w:t xml:space="preserve">, </w:t>
      </w:r>
      <w:r w:rsidR="007B651A" w:rsidRPr="00DF3370">
        <w:rPr>
          <w:rFonts w:ascii="Times New Roman" w:hAnsi="Times New Roman" w:cs="Times New Roman"/>
          <w:sz w:val="26"/>
          <w:szCs w:val="26"/>
        </w:rPr>
        <w:t>establishing a theoretical foundation of digital competence, creating</w:t>
      </w:r>
      <w:r w:rsidRPr="00DF3370">
        <w:rPr>
          <w:rFonts w:ascii="Times New Roman" w:hAnsi="Times New Roman" w:cs="Times New Roman"/>
          <w:sz w:val="26"/>
          <w:szCs w:val="26"/>
        </w:rPr>
        <w:t xml:space="preserve"> </w:t>
      </w:r>
      <w:r w:rsidR="0098110F" w:rsidRPr="00DF3370">
        <w:rPr>
          <w:rFonts w:ascii="Times New Roman" w:hAnsi="Times New Roman" w:cs="Times New Roman"/>
          <w:sz w:val="26"/>
          <w:szCs w:val="26"/>
        </w:rPr>
        <w:t xml:space="preserve">a </w:t>
      </w:r>
      <w:r w:rsidRPr="00DF3370">
        <w:rPr>
          <w:rFonts w:ascii="Times New Roman" w:hAnsi="Times New Roman" w:cs="Times New Roman"/>
          <w:sz w:val="26"/>
          <w:szCs w:val="26"/>
        </w:rPr>
        <w:t xml:space="preserve">flexible learning environment </w:t>
      </w:r>
      <w:r w:rsidR="0082361F" w:rsidRPr="00DF3370">
        <w:rPr>
          <w:rFonts w:ascii="Times New Roman" w:hAnsi="Times New Roman" w:cs="Times New Roman"/>
          <w:sz w:val="26"/>
          <w:szCs w:val="26"/>
        </w:rPr>
        <w:t>with a student-centered approach</w:t>
      </w:r>
      <w:r w:rsidR="004E3536" w:rsidRPr="00DF3370">
        <w:rPr>
          <w:rFonts w:ascii="Times New Roman" w:hAnsi="Times New Roman" w:cs="Times New Roman"/>
          <w:sz w:val="26"/>
          <w:szCs w:val="26"/>
        </w:rPr>
        <w:t xml:space="preserve">, </w:t>
      </w:r>
      <w:r w:rsidRPr="00DF3370">
        <w:rPr>
          <w:rFonts w:ascii="Times New Roman" w:hAnsi="Times New Roman" w:cs="Times New Roman"/>
          <w:sz w:val="26"/>
          <w:szCs w:val="26"/>
        </w:rPr>
        <w:t xml:space="preserve">and </w:t>
      </w:r>
      <w:r w:rsidR="004E3536" w:rsidRPr="00DF3370">
        <w:rPr>
          <w:rFonts w:ascii="Times New Roman" w:hAnsi="Times New Roman" w:cs="Times New Roman"/>
          <w:sz w:val="26"/>
          <w:szCs w:val="26"/>
        </w:rPr>
        <w:t>providing</w:t>
      </w:r>
      <w:r w:rsidR="004312D8" w:rsidRPr="00DF3370">
        <w:rPr>
          <w:rFonts w:ascii="Times New Roman" w:hAnsi="Times New Roman" w:cs="Times New Roman"/>
          <w:sz w:val="26"/>
          <w:szCs w:val="26"/>
        </w:rPr>
        <w:t xml:space="preserve"> </w:t>
      </w:r>
      <w:r w:rsidR="00824EBA" w:rsidRPr="00DF3370">
        <w:rPr>
          <w:rFonts w:ascii="Times New Roman" w:hAnsi="Times New Roman" w:cs="Times New Roman"/>
          <w:sz w:val="26"/>
          <w:szCs w:val="26"/>
        </w:rPr>
        <w:t xml:space="preserve">positive </w:t>
      </w:r>
      <w:r w:rsidRPr="00DF3370">
        <w:rPr>
          <w:rFonts w:ascii="Times New Roman" w:hAnsi="Times New Roman" w:cs="Times New Roman"/>
          <w:sz w:val="26"/>
          <w:szCs w:val="26"/>
        </w:rPr>
        <w:t xml:space="preserve">feedback </w:t>
      </w:r>
      <w:r w:rsidR="00A97701" w:rsidRPr="00DF3370">
        <w:rPr>
          <w:rFonts w:ascii="Times New Roman" w:hAnsi="Times New Roman" w:cs="Times New Roman"/>
          <w:sz w:val="26"/>
          <w:szCs w:val="26"/>
        </w:rPr>
        <w:t>to meet students’ learning needs effectively</w:t>
      </w:r>
      <w:r w:rsidRPr="00DF3370">
        <w:rPr>
          <w:rFonts w:ascii="Times New Roman" w:hAnsi="Times New Roman" w:cs="Times New Roman"/>
          <w:sz w:val="26"/>
          <w:szCs w:val="26"/>
        </w:rPr>
        <w:t>.</w:t>
      </w:r>
    </w:p>
    <w:p w14:paraId="3D0935C5" w14:textId="751132F3" w:rsidR="00B56C20" w:rsidRPr="00DF3370" w:rsidRDefault="00D15EE7" w:rsidP="00970062">
      <w:pPr>
        <w:spacing w:after="120" w:line="288" w:lineRule="auto"/>
        <w:rPr>
          <w:rFonts w:ascii="Times New Roman" w:hAnsi="Times New Roman" w:cs="Times New Roman"/>
          <w:sz w:val="26"/>
          <w:szCs w:val="26"/>
        </w:rPr>
      </w:pPr>
      <w:r w:rsidRPr="00DF3370">
        <w:rPr>
          <w:rFonts w:ascii="Times New Roman" w:hAnsi="Times New Roman" w:cs="Times New Roman"/>
          <w:sz w:val="26"/>
          <w:szCs w:val="26"/>
        </w:rPr>
        <w:t xml:space="preserve">Keywords: digital competence, student feedback, personalized learning, self-regulated learning, </w:t>
      </w:r>
      <w:r w:rsidR="00F64517" w:rsidRPr="00DF3370">
        <w:rPr>
          <w:rFonts w:ascii="Times New Roman" w:hAnsi="Times New Roman" w:cs="Times New Roman"/>
          <w:sz w:val="26"/>
          <w:szCs w:val="26"/>
        </w:rPr>
        <w:t xml:space="preserve">autonomous learning, </w:t>
      </w:r>
      <w:r w:rsidRPr="00DF3370">
        <w:rPr>
          <w:rFonts w:ascii="Times New Roman" w:hAnsi="Times New Roman" w:cs="Times New Roman"/>
          <w:sz w:val="26"/>
          <w:szCs w:val="26"/>
        </w:rPr>
        <w:t>digital technology, online teaching…</w:t>
      </w:r>
    </w:p>
    <w:p w14:paraId="00FBDA6B" w14:textId="77777777" w:rsidR="00532212" w:rsidRPr="00DF3370" w:rsidRDefault="00532212" w:rsidP="00970062">
      <w:pPr>
        <w:spacing w:after="120" w:line="288" w:lineRule="auto"/>
        <w:jc w:val="center"/>
        <w:rPr>
          <w:rFonts w:ascii="Times New Roman" w:hAnsi="Times New Roman" w:cs="Times New Roman"/>
          <w:b/>
          <w:bCs/>
          <w:sz w:val="26"/>
          <w:szCs w:val="26"/>
        </w:rPr>
      </w:pPr>
    </w:p>
    <w:p w14:paraId="3F7FD34E" w14:textId="6CFABD2C" w:rsidR="00C64C0C" w:rsidRPr="00DF3370" w:rsidRDefault="00C64C0C" w:rsidP="00532212">
      <w:pPr>
        <w:pStyle w:val="ListParagraph"/>
        <w:numPr>
          <w:ilvl w:val="0"/>
          <w:numId w:val="36"/>
        </w:numPr>
        <w:spacing w:after="120" w:line="288" w:lineRule="auto"/>
        <w:jc w:val="center"/>
        <w:rPr>
          <w:rFonts w:ascii="Times New Roman" w:hAnsi="Times New Roman" w:cs="Times New Roman"/>
          <w:b/>
          <w:bCs/>
          <w:sz w:val="26"/>
          <w:szCs w:val="26"/>
        </w:rPr>
      </w:pPr>
      <w:r w:rsidRPr="00DF3370">
        <w:rPr>
          <w:rFonts w:ascii="Times New Roman" w:hAnsi="Times New Roman" w:cs="Times New Roman"/>
          <w:b/>
          <w:bCs/>
          <w:sz w:val="26"/>
          <w:szCs w:val="26"/>
        </w:rPr>
        <w:lastRenderedPageBreak/>
        <w:t>INTRODUCTION</w:t>
      </w:r>
    </w:p>
    <w:p w14:paraId="0120625F" w14:textId="46033F31" w:rsidR="00E54582" w:rsidRPr="00DF3370" w:rsidRDefault="00C64C0C" w:rsidP="00970062">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The rapid change of digital competence</w:t>
      </w:r>
      <w:r w:rsidR="000035D6" w:rsidRPr="00DF3370">
        <w:rPr>
          <w:rFonts w:ascii="Times New Roman" w:hAnsi="Times New Roman" w:cs="Times New Roman"/>
          <w:sz w:val="26"/>
          <w:szCs w:val="26"/>
        </w:rPr>
        <w:t xml:space="preserve"> has influenced teaching and learning approaches in university education</w:t>
      </w:r>
      <w:r w:rsidR="005971DE" w:rsidRPr="00DF3370">
        <w:rPr>
          <w:rFonts w:ascii="Times New Roman" w:hAnsi="Times New Roman" w:cs="Times New Roman"/>
          <w:sz w:val="26"/>
          <w:szCs w:val="26"/>
        </w:rPr>
        <w:t xml:space="preserve"> in Viet Nam, Particularly Hong Bang International University</w:t>
      </w:r>
      <w:r w:rsidR="000035D6" w:rsidRPr="00DF3370">
        <w:rPr>
          <w:rFonts w:ascii="Times New Roman" w:hAnsi="Times New Roman" w:cs="Times New Roman"/>
          <w:sz w:val="26"/>
          <w:szCs w:val="26"/>
        </w:rPr>
        <w:t xml:space="preserve">. In this context, instructors’ digital competence is not only </w:t>
      </w:r>
      <w:r w:rsidR="00E365BF" w:rsidRPr="00DF3370">
        <w:rPr>
          <w:rFonts w:ascii="Times New Roman" w:hAnsi="Times New Roman" w:cs="Times New Roman"/>
          <w:sz w:val="26"/>
          <w:szCs w:val="26"/>
        </w:rPr>
        <w:t>about the use of technology but also about the ability to integrate it effectively into teaching activities</w:t>
      </w:r>
      <w:r w:rsidR="000035D6" w:rsidRPr="00DF3370">
        <w:rPr>
          <w:rFonts w:ascii="Times New Roman" w:hAnsi="Times New Roman" w:cs="Times New Roman"/>
          <w:sz w:val="26"/>
          <w:szCs w:val="26"/>
        </w:rPr>
        <w:t>.  One of the factors directly affected by instructors</w:t>
      </w:r>
      <w:r w:rsidR="009A1786" w:rsidRPr="00DF3370">
        <w:rPr>
          <w:rFonts w:ascii="Times New Roman" w:hAnsi="Times New Roman" w:cs="Times New Roman"/>
          <w:sz w:val="26"/>
          <w:szCs w:val="26"/>
        </w:rPr>
        <w:t xml:space="preserve"> is feedback, considered the most powerful tool for improving students’ learning outcomes. However, the effectiveness of feedback </w:t>
      </w:r>
      <w:r w:rsidR="00E365BF" w:rsidRPr="00DF3370">
        <w:rPr>
          <w:rFonts w:ascii="Times New Roman" w:hAnsi="Times New Roman" w:cs="Times New Roman"/>
          <w:sz w:val="26"/>
          <w:szCs w:val="26"/>
        </w:rPr>
        <w:t xml:space="preserve">depends on how it is designed, personalized, and how </w:t>
      </w:r>
      <w:r w:rsidR="005971DE" w:rsidRPr="00DF3370">
        <w:rPr>
          <w:rFonts w:ascii="Times New Roman" w:hAnsi="Times New Roman" w:cs="Times New Roman"/>
          <w:sz w:val="26"/>
          <w:szCs w:val="26"/>
        </w:rPr>
        <w:t xml:space="preserve">HIU </w:t>
      </w:r>
      <w:r w:rsidR="00E365BF" w:rsidRPr="00DF3370">
        <w:rPr>
          <w:rFonts w:ascii="Times New Roman" w:hAnsi="Times New Roman" w:cs="Times New Roman"/>
          <w:sz w:val="26"/>
          <w:szCs w:val="26"/>
        </w:rPr>
        <w:t>instructors and students interact</w:t>
      </w:r>
      <w:r w:rsidR="009A1786" w:rsidRPr="00DF3370">
        <w:rPr>
          <w:rFonts w:ascii="Times New Roman" w:hAnsi="Times New Roman" w:cs="Times New Roman"/>
          <w:sz w:val="26"/>
          <w:szCs w:val="26"/>
        </w:rPr>
        <w:t xml:space="preserve">. Alongside that, personalized learning is increasingly receiving attention as </w:t>
      </w:r>
      <w:r w:rsidR="00E54582" w:rsidRPr="00DF3370">
        <w:rPr>
          <w:rFonts w:ascii="Times New Roman" w:hAnsi="Times New Roman" w:cs="Times New Roman"/>
          <w:sz w:val="26"/>
          <w:szCs w:val="26"/>
        </w:rPr>
        <w:t>a</w:t>
      </w:r>
      <w:r w:rsidR="009A1786" w:rsidRPr="00DF3370">
        <w:rPr>
          <w:rFonts w:ascii="Times New Roman" w:hAnsi="Times New Roman" w:cs="Times New Roman"/>
          <w:sz w:val="26"/>
          <w:szCs w:val="26"/>
        </w:rPr>
        <w:t xml:space="preserve"> </w:t>
      </w:r>
      <w:r w:rsidR="005A73BA" w:rsidRPr="00DF3370">
        <w:rPr>
          <w:rFonts w:ascii="Times New Roman" w:hAnsi="Times New Roman" w:cs="Times New Roman"/>
          <w:sz w:val="26"/>
          <w:szCs w:val="26"/>
        </w:rPr>
        <w:t xml:space="preserve">modern </w:t>
      </w:r>
      <w:r w:rsidR="009A1786" w:rsidRPr="00DF3370">
        <w:rPr>
          <w:rFonts w:ascii="Times New Roman" w:hAnsi="Times New Roman" w:cs="Times New Roman"/>
          <w:sz w:val="26"/>
          <w:szCs w:val="26"/>
        </w:rPr>
        <w:t>educational trend</w:t>
      </w:r>
      <w:r w:rsidR="005A73BA" w:rsidRPr="00DF3370">
        <w:rPr>
          <w:rFonts w:ascii="Times New Roman" w:hAnsi="Times New Roman" w:cs="Times New Roman"/>
          <w:sz w:val="26"/>
          <w:szCs w:val="26"/>
        </w:rPr>
        <w:t>, in which content</w:t>
      </w:r>
      <w:r w:rsidR="00E54582" w:rsidRPr="00DF3370">
        <w:rPr>
          <w:rFonts w:ascii="Times New Roman" w:hAnsi="Times New Roman" w:cs="Times New Roman"/>
          <w:sz w:val="26"/>
          <w:szCs w:val="26"/>
        </w:rPr>
        <w:t xml:space="preserve"> and</w:t>
      </w:r>
      <w:r w:rsidR="005A73BA" w:rsidRPr="00DF3370">
        <w:rPr>
          <w:rFonts w:ascii="Times New Roman" w:hAnsi="Times New Roman" w:cs="Times New Roman"/>
          <w:sz w:val="26"/>
          <w:szCs w:val="26"/>
        </w:rPr>
        <w:t xml:space="preserve"> learning approach</w:t>
      </w:r>
      <w:r w:rsidR="00E54582" w:rsidRPr="00DF3370">
        <w:rPr>
          <w:rFonts w:ascii="Times New Roman" w:hAnsi="Times New Roman" w:cs="Times New Roman"/>
          <w:sz w:val="26"/>
          <w:szCs w:val="26"/>
        </w:rPr>
        <w:t xml:space="preserve"> need to be adjusted to fit each student. Digital technology plays an important role in personalized support, but this belongs to instructors’ digital competence. Although there have been numerous studies on individual factors, the relationships among instructors’ digital competence, feedback, and personalized learning haven’t been fully explored. </w:t>
      </w:r>
      <w:r w:rsidR="0071307C" w:rsidRPr="00DF3370">
        <w:rPr>
          <w:rFonts w:ascii="Times New Roman" w:hAnsi="Times New Roman" w:cs="Times New Roman"/>
          <w:sz w:val="26"/>
          <w:szCs w:val="26"/>
        </w:rPr>
        <w:t>Based on the research gap identified,</w:t>
      </w:r>
      <w:r w:rsidR="00E54582" w:rsidRPr="00DF3370">
        <w:rPr>
          <w:rFonts w:ascii="Times New Roman" w:hAnsi="Times New Roman" w:cs="Times New Roman"/>
          <w:sz w:val="26"/>
          <w:szCs w:val="26"/>
        </w:rPr>
        <w:t xml:space="preserve"> this study </w:t>
      </w:r>
      <w:r w:rsidR="0071307C" w:rsidRPr="00DF3370">
        <w:rPr>
          <w:rFonts w:ascii="Times New Roman" w:hAnsi="Times New Roman" w:cs="Times New Roman"/>
          <w:sz w:val="26"/>
          <w:szCs w:val="26"/>
        </w:rPr>
        <w:t>was conducted</w:t>
      </w:r>
      <w:r w:rsidR="00E54582" w:rsidRPr="00DF3370">
        <w:rPr>
          <w:rFonts w:ascii="Times New Roman" w:hAnsi="Times New Roman" w:cs="Times New Roman"/>
          <w:sz w:val="26"/>
          <w:szCs w:val="26"/>
        </w:rPr>
        <w:t xml:space="preserve"> </w:t>
      </w:r>
      <w:r w:rsidR="0071307C" w:rsidRPr="00DF3370">
        <w:rPr>
          <w:rFonts w:ascii="Times New Roman" w:hAnsi="Times New Roman" w:cs="Times New Roman"/>
          <w:sz w:val="26"/>
          <w:szCs w:val="26"/>
        </w:rPr>
        <w:t xml:space="preserve">to answer the following questions: (RQ1) How does instructors’ digital competence affect </w:t>
      </w:r>
      <w:r w:rsidR="0045044E" w:rsidRPr="00DF3370">
        <w:rPr>
          <w:rFonts w:ascii="Times New Roman" w:hAnsi="Times New Roman" w:cs="Times New Roman"/>
          <w:sz w:val="26"/>
          <w:szCs w:val="26"/>
        </w:rPr>
        <w:t>the</w:t>
      </w:r>
      <w:r w:rsidR="0071307C" w:rsidRPr="00DF3370">
        <w:rPr>
          <w:rFonts w:ascii="Times New Roman" w:hAnsi="Times New Roman" w:cs="Times New Roman"/>
          <w:sz w:val="26"/>
          <w:szCs w:val="26"/>
        </w:rPr>
        <w:t xml:space="preserve"> effectiveness provided to students? (RQ2) How does </w:t>
      </w:r>
      <w:r w:rsidR="005F1B22" w:rsidRPr="00DF3370">
        <w:rPr>
          <w:rFonts w:ascii="Times New Roman" w:hAnsi="Times New Roman" w:cs="Times New Roman"/>
          <w:sz w:val="26"/>
          <w:szCs w:val="26"/>
        </w:rPr>
        <w:t xml:space="preserve">the </w:t>
      </w:r>
      <w:r w:rsidR="009340C0" w:rsidRPr="00DF3370">
        <w:rPr>
          <w:rFonts w:ascii="Times New Roman" w:hAnsi="Times New Roman" w:cs="Times New Roman"/>
          <w:sz w:val="26"/>
          <w:szCs w:val="26"/>
        </w:rPr>
        <w:t>instructors’</w:t>
      </w:r>
      <w:r w:rsidR="0071307C" w:rsidRPr="00DF3370">
        <w:rPr>
          <w:rFonts w:ascii="Times New Roman" w:hAnsi="Times New Roman" w:cs="Times New Roman"/>
          <w:sz w:val="26"/>
          <w:szCs w:val="26"/>
        </w:rPr>
        <w:t xml:space="preserve"> digital competence </w:t>
      </w:r>
      <w:r w:rsidR="0045044E" w:rsidRPr="00DF3370">
        <w:rPr>
          <w:rFonts w:ascii="Times New Roman" w:hAnsi="Times New Roman" w:cs="Times New Roman"/>
          <w:sz w:val="26"/>
          <w:szCs w:val="26"/>
        </w:rPr>
        <w:t xml:space="preserve">affect the implementation of personalized learning in university education? (RQ3) Does </w:t>
      </w:r>
      <w:r w:rsidR="005F1B22" w:rsidRPr="00DF3370">
        <w:rPr>
          <w:rFonts w:ascii="Times New Roman" w:hAnsi="Times New Roman" w:cs="Times New Roman"/>
          <w:sz w:val="26"/>
          <w:szCs w:val="26"/>
        </w:rPr>
        <w:t xml:space="preserve">the </w:t>
      </w:r>
      <w:r w:rsidR="0045044E" w:rsidRPr="00DF3370">
        <w:rPr>
          <w:rFonts w:ascii="Times New Roman" w:hAnsi="Times New Roman" w:cs="Times New Roman"/>
          <w:sz w:val="26"/>
          <w:szCs w:val="26"/>
        </w:rPr>
        <w:t xml:space="preserve">students’ feedback play a mediating role in the relationship between lecturers’ digital competence and personalized learning? </w:t>
      </w:r>
    </w:p>
    <w:p w14:paraId="248F39CC" w14:textId="057C8A63" w:rsidR="005B0947" w:rsidRPr="00DF3370" w:rsidRDefault="00532212" w:rsidP="00970062">
      <w:pPr>
        <w:spacing w:after="120" w:line="288" w:lineRule="auto"/>
        <w:jc w:val="center"/>
        <w:rPr>
          <w:rFonts w:ascii="Times New Roman" w:hAnsi="Times New Roman" w:cs="Times New Roman"/>
          <w:b/>
          <w:bCs/>
          <w:sz w:val="26"/>
          <w:szCs w:val="26"/>
        </w:rPr>
      </w:pPr>
      <w:r w:rsidRPr="00DF3370">
        <w:rPr>
          <w:rFonts w:ascii="Times New Roman" w:hAnsi="Times New Roman" w:cs="Times New Roman"/>
          <w:b/>
          <w:bCs/>
          <w:sz w:val="26"/>
          <w:szCs w:val="26"/>
        </w:rPr>
        <w:t xml:space="preserve">1.1 </w:t>
      </w:r>
      <w:r w:rsidR="005B0947" w:rsidRPr="00DF3370">
        <w:rPr>
          <w:rFonts w:ascii="Times New Roman" w:hAnsi="Times New Roman" w:cs="Times New Roman"/>
          <w:b/>
          <w:bCs/>
          <w:sz w:val="26"/>
          <w:szCs w:val="26"/>
        </w:rPr>
        <w:t xml:space="preserve">Problem </w:t>
      </w:r>
      <w:r w:rsidR="00983EE7" w:rsidRPr="00DF3370">
        <w:rPr>
          <w:rFonts w:ascii="Times New Roman" w:hAnsi="Times New Roman" w:cs="Times New Roman"/>
          <w:b/>
          <w:bCs/>
          <w:sz w:val="26"/>
          <w:szCs w:val="26"/>
        </w:rPr>
        <w:t>S</w:t>
      </w:r>
      <w:r w:rsidR="005B0947" w:rsidRPr="00DF3370">
        <w:rPr>
          <w:rFonts w:ascii="Times New Roman" w:hAnsi="Times New Roman" w:cs="Times New Roman"/>
          <w:b/>
          <w:bCs/>
          <w:sz w:val="26"/>
          <w:szCs w:val="26"/>
        </w:rPr>
        <w:t>tatement</w:t>
      </w:r>
    </w:p>
    <w:p w14:paraId="58255149" w14:textId="096637DF" w:rsidR="00074A2A" w:rsidRPr="00DF3370" w:rsidRDefault="009D3804" w:rsidP="00074A2A">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 xml:space="preserve">Digital </w:t>
      </w:r>
      <w:r w:rsidR="00954444" w:rsidRPr="00DF3370">
        <w:rPr>
          <w:rFonts w:ascii="Times New Roman" w:hAnsi="Times New Roman" w:cs="Times New Roman"/>
          <w:sz w:val="26"/>
          <w:szCs w:val="26"/>
        </w:rPr>
        <w:t>r</w:t>
      </w:r>
      <w:r w:rsidRPr="00DF3370">
        <w:rPr>
          <w:rFonts w:ascii="Times New Roman" w:hAnsi="Times New Roman" w:cs="Times New Roman"/>
          <w:sz w:val="26"/>
          <w:szCs w:val="26"/>
        </w:rPr>
        <w:t>evolution</w:t>
      </w:r>
      <w:r w:rsidR="00954444" w:rsidRPr="00DF3370">
        <w:rPr>
          <w:rFonts w:ascii="Times New Roman" w:hAnsi="Times New Roman" w:cs="Times New Roman"/>
          <w:sz w:val="26"/>
          <w:szCs w:val="26"/>
        </w:rPr>
        <w:t xml:space="preserve"> has made a remarkable transformation in higher education. The previous studies have focused on the ability of using information technology since 2000s. However, the development of digital learning environment gradually changes not only using technology but also integrating it into teaching. In 2017, Redecker and Punie’ study marked the significant alteration of digital competence.</w:t>
      </w:r>
      <w:r w:rsidR="00030428" w:rsidRPr="00DF3370">
        <w:rPr>
          <w:rFonts w:ascii="Times New Roman" w:hAnsi="Times New Roman" w:cs="Times New Roman"/>
          <w:sz w:val="26"/>
          <w:szCs w:val="26"/>
        </w:rPr>
        <w:t xml:space="preserve"> From 2016 to 2022, digital transformation boomed at high rate, and teaching online became a global issue. This became a decisive factor in teaching quality and learning experience. </w:t>
      </w:r>
      <w:r w:rsidRPr="00DF3370">
        <w:rPr>
          <w:rFonts w:ascii="Times New Roman" w:hAnsi="Times New Roman" w:cs="Times New Roman"/>
          <w:sz w:val="26"/>
          <w:szCs w:val="26"/>
        </w:rPr>
        <w:t>Hizam et al. (2021)</w:t>
      </w:r>
      <w:r w:rsidR="00030428" w:rsidRPr="00DF3370">
        <w:rPr>
          <w:rFonts w:ascii="Times New Roman" w:hAnsi="Times New Roman" w:cs="Times New Roman"/>
          <w:sz w:val="26"/>
          <w:szCs w:val="26"/>
        </w:rPr>
        <w:t xml:space="preserve"> stated the positive effect on the online learning system.</w:t>
      </w:r>
      <w:r w:rsidRPr="00DF3370">
        <w:rPr>
          <w:rFonts w:ascii="Times New Roman" w:hAnsi="Times New Roman" w:cs="Times New Roman"/>
          <w:sz w:val="26"/>
          <w:szCs w:val="26"/>
        </w:rPr>
        <w:t xml:space="preserve"> </w:t>
      </w:r>
      <w:r w:rsidR="00030428" w:rsidRPr="00DF3370">
        <w:rPr>
          <w:rFonts w:ascii="Times New Roman" w:hAnsi="Times New Roman" w:cs="Times New Roman"/>
          <w:sz w:val="26"/>
          <w:szCs w:val="26"/>
        </w:rPr>
        <w:t xml:space="preserve">In recent years, the studies have confirmed that digital competence have helped instructors access digital resources and innovate teaching approaches </w:t>
      </w:r>
      <w:r w:rsidRPr="00DF3370">
        <w:rPr>
          <w:rFonts w:ascii="Times New Roman" w:hAnsi="Times New Roman" w:cs="Times New Roman"/>
          <w:sz w:val="26"/>
          <w:szCs w:val="26"/>
        </w:rPr>
        <w:t>(Dang et al., 2024).</w:t>
      </w:r>
      <w:r w:rsidR="00030428" w:rsidRPr="00DF3370">
        <w:rPr>
          <w:rFonts w:ascii="Times New Roman" w:hAnsi="Times New Roman" w:cs="Times New Roman"/>
          <w:sz w:val="26"/>
          <w:szCs w:val="26"/>
        </w:rPr>
        <w:t xml:space="preserve"> Besides, student feedback is also considered an important part of online learning.</w:t>
      </w:r>
      <w:r w:rsidR="00D30A3B" w:rsidRPr="00DF3370">
        <w:rPr>
          <w:rFonts w:ascii="Times New Roman" w:hAnsi="Times New Roman" w:cs="Times New Roman"/>
          <w:sz w:val="26"/>
          <w:szCs w:val="26"/>
        </w:rPr>
        <w:t xml:space="preserve"> Especially, digital feedback is a useful tool, helping students exchange information in time. Betancur, C. V., &amp; García </w:t>
      </w:r>
      <w:r w:rsidRPr="00DF3370">
        <w:rPr>
          <w:rFonts w:ascii="Times New Roman" w:hAnsi="Times New Roman" w:cs="Times New Roman"/>
          <w:sz w:val="26"/>
          <w:szCs w:val="26"/>
        </w:rPr>
        <w:t>(2023)</w:t>
      </w:r>
      <w:r w:rsidR="00D30A3B" w:rsidRPr="00DF3370">
        <w:rPr>
          <w:rFonts w:ascii="Times New Roman" w:hAnsi="Times New Roman" w:cs="Times New Roman"/>
          <w:sz w:val="26"/>
          <w:szCs w:val="26"/>
        </w:rPr>
        <w:t xml:space="preserve"> certified that digital competence involves evaluation and feedback, one of limited factors of instructors at university currently.</w:t>
      </w:r>
      <w:r w:rsidR="00DA7065" w:rsidRPr="00DF3370">
        <w:rPr>
          <w:rFonts w:ascii="Times New Roman" w:hAnsi="Times New Roman" w:cs="Times New Roman"/>
          <w:sz w:val="26"/>
          <w:szCs w:val="26"/>
        </w:rPr>
        <w:t xml:space="preserve"> A</w:t>
      </w:r>
      <w:r w:rsidR="00F14BB9" w:rsidRPr="00DF3370">
        <w:rPr>
          <w:rFonts w:ascii="Times New Roman" w:hAnsi="Times New Roman" w:cs="Times New Roman"/>
          <w:sz w:val="26"/>
          <w:szCs w:val="26"/>
        </w:rPr>
        <w:t>rtificial intelligence (AI) is a favorable condition for personalized learning development.</w:t>
      </w:r>
      <w:r w:rsidR="00074A2A" w:rsidRPr="00DF3370">
        <w:rPr>
          <w:rFonts w:ascii="Times New Roman" w:hAnsi="Times New Roman" w:cs="Times New Roman"/>
          <w:sz w:val="26"/>
          <w:szCs w:val="26"/>
        </w:rPr>
        <w:t xml:space="preserve"> The components of digital competence such as, digital resources, </w:t>
      </w:r>
      <w:r w:rsidR="00074A2A" w:rsidRPr="00DF3370">
        <w:rPr>
          <w:rFonts w:ascii="Times New Roman" w:hAnsi="Times New Roman" w:cs="Times New Roman"/>
          <w:sz w:val="26"/>
          <w:szCs w:val="26"/>
        </w:rPr>
        <w:lastRenderedPageBreak/>
        <w:t>assessment, and learning support significantly contribute to student learning experience</w:t>
      </w:r>
      <w:r w:rsidR="0090159E" w:rsidRPr="00DF3370">
        <w:rPr>
          <w:rFonts w:ascii="Times New Roman" w:hAnsi="Times New Roman" w:cs="Times New Roman"/>
          <w:sz w:val="26"/>
          <w:szCs w:val="26"/>
        </w:rPr>
        <w:t xml:space="preserve"> (Bond et al., 2024)</w:t>
      </w:r>
      <w:r w:rsidR="00DA7065" w:rsidRPr="00DF3370">
        <w:rPr>
          <w:rFonts w:ascii="Times New Roman" w:hAnsi="Times New Roman" w:cs="Times New Roman"/>
          <w:sz w:val="26"/>
          <w:szCs w:val="26"/>
        </w:rPr>
        <w:t>.</w:t>
      </w:r>
    </w:p>
    <w:p w14:paraId="6108BD8A" w14:textId="0B827924" w:rsidR="005B0947" w:rsidRPr="00DF3370" w:rsidRDefault="00532212" w:rsidP="00970062">
      <w:pPr>
        <w:spacing w:after="120" w:line="288" w:lineRule="auto"/>
        <w:jc w:val="center"/>
        <w:rPr>
          <w:rFonts w:ascii="Times New Roman" w:hAnsi="Times New Roman" w:cs="Times New Roman"/>
          <w:b/>
          <w:bCs/>
          <w:sz w:val="26"/>
          <w:szCs w:val="26"/>
        </w:rPr>
      </w:pPr>
      <w:r w:rsidRPr="00DF3370">
        <w:rPr>
          <w:rFonts w:ascii="Times New Roman" w:hAnsi="Times New Roman" w:cs="Times New Roman"/>
          <w:b/>
          <w:bCs/>
          <w:sz w:val="26"/>
          <w:szCs w:val="26"/>
        </w:rPr>
        <w:t xml:space="preserve">1.2 </w:t>
      </w:r>
      <w:r w:rsidR="005B0947" w:rsidRPr="00DF3370">
        <w:rPr>
          <w:rFonts w:ascii="Times New Roman" w:hAnsi="Times New Roman" w:cs="Times New Roman"/>
          <w:b/>
          <w:bCs/>
          <w:sz w:val="26"/>
          <w:szCs w:val="26"/>
        </w:rPr>
        <w:t>Research Objective</w:t>
      </w:r>
    </w:p>
    <w:p w14:paraId="319020BE" w14:textId="7A3F7B64" w:rsidR="00B55677" w:rsidRPr="00DF3370" w:rsidRDefault="00B55677" w:rsidP="00F206A6">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The study aims to evaluate the role of digital competence in improving student learning experience</w:t>
      </w:r>
      <w:r w:rsidR="00E86CEE" w:rsidRPr="00DF3370">
        <w:rPr>
          <w:rFonts w:ascii="Times New Roman" w:hAnsi="Times New Roman" w:cs="Times New Roman"/>
          <w:sz w:val="26"/>
          <w:szCs w:val="26"/>
        </w:rPr>
        <w:t xml:space="preserve"> through digital resources and the ability to use technology</w:t>
      </w:r>
      <w:r w:rsidRPr="00DF3370">
        <w:rPr>
          <w:rFonts w:ascii="Times New Roman" w:hAnsi="Times New Roman" w:cs="Times New Roman"/>
          <w:sz w:val="26"/>
          <w:szCs w:val="26"/>
        </w:rPr>
        <w:t>. It is essential to understand how instructors’ digital competence affects online learning</w:t>
      </w:r>
      <w:r w:rsidR="00C7632D" w:rsidRPr="00DF3370">
        <w:rPr>
          <w:rFonts w:ascii="Times New Roman" w:hAnsi="Times New Roman" w:cs="Times New Roman"/>
          <w:sz w:val="26"/>
          <w:szCs w:val="26"/>
        </w:rPr>
        <w:t>.</w:t>
      </w:r>
      <w:r w:rsidR="00707BB3" w:rsidRPr="00DF3370">
        <w:rPr>
          <w:rFonts w:ascii="Times New Roman" w:hAnsi="Times New Roman" w:cs="Times New Roman"/>
          <w:sz w:val="26"/>
          <w:szCs w:val="26"/>
        </w:rPr>
        <w:t xml:space="preserve"> Next, the study aims to analyze the influence of digital competence on student feedback and personalized learning. Finally, the study aims to support universities in Vietnam to develop digital competence programs, contributing to online teaching improvement and student-cente</w:t>
      </w:r>
      <w:r w:rsidR="00534144" w:rsidRPr="00DF3370">
        <w:rPr>
          <w:rFonts w:ascii="Times New Roman" w:hAnsi="Times New Roman" w:cs="Times New Roman"/>
          <w:sz w:val="26"/>
          <w:szCs w:val="26"/>
        </w:rPr>
        <w:t>re</w:t>
      </w:r>
      <w:r w:rsidR="00707BB3" w:rsidRPr="00DF3370">
        <w:rPr>
          <w:rFonts w:ascii="Times New Roman" w:hAnsi="Times New Roman" w:cs="Times New Roman"/>
          <w:sz w:val="26"/>
          <w:szCs w:val="26"/>
        </w:rPr>
        <w:t>d approach.</w:t>
      </w:r>
    </w:p>
    <w:p w14:paraId="0A200FEF" w14:textId="74EE9722" w:rsidR="005B0947" w:rsidRPr="00DF3370" w:rsidRDefault="00532212" w:rsidP="00970062">
      <w:pPr>
        <w:spacing w:after="120" w:line="288" w:lineRule="auto"/>
        <w:jc w:val="center"/>
        <w:rPr>
          <w:rFonts w:ascii="Times New Roman" w:hAnsi="Times New Roman" w:cs="Times New Roman"/>
          <w:b/>
          <w:bCs/>
          <w:sz w:val="26"/>
          <w:szCs w:val="26"/>
        </w:rPr>
      </w:pPr>
      <w:r w:rsidRPr="00DF3370">
        <w:rPr>
          <w:rFonts w:ascii="Times New Roman" w:hAnsi="Times New Roman" w:cs="Times New Roman"/>
          <w:b/>
          <w:bCs/>
          <w:sz w:val="26"/>
          <w:szCs w:val="26"/>
        </w:rPr>
        <w:t xml:space="preserve">1.3 </w:t>
      </w:r>
      <w:r w:rsidR="00B22AB6" w:rsidRPr="00DF3370">
        <w:rPr>
          <w:rFonts w:ascii="Times New Roman" w:hAnsi="Times New Roman" w:cs="Times New Roman"/>
          <w:b/>
          <w:bCs/>
          <w:sz w:val="26"/>
          <w:szCs w:val="26"/>
        </w:rPr>
        <w:t>Research Scope</w:t>
      </w:r>
    </w:p>
    <w:p w14:paraId="000438DF" w14:textId="1D4F9B1B" w:rsidR="00C366C4" w:rsidRPr="00DF3370" w:rsidRDefault="00C366C4" w:rsidP="00122FB7">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The study only focuses on surveying the relationship between instructors’ digital competence and student feedback and personalized learning. The participants are instructors and students at HIU. The content considers three main variables:</w:t>
      </w:r>
      <w:r w:rsidR="00C87252" w:rsidRPr="00DF3370">
        <w:rPr>
          <w:rFonts w:ascii="Times New Roman" w:hAnsi="Times New Roman" w:cs="Times New Roman"/>
          <w:sz w:val="26"/>
          <w:szCs w:val="26"/>
        </w:rPr>
        <w:t xml:space="preserve"> </w:t>
      </w:r>
      <w:r w:rsidRPr="00DF3370">
        <w:rPr>
          <w:rFonts w:ascii="Times New Roman" w:hAnsi="Times New Roman" w:cs="Times New Roman"/>
          <w:sz w:val="26"/>
          <w:szCs w:val="26"/>
        </w:rPr>
        <w:t>digital competence independent variable, students feedback and personalized learning (dependent variables)</w:t>
      </w:r>
      <w:r w:rsidR="00122FB7" w:rsidRPr="00DF3370">
        <w:rPr>
          <w:rFonts w:ascii="Times New Roman" w:hAnsi="Times New Roman" w:cs="Times New Roman"/>
          <w:sz w:val="26"/>
          <w:szCs w:val="26"/>
        </w:rPr>
        <w:t>, representing educational results affect by instructors’ digital competence.</w:t>
      </w:r>
      <w:r w:rsidR="00C87252" w:rsidRPr="00DF3370">
        <w:rPr>
          <w:rFonts w:ascii="Times New Roman" w:hAnsi="Times New Roman" w:cs="Times New Roman"/>
          <w:sz w:val="26"/>
          <w:szCs w:val="26"/>
        </w:rPr>
        <w:t xml:space="preserve"> The study does not mention other factors, such as learning motivation, learning outcomes, student satisfaction, and institutional issues. </w:t>
      </w:r>
      <w:r w:rsidR="00DA7065" w:rsidRPr="00DF3370">
        <w:rPr>
          <w:rFonts w:ascii="Times New Roman" w:hAnsi="Times New Roman" w:cs="Times New Roman"/>
          <w:sz w:val="26"/>
          <w:szCs w:val="26"/>
        </w:rPr>
        <w:t xml:space="preserve">The research method applied quantitative approach through the survey. Data were collected in the definite </w:t>
      </w:r>
      <w:proofErr w:type="gramStart"/>
      <w:r w:rsidR="00DA7065" w:rsidRPr="00DF3370">
        <w:rPr>
          <w:rFonts w:ascii="Times New Roman" w:hAnsi="Times New Roman" w:cs="Times New Roman"/>
          <w:sz w:val="26"/>
          <w:szCs w:val="26"/>
        </w:rPr>
        <w:t>time, and</w:t>
      </w:r>
      <w:proofErr w:type="gramEnd"/>
      <w:r w:rsidR="00DA7065" w:rsidRPr="00DF3370">
        <w:rPr>
          <w:rFonts w:ascii="Times New Roman" w:hAnsi="Times New Roman" w:cs="Times New Roman"/>
          <w:sz w:val="26"/>
          <w:szCs w:val="26"/>
        </w:rPr>
        <w:t xml:space="preserve"> reflected the participants’ perception at the timepoint of the survey.</w:t>
      </w:r>
    </w:p>
    <w:p w14:paraId="17DDE3B7" w14:textId="0F89C014" w:rsidR="0045044E" w:rsidRPr="00DF3370" w:rsidRDefault="00C777B8" w:rsidP="00532212">
      <w:pPr>
        <w:pStyle w:val="ListParagraph"/>
        <w:numPr>
          <w:ilvl w:val="0"/>
          <w:numId w:val="36"/>
        </w:numPr>
        <w:spacing w:after="120" w:line="288" w:lineRule="auto"/>
        <w:jc w:val="center"/>
        <w:rPr>
          <w:rFonts w:ascii="Times New Roman" w:hAnsi="Times New Roman" w:cs="Times New Roman"/>
          <w:b/>
          <w:bCs/>
          <w:sz w:val="26"/>
          <w:szCs w:val="26"/>
        </w:rPr>
      </w:pPr>
      <w:r w:rsidRPr="00DF3370">
        <w:rPr>
          <w:rFonts w:ascii="Times New Roman" w:hAnsi="Times New Roman" w:cs="Times New Roman"/>
          <w:b/>
          <w:bCs/>
          <w:sz w:val="26"/>
          <w:szCs w:val="26"/>
        </w:rPr>
        <w:t>THEORETICAL FOUNDATION</w:t>
      </w:r>
    </w:p>
    <w:p w14:paraId="5A047177" w14:textId="30031E63" w:rsidR="0045044E" w:rsidRPr="00DF3370" w:rsidRDefault="00532212" w:rsidP="00970062">
      <w:pPr>
        <w:spacing w:after="120" w:line="288" w:lineRule="auto"/>
        <w:jc w:val="center"/>
        <w:rPr>
          <w:rFonts w:ascii="Times New Roman" w:hAnsi="Times New Roman" w:cs="Times New Roman"/>
          <w:b/>
          <w:bCs/>
          <w:sz w:val="26"/>
          <w:szCs w:val="26"/>
        </w:rPr>
      </w:pPr>
      <w:r w:rsidRPr="00DF3370">
        <w:rPr>
          <w:rFonts w:ascii="Times New Roman" w:hAnsi="Times New Roman" w:cs="Times New Roman"/>
          <w:b/>
          <w:bCs/>
          <w:sz w:val="26"/>
          <w:szCs w:val="26"/>
        </w:rPr>
        <w:t xml:space="preserve">2.1 </w:t>
      </w:r>
      <w:r w:rsidR="0045044E" w:rsidRPr="00DF3370">
        <w:rPr>
          <w:rFonts w:ascii="Times New Roman" w:hAnsi="Times New Roman" w:cs="Times New Roman"/>
          <w:b/>
          <w:bCs/>
          <w:sz w:val="26"/>
          <w:szCs w:val="26"/>
        </w:rPr>
        <w:t>The Concept of Instructors’ Digital Competence</w:t>
      </w:r>
    </w:p>
    <w:p w14:paraId="0429880D" w14:textId="3333251F" w:rsidR="00575F24" w:rsidRPr="00DF3370" w:rsidRDefault="001247C1" w:rsidP="00970062">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 xml:space="preserve">In the context of digital transformation in university education, Digital Competence (DC) is a core factor </w:t>
      </w:r>
      <w:r w:rsidR="00DE68E7" w:rsidRPr="00DF3370">
        <w:rPr>
          <w:rFonts w:ascii="Times New Roman" w:hAnsi="Times New Roman" w:cs="Times New Roman"/>
          <w:sz w:val="26"/>
          <w:szCs w:val="26"/>
        </w:rPr>
        <w:t xml:space="preserve">that determines teaching and learning effectiveness. This concept may be defined in various ways depending on the approach. However, most of the authors agree that DC is not only the ability to use technology but also includes cognitive, pedagogical, and social competencies in a digital environment. </w:t>
      </w:r>
      <w:r w:rsidR="0085241F" w:rsidRPr="00DF3370">
        <w:rPr>
          <w:rFonts w:ascii="Times New Roman" w:hAnsi="Times New Roman" w:cs="Times New Roman"/>
          <w:sz w:val="26"/>
          <w:szCs w:val="26"/>
        </w:rPr>
        <w:t xml:space="preserve">It is </w:t>
      </w:r>
      <w:r w:rsidR="00A31BF2" w:rsidRPr="00DF3370">
        <w:rPr>
          <w:rFonts w:ascii="Times New Roman" w:hAnsi="Times New Roman" w:cs="Times New Roman"/>
          <w:sz w:val="26"/>
          <w:szCs w:val="26"/>
        </w:rPr>
        <w:t xml:space="preserve">a </w:t>
      </w:r>
      <w:r w:rsidR="0085241F" w:rsidRPr="00DF3370">
        <w:rPr>
          <w:rFonts w:ascii="Times New Roman" w:hAnsi="Times New Roman" w:cs="Times New Roman"/>
          <w:sz w:val="26"/>
          <w:szCs w:val="26"/>
        </w:rPr>
        <w:t>dimensional concept, including the capability to use technology, digital knowledge, and the ability of technology in various learning contexts</w:t>
      </w:r>
      <w:r w:rsidR="00575F24" w:rsidRPr="00DF3370">
        <w:rPr>
          <w:rFonts w:ascii="Times New Roman" w:hAnsi="Times New Roman" w:cs="Times New Roman"/>
          <w:sz w:val="26"/>
          <w:szCs w:val="26"/>
        </w:rPr>
        <w:t xml:space="preserve"> </w:t>
      </w:r>
      <w:r w:rsidR="00925B08" w:rsidRPr="00DF3370">
        <w:rPr>
          <w:rFonts w:ascii="Times New Roman" w:hAnsi="Times New Roman" w:cs="Times New Roman"/>
          <w:sz w:val="26"/>
          <w:szCs w:val="26"/>
        </w:rPr>
        <w:t>(Ilomäki et al., 2016).</w:t>
      </w:r>
      <w:r w:rsidR="00515763" w:rsidRPr="00DF3370">
        <w:rPr>
          <w:rFonts w:ascii="Times New Roman" w:hAnsi="Times New Roman" w:cs="Times New Roman"/>
          <w:sz w:val="26"/>
          <w:szCs w:val="26"/>
        </w:rPr>
        <w:t xml:space="preserve"> </w:t>
      </w:r>
      <w:r w:rsidR="00575F24" w:rsidRPr="00DF3370">
        <w:rPr>
          <w:rFonts w:ascii="Times New Roman" w:hAnsi="Times New Roman" w:cs="Times New Roman"/>
          <w:sz w:val="26"/>
          <w:szCs w:val="26"/>
        </w:rPr>
        <w:t xml:space="preserve">This shows that DC is integrative, and it can’t be separated </w:t>
      </w:r>
      <w:r w:rsidR="0070766F" w:rsidRPr="00DF3370">
        <w:rPr>
          <w:rFonts w:ascii="Times New Roman" w:hAnsi="Times New Roman" w:cs="Times New Roman"/>
          <w:sz w:val="26"/>
          <w:szCs w:val="26"/>
        </w:rPr>
        <w:t>into</w:t>
      </w:r>
      <w:r w:rsidR="00575F24" w:rsidRPr="00DF3370">
        <w:rPr>
          <w:rFonts w:ascii="Times New Roman" w:hAnsi="Times New Roman" w:cs="Times New Roman"/>
          <w:sz w:val="26"/>
          <w:szCs w:val="26"/>
        </w:rPr>
        <w:t xml:space="preserve"> technology skills and pedagogical competence.</w:t>
      </w:r>
    </w:p>
    <w:p w14:paraId="72575CF0" w14:textId="1339993C" w:rsidR="00925B08" w:rsidRPr="00DF3370" w:rsidRDefault="00515763" w:rsidP="00970062">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 xml:space="preserve">In another study, it is the ability </w:t>
      </w:r>
      <w:r w:rsidR="0070766F" w:rsidRPr="00DF3370">
        <w:rPr>
          <w:rFonts w:ascii="Times New Roman" w:hAnsi="Times New Roman" w:cs="Times New Roman"/>
          <w:sz w:val="26"/>
          <w:szCs w:val="26"/>
        </w:rPr>
        <w:t>to design</w:t>
      </w:r>
      <w:r w:rsidRPr="00DF3370">
        <w:rPr>
          <w:rFonts w:ascii="Times New Roman" w:hAnsi="Times New Roman" w:cs="Times New Roman"/>
          <w:sz w:val="26"/>
          <w:szCs w:val="26"/>
        </w:rPr>
        <w:t xml:space="preserve">, </w:t>
      </w:r>
      <w:r w:rsidR="0070766F" w:rsidRPr="00DF3370">
        <w:rPr>
          <w:rFonts w:ascii="Times New Roman" w:hAnsi="Times New Roman" w:cs="Times New Roman"/>
          <w:sz w:val="26"/>
          <w:szCs w:val="26"/>
        </w:rPr>
        <w:t>implement</w:t>
      </w:r>
      <w:r w:rsidRPr="00DF3370">
        <w:rPr>
          <w:rFonts w:ascii="Times New Roman" w:hAnsi="Times New Roman" w:cs="Times New Roman"/>
          <w:sz w:val="26"/>
          <w:szCs w:val="26"/>
        </w:rPr>
        <w:t xml:space="preserve">, and </w:t>
      </w:r>
      <w:r w:rsidR="0070766F" w:rsidRPr="00DF3370">
        <w:rPr>
          <w:rFonts w:ascii="Times New Roman" w:hAnsi="Times New Roman" w:cs="Times New Roman"/>
          <w:sz w:val="26"/>
          <w:szCs w:val="26"/>
        </w:rPr>
        <w:t>evaluate</w:t>
      </w:r>
      <w:r w:rsidRPr="00DF3370">
        <w:rPr>
          <w:rFonts w:ascii="Times New Roman" w:hAnsi="Times New Roman" w:cs="Times New Roman"/>
          <w:sz w:val="26"/>
          <w:szCs w:val="26"/>
        </w:rPr>
        <w:t xml:space="preserve"> teaching and learning activities</w:t>
      </w:r>
      <w:r w:rsidR="00082FFD" w:rsidRPr="00DF3370">
        <w:rPr>
          <w:rFonts w:ascii="Times New Roman" w:hAnsi="Times New Roman" w:cs="Times New Roman"/>
          <w:sz w:val="26"/>
          <w:szCs w:val="26"/>
        </w:rPr>
        <w:t xml:space="preserve"> in a digital environment. The </w:t>
      </w:r>
      <w:proofErr w:type="spellStart"/>
      <w:r w:rsidR="00082FFD" w:rsidRPr="00DF3370">
        <w:rPr>
          <w:rFonts w:ascii="Times New Roman" w:hAnsi="Times New Roman" w:cs="Times New Roman"/>
          <w:sz w:val="26"/>
          <w:szCs w:val="26"/>
        </w:rPr>
        <w:t>DigCompEdu</w:t>
      </w:r>
      <w:proofErr w:type="spellEnd"/>
      <w:r w:rsidR="00082FFD" w:rsidRPr="00DF3370">
        <w:rPr>
          <w:rFonts w:ascii="Times New Roman" w:hAnsi="Times New Roman" w:cs="Times New Roman"/>
          <w:sz w:val="26"/>
          <w:szCs w:val="26"/>
        </w:rPr>
        <w:t xml:space="preserve"> (Digital Competence Framework for Educators) is an international standardized framework for measuring instructors’ digital </w:t>
      </w:r>
      <w:r w:rsidR="00082FFD" w:rsidRPr="00DF3370">
        <w:rPr>
          <w:rFonts w:ascii="Times New Roman" w:hAnsi="Times New Roman" w:cs="Times New Roman"/>
          <w:sz w:val="26"/>
          <w:szCs w:val="26"/>
        </w:rPr>
        <w:lastRenderedPageBreak/>
        <w:t>competence, including competence dimensions: (1) professional engagement; (2) digital resources; (3) teaching and learning; (4) evaluation; (5) empowering learners; and (6) facilitating learners’ digital competence.</w:t>
      </w:r>
      <w:r w:rsidR="001167A0" w:rsidRPr="00DF3370">
        <w:rPr>
          <w:rFonts w:ascii="Times New Roman" w:hAnsi="Times New Roman" w:cs="Times New Roman"/>
          <w:sz w:val="26"/>
          <w:szCs w:val="26"/>
        </w:rPr>
        <w:t xml:space="preserve"> Especially, it emphasizes the role of instructors in using technology to personalize learning and </w:t>
      </w:r>
      <w:r w:rsidR="0070766F" w:rsidRPr="00DF3370">
        <w:rPr>
          <w:rFonts w:ascii="Times New Roman" w:hAnsi="Times New Roman" w:cs="Times New Roman"/>
          <w:sz w:val="26"/>
          <w:szCs w:val="26"/>
        </w:rPr>
        <w:t>provide</w:t>
      </w:r>
      <w:r w:rsidR="001167A0" w:rsidRPr="00DF3370">
        <w:rPr>
          <w:rFonts w:ascii="Times New Roman" w:hAnsi="Times New Roman" w:cs="Times New Roman"/>
          <w:sz w:val="26"/>
          <w:szCs w:val="26"/>
        </w:rPr>
        <w:t xml:space="preserve"> students with effective feedback (Redecker, 2017). This proves that DC is an essential condition for promoting pedagogical innovation in university education.</w:t>
      </w:r>
      <w:r w:rsidR="000500CD" w:rsidRPr="00DF3370">
        <w:rPr>
          <w:rFonts w:ascii="Times New Roman" w:hAnsi="Times New Roman" w:cs="Times New Roman"/>
          <w:sz w:val="26"/>
          <w:szCs w:val="26"/>
        </w:rPr>
        <w:t xml:space="preserve"> </w:t>
      </w:r>
    </w:p>
    <w:p w14:paraId="0C2A195C" w14:textId="70473345" w:rsidR="00570B2B" w:rsidRPr="00DF3370" w:rsidRDefault="00575F24" w:rsidP="00970062">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Besides</w:t>
      </w:r>
      <w:r w:rsidR="00F90EFD" w:rsidRPr="00DF3370">
        <w:rPr>
          <w:rFonts w:ascii="Times New Roman" w:hAnsi="Times New Roman" w:cs="Times New Roman"/>
          <w:sz w:val="26"/>
          <w:szCs w:val="26"/>
        </w:rPr>
        <w:t xml:space="preserve">, other studies have confirmed that instructors’ DC has a close relationship with the effectiveness of online teaching and student engagement. </w:t>
      </w:r>
      <w:proofErr w:type="spellStart"/>
      <w:r w:rsidR="00F90EFD" w:rsidRPr="00DF3370">
        <w:rPr>
          <w:rFonts w:ascii="Times New Roman" w:hAnsi="Times New Roman" w:cs="Times New Roman"/>
          <w:sz w:val="26"/>
          <w:szCs w:val="26"/>
        </w:rPr>
        <w:t>Instefjord</w:t>
      </w:r>
      <w:proofErr w:type="spellEnd"/>
      <w:r w:rsidR="00F90EFD" w:rsidRPr="00DF3370">
        <w:rPr>
          <w:rFonts w:ascii="Times New Roman" w:hAnsi="Times New Roman" w:cs="Times New Roman"/>
          <w:sz w:val="26"/>
          <w:szCs w:val="26"/>
        </w:rPr>
        <w:t xml:space="preserve"> and Munthe (2017) stated that</w:t>
      </w:r>
      <w:r w:rsidR="00C0458C" w:rsidRPr="00DF3370">
        <w:rPr>
          <w:rFonts w:ascii="Times New Roman" w:hAnsi="Times New Roman" w:cs="Times New Roman"/>
          <w:sz w:val="26"/>
          <w:szCs w:val="26"/>
        </w:rPr>
        <w:t xml:space="preserve"> instructors with high digital competence could integrate technology into teaching flexibly and creatively, thereby improving </w:t>
      </w:r>
      <w:r w:rsidR="007D69E1" w:rsidRPr="00DF3370">
        <w:rPr>
          <w:rFonts w:ascii="Times New Roman" w:hAnsi="Times New Roman" w:cs="Times New Roman"/>
          <w:sz w:val="26"/>
          <w:szCs w:val="26"/>
        </w:rPr>
        <w:t xml:space="preserve">student </w:t>
      </w:r>
      <w:r w:rsidR="00C0458C" w:rsidRPr="00DF3370">
        <w:rPr>
          <w:rFonts w:ascii="Times New Roman" w:hAnsi="Times New Roman" w:cs="Times New Roman"/>
          <w:sz w:val="26"/>
          <w:szCs w:val="26"/>
        </w:rPr>
        <w:t>learning experience</w:t>
      </w:r>
      <w:r w:rsidR="007D69E1" w:rsidRPr="00DF3370">
        <w:rPr>
          <w:rFonts w:ascii="Times New Roman" w:hAnsi="Times New Roman" w:cs="Times New Roman"/>
          <w:sz w:val="26"/>
          <w:szCs w:val="26"/>
        </w:rPr>
        <w:t>.</w:t>
      </w:r>
      <w:r w:rsidR="00F90EFD" w:rsidRPr="00DF3370">
        <w:rPr>
          <w:rFonts w:ascii="Times New Roman" w:hAnsi="Times New Roman" w:cs="Times New Roman"/>
          <w:sz w:val="26"/>
          <w:szCs w:val="26"/>
        </w:rPr>
        <w:t xml:space="preserve"> </w:t>
      </w:r>
      <w:r w:rsidR="007D69E1" w:rsidRPr="00DF3370">
        <w:rPr>
          <w:rFonts w:ascii="Times New Roman" w:hAnsi="Times New Roman" w:cs="Times New Roman"/>
          <w:sz w:val="26"/>
          <w:szCs w:val="26"/>
        </w:rPr>
        <w:t>However, DC is not a static characteristic, but it is a process of ongoing development, affected by factors such as teaching experience, professional training, and institutional environment (</w:t>
      </w:r>
      <w:proofErr w:type="spellStart"/>
      <w:r w:rsidR="007D69E1" w:rsidRPr="00DF3370">
        <w:rPr>
          <w:rFonts w:ascii="Times New Roman" w:hAnsi="Times New Roman" w:cs="Times New Roman"/>
          <w:sz w:val="26"/>
          <w:szCs w:val="26"/>
        </w:rPr>
        <w:t>Tondeur</w:t>
      </w:r>
      <w:proofErr w:type="spellEnd"/>
      <w:r w:rsidR="007D69E1" w:rsidRPr="00DF3370">
        <w:rPr>
          <w:rFonts w:ascii="Times New Roman" w:hAnsi="Times New Roman" w:cs="Times New Roman"/>
          <w:sz w:val="26"/>
          <w:szCs w:val="26"/>
        </w:rPr>
        <w:t xml:space="preserve"> et al., 2017).</w:t>
      </w:r>
      <w:r w:rsidR="00F90EFD" w:rsidRPr="00DF3370">
        <w:rPr>
          <w:rFonts w:ascii="Times New Roman" w:hAnsi="Times New Roman" w:cs="Times New Roman"/>
          <w:sz w:val="26"/>
          <w:szCs w:val="26"/>
        </w:rPr>
        <w:t xml:space="preserve">  </w:t>
      </w:r>
    </w:p>
    <w:p w14:paraId="65142ACE" w14:textId="35086EF7" w:rsidR="004373B5" w:rsidRPr="00DF3370" w:rsidRDefault="00532212" w:rsidP="00970062">
      <w:pPr>
        <w:spacing w:after="120" w:line="288" w:lineRule="auto"/>
        <w:jc w:val="center"/>
        <w:rPr>
          <w:rFonts w:ascii="Times New Roman" w:hAnsi="Times New Roman" w:cs="Times New Roman"/>
          <w:b/>
          <w:bCs/>
          <w:sz w:val="26"/>
          <w:szCs w:val="26"/>
        </w:rPr>
      </w:pPr>
      <w:r w:rsidRPr="00DF3370">
        <w:rPr>
          <w:rFonts w:ascii="Times New Roman" w:hAnsi="Times New Roman" w:cs="Times New Roman"/>
          <w:b/>
          <w:bCs/>
          <w:sz w:val="26"/>
          <w:szCs w:val="26"/>
        </w:rPr>
        <w:t xml:space="preserve">2.2 </w:t>
      </w:r>
      <w:r w:rsidR="000903CD" w:rsidRPr="00DF3370">
        <w:rPr>
          <w:rFonts w:ascii="Times New Roman" w:hAnsi="Times New Roman" w:cs="Times New Roman"/>
          <w:b/>
          <w:bCs/>
          <w:sz w:val="26"/>
          <w:szCs w:val="26"/>
        </w:rPr>
        <w:t>Student Feedback in Digital Learning</w:t>
      </w:r>
    </w:p>
    <w:p w14:paraId="569EFDA3" w14:textId="4ECB86CD" w:rsidR="006418A3" w:rsidRPr="00DF3370" w:rsidRDefault="00746219" w:rsidP="00970062">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 xml:space="preserve">Feedback is one of the most important factors influencing the students’ learning process. </w:t>
      </w:r>
      <w:r w:rsidR="00D90FE9" w:rsidRPr="00DF3370">
        <w:rPr>
          <w:rFonts w:ascii="Times New Roman" w:hAnsi="Times New Roman" w:cs="Times New Roman"/>
          <w:sz w:val="26"/>
          <w:szCs w:val="26"/>
        </w:rPr>
        <w:t xml:space="preserve">Hattie and Timperley (2007) emphasized that feedback could be defined as the information provided to students about their performance to close the gap between the current state and the desired learning goals. </w:t>
      </w:r>
      <w:r w:rsidR="0070766F" w:rsidRPr="00DF3370">
        <w:rPr>
          <w:rFonts w:ascii="Times New Roman" w:hAnsi="Times New Roman" w:cs="Times New Roman"/>
          <w:sz w:val="26"/>
          <w:szCs w:val="26"/>
        </w:rPr>
        <w:t xml:space="preserve">Feedback became very flexible in digital classes with technological support. Online learning platforms enabled instructors to provide immediate feedback and personalize each student's experience. This contributed to learning effectiveness and engagement </w:t>
      </w:r>
      <w:r w:rsidR="004A139F" w:rsidRPr="00DF3370">
        <w:rPr>
          <w:rFonts w:ascii="Times New Roman" w:hAnsi="Times New Roman" w:cs="Times New Roman"/>
          <w:sz w:val="26"/>
          <w:szCs w:val="26"/>
        </w:rPr>
        <w:t>(Nicol &amp; Macfarlane-Dick, 2006).</w:t>
      </w:r>
      <w:r w:rsidR="00DD0193" w:rsidRPr="00DF3370">
        <w:rPr>
          <w:rFonts w:ascii="Times New Roman" w:hAnsi="Times New Roman" w:cs="Times New Roman"/>
          <w:sz w:val="26"/>
          <w:szCs w:val="26"/>
        </w:rPr>
        <w:t xml:space="preserve"> Feedback </w:t>
      </w:r>
      <w:r w:rsidR="00626526" w:rsidRPr="00DF3370">
        <w:rPr>
          <w:rFonts w:ascii="Times New Roman" w:hAnsi="Times New Roman" w:cs="Times New Roman"/>
          <w:sz w:val="26"/>
          <w:szCs w:val="26"/>
        </w:rPr>
        <w:t>could be classified into several types: automated, instructor</w:t>
      </w:r>
      <w:r w:rsidR="00DD0193" w:rsidRPr="00DF3370">
        <w:rPr>
          <w:rFonts w:ascii="Times New Roman" w:hAnsi="Times New Roman" w:cs="Times New Roman"/>
          <w:sz w:val="26"/>
          <w:szCs w:val="26"/>
        </w:rPr>
        <w:t>, and peer feedback.</w:t>
      </w:r>
      <w:r w:rsidR="000F01CF" w:rsidRPr="00DF3370">
        <w:rPr>
          <w:rFonts w:ascii="Times New Roman" w:hAnsi="Times New Roman" w:cs="Times New Roman"/>
          <w:sz w:val="26"/>
          <w:szCs w:val="26"/>
        </w:rPr>
        <w:t xml:space="preserve"> Personalized feedback was the strongest influence on students’ learning outcomes</w:t>
      </w:r>
      <w:r w:rsidR="00626526" w:rsidRPr="00DF3370">
        <w:rPr>
          <w:rFonts w:ascii="Times New Roman" w:hAnsi="Times New Roman" w:cs="Times New Roman"/>
          <w:sz w:val="26"/>
          <w:szCs w:val="26"/>
        </w:rPr>
        <w:t>. Effective feedback was needed to ensure the characteristics</w:t>
      </w:r>
      <w:r w:rsidR="00511555" w:rsidRPr="00DF3370">
        <w:rPr>
          <w:rFonts w:ascii="Times New Roman" w:hAnsi="Times New Roman" w:cs="Times New Roman"/>
          <w:sz w:val="26"/>
          <w:szCs w:val="26"/>
        </w:rPr>
        <w:t xml:space="preserve"> such as timeliness, specificity, guidance-oriented content, and suitability to students’ needs </w:t>
      </w:r>
      <w:r w:rsidR="004A139F" w:rsidRPr="00DF3370">
        <w:rPr>
          <w:rFonts w:ascii="Times New Roman" w:hAnsi="Times New Roman" w:cs="Times New Roman"/>
          <w:sz w:val="26"/>
          <w:szCs w:val="26"/>
        </w:rPr>
        <w:t>(Shute, 2008).</w:t>
      </w:r>
      <w:r w:rsidR="00511555" w:rsidRPr="00DF3370">
        <w:rPr>
          <w:rFonts w:ascii="Times New Roman" w:hAnsi="Times New Roman" w:cs="Times New Roman"/>
          <w:sz w:val="26"/>
          <w:szCs w:val="26"/>
        </w:rPr>
        <w:t xml:space="preserve"> In a digital environment, Artificial Intelligence (AI) c</w:t>
      </w:r>
      <w:r w:rsidR="00876B2F" w:rsidRPr="00DF3370">
        <w:rPr>
          <w:rFonts w:ascii="Times New Roman" w:hAnsi="Times New Roman" w:cs="Times New Roman"/>
          <w:sz w:val="26"/>
          <w:szCs w:val="26"/>
        </w:rPr>
        <w:t>ould</w:t>
      </w:r>
      <w:r w:rsidR="00511555" w:rsidRPr="00DF3370">
        <w:rPr>
          <w:rFonts w:ascii="Times New Roman" w:hAnsi="Times New Roman" w:cs="Times New Roman"/>
          <w:sz w:val="26"/>
          <w:szCs w:val="26"/>
        </w:rPr>
        <w:t xml:space="preserve"> support accurate feedback and fit each student.</w:t>
      </w:r>
      <w:r w:rsidR="006418A3" w:rsidRPr="00DF3370">
        <w:rPr>
          <w:rFonts w:ascii="Times New Roman" w:hAnsi="Times New Roman" w:cs="Times New Roman"/>
          <w:sz w:val="26"/>
          <w:szCs w:val="26"/>
        </w:rPr>
        <w:t xml:space="preserve"> Besides, Carless and Boud (2018) added that it </w:t>
      </w:r>
      <w:r w:rsidR="00876B2F" w:rsidRPr="00DF3370">
        <w:rPr>
          <w:rFonts w:ascii="Times New Roman" w:hAnsi="Times New Roman" w:cs="Times New Roman"/>
          <w:sz w:val="26"/>
          <w:szCs w:val="26"/>
        </w:rPr>
        <w:t>was</w:t>
      </w:r>
      <w:r w:rsidR="006418A3" w:rsidRPr="00DF3370">
        <w:rPr>
          <w:rFonts w:ascii="Times New Roman" w:hAnsi="Times New Roman" w:cs="Times New Roman"/>
          <w:sz w:val="26"/>
          <w:szCs w:val="26"/>
        </w:rPr>
        <w:t xml:space="preserve"> not only a one-way transmission of information, but also an interactive process</w:t>
      </w:r>
      <w:r w:rsidR="00876B2F" w:rsidRPr="00DF3370">
        <w:rPr>
          <w:rFonts w:ascii="Times New Roman" w:hAnsi="Times New Roman" w:cs="Times New Roman"/>
          <w:sz w:val="26"/>
          <w:szCs w:val="26"/>
        </w:rPr>
        <w:t xml:space="preserve">, and students played an active role in receiving and using feedback to improve their learning. It </w:t>
      </w:r>
      <w:r w:rsidR="00DC0B6E" w:rsidRPr="00DF3370">
        <w:rPr>
          <w:rFonts w:ascii="Times New Roman" w:hAnsi="Times New Roman" w:cs="Times New Roman"/>
          <w:sz w:val="26"/>
          <w:szCs w:val="26"/>
        </w:rPr>
        <w:t>was</w:t>
      </w:r>
      <w:r w:rsidR="00876B2F" w:rsidRPr="00DF3370">
        <w:rPr>
          <w:rFonts w:ascii="Times New Roman" w:hAnsi="Times New Roman" w:cs="Times New Roman"/>
          <w:sz w:val="26"/>
          <w:szCs w:val="26"/>
        </w:rPr>
        <w:t xml:space="preserve"> important in digital classes, where students </w:t>
      </w:r>
      <w:r w:rsidR="00DC0B6E" w:rsidRPr="00DF3370">
        <w:rPr>
          <w:rFonts w:ascii="Times New Roman" w:hAnsi="Times New Roman" w:cs="Times New Roman"/>
          <w:sz w:val="26"/>
          <w:szCs w:val="26"/>
        </w:rPr>
        <w:t>were</w:t>
      </w:r>
      <w:r w:rsidR="00876B2F" w:rsidRPr="00DF3370">
        <w:rPr>
          <w:rFonts w:ascii="Times New Roman" w:hAnsi="Times New Roman" w:cs="Times New Roman"/>
          <w:sz w:val="26"/>
          <w:szCs w:val="26"/>
        </w:rPr>
        <w:t xml:space="preserve"> required to have high self-regulation.</w:t>
      </w:r>
      <w:r w:rsidR="00DC0B6E" w:rsidRPr="00DF3370">
        <w:rPr>
          <w:rFonts w:ascii="Times New Roman" w:hAnsi="Times New Roman" w:cs="Times New Roman"/>
          <w:sz w:val="26"/>
          <w:szCs w:val="26"/>
        </w:rPr>
        <w:t xml:space="preserve"> However, providing students with feedback encountered challenges, including instructors’ workload, insufficient digital skills, and limited technology use (Handerson et al.,2019). Therefore, instructors’ DC plays an important role in ensuring feedback quality.</w:t>
      </w:r>
    </w:p>
    <w:p w14:paraId="2A02F541" w14:textId="79BAD2A1" w:rsidR="006418A3" w:rsidRPr="00DF3370" w:rsidRDefault="00532212" w:rsidP="00970062">
      <w:pPr>
        <w:spacing w:after="120" w:line="288" w:lineRule="auto"/>
        <w:jc w:val="center"/>
        <w:rPr>
          <w:rFonts w:ascii="Times New Roman" w:hAnsi="Times New Roman" w:cs="Times New Roman"/>
          <w:b/>
          <w:bCs/>
          <w:sz w:val="26"/>
          <w:szCs w:val="26"/>
        </w:rPr>
      </w:pPr>
      <w:r w:rsidRPr="00DF3370">
        <w:rPr>
          <w:rFonts w:ascii="Times New Roman" w:hAnsi="Times New Roman" w:cs="Times New Roman"/>
          <w:b/>
          <w:bCs/>
          <w:sz w:val="26"/>
          <w:szCs w:val="26"/>
        </w:rPr>
        <w:t xml:space="preserve">2.3 </w:t>
      </w:r>
      <w:r w:rsidR="00126B2D" w:rsidRPr="00DF3370">
        <w:rPr>
          <w:rFonts w:ascii="Times New Roman" w:hAnsi="Times New Roman" w:cs="Times New Roman"/>
          <w:b/>
          <w:bCs/>
          <w:sz w:val="26"/>
          <w:szCs w:val="26"/>
        </w:rPr>
        <w:t>Personalized Learning</w:t>
      </w:r>
    </w:p>
    <w:p w14:paraId="662859A2" w14:textId="67E11B73" w:rsidR="00D62C05" w:rsidRPr="00DF3370" w:rsidRDefault="00BB740B" w:rsidP="00970062">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lastRenderedPageBreak/>
        <w:t>According to Pane et al. (2017)</w:t>
      </w:r>
      <w:r w:rsidR="0016567F" w:rsidRPr="00DF3370">
        <w:rPr>
          <w:rFonts w:ascii="Times New Roman" w:hAnsi="Times New Roman" w:cs="Times New Roman"/>
          <w:sz w:val="26"/>
          <w:szCs w:val="26"/>
        </w:rPr>
        <w:t xml:space="preserve">, </w:t>
      </w:r>
      <w:r w:rsidR="00FC2250" w:rsidRPr="00DF3370">
        <w:rPr>
          <w:rFonts w:ascii="Times New Roman" w:hAnsi="Times New Roman" w:cs="Times New Roman"/>
          <w:sz w:val="26"/>
          <w:szCs w:val="26"/>
        </w:rPr>
        <w:t>P</w:t>
      </w:r>
      <w:r w:rsidR="0016567F" w:rsidRPr="00DF3370">
        <w:rPr>
          <w:rFonts w:ascii="Times New Roman" w:hAnsi="Times New Roman" w:cs="Times New Roman"/>
          <w:sz w:val="26"/>
          <w:szCs w:val="26"/>
        </w:rPr>
        <w:t xml:space="preserve">ersonalized </w:t>
      </w:r>
      <w:r w:rsidR="00FC2250" w:rsidRPr="00DF3370">
        <w:rPr>
          <w:rFonts w:ascii="Times New Roman" w:hAnsi="Times New Roman" w:cs="Times New Roman"/>
          <w:sz w:val="26"/>
          <w:szCs w:val="26"/>
        </w:rPr>
        <w:t>L</w:t>
      </w:r>
      <w:r w:rsidR="0016567F" w:rsidRPr="00DF3370">
        <w:rPr>
          <w:rFonts w:ascii="Times New Roman" w:hAnsi="Times New Roman" w:cs="Times New Roman"/>
          <w:sz w:val="26"/>
          <w:szCs w:val="26"/>
        </w:rPr>
        <w:t>earning</w:t>
      </w:r>
      <w:r w:rsidR="00FC2250" w:rsidRPr="00DF3370">
        <w:rPr>
          <w:rFonts w:ascii="Times New Roman" w:hAnsi="Times New Roman" w:cs="Times New Roman"/>
          <w:sz w:val="26"/>
          <w:szCs w:val="26"/>
        </w:rPr>
        <w:t xml:space="preserve"> (PL)</w:t>
      </w:r>
      <w:r w:rsidR="0016567F" w:rsidRPr="00DF3370">
        <w:rPr>
          <w:rFonts w:ascii="Times New Roman" w:hAnsi="Times New Roman" w:cs="Times New Roman"/>
          <w:sz w:val="26"/>
          <w:szCs w:val="26"/>
        </w:rPr>
        <w:t xml:space="preserve"> is one of the outstanding trends in modern education. It is a content-adjusting method, pace, and learning approach to fit the needs and the capabilities of each student.</w:t>
      </w:r>
      <w:r w:rsidR="00D81E0D" w:rsidRPr="00DF3370">
        <w:rPr>
          <w:rFonts w:ascii="Times New Roman" w:hAnsi="Times New Roman" w:cs="Times New Roman"/>
          <w:sz w:val="26"/>
          <w:szCs w:val="26"/>
        </w:rPr>
        <w:t xml:space="preserve"> Also, it is supported by an adaptive learning system, AI, and data analysis. These tools enable instructors to collect and analyze data about students’ learning behaviors, thereby offering content</w:t>
      </w:r>
      <w:r w:rsidR="003B0326" w:rsidRPr="00DF3370">
        <w:rPr>
          <w:rFonts w:ascii="Times New Roman" w:hAnsi="Times New Roman" w:cs="Times New Roman"/>
          <w:sz w:val="26"/>
          <w:szCs w:val="26"/>
        </w:rPr>
        <w:t xml:space="preserve"> and appropriate learning activities</w:t>
      </w:r>
      <w:r w:rsidR="00AC5B3F" w:rsidRPr="00DF3370">
        <w:rPr>
          <w:rFonts w:ascii="Times New Roman" w:hAnsi="Times New Roman" w:cs="Times New Roman"/>
          <w:sz w:val="26"/>
          <w:szCs w:val="26"/>
        </w:rPr>
        <w:t xml:space="preserve"> </w:t>
      </w:r>
      <w:r w:rsidR="004A139F" w:rsidRPr="00DF3370">
        <w:rPr>
          <w:rFonts w:ascii="Times New Roman" w:hAnsi="Times New Roman" w:cs="Times New Roman"/>
          <w:sz w:val="26"/>
          <w:szCs w:val="26"/>
        </w:rPr>
        <w:t>(Holmes et al., 2019).</w:t>
      </w:r>
      <w:r w:rsidR="0099610D" w:rsidRPr="00DF3370">
        <w:rPr>
          <w:rFonts w:ascii="Times New Roman" w:hAnsi="Times New Roman" w:cs="Times New Roman"/>
          <w:sz w:val="26"/>
          <w:szCs w:val="26"/>
        </w:rPr>
        <w:t xml:space="preserve"> As evidence, Walkington (2013) showed that PL could notably improve students’ learning outcomes, motivation, and engagement. PL content according to students’ preferences could enhance motivation and learning effectiveness. </w:t>
      </w:r>
      <w:r w:rsidR="00F51080" w:rsidRPr="00DF3370">
        <w:rPr>
          <w:rFonts w:ascii="Times New Roman" w:hAnsi="Times New Roman" w:cs="Times New Roman"/>
          <w:sz w:val="26"/>
          <w:szCs w:val="26"/>
        </w:rPr>
        <w:t>In addition, PL contributed to students’ self-study and self-regulation competence, helping them become more proactive and independent learners (Zimmerman, 2002).</w:t>
      </w:r>
      <w:r w:rsidR="00D62C05" w:rsidRPr="00DF3370">
        <w:rPr>
          <w:rFonts w:ascii="Times New Roman" w:hAnsi="Times New Roman" w:cs="Times New Roman"/>
          <w:sz w:val="26"/>
          <w:szCs w:val="26"/>
        </w:rPr>
        <w:t xml:space="preserve"> This is significant for long-life learning. However, PL implementation faces many challenges, such as high technological requirements, data, and instructors’ technological capabilities </w:t>
      </w:r>
      <w:r w:rsidR="004A139F" w:rsidRPr="00DF3370">
        <w:rPr>
          <w:rFonts w:ascii="Times New Roman" w:hAnsi="Times New Roman" w:cs="Times New Roman"/>
          <w:sz w:val="26"/>
          <w:szCs w:val="26"/>
        </w:rPr>
        <w:t>(Holmes et al., 2019).</w:t>
      </w:r>
      <w:r w:rsidR="00D62C05" w:rsidRPr="00DF3370">
        <w:rPr>
          <w:rFonts w:ascii="Times New Roman" w:hAnsi="Times New Roman" w:cs="Times New Roman"/>
          <w:sz w:val="26"/>
          <w:szCs w:val="26"/>
        </w:rPr>
        <w:t xml:space="preserve"> Therefore, their digital competence plays a core role in designing and performing PL activities.</w:t>
      </w:r>
    </w:p>
    <w:p w14:paraId="1F9F63DC" w14:textId="698871A3" w:rsidR="00D62C05" w:rsidRPr="00DF3370" w:rsidRDefault="00532212" w:rsidP="00970062">
      <w:pPr>
        <w:spacing w:after="120" w:line="288" w:lineRule="auto"/>
        <w:jc w:val="center"/>
        <w:rPr>
          <w:rFonts w:ascii="Times New Roman" w:hAnsi="Times New Roman" w:cs="Times New Roman"/>
          <w:b/>
          <w:bCs/>
          <w:sz w:val="26"/>
          <w:szCs w:val="26"/>
        </w:rPr>
      </w:pPr>
      <w:r w:rsidRPr="00DF3370">
        <w:rPr>
          <w:rFonts w:ascii="Times New Roman" w:hAnsi="Times New Roman" w:cs="Times New Roman"/>
          <w:b/>
          <w:bCs/>
          <w:sz w:val="26"/>
          <w:szCs w:val="26"/>
        </w:rPr>
        <w:t xml:space="preserve">2.4 </w:t>
      </w:r>
      <w:r w:rsidR="002E4DEB" w:rsidRPr="00DF3370">
        <w:rPr>
          <w:rFonts w:ascii="Times New Roman" w:hAnsi="Times New Roman" w:cs="Times New Roman"/>
          <w:b/>
          <w:bCs/>
          <w:sz w:val="26"/>
          <w:szCs w:val="26"/>
        </w:rPr>
        <w:t>The Relationship among DC, Feedback, and PL</w:t>
      </w:r>
    </w:p>
    <w:p w14:paraId="6FFFBDE1" w14:textId="4D473244" w:rsidR="008A0C28" w:rsidRPr="00DF3370" w:rsidRDefault="002E4DEB" w:rsidP="00970062">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DC is a foundational factor influencing feedback and PL in university education. Once instructors possess high digital competence, they can use digital tools effectively to provide immediate feedback and design appropriate learning activities with each student. Redecker (2017) confirmed that one of the important elements of digital competence</w:t>
      </w:r>
      <w:r w:rsidR="00A00C42" w:rsidRPr="00DF3370">
        <w:rPr>
          <w:rFonts w:ascii="Times New Roman" w:hAnsi="Times New Roman" w:cs="Times New Roman"/>
          <w:sz w:val="26"/>
          <w:szCs w:val="26"/>
        </w:rPr>
        <w:t xml:space="preserve"> was the capability of using technology to support and evaluate feedback.</w:t>
      </w:r>
      <w:r w:rsidR="00CD43AD" w:rsidRPr="00DF3370">
        <w:rPr>
          <w:rFonts w:ascii="Times New Roman" w:hAnsi="Times New Roman" w:cs="Times New Roman"/>
          <w:sz w:val="26"/>
          <w:szCs w:val="26"/>
        </w:rPr>
        <w:t xml:space="preserve"> This indicated the direct relationship between DC and feedback quality in digital classes.</w:t>
      </w:r>
      <w:r w:rsidR="00160C70" w:rsidRPr="00DF3370">
        <w:rPr>
          <w:rFonts w:ascii="Times New Roman" w:hAnsi="Times New Roman" w:cs="Times New Roman"/>
          <w:sz w:val="26"/>
          <w:szCs w:val="26"/>
        </w:rPr>
        <w:t xml:space="preserve"> Additionally, DC enabled instructors to explore learning data to understand students’ needs and characteristics, thereby designing PL activities </w:t>
      </w:r>
      <w:r w:rsidR="004A139F" w:rsidRPr="00DF3370">
        <w:rPr>
          <w:rFonts w:ascii="Times New Roman" w:hAnsi="Times New Roman" w:cs="Times New Roman"/>
          <w:sz w:val="26"/>
          <w:szCs w:val="26"/>
        </w:rPr>
        <w:t>(Holmes et al., 2019).</w:t>
      </w:r>
      <w:r w:rsidR="00160C70" w:rsidRPr="00DF3370">
        <w:rPr>
          <w:rFonts w:ascii="Times New Roman" w:hAnsi="Times New Roman" w:cs="Times New Roman"/>
          <w:sz w:val="26"/>
          <w:szCs w:val="26"/>
        </w:rPr>
        <w:t xml:space="preserve"> This contributes to enhancing learning outcomes and students’ satisfaction. </w:t>
      </w:r>
      <w:r w:rsidR="00BA467F" w:rsidRPr="00DF3370">
        <w:rPr>
          <w:rFonts w:ascii="Times New Roman" w:hAnsi="Times New Roman" w:cs="Times New Roman"/>
          <w:sz w:val="26"/>
          <w:szCs w:val="26"/>
        </w:rPr>
        <w:t xml:space="preserve">Some empirical studies have argued that </w:t>
      </w:r>
      <w:r w:rsidR="00BF613C" w:rsidRPr="00DF3370">
        <w:rPr>
          <w:rFonts w:ascii="Times New Roman" w:hAnsi="Times New Roman" w:cs="Times New Roman"/>
          <w:sz w:val="26"/>
          <w:szCs w:val="26"/>
        </w:rPr>
        <w:t xml:space="preserve">instructors’ DC positively affects students’ engagement and learning outcomes through improving the quality of feedback and PL </w:t>
      </w:r>
      <w:r w:rsidR="004A139F" w:rsidRPr="00DF3370">
        <w:rPr>
          <w:rFonts w:ascii="Times New Roman" w:hAnsi="Times New Roman" w:cs="Times New Roman"/>
          <w:sz w:val="26"/>
          <w:szCs w:val="26"/>
        </w:rPr>
        <w:t>(</w:t>
      </w:r>
      <w:proofErr w:type="spellStart"/>
      <w:r w:rsidR="004A139F" w:rsidRPr="00DF3370">
        <w:rPr>
          <w:rFonts w:ascii="Times New Roman" w:hAnsi="Times New Roman" w:cs="Times New Roman"/>
          <w:sz w:val="26"/>
          <w:szCs w:val="26"/>
        </w:rPr>
        <w:t>Tondeur</w:t>
      </w:r>
      <w:proofErr w:type="spellEnd"/>
      <w:r w:rsidR="004A139F" w:rsidRPr="00DF3370">
        <w:rPr>
          <w:rFonts w:ascii="Times New Roman" w:hAnsi="Times New Roman" w:cs="Times New Roman"/>
          <w:sz w:val="26"/>
          <w:szCs w:val="26"/>
        </w:rPr>
        <w:t xml:space="preserve"> et al., 2017).</w:t>
      </w:r>
      <w:r w:rsidR="008A0C28" w:rsidRPr="00DF3370">
        <w:rPr>
          <w:rFonts w:ascii="Times New Roman" w:hAnsi="Times New Roman" w:cs="Times New Roman"/>
          <w:sz w:val="26"/>
          <w:szCs w:val="26"/>
        </w:rPr>
        <w:t xml:space="preserve"> However, this relationship is not always direct, but it can be affected by the mediating factors, such as instructors' attitudes toward technology, institutional support, and infrastructure </w:t>
      </w:r>
      <w:r w:rsidR="004A139F" w:rsidRPr="00DF3370">
        <w:rPr>
          <w:rFonts w:ascii="Times New Roman" w:hAnsi="Times New Roman" w:cs="Times New Roman"/>
          <w:sz w:val="26"/>
          <w:szCs w:val="26"/>
        </w:rPr>
        <w:t>(</w:t>
      </w:r>
      <w:proofErr w:type="spellStart"/>
      <w:r w:rsidR="004A139F" w:rsidRPr="00DF3370">
        <w:rPr>
          <w:rFonts w:ascii="Times New Roman" w:hAnsi="Times New Roman" w:cs="Times New Roman"/>
          <w:sz w:val="26"/>
          <w:szCs w:val="26"/>
        </w:rPr>
        <w:t>Instefjord</w:t>
      </w:r>
      <w:proofErr w:type="spellEnd"/>
      <w:r w:rsidR="004A139F" w:rsidRPr="00DF3370">
        <w:rPr>
          <w:rFonts w:ascii="Times New Roman" w:hAnsi="Times New Roman" w:cs="Times New Roman"/>
          <w:sz w:val="26"/>
          <w:szCs w:val="26"/>
        </w:rPr>
        <w:t xml:space="preserve"> &amp; Munthe, 2017).</w:t>
      </w:r>
    </w:p>
    <w:p w14:paraId="4B671644" w14:textId="34ACC3CD" w:rsidR="00F973CB" w:rsidRPr="00DF3370" w:rsidRDefault="00532212" w:rsidP="00970062">
      <w:pPr>
        <w:spacing w:after="120" w:line="288" w:lineRule="auto"/>
        <w:jc w:val="center"/>
        <w:rPr>
          <w:rFonts w:ascii="Times New Roman" w:hAnsi="Times New Roman" w:cs="Times New Roman"/>
          <w:b/>
          <w:bCs/>
          <w:sz w:val="26"/>
          <w:szCs w:val="26"/>
        </w:rPr>
      </w:pPr>
      <w:r w:rsidRPr="00DF3370">
        <w:rPr>
          <w:rFonts w:ascii="Times New Roman" w:hAnsi="Times New Roman" w:cs="Times New Roman"/>
          <w:b/>
          <w:bCs/>
          <w:sz w:val="26"/>
          <w:szCs w:val="26"/>
        </w:rPr>
        <w:t xml:space="preserve">2.5 </w:t>
      </w:r>
      <w:r w:rsidR="00F973CB" w:rsidRPr="00DF3370">
        <w:rPr>
          <w:rFonts w:ascii="Times New Roman" w:hAnsi="Times New Roman" w:cs="Times New Roman"/>
          <w:b/>
          <w:bCs/>
          <w:sz w:val="26"/>
          <w:szCs w:val="26"/>
        </w:rPr>
        <w:t>Research Gap</w:t>
      </w:r>
      <w:r w:rsidR="001F1605" w:rsidRPr="00DF3370">
        <w:rPr>
          <w:rFonts w:ascii="Times New Roman" w:hAnsi="Times New Roman" w:cs="Times New Roman"/>
          <w:b/>
          <w:bCs/>
          <w:sz w:val="26"/>
          <w:szCs w:val="26"/>
        </w:rPr>
        <w:t>s</w:t>
      </w:r>
    </w:p>
    <w:p w14:paraId="753D297F" w14:textId="0195D122" w:rsidR="00B135A0" w:rsidRPr="00DF3370" w:rsidRDefault="00F973CB" w:rsidP="00970062">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Although</w:t>
      </w:r>
      <w:r w:rsidR="001F1605" w:rsidRPr="00DF3370">
        <w:rPr>
          <w:rFonts w:ascii="Times New Roman" w:hAnsi="Times New Roman" w:cs="Times New Roman"/>
          <w:sz w:val="26"/>
          <w:szCs w:val="26"/>
        </w:rPr>
        <w:t xml:space="preserve"> many studies about DC, feedback, and PL have been explored, some notable gaps </w:t>
      </w:r>
      <w:proofErr w:type="gramStart"/>
      <w:r w:rsidR="001F1605" w:rsidRPr="00DF3370">
        <w:rPr>
          <w:rFonts w:ascii="Times New Roman" w:hAnsi="Times New Roman" w:cs="Times New Roman"/>
          <w:sz w:val="26"/>
          <w:szCs w:val="26"/>
        </w:rPr>
        <w:t>still remain</w:t>
      </w:r>
      <w:proofErr w:type="gramEnd"/>
      <w:r w:rsidR="001F1605" w:rsidRPr="00DF3370">
        <w:rPr>
          <w:rFonts w:ascii="Times New Roman" w:hAnsi="Times New Roman" w:cs="Times New Roman"/>
          <w:sz w:val="26"/>
          <w:szCs w:val="26"/>
        </w:rPr>
        <w:t xml:space="preserve">. First, most studies focus on students’ </w:t>
      </w:r>
      <w:r w:rsidR="00B135A0" w:rsidRPr="00DF3370">
        <w:rPr>
          <w:rFonts w:ascii="Times New Roman" w:hAnsi="Times New Roman" w:cs="Times New Roman"/>
          <w:sz w:val="26"/>
          <w:szCs w:val="26"/>
        </w:rPr>
        <w:t>DC</w:t>
      </w:r>
      <w:r w:rsidR="001F1605" w:rsidRPr="00DF3370">
        <w:rPr>
          <w:rFonts w:ascii="Times New Roman" w:hAnsi="Times New Roman" w:cs="Times New Roman"/>
          <w:sz w:val="26"/>
          <w:szCs w:val="26"/>
        </w:rPr>
        <w:t xml:space="preserve"> rather than on instructors’</w:t>
      </w:r>
      <w:r w:rsidR="00B135A0" w:rsidRPr="00DF3370">
        <w:rPr>
          <w:rFonts w:ascii="Times New Roman" w:hAnsi="Times New Roman" w:cs="Times New Roman"/>
          <w:sz w:val="26"/>
          <w:szCs w:val="26"/>
        </w:rPr>
        <w:t>, while the role of instructors is very pivotal (</w:t>
      </w:r>
      <w:proofErr w:type="spellStart"/>
      <w:r w:rsidR="00B135A0" w:rsidRPr="00DF3370">
        <w:rPr>
          <w:rFonts w:ascii="Times New Roman" w:hAnsi="Times New Roman" w:cs="Times New Roman"/>
          <w:sz w:val="26"/>
          <w:szCs w:val="26"/>
        </w:rPr>
        <w:t>Tondeur</w:t>
      </w:r>
      <w:proofErr w:type="spellEnd"/>
      <w:r w:rsidR="00B135A0" w:rsidRPr="00DF3370">
        <w:rPr>
          <w:rFonts w:ascii="Times New Roman" w:hAnsi="Times New Roman" w:cs="Times New Roman"/>
          <w:sz w:val="26"/>
          <w:szCs w:val="26"/>
        </w:rPr>
        <w:t xml:space="preserve"> et al., 2017). Second, the studies have explored the factors in isolation rather than building an integrated model to analyze the relationship </w:t>
      </w:r>
      <w:r w:rsidR="00B135A0" w:rsidRPr="00DF3370">
        <w:rPr>
          <w:rFonts w:ascii="Times New Roman" w:hAnsi="Times New Roman" w:cs="Times New Roman"/>
          <w:sz w:val="26"/>
          <w:szCs w:val="26"/>
        </w:rPr>
        <w:lastRenderedPageBreak/>
        <w:t xml:space="preserve">among DC, feedback, and PL. Finally, the studies are still limited in the Vietnamese </w:t>
      </w:r>
      <w:r w:rsidR="00B94677" w:rsidRPr="00DF3370">
        <w:rPr>
          <w:rFonts w:ascii="Times New Roman" w:hAnsi="Times New Roman" w:cs="Times New Roman"/>
          <w:sz w:val="26"/>
          <w:szCs w:val="26"/>
        </w:rPr>
        <w:t>setting</w:t>
      </w:r>
      <w:r w:rsidR="00B135A0" w:rsidRPr="00DF3370">
        <w:rPr>
          <w:rFonts w:ascii="Times New Roman" w:hAnsi="Times New Roman" w:cs="Times New Roman"/>
          <w:sz w:val="26"/>
          <w:szCs w:val="26"/>
        </w:rPr>
        <w:t>, leading to a lack of</w:t>
      </w:r>
      <w:r w:rsidR="00B94677" w:rsidRPr="00DF3370">
        <w:rPr>
          <w:rFonts w:ascii="Times New Roman" w:hAnsi="Times New Roman" w:cs="Times New Roman"/>
          <w:sz w:val="26"/>
          <w:szCs w:val="26"/>
        </w:rPr>
        <w:t xml:space="preserve"> appropriate empirical evidence for the local context.</w:t>
      </w:r>
      <w:r w:rsidR="00EC1B3C" w:rsidRPr="00DF3370">
        <w:rPr>
          <w:rFonts w:ascii="Times New Roman" w:hAnsi="Times New Roman" w:cs="Times New Roman"/>
          <w:sz w:val="26"/>
          <w:szCs w:val="26"/>
        </w:rPr>
        <w:t xml:space="preserve"> Therefore, this study addresses the gaps by building an integrated model to analyze instructors’ DC affecting student feedback and PL in university education.</w:t>
      </w:r>
    </w:p>
    <w:p w14:paraId="7C66A320" w14:textId="5A96ADCB" w:rsidR="004A6866" w:rsidRPr="00DF3370" w:rsidRDefault="00532212" w:rsidP="004A6866">
      <w:pPr>
        <w:spacing w:after="120" w:line="288" w:lineRule="auto"/>
        <w:jc w:val="center"/>
        <w:rPr>
          <w:rFonts w:ascii="Times New Roman" w:hAnsi="Times New Roman" w:cs="Times New Roman"/>
          <w:b/>
          <w:bCs/>
          <w:sz w:val="26"/>
          <w:szCs w:val="26"/>
        </w:rPr>
      </w:pPr>
      <w:r w:rsidRPr="00DF3370">
        <w:rPr>
          <w:rFonts w:ascii="Times New Roman" w:hAnsi="Times New Roman" w:cs="Times New Roman"/>
          <w:b/>
          <w:bCs/>
          <w:sz w:val="26"/>
          <w:szCs w:val="26"/>
        </w:rPr>
        <w:t xml:space="preserve">2.6 </w:t>
      </w:r>
      <w:r w:rsidR="004A6866" w:rsidRPr="00DF3370">
        <w:rPr>
          <w:rFonts w:ascii="Times New Roman" w:hAnsi="Times New Roman" w:cs="Times New Roman"/>
          <w:b/>
          <w:bCs/>
          <w:sz w:val="26"/>
          <w:szCs w:val="26"/>
        </w:rPr>
        <w:t>Hypotheses</w:t>
      </w:r>
    </w:p>
    <w:p w14:paraId="1D827D08" w14:textId="28E1E7B3" w:rsidR="004A6866" w:rsidRPr="00DF3370" w:rsidRDefault="004A6866" w:rsidP="004A6866">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From the above theoretical basis and research gaps, four research hypotheses were proposed, including three direct effects (H1-H3) and a mediating effect (H4).</w:t>
      </w:r>
    </w:p>
    <w:p w14:paraId="32037020" w14:textId="77777777" w:rsidR="004A6866" w:rsidRPr="00DF3370" w:rsidRDefault="004A6866" w:rsidP="004A6866">
      <w:pPr>
        <w:spacing w:after="120" w:line="288" w:lineRule="auto"/>
        <w:rPr>
          <w:rFonts w:ascii="Times New Roman" w:hAnsi="Times New Roman" w:cs="Times New Roman"/>
          <w:sz w:val="26"/>
          <w:szCs w:val="26"/>
        </w:rPr>
      </w:pPr>
      <w:r w:rsidRPr="00DF3370">
        <w:rPr>
          <w:rFonts w:ascii="Times New Roman" w:hAnsi="Times New Roman" w:cs="Times New Roman"/>
          <w:sz w:val="26"/>
          <w:szCs w:val="26"/>
        </w:rPr>
        <w:t>H1. Instructors’ digital competence has a positive effect on student feedback.</w:t>
      </w:r>
    </w:p>
    <w:p w14:paraId="48F15BC2" w14:textId="77777777" w:rsidR="004A6866" w:rsidRPr="00DF3370" w:rsidRDefault="004A6866" w:rsidP="004A6866">
      <w:pPr>
        <w:spacing w:after="120" w:line="288" w:lineRule="auto"/>
        <w:rPr>
          <w:rFonts w:ascii="Times New Roman" w:hAnsi="Times New Roman" w:cs="Times New Roman"/>
          <w:sz w:val="26"/>
          <w:szCs w:val="26"/>
        </w:rPr>
      </w:pPr>
      <w:r w:rsidRPr="00DF3370">
        <w:rPr>
          <w:rFonts w:ascii="Times New Roman" w:hAnsi="Times New Roman" w:cs="Times New Roman"/>
          <w:sz w:val="26"/>
          <w:szCs w:val="26"/>
        </w:rPr>
        <w:t>H2. Instructors’ digital competence has a positive effect on personalized learning.</w:t>
      </w:r>
    </w:p>
    <w:p w14:paraId="6E59FD09" w14:textId="77777777" w:rsidR="004A6866" w:rsidRPr="00DF3370" w:rsidRDefault="004A6866" w:rsidP="004A6866">
      <w:pPr>
        <w:spacing w:after="120" w:line="288" w:lineRule="auto"/>
        <w:rPr>
          <w:rFonts w:ascii="Times New Roman" w:hAnsi="Times New Roman" w:cs="Times New Roman"/>
          <w:sz w:val="26"/>
          <w:szCs w:val="26"/>
        </w:rPr>
      </w:pPr>
      <w:r w:rsidRPr="00DF3370">
        <w:rPr>
          <w:rFonts w:ascii="Times New Roman" w:hAnsi="Times New Roman" w:cs="Times New Roman"/>
          <w:sz w:val="26"/>
          <w:szCs w:val="26"/>
        </w:rPr>
        <w:t>H3. Student feedback has a positive effect on personalized learning.</w:t>
      </w:r>
    </w:p>
    <w:p w14:paraId="0D4D4120" w14:textId="77777777" w:rsidR="004A6866" w:rsidRPr="00DF3370" w:rsidRDefault="004A6866" w:rsidP="004A6866">
      <w:pPr>
        <w:spacing w:after="120" w:line="288" w:lineRule="auto"/>
        <w:rPr>
          <w:rFonts w:ascii="Times New Roman" w:hAnsi="Times New Roman" w:cs="Times New Roman"/>
          <w:sz w:val="26"/>
          <w:szCs w:val="26"/>
        </w:rPr>
      </w:pPr>
      <w:r w:rsidRPr="00DF3370">
        <w:rPr>
          <w:rFonts w:ascii="Times New Roman" w:hAnsi="Times New Roman" w:cs="Times New Roman"/>
          <w:sz w:val="26"/>
          <w:szCs w:val="26"/>
        </w:rPr>
        <w:t>H4. Student feedback plays a mediating role between digital competence and personalized learning.</w:t>
      </w:r>
    </w:p>
    <w:p w14:paraId="797F1D30" w14:textId="0A8D4919" w:rsidR="00C64C0C" w:rsidRPr="00DF3370" w:rsidRDefault="009340C0" w:rsidP="00532212">
      <w:pPr>
        <w:pStyle w:val="ListParagraph"/>
        <w:numPr>
          <w:ilvl w:val="0"/>
          <w:numId w:val="36"/>
        </w:numPr>
        <w:spacing w:after="120" w:line="288" w:lineRule="auto"/>
        <w:jc w:val="center"/>
        <w:rPr>
          <w:rFonts w:ascii="Times New Roman" w:hAnsi="Times New Roman" w:cs="Times New Roman"/>
          <w:b/>
          <w:bCs/>
          <w:sz w:val="26"/>
          <w:szCs w:val="26"/>
        </w:rPr>
      </w:pPr>
      <w:r w:rsidRPr="00DF3370">
        <w:rPr>
          <w:rFonts w:ascii="Times New Roman" w:hAnsi="Times New Roman" w:cs="Times New Roman"/>
          <w:b/>
          <w:bCs/>
          <w:sz w:val="26"/>
          <w:szCs w:val="26"/>
        </w:rPr>
        <w:t>METHODOLOGY</w:t>
      </w:r>
    </w:p>
    <w:p w14:paraId="197EE949" w14:textId="04DD4E8C" w:rsidR="009340C0" w:rsidRPr="00DF3370" w:rsidRDefault="00532212" w:rsidP="00970062">
      <w:pPr>
        <w:spacing w:after="120" w:line="288" w:lineRule="auto"/>
        <w:jc w:val="center"/>
        <w:rPr>
          <w:rFonts w:ascii="Times New Roman" w:hAnsi="Times New Roman" w:cs="Times New Roman"/>
          <w:b/>
          <w:bCs/>
          <w:sz w:val="26"/>
          <w:szCs w:val="26"/>
        </w:rPr>
      </w:pPr>
      <w:r w:rsidRPr="00DF3370">
        <w:rPr>
          <w:rFonts w:ascii="Times New Roman" w:hAnsi="Times New Roman" w:cs="Times New Roman"/>
          <w:b/>
          <w:bCs/>
          <w:sz w:val="26"/>
          <w:szCs w:val="26"/>
        </w:rPr>
        <w:t xml:space="preserve">3.1 </w:t>
      </w:r>
      <w:r w:rsidR="009340C0" w:rsidRPr="00DF3370">
        <w:rPr>
          <w:rFonts w:ascii="Times New Roman" w:hAnsi="Times New Roman" w:cs="Times New Roman"/>
          <w:b/>
          <w:bCs/>
          <w:sz w:val="26"/>
          <w:szCs w:val="26"/>
        </w:rPr>
        <w:t>Research Design</w:t>
      </w:r>
    </w:p>
    <w:p w14:paraId="3CDDEB73" w14:textId="17A7277F" w:rsidR="009340C0" w:rsidRPr="00DF3370" w:rsidRDefault="009340C0" w:rsidP="00970062">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 xml:space="preserve">This study used a quantitative approach to test hypotheses, involving the influence of instructors’ DC on feedback and PL in university education. The quantitative approach was selected to measure </w:t>
      </w:r>
      <w:r w:rsidR="000A7246" w:rsidRPr="00DF3370">
        <w:rPr>
          <w:rFonts w:ascii="Times New Roman" w:hAnsi="Times New Roman" w:cs="Times New Roman"/>
          <w:sz w:val="26"/>
          <w:szCs w:val="26"/>
        </w:rPr>
        <w:t xml:space="preserve">the research variables as quantitative data and to test causal relationships between variables using statistical techniques </w:t>
      </w:r>
      <w:r w:rsidRPr="00DF3370">
        <w:rPr>
          <w:rFonts w:ascii="Times New Roman" w:hAnsi="Times New Roman" w:cs="Times New Roman"/>
          <w:sz w:val="26"/>
          <w:szCs w:val="26"/>
        </w:rPr>
        <w:t>(Creswell &amp; Creswell, 2018).</w:t>
      </w:r>
      <w:r w:rsidR="000A7246" w:rsidRPr="00DF3370">
        <w:rPr>
          <w:rFonts w:ascii="Times New Roman" w:hAnsi="Times New Roman" w:cs="Times New Roman"/>
          <w:sz w:val="26"/>
          <w:szCs w:val="26"/>
        </w:rPr>
        <w:t xml:space="preserve"> In addition, the explanatory research design was also applied to the study. The data were collected via a questionnaire and analyzed using PLS-SEM. This was quite suitable for the studies whose objectives are to test theoretical models and the relationships between latent variables </w:t>
      </w:r>
      <w:r w:rsidRPr="00DF3370">
        <w:rPr>
          <w:rFonts w:ascii="Times New Roman" w:hAnsi="Times New Roman" w:cs="Times New Roman"/>
          <w:sz w:val="26"/>
          <w:szCs w:val="26"/>
        </w:rPr>
        <w:t>(Hair et al., 2022).</w:t>
      </w:r>
    </w:p>
    <w:p w14:paraId="3AE561D4" w14:textId="1B87D0A8" w:rsidR="009340C0" w:rsidRPr="00DF3370" w:rsidRDefault="00532212" w:rsidP="00970062">
      <w:pPr>
        <w:spacing w:after="120" w:line="288" w:lineRule="auto"/>
        <w:jc w:val="center"/>
        <w:rPr>
          <w:rFonts w:ascii="Times New Roman" w:hAnsi="Times New Roman" w:cs="Times New Roman"/>
          <w:b/>
          <w:bCs/>
          <w:sz w:val="26"/>
          <w:szCs w:val="26"/>
        </w:rPr>
      </w:pPr>
      <w:r w:rsidRPr="00DF3370">
        <w:rPr>
          <w:rFonts w:ascii="Times New Roman" w:hAnsi="Times New Roman" w:cs="Times New Roman"/>
          <w:b/>
          <w:bCs/>
          <w:sz w:val="26"/>
          <w:szCs w:val="26"/>
        </w:rPr>
        <w:t xml:space="preserve">3.2 </w:t>
      </w:r>
      <w:r w:rsidR="009340C0" w:rsidRPr="00DF3370">
        <w:rPr>
          <w:rFonts w:ascii="Times New Roman" w:hAnsi="Times New Roman" w:cs="Times New Roman"/>
          <w:b/>
          <w:bCs/>
          <w:sz w:val="26"/>
          <w:szCs w:val="26"/>
        </w:rPr>
        <w:t xml:space="preserve">Research Model </w:t>
      </w:r>
    </w:p>
    <w:p w14:paraId="41C97371" w14:textId="31836B6F" w:rsidR="003E0BE2" w:rsidRPr="00DF3370" w:rsidRDefault="003D27A0" w:rsidP="00970062">
      <w:pPr>
        <w:spacing w:after="120" w:line="288" w:lineRule="auto"/>
        <w:rPr>
          <w:rFonts w:ascii="Times New Roman" w:hAnsi="Times New Roman" w:cs="Times New Roman"/>
          <w:b/>
          <w:bCs/>
          <w:sz w:val="26"/>
          <w:szCs w:val="26"/>
        </w:rPr>
      </w:pPr>
      <w:r w:rsidRPr="00DF3370">
        <w:rPr>
          <w:rFonts w:ascii="Times New Roman" w:hAnsi="Times New Roman" w:cs="Times New Roman"/>
          <w:sz w:val="26"/>
          <w:szCs w:val="26"/>
        </w:rPr>
        <w:t xml:space="preserve">On the theoretical foundation of </w:t>
      </w:r>
      <w:proofErr w:type="spellStart"/>
      <w:r w:rsidRPr="00DF3370">
        <w:rPr>
          <w:rFonts w:ascii="Times New Roman" w:hAnsi="Times New Roman" w:cs="Times New Roman"/>
          <w:sz w:val="26"/>
          <w:szCs w:val="26"/>
        </w:rPr>
        <w:t>DigCompEdu</w:t>
      </w:r>
      <w:proofErr w:type="spellEnd"/>
      <w:r w:rsidRPr="00DF3370">
        <w:rPr>
          <w:rFonts w:ascii="Times New Roman" w:hAnsi="Times New Roman" w:cs="Times New Roman"/>
          <w:sz w:val="26"/>
          <w:szCs w:val="26"/>
        </w:rPr>
        <w:t xml:space="preserve"> (Redecker, 2017), feedback (Hattie &amp; Timperley, 2007), and personalized learning (Pane et al., 2017), the study proposed a three-variable research model, including instructors’ DC, student feedback, and PL.</w:t>
      </w:r>
    </w:p>
    <w:p w14:paraId="5E30A047" w14:textId="0366C55E" w:rsidR="003D27A0" w:rsidRPr="00DF3370" w:rsidRDefault="003D27A0" w:rsidP="00970062">
      <w:pPr>
        <w:spacing w:after="120" w:line="288" w:lineRule="auto"/>
        <w:rPr>
          <w:rFonts w:ascii="Times New Roman" w:hAnsi="Times New Roman" w:cs="Times New Roman"/>
          <w:b/>
          <w:bCs/>
          <w:sz w:val="26"/>
          <w:szCs w:val="26"/>
        </w:rPr>
      </w:pPr>
      <w:r w:rsidRPr="00DF3370">
        <w:rPr>
          <w:rFonts w:ascii="Times New Roman" w:hAnsi="Times New Roman" w:cs="Times New Roman"/>
          <w:b/>
          <w:bCs/>
          <w:noProof/>
          <w:sz w:val="26"/>
          <w:szCs w:val="26"/>
        </w:rPr>
        <mc:AlternateContent>
          <mc:Choice Requires="wpg">
            <w:drawing>
              <wp:anchor distT="0" distB="0" distL="114300" distR="114300" simplePos="0" relativeHeight="251664384" behindDoc="0" locked="0" layoutInCell="1" allowOverlap="1" wp14:anchorId="61058256" wp14:editId="0C5117D8">
                <wp:simplePos x="0" y="0"/>
                <wp:positionH relativeFrom="column">
                  <wp:posOffset>444500</wp:posOffset>
                </wp:positionH>
                <wp:positionV relativeFrom="paragraph">
                  <wp:posOffset>133985</wp:posOffset>
                </wp:positionV>
                <wp:extent cx="4991100" cy="1733550"/>
                <wp:effectExtent l="0" t="0" r="19050" b="19050"/>
                <wp:wrapNone/>
                <wp:docPr id="1614785012" name="Group 7"/>
                <wp:cNvGraphicFramePr/>
                <a:graphic xmlns:a="http://schemas.openxmlformats.org/drawingml/2006/main">
                  <a:graphicData uri="http://schemas.microsoft.com/office/word/2010/wordprocessingGroup">
                    <wpg:wgp>
                      <wpg:cNvGrpSpPr/>
                      <wpg:grpSpPr>
                        <a:xfrm>
                          <a:off x="0" y="0"/>
                          <a:ext cx="4991100" cy="1733550"/>
                          <a:chOff x="-1093343" y="215900"/>
                          <a:chExt cx="5508769" cy="1733550"/>
                        </a:xfrm>
                      </wpg:grpSpPr>
                      <wps:wsp>
                        <wps:cNvPr id="402540602" name="Rectangle 2"/>
                        <wps:cNvSpPr/>
                        <wps:spPr>
                          <a:xfrm>
                            <a:off x="-1093343" y="749300"/>
                            <a:ext cx="2160145" cy="387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460AB65" w14:textId="77777777" w:rsidR="003D27A0" w:rsidRPr="001C241D" w:rsidRDefault="003D27A0" w:rsidP="003D27A0">
                              <w:pPr>
                                <w:jc w:val="center"/>
                                <w:rPr>
                                  <w:rFonts w:ascii="Times New Roman" w:hAnsi="Times New Roman" w:cs="Times New Roman"/>
                                </w:rPr>
                              </w:pPr>
                              <w:r w:rsidRPr="001C241D">
                                <w:rPr>
                                  <w:rFonts w:ascii="Times New Roman" w:hAnsi="Times New Roman" w:cs="Times New Roman"/>
                                </w:rPr>
                                <w:t>Digital Competence (</w:t>
                              </w:r>
                              <w:r w:rsidRPr="001C241D">
                                <w:rPr>
                                  <w:rFonts w:ascii="Times New Roman" w:hAnsi="Times New Roman" w:cs="Times New Roman"/>
                                  <w:b/>
                                  <w:bCs/>
                                </w:rPr>
                                <w:t>DC</w:t>
                              </w:r>
                              <w:r w:rsidRPr="001C241D">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8598546" name="Rectangle 2"/>
                        <wps:cNvSpPr/>
                        <wps:spPr>
                          <a:xfrm>
                            <a:off x="2247899" y="215900"/>
                            <a:ext cx="2146500" cy="311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2E041E" w14:textId="77777777" w:rsidR="003D27A0" w:rsidRPr="001C241D" w:rsidRDefault="003D27A0" w:rsidP="003D27A0">
                              <w:pPr>
                                <w:jc w:val="center"/>
                                <w:rPr>
                                  <w:rFonts w:ascii="Times New Roman" w:hAnsi="Times New Roman" w:cs="Times New Roman"/>
                                </w:rPr>
                              </w:pPr>
                              <w:r w:rsidRPr="001C241D">
                                <w:rPr>
                                  <w:rFonts w:ascii="Times New Roman" w:hAnsi="Times New Roman" w:cs="Times New Roman"/>
                                </w:rPr>
                                <w:t>Student Feedback (</w:t>
                              </w:r>
                              <w:r w:rsidRPr="001C241D">
                                <w:rPr>
                                  <w:rFonts w:ascii="Times New Roman" w:hAnsi="Times New Roman" w:cs="Times New Roman"/>
                                  <w:b/>
                                  <w:bCs/>
                                </w:rPr>
                                <w:t>SF</w:t>
                              </w:r>
                              <w:r w:rsidRPr="001C241D">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806551" name="Rectangle 2"/>
                        <wps:cNvSpPr/>
                        <wps:spPr>
                          <a:xfrm>
                            <a:off x="2285651" y="1657350"/>
                            <a:ext cx="2129775" cy="292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9C19E2" w14:textId="77777777" w:rsidR="003D27A0" w:rsidRPr="001C241D" w:rsidRDefault="003D27A0" w:rsidP="003D27A0">
                              <w:pPr>
                                <w:jc w:val="center"/>
                                <w:rPr>
                                  <w:rFonts w:ascii="Times New Roman" w:hAnsi="Times New Roman" w:cs="Times New Roman"/>
                                </w:rPr>
                              </w:pPr>
                              <w:r w:rsidRPr="001C241D">
                                <w:rPr>
                                  <w:rFonts w:ascii="Times New Roman" w:hAnsi="Times New Roman" w:cs="Times New Roman"/>
                                </w:rPr>
                                <w:t>Personalized Learning (</w:t>
                              </w:r>
                              <w:r w:rsidRPr="001C241D">
                                <w:rPr>
                                  <w:rFonts w:ascii="Times New Roman" w:hAnsi="Times New Roman" w:cs="Times New Roman"/>
                                  <w:b/>
                                  <w:bCs/>
                                </w:rPr>
                                <w:t>PL</w:t>
                              </w:r>
                              <w:r w:rsidRPr="001C241D">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012317" name="Straight Arrow Connector 4"/>
                        <wps:cNvCnPr>
                          <a:endCxn id="1698598546" idx="1"/>
                        </wps:cNvCnPr>
                        <wps:spPr>
                          <a:xfrm flipV="1">
                            <a:off x="1066800" y="371475"/>
                            <a:ext cx="1181099" cy="587375"/>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wps:wsp>
                        <wps:cNvPr id="1543689370" name="Straight Arrow Connector 5"/>
                        <wps:cNvCnPr/>
                        <wps:spPr>
                          <a:xfrm>
                            <a:off x="1060450" y="952500"/>
                            <a:ext cx="1206500" cy="8509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wps:wsp>
                        <wps:cNvPr id="1670925210" name="Straight Arrow Connector 6"/>
                        <wps:cNvCnPr>
                          <a:endCxn id="596806551" idx="0"/>
                        </wps:cNvCnPr>
                        <wps:spPr>
                          <a:xfrm>
                            <a:off x="3348762" y="539750"/>
                            <a:ext cx="1777" cy="11176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1058256" id="Group 7" o:spid="_x0000_s1026" style="position:absolute;margin-left:35pt;margin-top:10.55pt;width:393pt;height:136.5pt;z-index:251664384;mso-width-relative:margin;mso-height-relative:margin" coordorigin="-10933,2159" coordsize="55087,1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">
                <v:rect id="Rectangle 2" o:spid="_x0000_s1027" style="position:absolute;left:-10933;top:7493;width:21601;height:3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" fillcolor="white [3201]" strokecolor="#4ea72e [3209]" strokeweight="1pt">
                  <v:textbox>
                    <w:txbxContent>
                      <w:p w14:paraId="4460AB65" w14:textId="77777777" w:rsidR="003D27A0" w:rsidRPr="001C241D" w:rsidRDefault="003D27A0" w:rsidP="003D27A0">
                        <w:pPr>
                          <w:jc w:val="center"/>
                          <w:rPr>
                            <w:rFonts w:ascii="Times New Roman" w:hAnsi="Times New Roman" w:cs="Times New Roman"/>
                          </w:rPr>
                        </w:pPr>
                        <w:r w:rsidRPr="001C241D">
                          <w:rPr>
                            <w:rFonts w:ascii="Times New Roman" w:hAnsi="Times New Roman" w:cs="Times New Roman"/>
                          </w:rPr>
                          <w:t>Digital Competence (</w:t>
                        </w:r>
                        <w:r w:rsidRPr="001C241D">
                          <w:rPr>
                            <w:rFonts w:ascii="Times New Roman" w:hAnsi="Times New Roman" w:cs="Times New Roman"/>
                            <w:b/>
                            <w:bCs/>
                          </w:rPr>
                          <w:t>DC</w:t>
                        </w:r>
                        <w:r w:rsidRPr="001C241D">
                          <w:rPr>
                            <w:rFonts w:ascii="Times New Roman" w:hAnsi="Times New Roman" w:cs="Times New Roman"/>
                          </w:rPr>
                          <w:t xml:space="preserve">) </w:t>
                        </w:r>
                      </w:p>
                    </w:txbxContent>
                  </v:textbox>
                </v:rect>
                <v:rect id="Rectangle 2" o:spid="_x0000_s1028" style="position:absolute;left:22478;top:2159;width:21465;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" fillcolor="white [3201]" strokecolor="#4ea72e [3209]" strokeweight="1pt">
                  <v:textbox>
                    <w:txbxContent>
                      <w:p w14:paraId="142E041E" w14:textId="77777777" w:rsidR="003D27A0" w:rsidRPr="001C241D" w:rsidRDefault="003D27A0" w:rsidP="003D27A0">
                        <w:pPr>
                          <w:jc w:val="center"/>
                          <w:rPr>
                            <w:rFonts w:ascii="Times New Roman" w:hAnsi="Times New Roman" w:cs="Times New Roman"/>
                          </w:rPr>
                        </w:pPr>
                        <w:r w:rsidRPr="001C241D">
                          <w:rPr>
                            <w:rFonts w:ascii="Times New Roman" w:hAnsi="Times New Roman" w:cs="Times New Roman"/>
                          </w:rPr>
                          <w:t>Student Feedback (</w:t>
                        </w:r>
                        <w:r w:rsidRPr="001C241D">
                          <w:rPr>
                            <w:rFonts w:ascii="Times New Roman" w:hAnsi="Times New Roman" w:cs="Times New Roman"/>
                            <w:b/>
                            <w:bCs/>
                          </w:rPr>
                          <w:t>SF</w:t>
                        </w:r>
                        <w:r w:rsidRPr="001C241D">
                          <w:rPr>
                            <w:rFonts w:ascii="Times New Roman" w:hAnsi="Times New Roman" w:cs="Times New Roman"/>
                          </w:rPr>
                          <w:t xml:space="preserve">) </w:t>
                        </w:r>
                      </w:p>
                    </w:txbxContent>
                  </v:textbox>
                </v:rect>
                <v:rect id="Rectangle 2" o:spid="_x0000_s1029" style="position:absolute;left:22856;top:16573;width:21298;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" fillcolor="white [3201]" strokecolor="#4ea72e [3209]" strokeweight="1pt">
                  <v:textbox>
                    <w:txbxContent>
                      <w:p w14:paraId="4B9C19E2" w14:textId="77777777" w:rsidR="003D27A0" w:rsidRPr="001C241D" w:rsidRDefault="003D27A0" w:rsidP="003D27A0">
                        <w:pPr>
                          <w:jc w:val="center"/>
                          <w:rPr>
                            <w:rFonts w:ascii="Times New Roman" w:hAnsi="Times New Roman" w:cs="Times New Roman"/>
                          </w:rPr>
                        </w:pPr>
                        <w:r w:rsidRPr="001C241D">
                          <w:rPr>
                            <w:rFonts w:ascii="Times New Roman" w:hAnsi="Times New Roman" w:cs="Times New Roman"/>
                          </w:rPr>
                          <w:t>Personalized Learning (</w:t>
                        </w:r>
                        <w:r w:rsidRPr="001C241D">
                          <w:rPr>
                            <w:rFonts w:ascii="Times New Roman" w:hAnsi="Times New Roman" w:cs="Times New Roman"/>
                            <w:b/>
                            <w:bCs/>
                          </w:rPr>
                          <w:t>PL</w:t>
                        </w:r>
                        <w:r w:rsidRPr="001C241D">
                          <w:rPr>
                            <w:rFonts w:ascii="Times New Roman" w:hAnsi="Times New Roman" w:cs="Times New Roman"/>
                          </w:rPr>
                          <w:t xml:space="preserve">) </w:t>
                        </w:r>
                      </w:p>
                    </w:txbxContent>
                  </v:textbox>
                </v:rect>
                <v:shapetype id="_x0000_t32" coordsize="21600,21600" o:spt="32" o:oned="t" path="m,l21600,21600e" filled="f">
                  <v:path arrowok="t" fillok="f" o:connecttype="none"/>
                  <o:lock v:ext="edit" shapetype="t"/>
                </v:shapetype>
                <v:shape id="Straight Arrow Connector 4" o:spid="_x0000_s1030" type="#_x0000_t32" style="position:absolute;left:10668;top:3714;width:11810;height:58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" strokecolor="#e97132 [3205]" strokeweight="1.5pt">
                  <v:stroke endarrow="block" joinstyle="miter"/>
                </v:shape>
                <v:shape id="Straight Arrow Connector 5" o:spid="_x0000_s1031" type="#_x0000_t32" style="position:absolute;left:10604;top:9525;width:12065;height:85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" strokecolor="#e97132 [3205]" strokeweight="1.5pt">
                  <v:stroke endarrow="block" joinstyle="miter"/>
                </v:shape>
                <v:shape id="Straight Arrow Connector 6" o:spid="_x0000_s1032" type="#_x0000_t32" style="position:absolute;left:33487;top:5397;width:18;height:111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" strokecolor="#e97132 [3205]" strokeweight="1.5pt">
                  <v:stroke endarrow="block" joinstyle="miter"/>
                </v:shape>
              </v:group>
            </w:pict>
          </mc:Fallback>
        </mc:AlternateContent>
      </w:r>
    </w:p>
    <w:p w14:paraId="217B896F" w14:textId="4F8EAE1C" w:rsidR="003D27A0" w:rsidRPr="00DF3370" w:rsidRDefault="003D27A0" w:rsidP="00970062">
      <w:pPr>
        <w:spacing w:after="120" w:line="288" w:lineRule="auto"/>
        <w:rPr>
          <w:rFonts w:ascii="Times New Roman" w:hAnsi="Times New Roman" w:cs="Times New Roman"/>
          <w:b/>
          <w:bCs/>
          <w:sz w:val="26"/>
          <w:szCs w:val="26"/>
        </w:rPr>
      </w:pPr>
    </w:p>
    <w:p w14:paraId="1B5436FA" w14:textId="7B07934E" w:rsidR="003D27A0" w:rsidRPr="00DF3370" w:rsidRDefault="003D27A0" w:rsidP="00970062">
      <w:pPr>
        <w:spacing w:after="120" w:line="288" w:lineRule="auto"/>
        <w:rPr>
          <w:rFonts w:ascii="Times New Roman" w:hAnsi="Times New Roman" w:cs="Times New Roman"/>
          <w:b/>
          <w:bCs/>
          <w:sz w:val="26"/>
          <w:szCs w:val="26"/>
        </w:rPr>
      </w:pPr>
    </w:p>
    <w:p w14:paraId="08CDCB86" w14:textId="4BA35F52" w:rsidR="003D27A0" w:rsidRPr="00DF3370" w:rsidRDefault="003D27A0" w:rsidP="00970062">
      <w:pPr>
        <w:spacing w:after="120" w:line="288" w:lineRule="auto"/>
        <w:rPr>
          <w:rFonts w:ascii="Times New Roman" w:hAnsi="Times New Roman" w:cs="Times New Roman"/>
          <w:b/>
          <w:bCs/>
          <w:sz w:val="26"/>
          <w:szCs w:val="26"/>
        </w:rPr>
      </w:pPr>
    </w:p>
    <w:p w14:paraId="65197AA2" w14:textId="77777777" w:rsidR="004A6866" w:rsidRPr="00DF3370" w:rsidRDefault="003D27A0" w:rsidP="004A6866">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lastRenderedPageBreak/>
        <w:t>The proposed research model indicates that instructors’ digital competence serves as a foundation for improving the quality of feedback and supporting personalized learning. For example, instructors with high digital competence can use technology to provide in-time and appropriate feedback to help students to self-regulate the learning process according to individual needs. At the same time, DC has a direct effect on implementing PL activities without feedback. Besides, students’ feedback is also an important mediating mechanism to transform instructors’ DC into PL experience. This is quite appropriate with the previous studies, proving that effective feedback is the core factor for improving learning outcomes and student engagement</w:t>
      </w:r>
      <w:r w:rsidR="00E063F8" w:rsidRPr="00DF3370">
        <w:rPr>
          <w:rFonts w:ascii="Times New Roman" w:hAnsi="Times New Roman" w:cs="Times New Roman"/>
          <w:sz w:val="26"/>
          <w:szCs w:val="26"/>
        </w:rPr>
        <w:t xml:space="preserve">, and instructors’ DC can foster interactive quality and technical support </w:t>
      </w:r>
      <w:r w:rsidRPr="00DF3370">
        <w:rPr>
          <w:rFonts w:ascii="Times New Roman" w:hAnsi="Times New Roman" w:cs="Times New Roman"/>
          <w:sz w:val="26"/>
          <w:szCs w:val="26"/>
        </w:rPr>
        <w:t>(</w:t>
      </w:r>
      <w:proofErr w:type="spellStart"/>
      <w:r w:rsidRPr="00DF3370">
        <w:rPr>
          <w:rFonts w:ascii="Times New Roman" w:hAnsi="Times New Roman" w:cs="Times New Roman"/>
          <w:sz w:val="26"/>
          <w:szCs w:val="26"/>
        </w:rPr>
        <w:t>Tondeur</w:t>
      </w:r>
      <w:proofErr w:type="spellEnd"/>
      <w:r w:rsidRPr="00DF3370">
        <w:rPr>
          <w:rFonts w:ascii="Times New Roman" w:hAnsi="Times New Roman" w:cs="Times New Roman"/>
          <w:sz w:val="26"/>
          <w:szCs w:val="26"/>
        </w:rPr>
        <w:t xml:space="preserve"> et al., 2017).</w:t>
      </w:r>
      <w:r w:rsidR="00970062" w:rsidRPr="00DF3370">
        <w:rPr>
          <w:rFonts w:ascii="Times New Roman" w:hAnsi="Times New Roman" w:cs="Times New Roman"/>
          <w:sz w:val="26"/>
          <w:szCs w:val="26"/>
        </w:rPr>
        <w:t xml:space="preserve"> </w:t>
      </w:r>
    </w:p>
    <w:p w14:paraId="50FA74DD" w14:textId="4578AEC4" w:rsidR="009340C0" w:rsidRPr="00DF3370" w:rsidRDefault="00532212" w:rsidP="004A6866">
      <w:pPr>
        <w:spacing w:after="120" w:line="288" w:lineRule="auto"/>
        <w:jc w:val="center"/>
        <w:rPr>
          <w:rFonts w:ascii="Times New Roman" w:hAnsi="Times New Roman" w:cs="Times New Roman"/>
          <w:b/>
          <w:bCs/>
          <w:sz w:val="26"/>
          <w:szCs w:val="26"/>
        </w:rPr>
      </w:pPr>
      <w:r w:rsidRPr="00DF3370">
        <w:rPr>
          <w:rFonts w:ascii="Times New Roman" w:hAnsi="Times New Roman" w:cs="Times New Roman"/>
          <w:b/>
          <w:bCs/>
          <w:sz w:val="26"/>
          <w:szCs w:val="26"/>
        </w:rPr>
        <w:t xml:space="preserve">3.3 </w:t>
      </w:r>
      <w:r w:rsidR="009340C0" w:rsidRPr="00DF3370">
        <w:rPr>
          <w:rFonts w:ascii="Times New Roman" w:hAnsi="Times New Roman" w:cs="Times New Roman"/>
          <w:b/>
          <w:bCs/>
          <w:sz w:val="26"/>
          <w:szCs w:val="26"/>
        </w:rPr>
        <w:t>Subjects and Sampling Size</w:t>
      </w:r>
    </w:p>
    <w:p w14:paraId="5A9AC63B" w14:textId="0BB1EC4D" w:rsidR="003B4255" w:rsidRPr="00DF3370" w:rsidRDefault="000104FD" w:rsidP="00970062">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The survey participants were students</w:t>
      </w:r>
      <w:r w:rsidR="001D2A75" w:rsidRPr="00DF3370">
        <w:rPr>
          <w:rFonts w:ascii="Times New Roman" w:hAnsi="Times New Roman" w:cs="Times New Roman"/>
          <w:sz w:val="26"/>
          <w:szCs w:val="26"/>
        </w:rPr>
        <w:t xml:space="preserve"> at Hong Bang International University (HIU)</w:t>
      </w:r>
      <w:r w:rsidRPr="00DF3370">
        <w:rPr>
          <w:rFonts w:ascii="Times New Roman" w:hAnsi="Times New Roman" w:cs="Times New Roman"/>
          <w:sz w:val="26"/>
          <w:szCs w:val="26"/>
        </w:rPr>
        <w:t xml:space="preserve">, enrolling in technology-enhanced courses, including online learning and blended learning. The reasons for selecting this subject were that they directly experienced instructors’ DC, received feedback, and engaged in PL activities. Therefore, this was a source of appropriate data </w:t>
      </w:r>
      <w:r w:rsidR="003B4255" w:rsidRPr="00DF3370">
        <w:rPr>
          <w:rFonts w:ascii="Times New Roman" w:hAnsi="Times New Roman" w:cs="Times New Roman"/>
          <w:sz w:val="26"/>
          <w:szCs w:val="26"/>
        </w:rPr>
        <w:t xml:space="preserve">to evaluate perceived variables </w:t>
      </w:r>
      <w:r w:rsidRPr="00DF3370">
        <w:rPr>
          <w:rFonts w:ascii="Times New Roman" w:hAnsi="Times New Roman" w:cs="Times New Roman"/>
          <w:sz w:val="26"/>
          <w:szCs w:val="26"/>
        </w:rPr>
        <w:t xml:space="preserve">(Hattie &amp; Timperley, 2007). </w:t>
      </w:r>
      <w:r w:rsidR="003B4255" w:rsidRPr="00DF3370">
        <w:rPr>
          <w:rFonts w:ascii="Times New Roman" w:hAnsi="Times New Roman" w:cs="Times New Roman"/>
          <w:sz w:val="26"/>
          <w:szCs w:val="26"/>
        </w:rPr>
        <w:t>The sampling selection is convenient to ensure the feasibility of data collection.</w:t>
      </w:r>
      <w:r w:rsidR="00E55349" w:rsidRPr="00DF3370">
        <w:rPr>
          <w:rFonts w:ascii="Times New Roman" w:hAnsi="Times New Roman" w:cs="Times New Roman"/>
          <w:sz w:val="26"/>
          <w:szCs w:val="26"/>
        </w:rPr>
        <w:t xml:space="preserve"> According to Hair et al. (2022), for the PLS-SEM model, the minimum sample size ranged from 150</w:t>
      </w:r>
      <w:r w:rsidR="008A7883" w:rsidRPr="00DF3370">
        <w:rPr>
          <w:rFonts w:ascii="Times New Roman" w:hAnsi="Times New Roman" w:cs="Times New Roman"/>
          <w:sz w:val="26"/>
          <w:szCs w:val="26"/>
        </w:rPr>
        <w:t xml:space="preserve"> to </w:t>
      </w:r>
      <w:r w:rsidR="00E55349" w:rsidRPr="00DF3370">
        <w:rPr>
          <w:rFonts w:ascii="Times New Roman" w:hAnsi="Times New Roman" w:cs="Times New Roman"/>
          <w:sz w:val="26"/>
          <w:szCs w:val="26"/>
        </w:rPr>
        <w:t>200 observations</w:t>
      </w:r>
      <w:r w:rsidR="008A7883" w:rsidRPr="00DF3370">
        <w:rPr>
          <w:rFonts w:ascii="Times New Roman" w:hAnsi="Times New Roman" w:cs="Times New Roman"/>
          <w:sz w:val="26"/>
          <w:szCs w:val="26"/>
        </w:rPr>
        <w:t xml:space="preserve">, increasing reliability. However, the study collected </w:t>
      </w:r>
      <w:r w:rsidR="00AE5AE3" w:rsidRPr="00DF3370">
        <w:rPr>
          <w:rFonts w:ascii="Times New Roman" w:hAnsi="Times New Roman" w:cs="Times New Roman"/>
          <w:sz w:val="26"/>
          <w:szCs w:val="26"/>
        </w:rPr>
        <w:t>246</w:t>
      </w:r>
      <w:r w:rsidR="008A7883" w:rsidRPr="00DF3370">
        <w:rPr>
          <w:rFonts w:ascii="Times New Roman" w:hAnsi="Times New Roman" w:cs="Times New Roman"/>
          <w:sz w:val="26"/>
          <w:szCs w:val="26"/>
        </w:rPr>
        <w:t xml:space="preserve"> samples to ensure validation.</w:t>
      </w:r>
    </w:p>
    <w:p w14:paraId="5C3EE79F" w14:textId="1A42E9C4" w:rsidR="009340C0" w:rsidRPr="00DF3370" w:rsidRDefault="00532212" w:rsidP="00970062">
      <w:pPr>
        <w:spacing w:after="120" w:line="288" w:lineRule="auto"/>
        <w:jc w:val="center"/>
        <w:rPr>
          <w:rFonts w:ascii="Times New Roman" w:hAnsi="Times New Roman" w:cs="Times New Roman"/>
          <w:b/>
          <w:bCs/>
          <w:sz w:val="26"/>
          <w:szCs w:val="26"/>
        </w:rPr>
      </w:pPr>
      <w:r w:rsidRPr="00DF3370">
        <w:rPr>
          <w:rFonts w:ascii="Times New Roman" w:hAnsi="Times New Roman" w:cs="Times New Roman"/>
          <w:b/>
          <w:bCs/>
          <w:sz w:val="26"/>
          <w:szCs w:val="26"/>
        </w:rPr>
        <w:t xml:space="preserve">3.4 </w:t>
      </w:r>
      <w:r w:rsidR="009340C0" w:rsidRPr="00DF3370">
        <w:rPr>
          <w:rFonts w:ascii="Times New Roman" w:hAnsi="Times New Roman" w:cs="Times New Roman"/>
          <w:b/>
          <w:bCs/>
          <w:sz w:val="26"/>
          <w:szCs w:val="26"/>
        </w:rPr>
        <w:t>Data Collection Instruments</w:t>
      </w:r>
    </w:p>
    <w:p w14:paraId="779BBB05" w14:textId="6F25588E" w:rsidR="006B206D" w:rsidRPr="00DF3370" w:rsidRDefault="006B206D" w:rsidP="00970062">
      <w:pPr>
        <w:spacing w:after="120" w:line="288" w:lineRule="auto"/>
        <w:jc w:val="both"/>
        <w:rPr>
          <w:rFonts w:ascii="Times New Roman" w:hAnsi="Times New Roman" w:cs="Times New Roman"/>
        </w:rPr>
      </w:pPr>
      <w:r w:rsidRPr="00DF3370">
        <w:rPr>
          <w:rFonts w:ascii="Times New Roman" w:hAnsi="Times New Roman" w:cs="Times New Roman"/>
          <w:sz w:val="26"/>
          <w:szCs w:val="26"/>
        </w:rPr>
        <w:t xml:space="preserve">The data were collected through the questionnaire using a 5-point Likert scale, ranging from </w:t>
      </w:r>
      <w:r w:rsidR="00173204" w:rsidRPr="00DF3370">
        <w:rPr>
          <w:rFonts w:ascii="Times New Roman" w:hAnsi="Times New Roman" w:cs="Times New Roman"/>
          <w:lang w:val="en"/>
        </w:rPr>
        <w:t xml:space="preserve">levels: </w:t>
      </w:r>
      <w:r w:rsidR="00173204" w:rsidRPr="00DF3370">
        <w:rPr>
          <w:rFonts w:ascii="Times New Roman" w:hAnsi="Times New Roman" w:cs="Times New Roman"/>
        </w:rPr>
        <w:t>1 = Strongly disagree, 2 = Disagree, 3 = Neutral, 4 = Agree, 5 = Strongly agree</w:t>
      </w:r>
      <w:r w:rsidRPr="00DF3370">
        <w:rPr>
          <w:rFonts w:ascii="Times New Roman" w:hAnsi="Times New Roman" w:cs="Times New Roman"/>
          <w:sz w:val="26"/>
          <w:szCs w:val="26"/>
        </w:rPr>
        <w:t xml:space="preserve">. The scales were based on the previous studies to ensure reliability and validity. Particularly, those were the scale of instructors’ DC (Redecker, 2017), the scale of student feedback inherited from earning feedback (Hattie &amp; Timperley, 2007; Nicol &amp; Macfarlane-Dick, 2006), and the scale of personalized learning (Pane et al., 2017; Holmes et al., 2019). </w:t>
      </w:r>
      <w:r w:rsidR="00197655" w:rsidRPr="00DF3370">
        <w:rPr>
          <w:rFonts w:ascii="Times New Roman" w:hAnsi="Times New Roman" w:cs="Times New Roman"/>
          <w:sz w:val="26"/>
          <w:szCs w:val="26"/>
        </w:rPr>
        <w:t xml:space="preserve">The use of scales was tested in the previous studies; therefore, they increased the reliability and validity of data collection instruments </w:t>
      </w:r>
      <w:r w:rsidRPr="00DF3370">
        <w:rPr>
          <w:rFonts w:ascii="Times New Roman" w:hAnsi="Times New Roman" w:cs="Times New Roman"/>
          <w:sz w:val="26"/>
          <w:szCs w:val="26"/>
        </w:rPr>
        <w:t>(Hair et al., 2022).</w:t>
      </w:r>
    </w:p>
    <w:p w14:paraId="0FB7ED89" w14:textId="421DC890" w:rsidR="009340C0" w:rsidRPr="00DF3370" w:rsidRDefault="00532212" w:rsidP="00970062">
      <w:pPr>
        <w:spacing w:after="120" w:line="288" w:lineRule="auto"/>
        <w:jc w:val="center"/>
        <w:rPr>
          <w:rFonts w:ascii="Times New Roman" w:hAnsi="Times New Roman" w:cs="Times New Roman"/>
          <w:b/>
          <w:bCs/>
          <w:sz w:val="26"/>
          <w:szCs w:val="26"/>
        </w:rPr>
      </w:pPr>
      <w:r w:rsidRPr="00DF3370">
        <w:rPr>
          <w:rFonts w:ascii="Times New Roman" w:hAnsi="Times New Roman" w:cs="Times New Roman"/>
          <w:b/>
          <w:bCs/>
          <w:sz w:val="26"/>
          <w:szCs w:val="26"/>
        </w:rPr>
        <w:t xml:space="preserve">3.5 </w:t>
      </w:r>
      <w:r w:rsidR="009340C0" w:rsidRPr="00DF3370">
        <w:rPr>
          <w:rFonts w:ascii="Times New Roman" w:hAnsi="Times New Roman" w:cs="Times New Roman"/>
          <w:b/>
          <w:bCs/>
          <w:sz w:val="26"/>
          <w:szCs w:val="26"/>
        </w:rPr>
        <w:t>Procedure</w:t>
      </w:r>
      <w:r w:rsidR="007146BD" w:rsidRPr="00DF3370">
        <w:rPr>
          <w:rFonts w:ascii="Times New Roman" w:hAnsi="Times New Roman" w:cs="Times New Roman"/>
          <w:b/>
          <w:bCs/>
          <w:sz w:val="26"/>
          <w:szCs w:val="26"/>
        </w:rPr>
        <w:t xml:space="preserve"> for Data Collection and Analysis</w:t>
      </w:r>
    </w:p>
    <w:p w14:paraId="4D777133" w14:textId="12BCF42C" w:rsidR="00873C02" w:rsidRPr="00DF3370" w:rsidRDefault="00873C02" w:rsidP="00970062">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The procedure for collecting data was performed in the following steps</w:t>
      </w:r>
      <w:r w:rsidR="00E51E00" w:rsidRPr="00DF3370">
        <w:rPr>
          <w:rFonts w:ascii="Times New Roman" w:hAnsi="Times New Roman" w:cs="Times New Roman"/>
          <w:sz w:val="26"/>
          <w:szCs w:val="26"/>
        </w:rPr>
        <w:t xml:space="preserve">. First, </w:t>
      </w:r>
      <w:r w:rsidRPr="00DF3370">
        <w:rPr>
          <w:rFonts w:ascii="Times New Roman" w:hAnsi="Times New Roman" w:cs="Times New Roman"/>
          <w:sz w:val="26"/>
          <w:szCs w:val="26"/>
        </w:rPr>
        <w:t>the questionnaire was designed based on the scales of previous studies</w:t>
      </w:r>
      <w:r w:rsidR="00E51E00" w:rsidRPr="00DF3370">
        <w:rPr>
          <w:rFonts w:ascii="Times New Roman" w:hAnsi="Times New Roman" w:cs="Times New Roman"/>
          <w:sz w:val="26"/>
          <w:szCs w:val="26"/>
        </w:rPr>
        <w:t xml:space="preserve">. Second, the pilot test was done to test the transparency and understandability of questions. Based on the results of the pilot test, the questionnaire was adjusted before the main survey. The main data was collected through Google Forms in a defined period. Finally, the data were cleansed to </w:t>
      </w:r>
      <w:r w:rsidR="00E51E00" w:rsidRPr="00DF3370">
        <w:rPr>
          <w:rFonts w:ascii="Times New Roman" w:hAnsi="Times New Roman" w:cs="Times New Roman"/>
          <w:sz w:val="26"/>
          <w:szCs w:val="26"/>
        </w:rPr>
        <w:lastRenderedPageBreak/>
        <w:t>eliminate the irrelevant questions before the analysis performance.</w:t>
      </w:r>
      <w:r w:rsidR="008723B6" w:rsidRPr="00DF3370">
        <w:rPr>
          <w:rFonts w:ascii="Times New Roman" w:hAnsi="Times New Roman" w:cs="Times New Roman"/>
          <w:sz w:val="26"/>
          <w:szCs w:val="26"/>
        </w:rPr>
        <w:t xml:space="preserve"> This ensured the reliability of data collection </w:t>
      </w:r>
      <w:r w:rsidRPr="00DF3370">
        <w:rPr>
          <w:rFonts w:ascii="Times New Roman" w:hAnsi="Times New Roman" w:cs="Times New Roman"/>
          <w:sz w:val="26"/>
          <w:szCs w:val="26"/>
        </w:rPr>
        <w:t>(Creswell &amp; Creswell, 2018).</w:t>
      </w:r>
    </w:p>
    <w:p w14:paraId="2AF97FD0" w14:textId="448D57F1" w:rsidR="008723B6" w:rsidRPr="00DF3370" w:rsidRDefault="008723B6" w:rsidP="00970062">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 xml:space="preserve">Data </w:t>
      </w:r>
      <w:r w:rsidR="00EA4C2B" w:rsidRPr="00DF3370">
        <w:rPr>
          <w:rFonts w:ascii="Times New Roman" w:hAnsi="Times New Roman" w:cs="Times New Roman"/>
          <w:sz w:val="26"/>
          <w:szCs w:val="26"/>
        </w:rPr>
        <w:t>was</w:t>
      </w:r>
      <w:r w:rsidRPr="00DF3370">
        <w:rPr>
          <w:rFonts w:ascii="Times New Roman" w:hAnsi="Times New Roman" w:cs="Times New Roman"/>
          <w:sz w:val="26"/>
          <w:szCs w:val="26"/>
        </w:rPr>
        <w:t xml:space="preserve"> analyzed through </w:t>
      </w:r>
      <w:proofErr w:type="spellStart"/>
      <w:r w:rsidRPr="00DF3370">
        <w:rPr>
          <w:rFonts w:ascii="Times New Roman" w:hAnsi="Times New Roman" w:cs="Times New Roman"/>
          <w:sz w:val="26"/>
          <w:szCs w:val="26"/>
        </w:rPr>
        <w:t>SmartPLS</w:t>
      </w:r>
      <w:proofErr w:type="spellEnd"/>
      <w:r w:rsidRPr="00DF3370">
        <w:rPr>
          <w:rFonts w:ascii="Times New Roman" w:hAnsi="Times New Roman" w:cs="Times New Roman"/>
          <w:sz w:val="26"/>
          <w:szCs w:val="26"/>
        </w:rPr>
        <w:t xml:space="preserve"> with PLS-SEM. The analysis process consisted of measurement assessment and structur</w:t>
      </w:r>
      <w:r w:rsidR="00BC0B81" w:rsidRPr="00DF3370">
        <w:rPr>
          <w:rFonts w:ascii="Times New Roman" w:hAnsi="Times New Roman" w:cs="Times New Roman"/>
          <w:sz w:val="26"/>
          <w:szCs w:val="26"/>
        </w:rPr>
        <w:t xml:space="preserve">al </w:t>
      </w:r>
      <w:r w:rsidRPr="00DF3370">
        <w:rPr>
          <w:rFonts w:ascii="Times New Roman" w:hAnsi="Times New Roman" w:cs="Times New Roman"/>
          <w:sz w:val="26"/>
          <w:szCs w:val="26"/>
        </w:rPr>
        <w:t xml:space="preserve">model assessment. </w:t>
      </w:r>
      <w:r w:rsidR="00013D14" w:rsidRPr="00DF3370">
        <w:rPr>
          <w:rFonts w:ascii="Times New Roman" w:hAnsi="Times New Roman" w:cs="Times New Roman"/>
          <w:sz w:val="26"/>
          <w:szCs w:val="26"/>
        </w:rPr>
        <w:t>First, t</w:t>
      </w:r>
      <w:r w:rsidRPr="00DF3370">
        <w:rPr>
          <w:rFonts w:ascii="Times New Roman" w:hAnsi="Times New Roman" w:cs="Times New Roman"/>
          <w:sz w:val="26"/>
          <w:szCs w:val="26"/>
        </w:rPr>
        <w:t>he measurement assessment was tested through the coefficient of Cronbach’s Alpha</w:t>
      </w:r>
      <w:r w:rsidR="00EA4C2B" w:rsidRPr="00DF3370">
        <w:rPr>
          <w:rFonts w:ascii="Times New Roman" w:hAnsi="Times New Roman" w:cs="Times New Roman"/>
          <w:sz w:val="26"/>
          <w:szCs w:val="26"/>
        </w:rPr>
        <w:t xml:space="preserve"> </w:t>
      </w:r>
      <w:r w:rsidR="00EA4C2B" w:rsidRPr="00DF3370">
        <w:rPr>
          <w:rFonts w:ascii="Times New Roman" w:hAnsi="Times New Roman" w:cs="Times New Roman"/>
        </w:rPr>
        <w:t>(</w:t>
      </w:r>
      <w:r w:rsidR="00EA4C2B" w:rsidRPr="00DF3370">
        <w:rPr>
          <w:rFonts w:ascii="Times New Roman" w:hAnsi="Times New Roman" w:cs="Times New Roman"/>
          <w:sz w:val="26"/>
          <w:szCs w:val="26"/>
        </w:rPr>
        <w:t>≥ 0.7)</w:t>
      </w:r>
      <w:r w:rsidRPr="00DF3370">
        <w:rPr>
          <w:rFonts w:ascii="Times New Roman" w:hAnsi="Times New Roman" w:cs="Times New Roman"/>
          <w:sz w:val="26"/>
          <w:szCs w:val="26"/>
        </w:rPr>
        <w:t xml:space="preserve">, </w:t>
      </w:r>
      <w:r w:rsidR="00EA4C2B" w:rsidRPr="00DF3370">
        <w:rPr>
          <w:rFonts w:ascii="Times New Roman" w:hAnsi="Times New Roman" w:cs="Times New Roman"/>
          <w:sz w:val="26"/>
          <w:szCs w:val="26"/>
        </w:rPr>
        <w:t>the outer loading</w:t>
      </w:r>
      <w:r w:rsidR="00EA4C2B" w:rsidRPr="00DF3370">
        <w:rPr>
          <w:rFonts w:ascii="Times New Roman" w:hAnsi="Times New Roman" w:cs="Times New Roman"/>
        </w:rPr>
        <w:t xml:space="preserve"> (</w:t>
      </w:r>
      <w:r w:rsidR="00EA4C2B" w:rsidRPr="00DF3370">
        <w:rPr>
          <w:rFonts w:ascii="Times New Roman" w:hAnsi="Times New Roman" w:cs="Times New Roman"/>
          <w:sz w:val="26"/>
          <w:szCs w:val="26"/>
        </w:rPr>
        <w:t xml:space="preserve">≥ 0.7), </w:t>
      </w:r>
      <w:r w:rsidRPr="00DF3370">
        <w:rPr>
          <w:rFonts w:ascii="Times New Roman" w:hAnsi="Times New Roman" w:cs="Times New Roman"/>
          <w:sz w:val="26"/>
          <w:szCs w:val="26"/>
        </w:rPr>
        <w:t xml:space="preserve">Composite </w:t>
      </w:r>
      <w:r w:rsidR="00EA4C2B" w:rsidRPr="00DF3370">
        <w:rPr>
          <w:rFonts w:ascii="Times New Roman" w:hAnsi="Times New Roman" w:cs="Times New Roman"/>
          <w:sz w:val="26"/>
          <w:szCs w:val="26"/>
        </w:rPr>
        <w:t>Reliability (Rh-c ≥ 0.7)</w:t>
      </w:r>
      <w:r w:rsidRPr="00DF3370">
        <w:rPr>
          <w:rFonts w:ascii="Times New Roman" w:hAnsi="Times New Roman" w:cs="Times New Roman"/>
          <w:sz w:val="26"/>
          <w:szCs w:val="26"/>
        </w:rPr>
        <w:t>, and Average Variance Extracted (AVE</w:t>
      </w:r>
      <w:r w:rsidR="00EA4C2B" w:rsidRPr="00DF3370">
        <w:rPr>
          <w:rFonts w:ascii="Times New Roman" w:hAnsi="Times New Roman" w:cs="Times New Roman"/>
          <w:sz w:val="26"/>
          <w:szCs w:val="26"/>
        </w:rPr>
        <w:t xml:space="preserve"> ≥ 0.5</w:t>
      </w:r>
      <w:r w:rsidRPr="00DF3370">
        <w:rPr>
          <w:rFonts w:ascii="Times New Roman" w:hAnsi="Times New Roman" w:cs="Times New Roman"/>
          <w:sz w:val="26"/>
          <w:szCs w:val="26"/>
        </w:rPr>
        <w:t xml:space="preserve">) to evaluate reliability and convergence. Besides, the discriminant validity was assessed using the </w:t>
      </w:r>
      <w:proofErr w:type="spellStart"/>
      <w:r w:rsidRPr="00DF3370">
        <w:rPr>
          <w:rFonts w:ascii="Times New Roman" w:hAnsi="Times New Roman" w:cs="Times New Roman"/>
          <w:sz w:val="26"/>
          <w:szCs w:val="26"/>
        </w:rPr>
        <w:t>Heterotrait</w:t>
      </w:r>
      <w:proofErr w:type="spellEnd"/>
      <w:r w:rsidRPr="00DF3370">
        <w:rPr>
          <w:rFonts w:ascii="Times New Roman" w:hAnsi="Times New Roman" w:cs="Times New Roman"/>
          <w:sz w:val="26"/>
          <w:szCs w:val="26"/>
        </w:rPr>
        <w:t>–</w:t>
      </w:r>
      <w:proofErr w:type="spellStart"/>
      <w:r w:rsidRPr="00DF3370">
        <w:rPr>
          <w:rFonts w:ascii="Times New Roman" w:hAnsi="Times New Roman" w:cs="Times New Roman"/>
          <w:sz w:val="26"/>
          <w:szCs w:val="26"/>
        </w:rPr>
        <w:t>Monotrait</w:t>
      </w:r>
      <w:proofErr w:type="spellEnd"/>
      <w:r w:rsidRPr="00DF3370">
        <w:rPr>
          <w:rFonts w:ascii="Times New Roman" w:hAnsi="Times New Roman" w:cs="Times New Roman"/>
          <w:sz w:val="26"/>
          <w:szCs w:val="26"/>
        </w:rPr>
        <w:t xml:space="preserve"> ratio (HTMT) index</w:t>
      </w:r>
      <w:r w:rsidR="00EA4C2B" w:rsidRPr="00DF3370">
        <w:rPr>
          <w:rFonts w:ascii="Times New Roman" w:hAnsi="Times New Roman" w:cs="Times New Roman"/>
          <w:sz w:val="26"/>
          <w:szCs w:val="26"/>
        </w:rPr>
        <w:t xml:space="preserve"> (&lt;0.85) (</w:t>
      </w:r>
      <w:r w:rsidRPr="00DF3370">
        <w:rPr>
          <w:rFonts w:ascii="Times New Roman" w:hAnsi="Times New Roman" w:cs="Times New Roman"/>
          <w:sz w:val="26"/>
          <w:szCs w:val="26"/>
        </w:rPr>
        <w:t>Hair et al., 2022).</w:t>
      </w:r>
      <w:r w:rsidR="00013D14" w:rsidRPr="00DF3370">
        <w:rPr>
          <w:rFonts w:ascii="Times New Roman" w:hAnsi="Times New Roman" w:cs="Times New Roman"/>
          <w:sz w:val="26"/>
          <w:szCs w:val="26"/>
        </w:rPr>
        <w:t xml:space="preserve"> Second, the structur</w:t>
      </w:r>
      <w:r w:rsidR="00BC0B81" w:rsidRPr="00DF3370">
        <w:rPr>
          <w:rFonts w:ascii="Times New Roman" w:hAnsi="Times New Roman" w:cs="Times New Roman"/>
          <w:sz w:val="26"/>
          <w:szCs w:val="26"/>
        </w:rPr>
        <w:t xml:space="preserve">al </w:t>
      </w:r>
      <w:r w:rsidR="00013D14" w:rsidRPr="00DF3370">
        <w:rPr>
          <w:rFonts w:ascii="Times New Roman" w:hAnsi="Times New Roman" w:cs="Times New Roman"/>
          <w:sz w:val="26"/>
          <w:szCs w:val="26"/>
        </w:rPr>
        <w:t>model assessment was implemented through the path</w:t>
      </w:r>
      <w:r w:rsidR="00BC0B81" w:rsidRPr="00DF3370">
        <w:rPr>
          <w:rFonts w:ascii="Times New Roman" w:hAnsi="Times New Roman" w:cs="Times New Roman"/>
          <w:sz w:val="26"/>
          <w:szCs w:val="26"/>
        </w:rPr>
        <w:t xml:space="preserve"> coefficients and bootstrap to test the statistical significance of hypotheses</w:t>
      </w:r>
      <w:r w:rsidR="00974778" w:rsidRPr="00DF3370">
        <w:rPr>
          <w:rFonts w:ascii="Times New Roman" w:hAnsi="Times New Roman" w:cs="Times New Roman"/>
          <w:sz w:val="26"/>
          <w:szCs w:val="26"/>
        </w:rPr>
        <w:t xml:space="preserve"> </w:t>
      </w:r>
      <w:r w:rsidRPr="00DF3370">
        <w:rPr>
          <w:rFonts w:ascii="Times New Roman" w:hAnsi="Times New Roman" w:cs="Times New Roman"/>
          <w:sz w:val="26"/>
          <w:szCs w:val="26"/>
        </w:rPr>
        <w:t>(Hair et al., 2022).</w:t>
      </w:r>
    </w:p>
    <w:p w14:paraId="56D2EEFC" w14:textId="482301EB" w:rsidR="00974778" w:rsidRPr="00DF3370" w:rsidRDefault="00532212" w:rsidP="003B6BF2">
      <w:pPr>
        <w:spacing w:after="120" w:line="288" w:lineRule="auto"/>
        <w:jc w:val="center"/>
        <w:rPr>
          <w:rFonts w:ascii="Times New Roman" w:hAnsi="Times New Roman" w:cs="Times New Roman"/>
          <w:b/>
          <w:bCs/>
          <w:sz w:val="26"/>
          <w:szCs w:val="26"/>
        </w:rPr>
      </w:pPr>
      <w:r w:rsidRPr="00DF3370">
        <w:rPr>
          <w:rFonts w:ascii="Times New Roman" w:hAnsi="Times New Roman" w:cs="Times New Roman"/>
          <w:b/>
          <w:bCs/>
          <w:sz w:val="26"/>
          <w:szCs w:val="26"/>
        </w:rPr>
        <w:t xml:space="preserve">3.6 </w:t>
      </w:r>
      <w:r w:rsidR="00974778" w:rsidRPr="00DF3370">
        <w:rPr>
          <w:rFonts w:ascii="Times New Roman" w:hAnsi="Times New Roman" w:cs="Times New Roman"/>
          <w:b/>
          <w:bCs/>
          <w:sz w:val="26"/>
          <w:szCs w:val="26"/>
        </w:rPr>
        <w:t>RESULT ANALYSIS &amp; DISCUSSION</w:t>
      </w:r>
    </w:p>
    <w:p w14:paraId="3889A965" w14:textId="7A5763A6" w:rsidR="00974778" w:rsidRPr="00DF3370" w:rsidRDefault="0035631A" w:rsidP="003B6BF2">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 xml:space="preserve">Measurement model assessment and structural model assessment on </w:t>
      </w:r>
      <w:proofErr w:type="spellStart"/>
      <w:r w:rsidRPr="00DF3370">
        <w:rPr>
          <w:rFonts w:ascii="Times New Roman" w:hAnsi="Times New Roman" w:cs="Times New Roman"/>
          <w:sz w:val="26"/>
          <w:szCs w:val="26"/>
        </w:rPr>
        <w:t>SmartPLS</w:t>
      </w:r>
      <w:proofErr w:type="spellEnd"/>
      <w:r w:rsidRPr="00DF3370">
        <w:rPr>
          <w:rFonts w:ascii="Times New Roman" w:hAnsi="Times New Roman" w:cs="Times New Roman"/>
          <w:sz w:val="26"/>
          <w:szCs w:val="26"/>
        </w:rPr>
        <w:t xml:space="preserve"> aim to test reliability and validity. The analysis results are presented in the </w:t>
      </w:r>
      <w:r w:rsidR="003F4F83" w:rsidRPr="00DF3370">
        <w:rPr>
          <w:rFonts w:ascii="Times New Roman" w:hAnsi="Times New Roman" w:cs="Times New Roman"/>
          <w:sz w:val="26"/>
          <w:szCs w:val="26"/>
        </w:rPr>
        <w:t>tables below. These results determine the appropriateness of the model as a solid foundation to discuss the relationships among variables.</w:t>
      </w:r>
    </w:p>
    <w:tbl>
      <w:tblPr>
        <w:tblW w:w="2740" w:type="pct"/>
        <w:tblInd w:w="1972" w:type="dxa"/>
        <w:tblCellMar>
          <w:top w:w="15" w:type="dxa"/>
          <w:left w:w="15" w:type="dxa"/>
          <w:bottom w:w="15" w:type="dxa"/>
          <w:right w:w="15" w:type="dxa"/>
        </w:tblCellMar>
        <w:tblLook w:val="04A0" w:firstRow="1" w:lastRow="0" w:firstColumn="1" w:lastColumn="0" w:noHBand="0" w:noVBand="1"/>
      </w:tblPr>
      <w:tblGrid>
        <w:gridCol w:w="1344"/>
        <w:gridCol w:w="1356"/>
        <w:gridCol w:w="1260"/>
        <w:gridCol w:w="1161"/>
      </w:tblGrid>
      <w:tr w:rsidR="005E41FD" w:rsidRPr="00DF3370" w14:paraId="181C1854" w14:textId="77777777" w:rsidTr="00194D34">
        <w:tc>
          <w:tcPr>
            <w:tcW w:w="13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F0397E" w14:textId="77777777" w:rsidR="005E41FD" w:rsidRPr="00DF3370" w:rsidRDefault="005E41FD" w:rsidP="00970062">
            <w:pPr>
              <w:spacing w:after="120" w:line="288" w:lineRule="auto"/>
              <w:jc w:val="center"/>
              <w:rPr>
                <w:rFonts w:ascii="Times New Roman" w:hAnsi="Times New Roman" w:cs="Times New Roman"/>
                <w:sz w:val="26"/>
                <w:szCs w:val="26"/>
              </w:rPr>
            </w:pPr>
          </w:p>
        </w:tc>
        <w:tc>
          <w:tcPr>
            <w:tcW w:w="13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DA6560" w14:textId="3027E2B6"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DC</w:t>
            </w:r>
          </w:p>
        </w:tc>
        <w:tc>
          <w:tcPr>
            <w:tcW w:w="123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6FDC1A" w14:textId="05311C5D"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PL</w:t>
            </w:r>
          </w:p>
        </w:tc>
        <w:tc>
          <w:tcPr>
            <w:tcW w:w="11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5BD58C" w14:textId="4819D0C2"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SF</w:t>
            </w:r>
          </w:p>
        </w:tc>
      </w:tr>
      <w:tr w:rsidR="005E41FD" w:rsidRPr="00DF3370" w14:paraId="7180DACB" w14:textId="77777777" w:rsidTr="00194D34">
        <w:tc>
          <w:tcPr>
            <w:tcW w:w="13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DE1867" w14:textId="216A8C6D"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DC1</w:t>
            </w:r>
          </w:p>
        </w:tc>
        <w:tc>
          <w:tcPr>
            <w:tcW w:w="13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5ACF48" w14:textId="0F9A054C"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0.857</w:t>
            </w:r>
          </w:p>
        </w:tc>
        <w:tc>
          <w:tcPr>
            <w:tcW w:w="123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CEC8E8" w14:textId="77777777" w:rsidR="005E41FD" w:rsidRPr="00DF3370" w:rsidRDefault="005E41FD" w:rsidP="00970062">
            <w:pPr>
              <w:spacing w:after="120" w:line="288" w:lineRule="auto"/>
              <w:jc w:val="center"/>
              <w:rPr>
                <w:rFonts w:ascii="Times New Roman" w:hAnsi="Times New Roman" w:cs="Times New Roman"/>
                <w:sz w:val="26"/>
                <w:szCs w:val="26"/>
              </w:rPr>
            </w:pPr>
          </w:p>
        </w:tc>
        <w:tc>
          <w:tcPr>
            <w:tcW w:w="11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FE5EA0" w14:textId="77777777" w:rsidR="005E41FD" w:rsidRPr="00DF3370" w:rsidRDefault="005E41FD" w:rsidP="00970062">
            <w:pPr>
              <w:spacing w:after="120" w:line="288" w:lineRule="auto"/>
              <w:jc w:val="center"/>
              <w:rPr>
                <w:rFonts w:ascii="Times New Roman" w:hAnsi="Times New Roman" w:cs="Times New Roman"/>
                <w:sz w:val="26"/>
                <w:szCs w:val="26"/>
              </w:rPr>
            </w:pPr>
          </w:p>
        </w:tc>
      </w:tr>
      <w:tr w:rsidR="005E41FD" w:rsidRPr="00DF3370" w14:paraId="14E913E4" w14:textId="77777777" w:rsidTr="00194D34">
        <w:tc>
          <w:tcPr>
            <w:tcW w:w="13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568033" w14:textId="22C9E3F7"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DC2</w:t>
            </w:r>
          </w:p>
        </w:tc>
        <w:tc>
          <w:tcPr>
            <w:tcW w:w="13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811871" w14:textId="363B4CC7"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0.859</w:t>
            </w:r>
          </w:p>
        </w:tc>
        <w:tc>
          <w:tcPr>
            <w:tcW w:w="123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F9380E5" w14:textId="77777777" w:rsidR="005E41FD" w:rsidRPr="00DF3370" w:rsidRDefault="005E41FD" w:rsidP="00970062">
            <w:pPr>
              <w:spacing w:after="120" w:line="288" w:lineRule="auto"/>
              <w:jc w:val="center"/>
              <w:rPr>
                <w:rFonts w:ascii="Times New Roman" w:hAnsi="Times New Roman" w:cs="Times New Roman"/>
                <w:sz w:val="26"/>
                <w:szCs w:val="26"/>
              </w:rPr>
            </w:pPr>
          </w:p>
        </w:tc>
        <w:tc>
          <w:tcPr>
            <w:tcW w:w="11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8C47C80" w14:textId="77777777" w:rsidR="005E41FD" w:rsidRPr="00DF3370" w:rsidRDefault="005E41FD" w:rsidP="00970062">
            <w:pPr>
              <w:spacing w:after="120" w:line="288" w:lineRule="auto"/>
              <w:jc w:val="center"/>
              <w:rPr>
                <w:rFonts w:ascii="Times New Roman" w:hAnsi="Times New Roman" w:cs="Times New Roman"/>
                <w:sz w:val="26"/>
                <w:szCs w:val="26"/>
              </w:rPr>
            </w:pPr>
          </w:p>
        </w:tc>
      </w:tr>
      <w:tr w:rsidR="005E41FD" w:rsidRPr="00DF3370" w14:paraId="1BD01C1D" w14:textId="77777777" w:rsidTr="00194D34">
        <w:tc>
          <w:tcPr>
            <w:tcW w:w="13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ACE00E" w14:textId="1BFD442A"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DC3</w:t>
            </w:r>
          </w:p>
        </w:tc>
        <w:tc>
          <w:tcPr>
            <w:tcW w:w="13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1C44D7" w14:textId="5E2CB8E0"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0.847</w:t>
            </w:r>
          </w:p>
        </w:tc>
        <w:tc>
          <w:tcPr>
            <w:tcW w:w="123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89B816" w14:textId="77777777" w:rsidR="005E41FD" w:rsidRPr="00DF3370" w:rsidRDefault="005E41FD" w:rsidP="00970062">
            <w:pPr>
              <w:spacing w:after="120" w:line="288" w:lineRule="auto"/>
              <w:jc w:val="center"/>
              <w:rPr>
                <w:rFonts w:ascii="Times New Roman" w:hAnsi="Times New Roman" w:cs="Times New Roman"/>
                <w:sz w:val="26"/>
                <w:szCs w:val="26"/>
              </w:rPr>
            </w:pPr>
          </w:p>
        </w:tc>
        <w:tc>
          <w:tcPr>
            <w:tcW w:w="11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67DE83" w14:textId="77777777" w:rsidR="005E41FD" w:rsidRPr="00DF3370" w:rsidRDefault="005E41FD" w:rsidP="00970062">
            <w:pPr>
              <w:spacing w:after="120" w:line="288" w:lineRule="auto"/>
              <w:jc w:val="center"/>
              <w:rPr>
                <w:rFonts w:ascii="Times New Roman" w:hAnsi="Times New Roman" w:cs="Times New Roman"/>
                <w:sz w:val="26"/>
                <w:szCs w:val="26"/>
              </w:rPr>
            </w:pPr>
          </w:p>
        </w:tc>
      </w:tr>
      <w:tr w:rsidR="005E41FD" w:rsidRPr="00DF3370" w14:paraId="07FF217D" w14:textId="77777777" w:rsidTr="00194D34">
        <w:tc>
          <w:tcPr>
            <w:tcW w:w="13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D333D1" w14:textId="74BD5D5C"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DC4</w:t>
            </w:r>
          </w:p>
        </w:tc>
        <w:tc>
          <w:tcPr>
            <w:tcW w:w="13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77A401" w14:textId="1FB39985"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0.822</w:t>
            </w:r>
          </w:p>
        </w:tc>
        <w:tc>
          <w:tcPr>
            <w:tcW w:w="123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DB945A" w14:textId="77777777" w:rsidR="005E41FD" w:rsidRPr="00DF3370" w:rsidRDefault="005E41FD" w:rsidP="00970062">
            <w:pPr>
              <w:spacing w:after="120" w:line="288" w:lineRule="auto"/>
              <w:jc w:val="center"/>
              <w:rPr>
                <w:rFonts w:ascii="Times New Roman" w:hAnsi="Times New Roman" w:cs="Times New Roman"/>
                <w:sz w:val="26"/>
                <w:szCs w:val="26"/>
              </w:rPr>
            </w:pPr>
          </w:p>
        </w:tc>
        <w:tc>
          <w:tcPr>
            <w:tcW w:w="11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0D7204D" w14:textId="77777777" w:rsidR="005E41FD" w:rsidRPr="00DF3370" w:rsidRDefault="005E41FD" w:rsidP="00970062">
            <w:pPr>
              <w:spacing w:after="120" w:line="288" w:lineRule="auto"/>
              <w:jc w:val="center"/>
              <w:rPr>
                <w:rFonts w:ascii="Times New Roman" w:hAnsi="Times New Roman" w:cs="Times New Roman"/>
                <w:sz w:val="26"/>
                <w:szCs w:val="26"/>
              </w:rPr>
            </w:pPr>
          </w:p>
        </w:tc>
      </w:tr>
      <w:tr w:rsidR="005E41FD" w:rsidRPr="00DF3370" w14:paraId="776F92E2" w14:textId="77777777" w:rsidTr="00194D34">
        <w:tc>
          <w:tcPr>
            <w:tcW w:w="13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1B46118" w14:textId="481549F9"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DC5</w:t>
            </w:r>
          </w:p>
        </w:tc>
        <w:tc>
          <w:tcPr>
            <w:tcW w:w="13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FFDC7C2" w14:textId="73C3BA4F"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0.841</w:t>
            </w:r>
          </w:p>
        </w:tc>
        <w:tc>
          <w:tcPr>
            <w:tcW w:w="123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5E548DA" w14:textId="77777777" w:rsidR="005E41FD" w:rsidRPr="00DF3370" w:rsidRDefault="005E41FD" w:rsidP="00970062">
            <w:pPr>
              <w:spacing w:after="120" w:line="288" w:lineRule="auto"/>
              <w:jc w:val="center"/>
              <w:rPr>
                <w:rFonts w:ascii="Times New Roman" w:hAnsi="Times New Roman" w:cs="Times New Roman"/>
                <w:sz w:val="26"/>
                <w:szCs w:val="26"/>
              </w:rPr>
            </w:pPr>
          </w:p>
        </w:tc>
        <w:tc>
          <w:tcPr>
            <w:tcW w:w="11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2891D5" w14:textId="77777777" w:rsidR="005E41FD" w:rsidRPr="00DF3370" w:rsidRDefault="005E41FD" w:rsidP="00970062">
            <w:pPr>
              <w:spacing w:after="120" w:line="288" w:lineRule="auto"/>
              <w:jc w:val="center"/>
              <w:rPr>
                <w:rFonts w:ascii="Times New Roman" w:hAnsi="Times New Roman" w:cs="Times New Roman"/>
                <w:sz w:val="26"/>
                <w:szCs w:val="26"/>
              </w:rPr>
            </w:pPr>
          </w:p>
        </w:tc>
      </w:tr>
      <w:tr w:rsidR="005E41FD" w:rsidRPr="00DF3370" w14:paraId="763C6676" w14:textId="77777777" w:rsidTr="00194D34">
        <w:tc>
          <w:tcPr>
            <w:tcW w:w="13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E62E7A2" w14:textId="36CF5545"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PL1</w:t>
            </w:r>
          </w:p>
        </w:tc>
        <w:tc>
          <w:tcPr>
            <w:tcW w:w="13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5CEB53" w14:textId="77777777" w:rsidR="005E41FD" w:rsidRPr="00DF3370" w:rsidRDefault="005E41FD" w:rsidP="00970062">
            <w:pPr>
              <w:spacing w:after="120" w:line="288" w:lineRule="auto"/>
              <w:jc w:val="center"/>
              <w:rPr>
                <w:rFonts w:ascii="Times New Roman" w:hAnsi="Times New Roman" w:cs="Times New Roman"/>
                <w:b/>
                <w:bCs/>
                <w:sz w:val="26"/>
                <w:szCs w:val="26"/>
              </w:rPr>
            </w:pPr>
          </w:p>
        </w:tc>
        <w:tc>
          <w:tcPr>
            <w:tcW w:w="123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BC8ED8" w14:textId="4B07198C"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0.880</w:t>
            </w:r>
          </w:p>
        </w:tc>
        <w:tc>
          <w:tcPr>
            <w:tcW w:w="11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C0B715" w14:textId="77777777" w:rsidR="005E41FD" w:rsidRPr="00DF3370" w:rsidRDefault="005E41FD" w:rsidP="00970062">
            <w:pPr>
              <w:spacing w:after="120" w:line="288" w:lineRule="auto"/>
              <w:jc w:val="center"/>
              <w:rPr>
                <w:rFonts w:ascii="Times New Roman" w:hAnsi="Times New Roman" w:cs="Times New Roman"/>
                <w:sz w:val="26"/>
                <w:szCs w:val="26"/>
              </w:rPr>
            </w:pPr>
          </w:p>
        </w:tc>
      </w:tr>
      <w:tr w:rsidR="005E41FD" w:rsidRPr="00DF3370" w14:paraId="737DFE47" w14:textId="77777777" w:rsidTr="00194D34">
        <w:tc>
          <w:tcPr>
            <w:tcW w:w="13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633A1CD" w14:textId="6A6BF5C2"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PL2</w:t>
            </w:r>
          </w:p>
        </w:tc>
        <w:tc>
          <w:tcPr>
            <w:tcW w:w="13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D2DC5D" w14:textId="77777777" w:rsidR="005E41FD" w:rsidRPr="00DF3370" w:rsidRDefault="005E41FD" w:rsidP="00970062">
            <w:pPr>
              <w:spacing w:after="120" w:line="288" w:lineRule="auto"/>
              <w:jc w:val="center"/>
              <w:rPr>
                <w:rFonts w:ascii="Times New Roman" w:hAnsi="Times New Roman" w:cs="Times New Roman"/>
                <w:b/>
                <w:bCs/>
                <w:sz w:val="26"/>
                <w:szCs w:val="26"/>
              </w:rPr>
            </w:pPr>
          </w:p>
        </w:tc>
        <w:tc>
          <w:tcPr>
            <w:tcW w:w="123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5C99AE" w14:textId="4AC014E1"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0.865</w:t>
            </w:r>
          </w:p>
        </w:tc>
        <w:tc>
          <w:tcPr>
            <w:tcW w:w="11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805D09" w14:textId="77777777" w:rsidR="005E41FD" w:rsidRPr="00DF3370" w:rsidRDefault="005E41FD" w:rsidP="00970062">
            <w:pPr>
              <w:spacing w:after="120" w:line="288" w:lineRule="auto"/>
              <w:jc w:val="center"/>
              <w:rPr>
                <w:rFonts w:ascii="Times New Roman" w:hAnsi="Times New Roman" w:cs="Times New Roman"/>
                <w:sz w:val="26"/>
                <w:szCs w:val="26"/>
              </w:rPr>
            </w:pPr>
          </w:p>
        </w:tc>
      </w:tr>
      <w:tr w:rsidR="005E41FD" w:rsidRPr="00DF3370" w14:paraId="7C0CCF7D" w14:textId="77777777" w:rsidTr="00194D34">
        <w:tc>
          <w:tcPr>
            <w:tcW w:w="13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90EC18" w14:textId="45EDC9D0"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PL3</w:t>
            </w:r>
          </w:p>
        </w:tc>
        <w:tc>
          <w:tcPr>
            <w:tcW w:w="13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BE29C4" w14:textId="77777777" w:rsidR="005E41FD" w:rsidRPr="00DF3370" w:rsidRDefault="005E41FD" w:rsidP="00970062">
            <w:pPr>
              <w:spacing w:after="120" w:line="288" w:lineRule="auto"/>
              <w:jc w:val="center"/>
              <w:rPr>
                <w:rFonts w:ascii="Times New Roman" w:hAnsi="Times New Roman" w:cs="Times New Roman"/>
                <w:b/>
                <w:bCs/>
                <w:sz w:val="26"/>
                <w:szCs w:val="26"/>
              </w:rPr>
            </w:pPr>
          </w:p>
        </w:tc>
        <w:tc>
          <w:tcPr>
            <w:tcW w:w="123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54FDE5" w14:textId="4E6414BE"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0.904</w:t>
            </w:r>
          </w:p>
        </w:tc>
        <w:tc>
          <w:tcPr>
            <w:tcW w:w="11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9D3525" w14:textId="77777777" w:rsidR="005E41FD" w:rsidRPr="00DF3370" w:rsidRDefault="005E41FD" w:rsidP="00970062">
            <w:pPr>
              <w:spacing w:after="120" w:line="288" w:lineRule="auto"/>
              <w:jc w:val="center"/>
              <w:rPr>
                <w:rFonts w:ascii="Times New Roman" w:hAnsi="Times New Roman" w:cs="Times New Roman"/>
                <w:sz w:val="26"/>
                <w:szCs w:val="26"/>
              </w:rPr>
            </w:pPr>
          </w:p>
        </w:tc>
      </w:tr>
      <w:tr w:rsidR="005E41FD" w:rsidRPr="00DF3370" w14:paraId="61BFABC6" w14:textId="77777777" w:rsidTr="00194D34">
        <w:tc>
          <w:tcPr>
            <w:tcW w:w="13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280E2C7" w14:textId="707C913D"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PL4</w:t>
            </w:r>
          </w:p>
        </w:tc>
        <w:tc>
          <w:tcPr>
            <w:tcW w:w="13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88A336" w14:textId="77777777" w:rsidR="005E41FD" w:rsidRPr="00DF3370" w:rsidRDefault="005E41FD" w:rsidP="00970062">
            <w:pPr>
              <w:spacing w:after="120" w:line="288" w:lineRule="auto"/>
              <w:jc w:val="center"/>
              <w:rPr>
                <w:rFonts w:ascii="Times New Roman" w:hAnsi="Times New Roman" w:cs="Times New Roman"/>
                <w:b/>
                <w:bCs/>
                <w:sz w:val="26"/>
                <w:szCs w:val="26"/>
              </w:rPr>
            </w:pPr>
          </w:p>
        </w:tc>
        <w:tc>
          <w:tcPr>
            <w:tcW w:w="123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EA544B" w14:textId="75DCD7A7"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0.907</w:t>
            </w:r>
          </w:p>
        </w:tc>
        <w:tc>
          <w:tcPr>
            <w:tcW w:w="11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B07685" w14:textId="77777777" w:rsidR="005E41FD" w:rsidRPr="00DF3370" w:rsidRDefault="005E41FD" w:rsidP="00970062">
            <w:pPr>
              <w:spacing w:after="120" w:line="288" w:lineRule="auto"/>
              <w:jc w:val="center"/>
              <w:rPr>
                <w:rFonts w:ascii="Times New Roman" w:hAnsi="Times New Roman" w:cs="Times New Roman"/>
                <w:sz w:val="26"/>
                <w:szCs w:val="26"/>
              </w:rPr>
            </w:pPr>
          </w:p>
        </w:tc>
      </w:tr>
      <w:tr w:rsidR="005E41FD" w:rsidRPr="00DF3370" w14:paraId="66F3C204" w14:textId="77777777" w:rsidTr="00194D34">
        <w:tc>
          <w:tcPr>
            <w:tcW w:w="13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12DB482" w14:textId="344A23AB"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PL5</w:t>
            </w:r>
          </w:p>
        </w:tc>
        <w:tc>
          <w:tcPr>
            <w:tcW w:w="13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729015" w14:textId="77777777" w:rsidR="005E41FD" w:rsidRPr="00DF3370" w:rsidRDefault="005E41FD" w:rsidP="00970062">
            <w:pPr>
              <w:spacing w:after="120" w:line="288" w:lineRule="auto"/>
              <w:jc w:val="center"/>
              <w:rPr>
                <w:rFonts w:ascii="Times New Roman" w:hAnsi="Times New Roman" w:cs="Times New Roman"/>
                <w:b/>
                <w:bCs/>
                <w:sz w:val="26"/>
                <w:szCs w:val="26"/>
              </w:rPr>
            </w:pPr>
          </w:p>
        </w:tc>
        <w:tc>
          <w:tcPr>
            <w:tcW w:w="123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0E3997" w14:textId="1B4736A8"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0.887</w:t>
            </w:r>
          </w:p>
        </w:tc>
        <w:tc>
          <w:tcPr>
            <w:tcW w:w="11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C42608" w14:textId="77777777" w:rsidR="005E41FD" w:rsidRPr="00DF3370" w:rsidRDefault="005E41FD" w:rsidP="00970062">
            <w:pPr>
              <w:spacing w:after="120" w:line="288" w:lineRule="auto"/>
              <w:jc w:val="center"/>
              <w:rPr>
                <w:rFonts w:ascii="Times New Roman" w:hAnsi="Times New Roman" w:cs="Times New Roman"/>
                <w:sz w:val="26"/>
                <w:szCs w:val="26"/>
              </w:rPr>
            </w:pPr>
          </w:p>
        </w:tc>
      </w:tr>
      <w:tr w:rsidR="005E41FD" w:rsidRPr="00DF3370" w14:paraId="1AC73C73" w14:textId="77777777" w:rsidTr="00194D34">
        <w:tc>
          <w:tcPr>
            <w:tcW w:w="13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670DBD" w14:textId="16089537"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SF1</w:t>
            </w:r>
          </w:p>
        </w:tc>
        <w:tc>
          <w:tcPr>
            <w:tcW w:w="13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86CFEB" w14:textId="77777777" w:rsidR="005E41FD" w:rsidRPr="00DF3370" w:rsidRDefault="005E41FD" w:rsidP="00970062">
            <w:pPr>
              <w:spacing w:after="120" w:line="288" w:lineRule="auto"/>
              <w:jc w:val="center"/>
              <w:rPr>
                <w:rFonts w:ascii="Times New Roman" w:hAnsi="Times New Roman" w:cs="Times New Roman"/>
                <w:b/>
                <w:bCs/>
                <w:sz w:val="26"/>
                <w:szCs w:val="26"/>
              </w:rPr>
            </w:pPr>
          </w:p>
        </w:tc>
        <w:tc>
          <w:tcPr>
            <w:tcW w:w="123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AE3566B" w14:textId="77777777" w:rsidR="005E41FD" w:rsidRPr="00DF3370" w:rsidRDefault="005E41FD" w:rsidP="00970062">
            <w:pPr>
              <w:spacing w:after="120" w:line="288" w:lineRule="auto"/>
              <w:jc w:val="center"/>
              <w:rPr>
                <w:rFonts w:ascii="Times New Roman" w:hAnsi="Times New Roman" w:cs="Times New Roman"/>
                <w:sz w:val="26"/>
                <w:szCs w:val="26"/>
              </w:rPr>
            </w:pPr>
          </w:p>
        </w:tc>
        <w:tc>
          <w:tcPr>
            <w:tcW w:w="11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E771E03" w14:textId="62510BB6"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0.861</w:t>
            </w:r>
          </w:p>
        </w:tc>
      </w:tr>
      <w:tr w:rsidR="005E41FD" w:rsidRPr="00DF3370" w14:paraId="67AC1475" w14:textId="77777777" w:rsidTr="00194D34">
        <w:tc>
          <w:tcPr>
            <w:tcW w:w="13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66B5B5" w14:textId="5A3B2FD0"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SF2</w:t>
            </w:r>
          </w:p>
        </w:tc>
        <w:tc>
          <w:tcPr>
            <w:tcW w:w="13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55C7DB" w14:textId="77777777" w:rsidR="005E41FD" w:rsidRPr="00DF3370" w:rsidRDefault="005E41FD" w:rsidP="00970062">
            <w:pPr>
              <w:spacing w:after="120" w:line="288" w:lineRule="auto"/>
              <w:jc w:val="center"/>
              <w:rPr>
                <w:rFonts w:ascii="Times New Roman" w:hAnsi="Times New Roman" w:cs="Times New Roman"/>
                <w:b/>
                <w:bCs/>
                <w:sz w:val="26"/>
                <w:szCs w:val="26"/>
              </w:rPr>
            </w:pPr>
          </w:p>
        </w:tc>
        <w:tc>
          <w:tcPr>
            <w:tcW w:w="123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E0F400" w14:textId="77777777" w:rsidR="005E41FD" w:rsidRPr="00DF3370" w:rsidRDefault="005E41FD" w:rsidP="00970062">
            <w:pPr>
              <w:spacing w:after="120" w:line="288" w:lineRule="auto"/>
              <w:jc w:val="center"/>
              <w:rPr>
                <w:rFonts w:ascii="Times New Roman" w:hAnsi="Times New Roman" w:cs="Times New Roman"/>
                <w:sz w:val="26"/>
                <w:szCs w:val="26"/>
              </w:rPr>
            </w:pPr>
          </w:p>
        </w:tc>
        <w:tc>
          <w:tcPr>
            <w:tcW w:w="11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0FD7CDE" w14:textId="2BA63194"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0.859</w:t>
            </w:r>
          </w:p>
        </w:tc>
      </w:tr>
      <w:tr w:rsidR="005E41FD" w:rsidRPr="00DF3370" w14:paraId="3F78404F" w14:textId="77777777" w:rsidTr="00194D34">
        <w:tc>
          <w:tcPr>
            <w:tcW w:w="13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99B51A" w14:textId="21C8CDA3"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SF3</w:t>
            </w:r>
          </w:p>
        </w:tc>
        <w:tc>
          <w:tcPr>
            <w:tcW w:w="13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C5962A" w14:textId="77777777" w:rsidR="005E41FD" w:rsidRPr="00DF3370" w:rsidRDefault="005E41FD" w:rsidP="00970062">
            <w:pPr>
              <w:spacing w:after="120" w:line="288" w:lineRule="auto"/>
              <w:jc w:val="center"/>
              <w:rPr>
                <w:rFonts w:ascii="Times New Roman" w:hAnsi="Times New Roman" w:cs="Times New Roman"/>
                <w:b/>
                <w:bCs/>
                <w:sz w:val="26"/>
                <w:szCs w:val="26"/>
              </w:rPr>
            </w:pPr>
          </w:p>
        </w:tc>
        <w:tc>
          <w:tcPr>
            <w:tcW w:w="123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1E9C6D" w14:textId="77777777" w:rsidR="005E41FD" w:rsidRPr="00DF3370" w:rsidRDefault="005E41FD" w:rsidP="00970062">
            <w:pPr>
              <w:spacing w:after="120" w:line="288" w:lineRule="auto"/>
              <w:jc w:val="center"/>
              <w:rPr>
                <w:rFonts w:ascii="Times New Roman" w:hAnsi="Times New Roman" w:cs="Times New Roman"/>
                <w:sz w:val="26"/>
                <w:szCs w:val="26"/>
              </w:rPr>
            </w:pPr>
          </w:p>
        </w:tc>
        <w:tc>
          <w:tcPr>
            <w:tcW w:w="11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63F344" w14:textId="2F85BC02"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0.881</w:t>
            </w:r>
          </w:p>
        </w:tc>
      </w:tr>
      <w:tr w:rsidR="005E41FD" w:rsidRPr="00DF3370" w14:paraId="2AB0C260" w14:textId="77777777" w:rsidTr="00194D34">
        <w:tc>
          <w:tcPr>
            <w:tcW w:w="13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47F0EB" w14:textId="388A71BE"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lastRenderedPageBreak/>
              <w:t>SF4</w:t>
            </w:r>
          </w:p>
        </w:tc>
        <w:tc>
          <w:tcPr>
            <w:tcW w:w="13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F20F28" w14:textId="77777777" w:rsidR="005E41FD" w:rsidRPr="00DF3370" w:rsidRDefault="005E41FD" w:rsidP="00970062">
            <w:pPr>
              <w:spacing w:after="120" w:line="288" w:lineRule="auto"/>
              <w:jc w:val="center"/>
              <w:rPr>
                <w:rFonts w:ascii="Times New Roman" w:hAnsi="Times New Roman" w:cs="Times New Roman"/>
                <w:b/>
                <w:bCs/>
                <w:sz w:val="26"/>
                <w:szCs w:val="26"/>
              </w:rPr>
            </w:pPr>
          </w:p>
        </w:tc>
        <w:tc>
          <w:tcPr>
            <w:tcW w:w="123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3C5CAE" w14:textId="77777777" w:rsidR="005E41FD" w:rsidRPr="00DF3370" w:rsidRDefault="005E41FD" w:rsidP="00970062">
            <w:pPr>
              <w:spacing w:after="120" w:line="288" w:lineRule="auto"/>
              <w:jc w:val="center"/>
              <w:rPr>
                <w:rFonts w:ascii="Times New Roman" w:hAnsi="Times New Roman" w:cs="Times New Roman"/>
                <w:sz w:val="26"/>
                <w:szCs w:val="26"/>
              </w:rPr>
            </w:pPr>
          </w:p>
        </w:tc>
        <w:tc>
          <w:tcPr>
            <w:tcW w:w="11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BC6663" w14:textId="323A57C5"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0.863</w:t>
            </w:r>
          </w:p>
        </w:tc>
      </w:tr>
      <w:tr w:rsidR="005E41FD" w:rsidRPr="00DF3370" w14:paraId="3EC0E602" w14:textId="77777777" w:rsidTr="00194D34">
        <w:tc>
          <w:tcPr>
            <w:tcW w:w="13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A1DB19E" w14:textId="034600EE"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SF5</w:t>
            </w:r>
          </w:p>
        </w:tc>
        <w:tc>
          <w:tcPr>
            <w:tcW w:w="13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33E4F2" w14:textId="77777777" w:rsidR="005E41FD" w:rsidRPr="00DF3370" w:rsidRDefault="005E41FD" w:rsidP="00970062">
            <w:pPr>
              <w:spacing w:after="120" w:line="288" w:lineRule="auto"/>
              <w:jc w:val="center"/>
              <w:rPr>
                <w:rFonts w:ascii="Times New Roman" w:hAnsi="Times New Roman" w:cs="Times New Roman"/>
                <w:b/>
                <w:bCs/>
                <w:sz w:val="26"/>
                <w:szCs w:val="26"/>
              </w:rPr>
            </w:pPr>
          </w:p>
        </w:tc>
        <w:tc>
          <w:tcPr>
            <w:tcW w:w="123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E2FCFF" w14:textId="77777777" w:rsidR="005E41FD" w:rsidRPr="00DF3370" w:rsidRDefault="005E41FD" w:rsidP="00970062">
            <w:pPr>
              <w:spacing w:after="120" w:line="288" w:lineRule="auto"/>
              <w:jc w:val="center"/>
              <w:rPr>
                <w:rFonts w:ascii="Times New Roman" w:hAnsi="Times New Roman" w:cs="Times New Roman"/>
                <w:sz w:val="26"/>
                <w:szCs w:val="26"/>
              </w:rPr>
            </w:pPr>
          </w:p>
        </w:tc>
        <w:tc>
          <w:tcPr>
            <w:tcW w:w="11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107764" w14:textId="2F9E4E34"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0.901</w:t>
            </w:r>
          </w:p>
        </w:tc>
      </w:tr>
    </w:tbl>
    <w:p w14:paraId="152D1491" w14:textId="7010AC38" w:rsidR="005E41FD" w:rsidRPr="00DF3370" w:rsidRDefault="005E41FD"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Table 1: Outer loadings – Matrix</w:t>
      </w:r>
    </w:p>
    <w:p w14:paraId="4BB62122" w14:textId="50F58191" w:rsidR="00701084" w:rsidRPr="00DF3370" w:rsidRDefault="00701084" w:rsidP="00970062">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 xml:space="preserve">Table 1 indicates the outer loadings of the indicators for three constructs: Digital Competence (DC), Personalized Learning (PL), and Student Feedback (SF). The results illustrate that all indicator loadings exceed the recommended threshold of 0.70. ranging </w:t>
      </w:r>
      <w:r w:rsidR="000F0B3B" w:rsidRPr="00DF3370">
        <w:rPr>
          <w:rFonts w:ascii="Times New Roman" w:hAnsi="Times New Roman" w:cs="Times New Roman"/>
          <w:sz w:val="26"/>
          <w:szCs w:val="26"/>
        </w:rPr>
        <w:t>from</w:t>
      </w:r>
      <w:r w:rsidRPr="00DF3370">
        <w:rPr>
          <w:rFonts w:ascii="Times New Roman" w:hAnsi="Times New Roman" w:cs="Times New Roman"/>
          <w:sz w:val="26"/>
          <w:szCs w:val="26"/>
        </w:rPr>
        <w:t xml:space="preserve"> 0.822 to 0.9</w:t>
      </w:r>
      <w:r w:rsidR="000F0B3B" w:rsidRPr="00DF3370">
        <w:rPr>
          <w:rFonts w:ascii="Times New Roman" w:hAnsi="Times New Roman" w:cs="Times New Roman"/>
          <w:sz w:val="26"/>
          <w:szCs w:val="26"/>
        </w:rPr>
        <w:t>07. Particularly, the DC construct ranges from 0.822 to 0.859, the PL construct from 0.865 to 0.907, and the SF construct from 0.859 to 0.901.</w:t>
      </w:r>
      <w:r w:rsidR="00F07533" w:rsidRPr="00DF3370">
        <w:rPr>
          <w:rFonts w:ascii="Times New Roman" w:hAnsi="Times New Roman" w:cs="Times New Roman"/>
          <w:sz w:val="26"/>
          <w:szCs w:val="26"/>
        </w:rPr>
        <w:t xml:space="preserve"> These loadings demonstrate a strong relationship with respective constructs and adequately represent the latent variables. As a result, the measurement model has achieved satisfactory indicator reliability and convergence validity.</w:t>
      </w:r>
    </w:p>
    <w:tbl>
      <w:tblPr>
        <w:tblW w:w="4186" w:type="pct"/>
        <w:tblInd w:w="892" w:type="dxa"/>
        <w:tblCellMar>
          <w:top w:w="15" w:type="dxa"/>
          <w:left w:w="15" w:type="dxa"/>
          <w:bottom w:w="15" w:type="dxa"/>
          <w:right w:w="15" w:type="dxa"/>
        </w:tblCellMar>
        <w:tblLook w:val="04A0" w:firstRow="1" w:lastRow="0" w:firstColumn="1" w:lastColumn="0" w:noHBand="0" w:noVBand="1"/>
      </w:tblPr>
      <w:tblGrid>
        <w:gridCol w:w="618"/>
        <w:gridCol w:w="1633"/>
        <w:gridCol w:w="1979"/>
        <w:gridCol w:w="1881"/>
        <w:gridCol w:w="1712"/>
      </w:tblGrid>
      <w:tr w:rsidR="00495942" w:rsidRPr="00DF3370" w14:paraId="6CA83F84" w14:textId="77777777" w:rsidTr="00194D3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62ECF2" w14:textId="77777777" w:rsidR="00495942" w:rsidRPr="00DF3370" w:rsidRDefault="00495942" w:rsidP="00970062">
            <w:pPr>
              <w:spacing w:after="120" w:line="288" w:lineRule="auto"/>
              <w:jc w:val="center"/>
              <w:rPr>
                <w:rFonts w:ascii="Times New Roman" w:hAnsi="Times New Roman" w:cs="Times New Roman"/>
                <w:sz w:val="26"/>
                <w:szCs w:val="26"/>
              </w:rPr>
            </w:pPr>
          </w:p>
        </w:tc>
        <w:tc>
          <w:tcPr>
            <w:tcW w:w="10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28D376" w14:textId="482B33E5" w:rsidR="00495942" w:rsidRPr="00DF3370" w:rsidRDefault="00495942" w:rsidP="00970062">
            <w:pPr>
              <w:spacing w:after="120" w:line="288" w:lineRule="auto"/>
              <w:jc w:val="center"/>
              <w:rPr>
                <w:rFonts w:ascii="Times New Roman" w:hAnsi="Times New Roman" w:cs="Times New Roman"/>
                <w:sz w:val="20"/>
                <w:szCs w:val="20"/>
              </w:rPr>
            </w:pPr>
            <w:r w:rsidRPr="00DF3370">
              <w:rPr>
                <w:rFonts w:ascii="Times New Roman" w:hAnsi="Times New Roman" w:cs="Times New Roman"/>
                <w:sz w:val="20"/>
                <w:szCs w:val="20"/>
              </w:rPr>
              <w:t>Cronbach's alpha</w:t>
            </w:r>
          </w:p>
        </w:tc>
        <w:tc>
          <w:tcPr>
            <w:tcW w:w="12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4534A6" w14:textId="3C72AB5D" w:rsidR="00495942" w:rsidRPr="00DF3370" w:rsidRDefault="00495942" w:rsidP="00970062">
            <w:pPr>
              <w:spacing w:after="120" w:line="288" w:lineRule="auto"/>
              <w:jc w:val="center"/>
              <w:rPr>
                <w:rFonts w:ascii="Times New Roman" w:hAnsi="Times New Roman" w:cs="Times New Roman"/>
                <w:sz w:val="20"/>
                <w:szCs w:val="20"/>
              </w:rPr>
            </w:pPr>
            <w:r w:rsidRPr="00DF3370">
              <w:rPr>
                <w:rFonts w:ascii="Times New Roman" w:hAnsi="Times New Roman" w:cs="Times New Roman"/>
                <w:sz w:val="20"/>
                <w:szCs w:val="20"/>
              </w:rPr>
              <w:t>Composite reliability (</w:t>
            </w:r>
            <w:proofErr w:type="spellStart"/>
            <w:r w:rsidRPr="00DF3370">
              <w:rPr>
                <w:rFonts w:ascii="Times New Roman" w:hAnsi="Times New Roman" w:cs="Times New Roman"/>
                <w:sz w:val="20"/>
                <w:szCs w:val="20"/>
              </w:rPr>
              <w:t>rho_a</w:t>
            </w:r>
            <w:proofErr w:type="spellEnd"/>
            <w:r w:rsidRPr="00DF3370">
              <w:rPr>
                <w:rFonts w:ascii="Times New Roman" w:hAnsi="Times New Roman" w:cs="Times New Roman"/>
                <w:sz w:val="20"/>
                <w:szCs w:val="20"/>
              </w:rPr>
              <w:t>)</w:t>
            </w:r>
          </w:p>
        </w:tc>
        <w:tc>
          <w:tcPr>
            <w:tcW w:w="120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A01BBE4" w14:textId="1624DA17" w:rsidR="00495942" w:rsidRPr="00DF3370" w:rsidRDefault="00495942" w:rsidP="00970062">
            <w:pPr>
              <w:spacing w:after="120" w:line="288" w:lineRule="auto"/>
              <w:jc w:val="center"/>
              <w:rPr>
                <w:rFonts w:ascii="Times New Roman" w:hAnsi="Times New Roman" w:cs="Times New Roman"/>
                <w:sz w:val="20"/>
                <w:szCs w:val="20"/>
              </w:rPr>
            </w:pPr>
            <w:r w:rsidRPr="00DF3370">
              <w:rPr>
                <w:rFonts w:ascii="Times New Roman" w:hAnsi="Times New Roman" w:cs="Times New Roman"/>
                <w:sz w:val="20"/>
                <w:szCs w:val="20"/>
              </w:rPr>
              <w:t>Composite reliability (</w:t>
            </w:r>
            <w:proofErr w:type="spellStart"/>
            <w:r w:rsidRPr="00DF3370">
              <w:rPr>
                <w:rFonts w:ascii="Times New Roman" w:hAnsi="Times New Roman" w:cs="Times New Roman"/>
                <w:sz w:val="20"/>
                <w:szCs w:val="20"/>
              </w:rPr>
              <w:t>rho_c</w:t>
            </w:r>
            <w:proofErr w:type="spellEnd"/>
            <w:r w:rsidRPr="00DF3370">
              <w:rPr>
                <w:rFonts w:ascii="Times New Roman" w:hAnsi="Times New Roman" w:cs="Times New Roman"/>
                <w:sz w:val="20"/>
                <w:szCs w:val="20"/>
              </w:rPr>
              <w:t>)</w:t>
            </w:r>
          </w:p>
        </w:tc>
        <w:tc>
          <w:tcPr>
            <w:tcW w:w="109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F91EFC6" w14:textId="1ECF6CE3" w:rsidR="00495942" w:rsidRPr="00DF3370" w:rsidRDefault="00495942" w:rsidP="00970062">
            <w:pPr>
              <w:spacing w:after="120" w:line="288" w:lineRule="auto"/>
              <w:jc w:val="center"/>
              <w:rPr>
                <w:rFonts w:ascii="Times New Roman" w:hAnsi="Times New Roman" w:cs="Times New Roman"/>
                <w:sz w:val="20"/>
                <w:szCs w:val="20"/>
              </w:rPr>
            </w:pPr>
            <w:r w:rsidRPr="00DF3370">
              <w:rPr>
                <w:rFonts w:ascii="Times New Roman" w:hAnsi="Times New Roman" w:cs="Times New Roman"/>
                <w:sz w:val="20"/>
                <w:szCs w:val="20"/>
              </w:rPr>
              <w:t>Average variance extracted (AVE)</w:t>
            </w:r>
          </w:p>
        </w:tc>
      </w:tr>
      <w:tr w:rsidR="00495942" w:rsidRPr="00DF3370" w14:paraId="2B0CA6CD" w14:textId="77777777" w:rsidTr="00194D3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D999AD3" w14:textId="77777777" w:rsidR="00495942" w:rsidRPr="00DF3370" w:rsidRDefault="00495942" w:rsidP="00970062">
            <w:pPr>
              <w:spacing w:after="120" w:line="288" w:lineRule="auto"/>
              <w:rPr>
                <w:rFonts w:ascii="Times New Roman" w:hAnsi="Times New Roman" w:cs="Times New Roman"/>
                <w:sz w:val="26"/>
                <w:szCs w:val="26"/>
              </w:rPr>
            </w:pPr>
            <w:r w:rsidRPr="00DF3370">
              <w:rPr>
                <w:rFonts w:ascii="Times New Roman" w:hAnsi="Times New Roman" w:cs="Times New Roman"/>
                <w:sz w:val="26"/>
                <w:szCs w:val="26"/>
              </w:rPr>
              <w:t xml:space="preserve">DC </w:t>
            </w:r>
          </w:p>
        </w:tc>
        <w:tc>
          <w:tcPr>
            <w:tcW w:w="10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D54B78" w14:textId="169113B7" w:rsidR="00495942" w:rsidRPr="00DF3370" w:rsidRDefault="00495942"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0.900</w:t>
            </w:r>
          </w:p>
        </w:tc>
        <w:tc>
          <w:tcPr>
            <w:tcW w:w="12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BD2AFD" w14:textId="56ADFF63" w:rsidR="00495942" w:rsidRPr="00DF3370" w:rsidRDefault="00495942"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0.903</w:t>
            </w:r>
          </w:p>
        </w:tc>
        <w:tc>
          <w:tcPr>
            <w:tcW w:w="120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26F112" w14:textId="6C2B63BC" w:rsidR="00495942" w:rsidRPr="00DF3370" w:rsidRDefault="00495942"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0.926</w:t>
            </w:r>
          </w:p>
        </w:tc>
        <w:tc>
          <w:tcPr>
            <w:tcW w:w="109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5FB0C1E" w14:textId="579E1D47" w:rsidR="00495942" w:rsidRPr="00DF3370" w:rsidRDefault="00495942"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0.715</w:t>
            </w:r>
          </w:p>
        </w:tc>
      </w:tr>
      <w:tr w:rsidR="00495942" w:rsidRPr="00DF3370" w14:paraId="249475C2" w14:textId="77777777" w:rsidTr="00194D3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67E064" w14:textId="77777777" w:rsidR="00495942" w:rsidRPr="00DF3370" w:rsidRDefault="00495942" w:rsidP="00970062">
            <w:pPr>
              <w:spacing w:after="120" w:line="288" w:lineRule="auto"/>
              <w:rPr>
                <w:rFonts w:ascii="Times New Roman" w:hAnsi="Times New Roman" w:cs="Times New Roman"/>
                <w:sz w:val="26"/>
                <w:szCs w:val="26"/>
              </w:rPr>
            </w:pPr>
            <w:r w:rsidRPr="00DF3370">
              <w:rPr>
                <w:rFonts w:ascii="Times New Roman" w:hAnsi="Times New Roman" w:cs="Times New Roman"/>
                <w:sz w:val="26"/>
                <w:szCs w:val="26"/>
              </w:rPr>
              <w:t xml:space="preserve">PL </w:t>
            </w:r>
          </w:p>
        </w:tc>
        <w:tc>
          <w:tcPr>
            <w:tcW w:w="10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180E9A" w14:textId="67D621E7" w:rsidR="00495942" w:rsidRPr="00DF3370" w:rsidRDefault="00495942"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0.933</w:t>
            </w:r>
          </w:p>
        </w:tc>
        <w:tc>
          <w:tcPr>
            <w:tcW w:w="12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F52595" w14:textId="1CDF9774" w:rsidR="00495942" w:rsidRPr="00DF3370" w:rsidRDefault="00495942"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0.935</w:t>
            </w:r>
          </w:p>
        </w:tc>
        <w:tc>
          <w:tcPr>
            <w:tcW w:w="120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AF6D84" w14:textId="48C1EC45" w:rsidR="00495942" w:rsidRPr="00DF3370" w:rsidRDefault="00495942"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0.949</w:t>
            </w:r>
          </w:p>
        </w:tc>
        <w:tc>
          <w:tcPr>
            <w:tcW w:w="109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09371F" w14:textId="5291F692" w:rsidR="00495942" w:rsidRPr="00DF3370" w:rsidRDefault="00495942"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0.790</w:t>
            </w:r>
          </w:p>
        </w:tc>
      </w:tr>
      <w:tr w:rsidR="00495942" w:rsidRPr="00DF3370" w14:paraId="29A2DC1B" w14:textId="77777777" w:rsidTr="00194D3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E76509E" w14:textId="77777777" w:rsidR="00495942" w:rsidRPr="00DF3370" w:rsidRDefault="00495942" w:rsidP="00970062">
            <w:pPr>
              <w:spacing w:after="120" w:line="288" w:lineRule="auto"/>
              <w:rPr>
                <w:rFonts w:ascii="Times New Roman" w:hAnsi="Times New Roman" w:cs="Times New Roman"/>
                <w:sz w:val="26"/>
                <w:szCs w:val="26"/>
              </w:rPr>
            </w:pPr>
            <w:r w:rsidRPr="00DF3370">
              <w:rPr>
                <w:rFonts w:ascii="Times New Roman" w:hAnsi="Times New Roman" w:cs="Times New Roman"/>
                <w:sz w:val="26"/>
                <w:szCs w:val="26"/>
              </w:rPr>
              <w:t xml:space="preserve">SF </w:t>
            </w:r>
          </w:p>
        </w:tc>
        <w:tc>
          <w:tcPr>
            <w:tcW w:w="10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FF9FA1" w14:textId="44AD2145" w:rsidR="00495942" w:rsidRPr="00DF3370" w:rsidRDefault="00495942"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0.922</w:t>
            </w:r>
          </w:p>
        </w:tc>
        <w:tc>
          <w:tcPr>
            <w:tcW w:w="12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89BC26D" w14:textId="40E232ED" w:rsidR="00495942" w:rsidRPr="00DF3370" w:rsidRDefault="00495942"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0.923</w:t>
            </w:r>
          </w:p>
        </w:tc>
        <w:tc>
          <w:tcPr>
            <w:tcW w:w="120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7E8864" w14:textId="40C8864A" w:rsidR="00495942" w:rsidRPr="00DF3370" w:rsidRDefault="00495942"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0.941</w:t>
            </w:r>
          </w:p>
        </w:tc>
        <w:tc>
          <w:tcPr>
            <w:tcW w:w="109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3435864" w14:textId="67D496B4" w:rsidR="00495942" w:rsidRPr="00DF3370" w:rsidRDefault="00495942"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0.762</w:t>
            </w:r>
          </w:p>
        </w:tc>
      </w:tr>
    </w:tbl>
    <w:p w14:paraId="47051719" w14:textId="0D33E010" w:rsidR="005E41FD" w:rsidRPr="00DF3370" w:rsidRDefault="00495942"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Table 2: Construct Reliability and Validity - Overview</w:t>
      </w:r>
    </w:p>
    <w:p w14:paraId="6FDB64FA" w14:textId="73B6AD7B" w:rsidR="005E41FD" w:rsidRPr="00DF3370" w:rsidRDefault="00BB0F1C" w:rsidP="00970062">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 xml:space="preserve">Table 2 shows </w:t>
      </w:r>
      <w:r w:rsidR="00624139" w:rsidRPr="00DF3370">
        <w:rPr>
          <w:rFonts w:ascii="Times New Roman" w:hAnsi="Times New Roman" w:cs="Times New Roman"/>
          <w:sz w:val="26"/>
          <w:szCs w:val="26"/>
        </w:rPr>
        <w:t xml:space="preserve">the convergent validity </w:t>
      </w:r>
      <w:r w:rsidR="00DB7674" w:rsidRPr="00DF3370">
        <w:rPr>
          <w:rFonts w:ascii="Times New Roman" w:hAnsi="Times New Roman" w:cs="Times New Roman"/>
          <w:sz w:val="26"/>
          <w:szCs w:val="26"/>
        </w:rPr>
        <w:t>of</w:t>
      </w:r>
      <w:r w:rsidR="00624139" w:rsidRPr="00DF3370">
        <w:rPr>
          <w:rFonts w:ascii="Times New Roman" w:hAnsi="Times New Roman" w:cs="Times New Roman"/>
          <w:sz w:val="26"/>
          <w:szCs w:val="26"/>
        </w:rPr>
        <w:t xml:space="preserve"> latent variables, including DC, PL, and SF. The value of Cronbach’s alpha was larger than 0.70, fluctuating from 0.900 to 0.933. This reflect</w:t>
      </w:r>
      <w:r w:rsidR="0015597F" w:rsidRPr="00DF3370">
        <w:rPr>
          <w:rFonts w:ascii="Times New Roman" w:hAnsi="Times New Roman" w:cs="Times New Roman"/>
          <w:sz w:val="26"/>
          <w:szCs w:val="26"/>
        </w:rPr>
        <w:t>ed</w:t>
      </w:r>
      <w:r w:rsidR="00624139" w:rsidRPr="00DF3370">
        <w:rPr>
          <w:rFonts w:ascii="Times New Roman" w:hAnsi="Times New Roman" w:cs="Times New Roman"/>
          <w:sz w:val="26"/>
          <w:szCs w:val="26"/>
        </w:rPr>
        <w:t xml:space="preserve"> the high reliability of scales. Similarly, CR was also over 0.70, reflecting the consistency and stability of scales. Besides, EVA was from 0.715 to 0.790, exceeding 0.50. It was obvious that the observed variables adequately explained the variance of their corresponding latent constructs and </w:t>
      </w:r>
      <w:r w:rsidR="00F70A27" w:rsidRPr="00DF3370">
        <w:rPr>
          <w:rFonts w:ascii="Times New Roman" w:hAnsi="Times New Roman" w:cs="Times New Roman"/>
          <w:sz w:val="26"/>
          <w:szCs w:val="26"/>
        </w:rPr>
        <w:t>satisfied</w:t>
      </w:r>
      <w:r w:rsidR="00624139" w:rsidRPr="00DF3370">
        <w:rPr>
          <w:rFonts w:ascii="Times New Roman" w:hAnsi="Times New Roman" w:cs="Times New Roman"/>
          <w:sz w:val="26"/>
          <w:szCs w:val="26"/>
        </w:rPr>
        <w:t xml:space="preserve"> </w:t>
      </w:r>
      <w:r w:rsidR="00F70A27" w:rsidRPr="00DF3370">
        <w:rPr>
          <w:rFonts w:ascii="Times New Roman" w:hAnsi="Times New Roman" w:cs="Times New Roman"/>
          <w:sz w:val="26"/>
          <w:szCs w:val="26"/>
        </w:rPr>
        <w:t>the requirement for convergent validity.</w:t>
      </w:r>
      <w:r w:rsidR="000B08B9" w:rsidRPr="00DF3370">
        <w:rPr>
          <w:rFonts w:ascii="Times New Roman" w:hAnsi="Times New Roman" w:cs="Times New Roman"/>
          <w:sz w:val="26"/>
          <w:szCs w:val="26"/>
        </w:rPr>
        <w:t xml:space="preserve"> This result confirmed that the measurement model reached reliability and validation for the next analysis.</w:t>
      </w:r>
    </w:p>
    <w:tbl>
      <w:tblPr>
        <w:tblW w:w="2167" w:type="pct"/>
        <w:tblInd w:w="2692" w:type="dxa"/>
        <w:tblCellMar>
          <w:top w:w="15" w:type="dxa"/>
          <w:left w:w="15" w:type="dxa"/>
          <w:bottom w:w="15" w:type="dxa"/>
          <w:right w:w="15" w:type="dxa"/>
        </w:tblCellMar>
        <w:tblLook w:val="04A0" w:firstRow="1" w:lastRow="0" w:firstColumn="1" w:lastColumn="0" w:noHBand="0" w:noVBand="1"/>
      </w:tblPr>
      <w:tblGrid>
        <w:gridCol w:w="900"/>
        <w:gridCol w:w="1074"/>
        <w:gridCol w:w="1079"/>
        <w:gridCol w:w="997"/>
      </w:tblGrid>
      <w:tr w:rsidR="00F81C52" w:rsidRPr="00DF3370" w14:paraId="74867193" w14:textId="77777777" w:rsidTr="00AF1264">
        <w:tc>
          <w:tcPr>
            <w:tcW w:w="111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A5B270A" w14:textId="77777777" w:rsidR="00F81C52" w:rsidRPr="00DF3370" w:rsidRDefault="00F81C52" w:rsidP="00AF1264">
            <w:pPr>
              <w:spacing w:after="120" w:line="288" w:lineRule="auto"/>
              <w:jc w:val="center"/>
              <w:rPr>
                <w:rFonts w:ascii="Times New Roman" w:hAnsi="Times New Roman" w:cs="Times New Roman"/>
                <w:sz w:val="26"/>
                <w:szCs w:val="26"/>
              </w:rPr>
            </w:pPr>
          </w:p>
        </w:tc>
        <w:tc>
          <w:tcPr>
            <w:tcW w:w="132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F5AAC3" w14:textId="142061C3" w:rsidR="00F81C52" w:rsidRPr="00DF3370" w:rsidRDefault="00F81C52" w:rsidP="00AF1264">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DC</w:t>
            </w:r>
          </w:p>
        </w:tc>
        <w:tc>
          <w:tcPr>
            <w:tcW w:w="133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A4C58A" w14:textId="39532199" w:rsidR="00F81C52" w:rsidRPr="00DF3370" w:rsidRDefault="00F81C52" w:rsidP="00AF1264">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PL</w:t>
            </w:r>
          </w:p>
        </w:tc>
        <w:tc>
          <w:tcPr>
            <w:tcW w:w="123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3B4301" w14:textId="453CC76B" w:rsidR="00F81C52" w:rsidRPr="00DF3370" w:rsidRDefault="00F81C52" w:rsidP="00AF1264">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SF</w:t>
            </w:r>
          </w:p>
        </w:tc>
      </w:tr>
      <w:tr w:rsidR="00F81C52" w:rsidRPr="00DF3370" w14:paraId="72517F9D" w14:textId="77777777" w:rsidTr="00AF1264">
        <w:trPr>
          <w:trHeight w:val="291"/>
        </w:trPr>
        <w:tc>
          <w:tcPr>
            <w:tcW w:w="111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C00A0A" w14:textId="47BB2FBC" w:rsidR="00F81C52" w:rsidRPr="00DF3370" w:rsidRDefault="00F81C52" w:rsidP="00AF1264">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DC</w:t>
            </w:r>
          </w:p>
        </w:tc>
        <w:tc>
          <w:tcPr>
            <w:tcW w:w="132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4E025E" w14:textId="77777777" w:rsidR="00F81C52" w:rsidRPr="00DF3370" w:rsidRDefault="00F81C52" w:rsidP="00AF1264">
            <w:pPr>
              <w:spacing w:after="120" w:line="288" w:lineRule="auto"/>
              <w:jc w:val="center"/>
              <w:rPr>
                <w:rFonts w:ascii="Times New Roman" w:hAnsi="Times New Roman" w:cs="Times New Roman"/>
                <w:sz w:val="26"/>
                <w:szCs w:val="26"/>
              </w:rPr>
            </w:pPr>
          </w:p>
        </w:tc>
        <w:tc>
          <w:tcPr>
            <w:tcW w:w="133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9BD96BB" w14:textId="77777777" w:rsidR="00F81C52" w:rsidRPr="00DF3370" w:rsidRDefault="00F81C52" w:rsidP="00AF1264">
            <w:pPr>
              <w:spacing w:after="120" w:line="288" w:lineRule="auto"/>
              <w:jc w:val="center"/>
              <w:rPr>
                <w:rFonts w:ascii="Times New Roman" w:hAnsi="Times New Roman" w:cs="Times New Roman"/>
                <w:sz w:val="26"/>
                <w:szCs w:val="26"/>
              </w:rPr>
            </w:pPr>
          </w:p>
        </w:tc>
        <w:tc>
          <w:tcPr>
            <w:tcW w:w="123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4C61D2" w14:textId="77777777" w:rsidR="00F81C52" w:rsidRPr="00DF3370" w:rsidRDefault="00F81C52" w:rsidP="00AF1264">
            <w:pPr>
              <w:spacing w:after="120" w:line="288" w:lineRule="auto"/>
              <w:jc w:val="center"/>
              <w:rPr>
                <w:rFonts w:ascii="Times New Roman" w:hAnsi="Times New Roman" w:cs="Times New Roman"/>
                <w:sz w:val="26"/>
                <w:szCs w:val="26"/>
              </w:rPr>
            </w:pPr>
          </w:p>
        </w:tc>
      </w:tr>
      <w:tr w:rsidR="00F81C52" w:rsidRPr="00DF3370" w14:paraId="3A03E920" w14:textId="77777777" w:rsidTr="00AF1264">
        <w:tc>
          <w:tcPr>
            <w:tcW w:w="111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B99B16E" w14:textId="73230D4B" w:rsidR="00F81C52" w:rsidRPr="00DF3370" w:rsidRDefault="00F81C52" w:rsidP="00AF1264">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PL</w:t>
            </w:r>
          </w:p>
        </w:tc>
        <w:tc>
          <w:tcPr>
            <w:tcW w:w="132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238AB7F" w14:textId="22C1F9D3" w:rsidR="00F81C52" w:rsidRPr="00DF3370" w:rsidRDefault="00F81C52" w:rsidP="00AF1264">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w:t>
            </w:r>
            <w:r w:rsidR="00F45AC6" w:rsidRPr="00DF3370">
              <w:rPr>
                <w:rFonts w:ascii="Times New Roman" w:hAnsi="Times New Roman" w:cs="Times New Roman"/>
                <w:sz w:val="26"/>
                <w:szCs w:val="26"/>
              </w:rPr>
              <w:t>8</w:t>
            </w:r>
            <w:r w:rsidR="003370CA" w:rsidRPr="00DF3370">
              <w:rPr>
                <w:rFonts w:ascii="Times New Roman" w:hAnsi="Times New Roman" w:cs="Times New Roman"/>
                <w:sz w:val="26"/>
                <w:szCs w:val="26"/>
              </w:rPr>
              <w:t>4</w:t>
            </w:r>
            <w:r w:rsidRPr="00DF3370">
              <w:rPr>
                <w:rFonts w:ascii="Times New Roman" w:hAnsi="Times New Roman" w:cs="Times New Roman"/>
                <w:sz w:val="26"/>
                <w:szCs w:val="26"/>
              </w:rPr>
              <w:t>1</w:t>
            </w:r>
          </w:p>
        </w:tc>
        <w:tc>
          <w:tcPr>
            <w:tcW w:w="133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317D525" w14:textId="77777777" w:rsidR="00F81C52" w:rsidRPr="00DF3370" w:rsidRDefault="00F81C52" w:rsidP="00AF1264">
            <w:pPr>
              <w:spacing w:after="120" w:line="288" w:lineRule="auto"/>
              <w:jc w:val="center"/>
              <w:rPr>
                <w:rFonts w:ascii="Times New Roman" w:hAnsi="Times New Roman" w:cs="Times New Roman"/>
                <w:sz w:val="26"/>
                <w:szCs w:val="26"/>
              </w:rPr>
            </w:pPr>
          </w:p>
        </w:tc>
        <w:tc>
          <w:tcPr>
            <w:tcW w:w="123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58B425" w14:textId="77777777" w:rsidR="00F81C52" w:rsidRPr="00DF3370" w:rsidRDefault="00F81C52" w:rsidP="00AF1264">
            <w:pPr>
              <w:spacing w:after="120" w:line="288" w:lineRule="auto"/>
              <w:jc w:val="center"/>
              <w:rPr>
                <w:rFonts w:ascii="Times New Roman" w:hAnsi="Times New Roman" w:cs="Times New Roman"/>
                <w:sz w:val="26"/>
                <w:szCs w:val="26"/>
              </w:rPr>
            </w:pPr>
          </w:p>
        </w:tc>
      </w:tr>
      <w:tr w:rsidR="00F81C52" w:rsidRPr="00DF3370" w14:paraId="23633FE6" w14:textId="77777777" w:rsidTr="00AF1264">
        <w:trPr>
          <w:trHeight w:val="291"/>
        </w:trPr>
        <w:tc>
          <w:tcPr>
            <w:tcW w:w="111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1349DD" w14:textId="0699C5A2" w:rsidR="00F81C52" w:rsidRPr="00DF3370" w:rsidRDefault="00F81C52" w:rsidP="00AF1264">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SF</w:t>
            </w:r>
          </w:p>
        </w:tc>
        <w:tc>
          <w:tcPr>
            <w:tcW w:w="132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0589F0" w14:textId="543F913F" w:rsidR="00F81C52" w:rsidRPr="00DF3370" w:rsidRDefault="00F81C52" w:rsidP="00AF1264">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w:t>
            </w:r>
            <w:r w:rsidR="00F45AC6" w:rsidRPr="00DF3370">
              <w:rPr>
                <w:rFonts w:ascii="Times New Roman" w:hAnsi="Times New Roman" w:cs="Times New Roman"/>
                <w:sz w:val="26"/>
                <w:szCs w:val="26"/>
              </w:rPr>
              <w:t>8</w:t>
            </w:r>
            <w:r w:rsidR="003370CA" w:rsidRPr="00DF3370">
              <w:rPr>
                <w:rFonts w:ascii="Times New Roman" w:hAnsi="Times New Roman" w:cs="Times New Roman"/>
                <w:sz w:val="26"/>
                <w:szCs w:val="26"/>
              </w:rPr>
              <w:t>3</w:t>
            </w:r>
            <w:r w:rsidRPr="00DF3370">
              <w:rPr>
                <w:rFonts w:ascii="Times New Roman" w:hAnsi="Times New Roman" w:cs="Times New Roman"/>
                <w:sz w:val="26"/>
                <w:szCs w:val="26"/>
              </w:rPr>
              <w:t>7</w:t>
            </w:r>
          </w:p>
        </w:tc>
        <w:tc>
          <w:tcPr>
            <w:tcW w:w="133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89902F" w14:textId="25B3FCF9" w:rsidR="00F81C52" w:rsidRPr="00DF3370" w:rsidRDefault="00F81C52" w:rsidP="00AF1264">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w:t>
            </w:r>
            <w:r w:rsidR="00F45AC6" w:rsidRPr="00DF3370">
              <w:rPr>
                <w:rFonts w:ascii="Times New Roman" w:hAnsi="Times New Roman" w:cs="Times New Roman"/>
                <w:sz w:val="26"/>
                <w:szCs w:val="26"/>
              </w:rPr>
              <w:t>8</w:t>
            </w:r>
            <w:r w:rsidR="003370CA" w:rsidRPr="00DF3370">
              <w:rPr>
                <w:rFonts w:ascii="Times New Roman" w:hAnsi="Times New Roman" w:cs="Times New Roman"/>
                <w:sz w:val="26"/>
                <w:szCs w:val="26"/>
              </w:rPr>
              <w:t>3</w:t>
            </w:r>
            <w:r w:rsidRPr="00DF3370">
              <w:rPr>
                <w:rFonts w:ascii="Times New Roman" w:hAnsi="Times New Roman" w:cs="Times New Roman"/>
                <w:sz w:val="26"/>
                <w:szCs w:val="26"/>
              </w:rPr>
              <w:t>5</w:t>
            </w:r>
          </w:p>
        </w:tc>
        <w:tc>
          <w:tcPr>
            <w:tcW w:w="123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16D264E" w14:textId="77777777" w:rsidR="00F81C52" w:rsidRPr="00DF3370" w:rsidRDefault="00F81C52" w:rsidP="00AF1264">
            <w:pPr>
              <w:spacing w:after="120" w:line="288" w:lineRule="auto"/>
              <w:jc w:val="center"/>
              <w:rPr>
                <w:rFonts w:ascii="Times New Roman" w:hAnsi="Times New Roman" w:cs="Times New Roman"/>
                <w:sz w:val="26"/>
                <w:szCs w:val="26"/>
              </w:rPr>
            </w:pPr>
          </w:p>
        </w:tc>
      </w:tr>
    </w:tbl>
    <w:p w14:paraId="3E2FA962" w14:textId="4D8523E5" w:rsidR="00F81C52" w:rsidRPr="00DF3370" w:rsidRDefault="00F81C52" w:rsidP="00B30DD3">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Table 3: Discriminant validity -HTMT Matrix</w:t>
      </w:r>
    </w:p>
    <w:p w14:paraId="27A8BEAE" w14:textId="77777777" w:rsidR="00870725" w:rsidRPr="00DF3370" w:rsidRDefault="00B45911" w:rsidP="00970062">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lastRenderedPageBreak/>
        <w:t>Table</w:t>
      </w:r>
      <w:r w:rsidR="00413643" w:rsidRPr="00DF3370">
        <w:rPr>
          <w:rFonts w:ascii="Times New Roman" w:hAnsi="Times New Roman" w:cs="Times New Roman"/>
          <w:sz w:val="26"/>
          <w:szCs w:val="26"/>
        </w:rPr>
        <w:t xml:space="preserve"> 3 shows the discriminant validity of concepts of latent variables, including DC, PL, and SF. The HTMT coefficient between PL and DC was 0.</w:t>
      </w:r>
      <w:r w:rsidR="00726D85" w:rsidRPr="00DF3370">
        <w:rPr>
          <w:rFonts w:ascii="Times New Roman" w:hAnsi="Times New Roman" w:cs="Times New Roman"/>
          <w:sz w:val="26"/>
          <w:szCs w:val="26"/>
        </w:rPr>
        <w:t>8</w:t>
      </w:r>
      <w:r w:rsidR="00413643" w:rsidRPr="00DF3370">
        <w:rPr>
          <w:rFonts w:ascii="Times New Roman" w:hAnsi="Times New Roman" w:cs="Times New Roman"/>
          <w:sz w:val="26"/>
          <w:szCs w:val="26"/>
        </w:rPr>
        <w:t>6</w:t>
      </w:r>
      <w:r w:rsidR="00047D49" w:rsidRPr="00DF3370">
        <w:rPr>
          <w:rFonts w:ascii="Times New Roman" w:hAnsi="Times New Roman" w:cs="Times New Roman"/>
          <w:sz w:val="26"/>
          <w:szCs w:val="26"/>
        </w:rPr>
        <w:t>1</w:t>
      </w:r>
      <w:r w:rsidR="00413643" w:rsidRPr="00DF3370">
        <w:rPr>
          <w:rFonts w:ascii="Times New Roman" w:hAnsi="Times New Roman" w:cs="Times New Roman"/>
          <w:sz w:val="26"/>
          <w:szCs w:val="26"/>
        </w:rPr>
        <w:t>, SF and DC (0.</w:t>
      </w:r>
      <w:r w:rsidR="00726D85" w:rsidRPr="00DF3370">
        <w:rPr>
          <w:rFonts w:ascii="Times New Roman" w:hAnsi="Times New Roman" w:cs="Times New Roman"/>
          <w:sz w:val="26"/>
          <w:szCs w:val="26"/>
        </w:rPr>
        <w:t>8</w:t>
      </w:r>
      <w:r w:rsidR="00413643" w:rsidRPr="00DF3370">
        <w:rPr>
          <w:rFonts w:ascii="Times New Roman" w:hAnsi="Times New Roman" w:cs="Times New Roman"/>
          <w:sz w:val="26"/>
          <w:szCs w:val="26"/>
        </w:rPr>
        <w:t>67), and SF and PL (0.</w:t>
      </w:r>
      <w:r w:rsidR="00726D85" w:rsidRPr="00DF3370">
        <w:rPr>
          <w:rFonts w:ascii="Times New Roman" w:hAnsi="Times New Roman" w:cs="Times New Roman"/>
          <w:sz w:val="26"/>
          <w:szCs w:val="26"/>
        </w:rPr>
        <w:t>8</w:t>
      </w:r>
      <w:r w:rsidR="00413643" w:rsidRPr="00DF3370">
        <w:rPr>
          <w:rFonts w:ascii="Times New Roman" w:hAnsi="Times New Roman" w:cs="Times New Roman"/>
          <w:sz w:val="26"/>
          <w:szCs w:val="26"/>
        </w:rPr>
        <w:t xml:space="preserve">75). </w:t>
      </w:r>
    </w:p>
    <w:tbl>
      <w:tblPr>
        <w:tblW w:w="3034" w:type="pct"/>
        <w:tblInd w:w="2062" w:type="dxa"/>
        <w:tblCellMar>
          <w:top w:w="15" w:type="dxa"/>
          <w:left w:w="15" w:type="dxa"/>
          <w:bottom w:w="15" w:type="dxa"/>
          <w:right w:w="15" w:type="dxa"/>
        </w:tblCellMar>
        <w:tblLook w:val="04A0" w:firstRow="1" w:lastRow="0" w:firstColumn="1" w:lastColumn="0" w:noHBand="0" w:noVBand="1"/>
      </w:tblPr>
      <w:tblGrid>
        <w:gridCol w:w="1080"/>
        <w:gridCol w:w="2251"/>
        <w:gridCol w:w="2339"/>
      </w:tblGrid>
      <w:tr w:rsidR="00B515D2" w:rsidRPr="00DF3370" w14:paraId="6137C114" w14:textId="77777777" w:rsidTr="0032018C">
        <w:tc>
          <w:tcPr>
            <w:tcW w:w="9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F510CB" w14:textId="64D10FB3" w:rsidR="00B515D2" w:rsidRPr="00DF3370" w:rsidRDefault="00870725" w:rsidP="0032018C">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br w:type="page"/>
            </w:r>
          </w:p>
        </w:tc>
        <w:tc>
          <w:tcPr>
            <w:tcW w:w="198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19227CB" w14:textId="2ECDE7D4" w:rsidR="00B515D2" w:rsidRPr="00DF3370" w:rsidRDefault="00B515D2" w:rsidP="0032018C">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R-square</w:t>
            </w:r>
          </w:p>
        </w:tc>
        <w:tc>
          <w:tcPr>
            <w:tcW w:w="20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0D6DBD" w14:textId="2C438330" w:rsidR="00B515D2" w:rsidRPr="00DF3370" w:rsidRDefault="00B515D2" w:rsidP="0032018C">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R-square adjusted</w:t>
            </w:r>
          </w:p>
        </w:tc>
      </w:tr>
      <w:tr w:rsidR="00B515D2" w:rsidRPr="00DF3370" w14:paraId="5841696D" w14:textId="77777777" w:rsidTr="0032018C">
        <w:tc>
          <w:tcPr>
            <w:tcW w:w="9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F6F8CE" w14:textId="350C93BE" w:rsidR="00B515D2" w:rsidRPr="00DF3370" w:rsidRDefault="00B515D2" w:rsidP="0032018C">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PL</w:t>
            </w:r>
          </w:p>
        </w:tc>
        <w:tc>
          <w:tcPr>
            <w:tcW w:w="198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B3B6D3" w14:textId="3E8CA88E" w:rsidR="00B515D2" w:rsidRPr="00DF3370" w:rsidRDefault="00B515D2" w:rsidP="0032018C">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0.852</w:t>
            </w:r>
          </w:p>
        </w:tc>
        <w:tc>
          <w:tcPr>
            <w:tcW w:w="20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799B23" w14:textId="352B22D5" w:rsidR="00B515D2" w:rsidRPr="00DF3370" w:rsidRDefault="00B515D2" w:rsidP="0032018C">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0.851</w:t>
            </w:r>
          </w:p>
        </w:tc>
      </w:tr>
      <w:tr w:rsidR="00B515D2" w:rsidRPr="00DF3370" w14:paraId="2CD903DB" w14:textId="77777777" w:rsidTr="0032018C">
        <w:tc>
          <w:tcPr>
            <w:tcW w:w="9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766106" w14:textId="52E417A6" w:rsidR="00B515D2" w:rsidRPr="00DF3370" w:rsidRDefault="00B515D2" w:rsidP="0032018C">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SF</w:t>
            </w:r>
          </w:p>
        </w:tc>
        <w:tc>
          <w:tcPr>
            <w:tcW w:w="198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7508A2" w14:textId="136C2615" w:rsidR="00B515D2" w:rsidRPr="00DF3370" w:rsidRDefault="00B515D2" w:rsidP="0032018C">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0.783</w:t>
            </w:r>
          </w:p>
        </w:tc>
        <w:tc>
          <w:tcPr>
            <w:tcW w:w="20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D90670" w14:textId="36FDA0E3" w:rsidR="00B515D2" w:rsidRPr="00DF3370" w:rsidRDefault="00B515D2" w:rsidP="0032018C">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0.782</w:t>
            </w:r>
          </w:p>
        </w:tc>
      </w:tr>
    </w:tbl>
    <w:p w14:paraId="006EBE47" w14:textId="1411CC05" w:rsidR="005E41FD" w:rsidRPr="00DF3370" w:rsidRDefault="00B515D2"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 xml:space="preserve">Table 4: R-Square </w:t>
      </w:r>
      <w:r w:rsidR="003017B9" w:rsidRPr="00DF3370">
        <w:rPr>
          <w:rFonts w:ascii="Times New Roman" w:hAnsi="Times New Roman" w:cs="Times New Roman"/>
          <w:sz w:val="26"/>
          <w:szCs w:val="26"/>
        </w:rPr>
        <w:t>Overview</w:t>
      </w:r>
    </w:p>
    <w:p w14:paraId="3753426F" w14:textId="7A2300C2" w:rsidR="004F29E0" w:rsidRPr="00DF3370" w:rsidRDefault="00413643" w:rsidP="00970062">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Table 4</w:t>
      </w:r>
      <w:r w:rsidR="004F29E0" w:rsidRPr="00DF3370">
        <w:rPr>
          <w:rFonts w:ascii="Times New Roman" w:hAnsi="Times New Roman" w:cs="Times New Roman"/>
          <w:sz w:val="26"/>
          <w:szCs w:val="26"/>
        </w:rPr>
        <w:t xml:space="preserve"> presents the explanation of the model through R-square overview. The R-square value of PL was 0.852, and the R-square adjusted was 0.851, while the R-square of SF was 0.783, and adjusted 0.782. Generally,</w:t>
      </w:r>
      <w:r w:rsidR="005A077F" w:rsidRPr="00DF3370">
        <w:rPr>
          <w:rFonts w:ascii="Times New Roman" w:hAnsi="Times New Roman" w:cs="Times New Roman"/>
          <w:sz w:val="26"/>
          <w:szCs w:val="26"/>
        </w:rPr>
        <w:t xml:space="preserve"> it meant that the model explained the </w:t>
      </w:r>
      <w:r w:rsidR="00B45911" w:rsidRPr="00DF3370">
        <w:rPr>
          <w:rFonts w:ascii="Times New Roman" w:hAnsi="Times New Roman" w:cs="Times New Roman"/>
          <w:sz w:val="26"/>
          <w:szCs w:val="26"/>
        </w:rPr>
        <w:t>dependent</w:t>
      </w:r>
      <w:r w:rsidR="005A077F" w:rsidRPr="00DF3370">
        <w:rPr>
          <w:rFonts w:ascii="Times New Roman" w:hAnsi="Times New Roman" w:cs="Times New Roman"/>
          <w:sz w:val="26"/>
          <w:szCs w:val="26"/>
        </w:rPr>
        <w:t xml:space="preserve"> variables (PL and SF) quite well.</w:t>
      </w:r>
    </w:p>
    <w:tbl>
      <w:tblPr>
        <w:tblW w:w="1970" w:type="pct"/>
        <w:tblInd w:w="2691" w:type="dxa"/>
        <w:tblCellMar>
          <w:top w:w="15" w:type="dxa"/>
          <w:left w:w="15" w:type="dxa"/>
          <w:bottom w:w="15" w:type="dxa"/>
          <w:right w:w="15" w:type="dxa"/>
        </w:tblCellMar>
        <w:tblLook w:val="04A0" w:firstRow="1" w:lastRow="0" w:firstColumn="1" w:lastColumn="0" w:noHBand="0" w:noVBand="1"/>
      </w:tblPr>
      <w:tblGrid>
        <w:gridCol w:w="892"/>
        <w:gridCol w:w="909"/>
        <w:gridCol w:w="890"/>
        <w:gridCol w:w="991"/>
      </w:tblGrid>
      <w:tr w:rsidR="003017B9" w:rsidRPr="00DF3370" w14:paraId="1541BC85" w14:textId="77777777" w:rsidTr="0001586E">
        <w:tc>
          <w:tcPr>
            <w:tcW w:w="121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0BBB98A" w14:textId="77777777" w:rsidR="003017B9" w:rsidRPr="00DF3370" w:rsidRDefault="003017B9" w:rsidP="0001586E">
            <w:pPr>
              <w:spacing w:after="120" w:line="288" w:lineRule="auto"/>
              <w:jc w:val="center"/>
              <w:rPr>
                <w:rFonts w:ascii="Times New Roman" w:hAnsi="Times New Roman" w:cs="Times New Roman"/>
                <w:sz w:val="26"/>
                <w:szCs w:val="26"/>
              </w:rPr>
            </w:pPr>
          </w:p>
        </w:tc>
        <w:tc>
          <w:tcPr>
            <w:tcW w:w="12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CC9AE37" w14:textId="18ECA59F" w:rsidR="003017B9" w:rsidRPr="00DF3370" w:rsidRDefault="003017B9" w:rsidP="0001586E">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DC</w:t>
            </w:r>
          </w:p>
        </w:tc>
        <w:tc>
          <w:tcPr>
            <w:tcW w:w="120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2D279B" w14:textId="499A88B9" w:rsidR="003017B9" w:rsidRPr="00DF3370" w:rsidRDefault="003017B9" w:rsidP="0001586E">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PL</w:t>
            </w:r>
          </w:p>
        </w:tc>
        <w:tc>
          <w:tcPr>
            <w:tcW w:w="13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5544EB" w14:textId="487BF161" w:rsidR="003017B9" w:rsidRPr="00DF3370" w:rsidRDefault="003017B9" w:rsidP="0001586E">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SF</w:t>
            </w:r>
          </w:p>
        </w:tc>
      </w:tr>
      <w:tr w:rsidR="003017B9" w:rsidRPr="00DF3370" w14:paraId="4A70DED9" w14:textId="77777777" w:rsidTr="0001586E">
        <w:tc>
          <w:tcPr>
            <w:tcW w:w="121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EA094B" w14:textId="55E7FDB7" w:rsidR="003017B9" w:rsidRPr="00DF3370" w:rsidRDefault="003017B9" w:rsidP="0001586E">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DC</w:t>
            </w:r>
          </w:p>
        </w:tc>
        <w:tc>
          <w:tcPr>
            <w:tcW w:w="12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7346F4" w14:textId="77777777" w:rsidR="003017B9" w:rsidRPr="00DF3370" w:rsidRDefault="003017B9" w:rsidP="0001586E">
            <w:pPr>
              <w:spacing w:after="120" w:line="288" w:lineRule="auto"/>
              <w:jc w:val="center"/>
              <w:rPr>
                <w:rFonts w:ascii="Times New Roman" w:hAnsi="Times New Roman" w:cs="Times New Roman"/>
                <w:sz w:val="26"/>
                <w:szCs w:val="26"/>
              </w:rPr>
            </w:pPr>
          </w:p>
        </w:tc>
        <w:tc>
          <w:tcPr>
            <w:tcW w:w="120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75EE23" w14:textId="3FFD2967" w:rsidR="003017B9" w:rsidRPr="00DF3370" w:rsidRDefault="003017B9" w:rsidP="0001586E">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0.213</w:t>
            </w:r>
          </w:p>
        </w:tc>
        <w:tc>
          <w:tcPr>
            <w:tcW w:w="13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3D72FB" w14:textId="6E2A18AD" w:rsidR="003017B9" w:rsidRPr="00DF3370" w:rsidRDefault="003017B9" w:rsidP="0001586E">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3.608</w:t>
            </w:r>
          </w:p>
        </w:tc>
      </w:tr>
      <w:tr w:rsidR="003017B9" w:rsidRPr="00DF3370" w14:paraId="719B1B45" w14:textId="77777777" w:rsidTr="0001586E">
        <w:tc>
          <w:tcPr>
            <w:tcW w:w="121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722189A" w14:textId="600190E5" w:rsidR="003017B9" w:rsidRPr="00DF3370" w:rsidRDefault="003017B9" w:rsidP="0001586E">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PL</w:t>
            </w:r>
          </w:p>
        </w:tc>
        <w:tc>
          <w:tcPr>
            <w:tcW w:w="12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16A9C2" w14:textId="77777777" w:rsidR="003017B9" w:rsidRPr="00DF3370" w:rsidRDefault="003017B9" w:rsidP="0001586E">
            <w:pPr>
              <w:spacing w:after="120" w:line="288" w:lineRule="auto"/>
              <w:jc w:val="center"/>
              <w:rPr>
                <w:rFonts w:ascii="Times New Roman" w:hAnsi="Times New Roman" w:cs="Times New Roman"/>
                <w:sz w:val="26"/>
                <w:szCs w:val="26"/>
              </w:rPr>
            </w:pPr>
          </w:p>
        </w:tc>
        <w:tc>
          <w:tcPr>
            <w:tcW w:w="120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A7B3AD6" w14:textId="77777777" w:rsidR="003017B9" w:rsidRPr="00DF3370" w:rsidRDefault="003017B9" w:rsidP="0001586E">
            <w:pPr>
              <w:spacing w:after="120" w:line="288" w:lineRule="auto"/>
              <w:jc w:val="center"/>
              <w:rPr>
                <w:rFonts w:ascii="Times New Roman" w:hAnsi="Times New Roman" w:cs="Times New Roman"/>
                <w:sz w:val="26"/>
                <w:szCs w:val="26"/>
              </w:rPr>
            </w:pPr>
          </w:p>
        </w:tc>
        <w:tc>
          <w:tcPr>
            <w:tcW w:w="13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8D08E5" w14:textId="77777777" w:rsidR="003017B9" w:rsidRPr="00DF3370" w:rsidRDefault="003017B9" w:rsidP="0001586E">
            <w:pPr>
              <w:spacing w:after="120" w:line="288" w:lineRule="auto"/>
              <w:jc w:val="center"/>
              <w:rPr>
                <w:rFonts w:ascii="Times New Roman" w:hAnsi="Times New Roman" w:cs="Times New Roman"/>
                <w:sz w:val="26"/>
                <w:szCs w:val="26"/>
              </w:rPr>
            </w:pPr>
          </w:p>
        </w:tc>
      </w:tr>
      <w:tr w:rsidR="003017B9" w:rsidRPr="00DF3370" w14:paraId="7F47331E" w14:textId="77777777" w:rsidTr="0001586E">
        <w:tc>
          <w:tcPr>
            <w:tcW w:w="121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721D5A" w14:textId="37207855" w:rsidR="003017B9" w:rsidRPr="00DF3370" w:rsidRDefault="003017B9" w:rsidP="0001586E">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SF</w:t>
            </w:r>
          </w:p>
        </w:tc>
        <w:tc>
          <w:tcPr>
            <w:tcW w:w="12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DCE621" w14:textId="77777777" w:rsidR="003017B9" w:rsidRPr="00DF3370" w:rsidRDefault="003017B9" w:rsidP="0001586E">
            <w:pPr>
              <w:spacing w:after="120" w:line="288" w:lineRule="auto"/>
              <w:jc w:val="center"/>
              <w:rPr>
                <w:rFonts w:ascii="Times New Roman" w:hAnsi="Times New Roman" w:cs="Times New Roman"/>
                <w:sz w:val="26"/>
                <w:szCs w:val="26"/>
              </w:rPr>
            </w:pPr>
          </w:p>
        </w:tc>
        <w:tc>
          <w:tcPr>
            <w:tcW w:w="120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755110" w14:textId="73B5383B" w:rsidR="003017B9" w:rsidRPr="00DF3370" w:rsidRDefault="003017B9" w:rsidP="0001586E">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0.476</w:t>
            </w:r>
          </w:p>
        </w:tc>
        <w:tc>
          <w:tcPr>
            <w:tcW w:w="134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B39AD2" w14:textId="77777777" w:rsidR="003017B9" w:rsidRPr="00DF3370" w:rsidRDefault="003017B9" w:rsidP="0001586E">
            <w:pPr>
              <w:spacing w:after="120" w:line="288" w:lineRule="auto"/>
              <w:jc w:val="center"/>
              <w:rPr>
                <w:rFonts w:ascii="Times New Roman" w:hAnsi="Times New Roman" w:cs="Times New Roman"/>
                <w:sz w:val="26"/>
                <w:szCs w:val="26"/>
              </w:rPr>
            </w:pPr>
          </w:p>
        </w:tc>
      </w:tr>
    </w:tbl>
    <w:p w14:paraId="63344E38" w14:textId="719F9119" w:rsidR="003017B9" w:rsidRPr="00DF3370" w:rsidRDefault="003017B9"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 xml:space="preserve">Table 5: </w:t>
      </w:r>
      <w:r w:rsidR="00B45911" w:rsidRPr="00DF3370">
        <w:rPr>
          <w:rFonts w:ascii="Times New Roman" w:hAnsi="Times New Roman" w:cs="Times New Roman"/>
          <w:sz w:val="26"/>
          <w:szCs w:val="26"/>
        </w:rPr>
        <w:t>F-Square</w:t>
      </w:r>
      <w:r w:rsidRPr="00DF3370">
        <w:rPr>
          <w:rFonts w:ascii="Times New Roman" w:hAnsi="Times New Roman" w:cs="Times New Roman"/>
          <w:sz w:val="26"/>
          <w:szCs w:val="26"/>
        </w:rPr>
        <w:t xml:space="preserve"> Overview</w:t>
      </w:r>
    </w:p>
    <w:p w14:paraId="2D0C29B2" w14:textId="53BEF1FA" w:rsidR="005A077F" w:rsidRPr="00DF3370" w:rsidRDefault="005A077F" w:rsidP="00970062">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 xml:space="preserve">Table 5 </w:t>
      </w:r>
      <w:r w:rsidR="0058225D" w:rsidRPr="00DF3370">
        <w:rPr>
          <w:rFonts w:ascii="Times New Roman" w:hAnsi="Times New Roman" w:cs="Times New Roman"/>
          <w:sz w:val="26"/>
          <w:szCs w:val="26"/>
        </w:rPr>
        <w:t>demonstrate</w:t>
      </w:r>
      <w:r w:rsidRPr="00DF3370">
        <w:rPr>
          <w:rFonts w:ascii="Times New Roman" w:hAnsi="Times New Roman" w:cs="Times New Roman"/>
          <w:sz w:val="26"/>
          <w:szCs w:val="26"/>
        </w:rPr>
        <w:t xml:space="preserve">s the effect of independent variables on dependent variables. </w:t>
      </w:r>
      <w:r w:rsidR="0058225D" w:rsidRPr="00DF3370">
        <w:rPr>
          <w:rFonts w:ascii="Times New Roman" w:hAnsi="Times New Roman" w:cs="Times New Roman"/>
          <w:sz w:val="26"/>
          <w:szCs w:val="26"/>
        </w:rPr>
        <w:t>DC has a positive effect on PL with a coefficient of 0.213, a much larger positive effect on</w:t>
      </w:r>
      <w:r w:rsidR="00CE1CE0" w:rsidRPr="00DF3370">
        <w:rPr>
          <w:rFonts w:ascii="Times New Roman" w:hAnsi="Times New Roman" w:cs="Times New Roman"/>
          <w:sz w:val="26"/>
          <w:szCs w:val="26"/>
        </w:rPr>
        <w:t xml:space="preserve"> SF with a coefficient of 3.608, showing a very strong influence. Meanwhile, PL also affects SF with a coefficient of 0.476, suggesting a moderate influence.</w:t>
      </w:r>
    </w:p>
    <w:tbl>
      <w:tblPr>
        <w:tblW w:w="1970" w:type="pct"/>
        <w:tblInd w:w="2692" w:type="dxa"/>
        <w:tblCellMar>
          <w:top w:w="15" w:type="dxa"/>
          <w:left w:w="15" w:type="dxa"/>
          <w:bottom w:w="15" w:type="dxa"/>
          <w:right w:w="15" w:type="dxa"/>
        </w:tblCellMar>
        <w:tblLook w:val="04A0" w:firstRow="1" w:lastRow="0" w:firstColumn="1" w:lastColumn="0" w:noHBand="0" w:noVBand="1"/>
      </w:tblPr>
      <w:tblGrid>
        <w:gridCol w:w="720"/>
        <w:gridCol w:w="900"/>
        <w:gridCol w:w="982"/>
        <w:gridCol w:w="1080"/>
      </w:tblGrid>
      <w:tr w:rsidR="00ED0B43" w:rsidRPr="00DF3370" w14:paraId="44EFD006" w14:textId="77777777" w:rsidTr="00F14E6D">
        <w:tc>
          <w:tcPr>
            <w:tcW w:w="97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F5239C" w14:textId="77777777" w:rsidR="00ED0B43" w:rsidRPr="00DF3370" w:rsidRDefault="00ED0B43" w:rsidP="00507812">
            <w:pPr>
              <w:spacing w:after="120" w:line="288" w:lineRule="auto"/>
              <w:jc w:val="center"/>
              <w:rPr>
                <w:rFonts w:ascii="Times New Roman" w:hAnsi="Times New Roman" w:cs="Times New Roman"/>
                <w:sz w:val="26"/>
                <w:szCs w:val="26"/>
              </w:rPr>
            </w:pPr>
          </w:p>
        </w:tc>
        <w:tc>
          <w:tcPr>
            <w:tcW w:w="122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E63F34F" w14:textId="1248C897" w:rsidR="00ED0B43" w:rsidRPr="00DF3370" w:rsidRDefault="00ED0B43" w:rsidP="0050781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DC</w:t>
            </w:r>
          </w:p>
        </w:tc>
        <w:tc>
          <w:tcPr>
            <w:tcW w:w="13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B79FD29" w14:textId="0D4414E9" w:rsidR="00ED0B43" w:rsidRPr="00DF3370" w:rsidRDefault="00ED0B43" w:rsidP="0050781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PL</w:t>
            </w:r>
          </w:p>
        </w:tc>
        <w:tc>
          <w:tcPr>
            <w:tcW w:w="146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F1D11B" w14:textId="07E2F023" w:rsidR="00ED0B43" w:rsidRPr="00DF3370" w:rsidRDefault="00ED0B43" w:rsidP="0050781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SF</w:t>
            </w:r>
          </w:p>
        </w:tc>
      </w:tr>
      <w:tr w:rsidR="00ED0B43" w:rsidRPr="00DF3370" w14:paraId="3AECBAF6" w14:textId="77777777" w:rsidTr="00F14E6D">
        <w:tc>
          <w:tcPr>
            <w:tcW w:w="97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0C6081" w14:textId="282318C0" w:rsidR="00ED0B43" w:rsidRPr="00DF3370" w:rsidRDefault="00ED0B43" w:rsidP="0050781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DC</w:t>
            </w:r>
          </w:p>
        </w:tc>
        <w:tc>
          <w:tcPr>
            <w:tcW w:w="122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DF0509" w14:textId="77777777" w:rsidR="00ED0B43" w:rsidRPr="00DF3370" w:rsidRDefault="00ED0B43" w:rsidP="00507812">
            <w:pPr>
              <w:spacing w:after="120" w:line="288" w:lineRule="auto"/>
              <w:jc w:val="center"/>
              <w:rPr>
                <w:rFonts w:ascii="Times New Roman" w:hAnsi="Times New Roman" w:cs="Times New Roman"/>
                <w:sz w:val="26"/>
                <w:szCs w:val="26"/>
              </w:rPr>
            </w:pPr>
          </w:p>
        </w:tc>
        <w:tc>
          <w:tcPr>
            <w:tcW w:w="13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D111BE" w14:textId="657953C4" w:rsidR="00ED0B43" w:rsidRPr="00DF3370" w:rsidRDefault="00ED0B43" w:rsidP="0050781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0.381</w:t>
            </w:r>
          </w:p>
        </w:tc>
        <w:tc>
          <w:tcPr>
            <w:tcW w:w="146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5A2A04F" w14:textId="7A8F741F" w:rsidR="00ED0B43" w:rsidRPr="00DF3370" w:rsidRDefault="00ED0B43" w:rsidP="0050781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0.885</w:t>
            </w:r>
          </w:p>
        </w:tc>
      </w:tr>
      <w:tr w:rsidR="00ED0B43" w:rsidRPr="00DF3370" w14:paraId="287F17B6" w14:textId="77777777" w:rsidTr="00F14E6D">
        <w:tc>
          <w:tcPr>
            <w:tcW w:w="97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CD350D" w14:textId="6C66B502" w:rsidR="00ED0B43" w:rsidRPr="00DF3370" w:rsidRDefault="00ED0B43" w:rsidP="0050781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PL</w:t>
            </w:r>
          </w:p>
        </w:tc>
        <w:tc>
          <w:tcPr>
            <w:tcW w:w="122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790AB7" w14:textId="77777777" w:rsidR="00ED0B43" w:rsidRPr="00DF3370" w:rsidRDefault="00ED0B43" w:rsidP="00507812">
            <w:pPr>
              <w:spacing w:after="120" w:line="288" w:lineRule="auto"/>
              <w:jc w:val="center"/>
              <w:rPr>
                <w:rFonts w:ascii="Times New Roman" w:hAnsi="Times New Roman" w:cs="Times New Roman"/>
                <w:sz w:val="26"/>
                <w:szCs w:val="26"/>
              </w:rPr>
            </w:pPr>
          </w:p>
        </w:tc>
        <w:tc>
          <w:tcPr>
            <w:tcW w:w="13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39CE3E7" w14:textId="77777777" w:rsidR="00ED0B43" w:rsidRPr="00DF3370" w:rsidRDefault="00ED0B43" w:rsidP="00507812">
            <w:pPr>
              <w:spacing w:after="120" w:line="288" w:lineRule="auto"/>
              <w:jc w:val="center"/>
              <w:rPr>
                <w:rFonts w:ascii="Times New Roman" w:hAnsi="Times New Roman" w:cs="Times New Roman"/>
                <w:sz w:val="26"/>
                <w:szCs w:val="26"/>
              </w:rPr>
            </w:pPr>
          </w:p>
        </w:tc>
        <w:tc>
          <w:tcPr>
            <w:tcW w:w="146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DFCB17" w14:textId="77777777" w:rsidR="00ED0B43" w:rsidRPr="00DF3370" w:rsidRDefault="00ED0B43" w:rsidP="00507812">
            <w:pPr>
              <w:spacing w:after="120" w:line="288" w:lineRule="auto"/>
              <w:jc w:val="center"/>
              <w:rPr>
                <w:rFonts w:ascii="Times New Roman" w:hAnsi="Times New Roman" w:cs="Times New Roman"/>
                <w:sz w:val="26"/>
                <w:szCs w:val="26"/>
              </w:rPr>
            </w:pPr>
          </w:p>
        </w:tc>
      </w:tr>
      <w:tr w:rsidR="00ED0B43" w:rsidRPr="00DF3370" w14:paraId="2FE3AFAC" w14:textId="77777777" w:rsidTr="00F14E6D">
        <w:tc>
          <w:tcPr>
            <w:tcW w:w="97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EBD593D" w14:textId="3B3AEF5C" w:rsidR="00ED0B43" w:rsidRPr="00DF3370" w:rsidRDefault="00ED0B43" w:rsidP="0050781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SF</w:t>
            </w:r>
          </w:p>
        </w:tc>
        <w:tc>
          <w:tcPr>
            <w:tcW w:w="122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1554E0" w14:textId="77777777" w:rsidR="00ED0B43" w:rsidRPr="00DF3370" w:rsidRDefault="00ED0B43" w:rsidP="00507812">
            <w:pPr>
              <w:spacing w:after="120" w:line="288" w:lineRule="auto"/>
              <w:jc w:val="center"/>
              <w:rPr>
                <w:rFonts w:ascii="Times New Roman" w:hAnsi="Times New Roman" w:cs="Times New Roman"/>
                <w:sz w:val="26"/>
                <w:szCs w:val="26"/>
              </w:rPr>
            </w:pPr>
          </w:p>
        </w:tc>
        <w:tc>
          <w:tcPr>
            <w:tcW w:w="13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65D571" w14:textId="5EFD69F9" w:rsidR="00ED0B43" w:rsidRPr="00DF3370" w:rsidRDefault="00ED0B43" w:rsidP="0050781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0.569</w:t>
            </w:r>
          </w:p>
        </w:tc>
        <w:tc>
          <w:tcPr>
            <w:tcW w:w="146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BA0F24" w14:textId="77777777" w:rsidR="00ED0B43" w:rsidRPr="00DF3370" w:rsidRDefault="00ED0B43" w:rsidP="00507812">
            <w:pPr>
              <w:spacing w:after="120" w:line="288" w:lineRule="auto"/>
              <w:jc w:val="center"/>
              <w:rPr>
                <w:rFonts w:ascii="Times New Roman" w:hAnsi="Times New Roman" w:cs="Times New Roman"/>
                <w:sz w:val="26"/>
                <w:szCs w:val="26"/>
              </w:rPr>
            </w:pPr>
          </w:p>
        </w:tc>
      </w:tr>
    </w:tbl>
    <w:p w14:paraId="7BA5CEC1" w14:textId="02DA5B1B" w:rsidR="00ED0B43" w:rsidRPr="00DF3370" w:rsidRDefault="00ED0B43" w:rsidP="00970062">
      <w:pPr>
        <w:spacing w:after="120" w:line="288" w:lineRule="auto"/>
        <w:jc w:val="center"/>
        <w:rPr>
          <w:rFonts w:ascii="Times New Roman" w:hAnsi="Times New Roman" w:cs="Times New Roman"/>
          <w:sz w:val="26"/>
          <w:szCs w:val="26"/>
        </w:rPr>
      </w:pPr>
      <w:r w:rsidRPr="00DF3370">
        <w:rPr>
          <w:rFonts w:ascii="Times New Roman" w:hAnsi="Times New Roman" w:cs="Times New Roman"/>
          <w:sz w:val="26"/>
          <w:szCs w:val="26"/>
        </w:rPr>
        <w:t>Table</w:t>
      </w:r>
      <w:r w:rsidR="006426F5" w:rsidRPr="00DF3370">
        <w:rPr>
          <w:rFonts w:ascii="Times New Roman" w:hAnsi="Times New Roman" w:cs="Times New Roman"/>
          <w:sz w:val="26"/>
          <w:szCs w:val="26"/>
        </w:rPr>
        <w:t xml:space="preserve"> 6</w:t>
      </w:r>
      <w:r w:rsidRPr="00DF3370">
        <w:rPr>
          <w:rFonts w:ascii="Times New Roman" w:hAnsi="Times New Roman" w:cs="Times New Roman"/>
          <w:sz w:val="26"/>
          <w:szCs w:val="26"/>
        </w:rPr>
        <w:t>: Path Coefficients</w:t>
      </w:r>
      <w:r w:rsidR="0026543F" w:rsidRPr="00DF3370">
        <w:rPr>
          <w:rFonts w:ascii="Times New Roman" w:hAnsi="Times New Roman" w:cs="Times New Roman"/>
          <w:sz w:val="26"/>
          <w:szCs w:val="26"/>
        </w:rPr>
        <w:t>-Matrix</w:t>
      </w:r>
    </w:p>
    <w:p w14:paraId="753E17DE" w14:textId="0237DDEB" w:rsidR="000B08B9" w:rsidRPr="00DF3370" w:rsidRDefault="00077339" w:rsidP="00970062">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Table 6 illustrates the path coefficients of variables. In the model, the path coefficients were 0.381 (DC</w:t>
      </w:r>
      <w:r w:rsidRPr="00DF3370">
        <w:rPr>
          <w:rFonts w:ascii="Times New Roman" w:hAnsi="Times New Roman" w:cs="Times New Roman"/>
          <w:sz w:val="26"/>
          <w:szCs w:val="26"/>
        </w:rPr>
        <w:sym w:font="Wingdings 3" w:char="F022"/>
      </w:r>
      <w:r w:rsidRPr="00DF3370">
        <w:rPr>
          <w:rFonts w:ascii="Times New Roman" w:hAnsi="Times New Roman" w:cs="Times New Roman"/>
          <w:sz w:val="26"/>
          <w:szCs w:val="26"/>
        </w:rPr>
        <w:t>PL), 0.885 (DC</w:t>
      </w:r>
      <w:r w:rsidRPr="00DF3370">
        <w:rPr>
          <w:rFonts w:ascii="Times New Roman" w:hAnsi="Times New Roman" w:cs="Times New Roman"/>
          <w:sz w:val="26"/>
          <w:szCs w:val="26"/>
        </w:rPr>
        <w:sym w:font="Wingdings 3" w:char="F022"/>
      </w:r>
      <w:r w:rsidRPr="00DF3370">
        <w:rPr>
          <w:rFonts w:ascii="Times New Roman" w:hAnsi="Times New Roman" w:cs="Times New Roman"/>
          <w:sz w:val="26"/>
          <w:szCs w:val="26"/>
        </w:rPr>
        <w:t>SF), and 0.569 (PL</w:t>
      </w:r>
      <w:r w:rsidRPr="00DF3370">
        <w:rPr>
          <w:rFonts w:ascii="Times New Roman" w:hAnsi="Times New Roman" w:cs="Times New Roman"/>
          <w:sz w:val="26"/>
          <w:szCs w:val="26"/>
        </w:rPr>
        <w:sym w:font="Wingdings 3" w:char="F022"/>
      </w:r>
      <w:r w:rsidRPr="00DF3370">
        <w:rPr>
          <w:rFonts w:ascii="Times New Roman" w:hAnsi="Times New Roman" w:cs="Times New Roman"/>
          <w:sz w:val="26"/>
          <w:szCs w:val="26"/>
        </w:rPr>
        <w:t>SF). These coefficients reflected the influencing direction of the relationships in the model.</w:t>
      </w:r>
    </w:p>
    <w:p w14:paraId="0CF6499A" w14:textId="2FE26451" w:rsidR="00166ABF" w:rsidRPr="00DF3370" w:rsidRDefault="00166ABF" w:rsidP="00970062">
      <w:pPr>
        <w:spacing w:after="120" w:line="288" w:lineRule="auto"/>
        <w:rPr>
          <w:rFonts w:ascii="Times New Roman" w:hAnsi="Times New Roman" w:cs="Times New Roman"/>
          <w:sz w:val="26"/>
          <w:szCs w:val="26"/>
        </w:rPr>
      </w:pPr>
      <w:r w:rsidRPr="00DF3370">
        <w:rPr>
          <w:rFonts w:ascii="Times New Roman" w:hAnsi="Times New Roman" w:cs="Times New Roman"/>
          <w:sz w:val="26"/>
          <w:szCs w:val="26"/>
        </w:rPr>
        <w:lastRenderedPageBreak/>
        <w:t>Analyzing the relationship between variables was to clarify the effect of DC, SF, and PL. The analysis results from the questionnaire are found as follows.</w:t>
      </w:r>
    </w:p>
    <w:p w14:paraId="27E31973" w14:textId="77777777" w:rsidR="00870725" w:rsidRPr="00DF3370" w:rsidRDefault="005A152E" w:rsidP="00870725">
      <w:pPr>
        <w:spacing w:after="120" w:line="288" w:lineRule="auto"/>
        <w:jc w:val="center"/>
        <w:rPr>
          <w:rFonts w:ascii="Times New Roman" w:hAnsi="Times New Roman" w:cs="Times New Roman"/>
          <w:sz w:val="26"/>
          <w:szCs w:val="26"/>
        </w:rPr>
      </w:pPr>
      <w:r w:rsidRPr="00DF3370">
        <w:rPr>
          <w:noProof/>
        </w:rPr>
        <w:drawing>
          <wp:anchor distT="0" distB="0" distL="114300" distR="114300" simplePos="0" relativeHeight="251665408" behindDoc="0" locked="0" layoutInCell="1" allowOverlap="1" wp14:anchorId="6E4ED7FC" wp14:editId="5B3D6FE1">
            <wp:simplePos x="0" y="0"/>
            <wp:positionH relativeFrom="margin">
              <wp:posOffset>19050</wp:posOffset>
            </wp:positionH>
            <wp:positionV relativeFrom="paragraph">
              <wp:posOffset>177800</wp:posOffset>
            </wp:positionV>
            <wp:extent cx="5880100" cy="3289300"/>
            <wp:effectExtent l="0" t="0" r="6350" b="6350"/>
            <wp:wrapSquare wrapText="bothSides"/>
            <wp:docPr id="350266162" name="Chart 1">
              <a:extLst xmlns:a="http://schemas.openxmlformats.org/drawingml/2006/main">
                <a:ext uri="{FF2B5EF4-FFF2-40B4-BE49-F238E27FC236}">
                  <a16:creationId xmlns:a16="http://schemas.microsoft.com/office/drawing/2014/main" id="{ED7A6463-53A3-5896-8A38-824C1E9435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03BB81FC" w14:textId="44EFA621" w:rsidR="00AE2235" w:rsidRPr="00DF3370" w:rsidRDefault="00593AAB" w:rsidP="00870725">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 xml:space="preserve">Figure 1 presents instructors’ digital competence with five indicators (DC1-DC5). </w:t>
      </w:r>
      <w:r w:rsidR="003540C0" w:rsidRPr="00DF3370">
        <w:rPr>
          <w:rFonts w:ascii="Times New Roman" w:hAnsi="Times New Roman" w:cs="Times New Roman"/>
          <w:sz w:val="26"/>
          <w:szCs w:val="26"/>
        </w:rPr>
        <w:t>“agreement” and “</w:t>
      </w:r>
      <w:r w:rsidR="0044719B" w:rsidRPr="00DF3370">
        <w:rPr>
          <w:rFonts w:ascii="Times New Roman" w:hAnsi="Times New Roman" w:cs="Times New Roman"/>
          <w:sz w:val="26"/>
          <w:szCs w:val="26"/>
        </w:rPr>
        <w:t>strong</w:t>
      </w:r>
      <w:r w:rsidR="003540C0" w:rsidRPr="00DF3370">
        <w:rPr>
          <w:rFonts w:ascii="Times New Roman" w:hAnsi="Times New Roman" w:cs="Times New Roman"/>
          <w:sz w:val="26"/>
          <w:szCs w:val="26"/>
        </w:rPr>
        <w:t xml:space="preserve"> agreement” occupied the highest rate.</w:t>
      </w:r>
      <w:r w:rsidR="00454808" w:rsidRPr="00DF3370">
        <w:rPr>
          <w:rFonts w:ascii="Times New Roman" w:hAnsi="Times New Roman" w:cs="Times New Roman"/>
          <w:sz w:val="26"/>
          <w:szCs w:val="26"/>
        </w:rPr>
        <w:t xml:space="preserve"> This proved that instructors were confident about using technology. </w:t>
      </w:r>
      <w:r w:rsidR="00F901D1" w:rsidRPr="00DF3370">
        <w:rPr>
          <w:rFonts w:ascii="Times New Roman" w:hAnsi="Times New Roman" w:cs="Times New Roman"/>
          <w:sz w:val="26"/>
          <w:szCs w:val="26"/>
        </w:rPr>
        <w:t>Particularly, DC2 (selecting digital sources) was the highest</w:t>
      </w:r>
      <w:r w:rsidR="0044719B" w:rsidRPr="00DF3370">
        <w:rPr>
          <w:rFonts w:ascii="Times New Roman" w:hAnsi="Times New Roman" w:cs="Times New Roman"/>
          <w:sz w:val="26"/>
          <w:szCs w:val="26"/>
        </w:rPr>
        <w:t>,</w:t>
      </w:r>
      <w:r w:rsidR="00F901D1" w:rsidRPr="00DF3370">
        <w:rPr>
          <w:rFonts w:ascii="Times New Roman" w:hAnsi="Times New Roman" w:cs="Times New Roman"/>
          <w:sz w:val="26"/>
          <w:szCs w:val="26"/>
        </w:rPr>
        <w:t xml:space="preserve"> 92,3%; DC1 (effective use of digital tools in teaching) was 89,8%; and </w:t>
      </w:r>
      <w:r w:rsidR="00454808" w:rsidRPr="00DF3370">
        <w:rPr>
          <w:rFonts w:ascii="Times New Roman" w:hAnsi="Times New Roman" w:cs="Times New Roman"/>
          <w:sz w:val="26"/>
          <w:szCs w:val="26"/>
        </w:rPr>
        <w:t>DC5 (instructors’ support through digital platforms) was (83,3%)</w:t>
      </w:r>
      <w:r w:rsidR="00F901D1" w:rsidRPr="00DF3370">
        <w:rPr>
          <w:rFonts w:ascii="Times New Roman" w:hAnsi="Times New Roman" w:cs="Times New Roman"/>
          <w:sz w:val="26"/>
          <w:szCs w:val="26"/>
        </w:rPr>
        <w:t>.</w:t>
      </w:r>
      <w:r w:rsidR="00454808" w:rsidRPr="00DF3370">
        <w:rPr>
          <w:rFonts w:ascii="Times New Roman" w:hAnsi="Times New Roman" w:cs="Times New Roman"/>
          <w:sz w:val="26"/>
          <w:szCs w:val="26"/>
        </w:rPr>
        <w:t xml:space="preserve"> </w:t>
      </w:r>
      <w:r w:rsidR="007F697D" w:rsidRPr="00DF3370">
        <w:rPr>
          <w:rFonts w:ascii="Times New Roman" w:hAnsi="Times New Roman" w:cs="Times New Roman"/>
          <w:sz w:val="26"/>
          <w:szCs w:val="26"/>
        </w:rPr>
        <w:t>While the “Neutral” rate fluctuated from 3,3% (DC1), 2,8% (DC2), 17,1% (DC3 - effective digital classroom organization and management), 28,5% (DC4 - using technology to assess learning outcomes), and 48,4% (DC5</w:t>
      </w:r>
      <w:r w:rsidR="008A3BC5" w:rsidRPr="00DF3370">
        <w:rPr>
          <w:rFonts w:ascii="Times New Roman" w:hAnsi="Times New Roman" w:cs="Times New Roman"/>
          <w:sz w:val="26"/>
          <w:szCs w:val="26"/>
        </w:rPr>
        <w:t xml:space="preserve">). This reflected </w:t>
      </w:r>
      <w:r w:rsidR="0005065A" w:rsidRPr="00DF3370">
        <w:rPr>
          <w:rFonts w:ascii="Times New Roman" w:hAnsi="Times New Roman" w:cs="Times New Roman"/>
          <w:sz w:val="26"/>
          <w:szCs w:val="26"/>
        </w:rPr>
        <w:t xml:space="preserve">that </w:t>
      </w:r>
      <w:r w:rsidR="008A3BC5" w:rsidRPr="00DF3370">
        <w:rPr>
          <w:rFonts w:ascii="Times New Roman" w:hAnsi="Times New Roman" w:cs="Times New Roman"/>
          <w:sz w:val="26"/>
          <w:szCs w:val="26"/>
        </w:rPr>
        <w:t xml:space="preserve">some instructors hesitated to use technology. </w:t>
      </w:r>
      <w:r w:rsidR="0005065A" w:rsidRPr="00DF3370">
        <w:rPr>
          <w:rFonts w:ascii="Times New Roman" w:hAnsi="Times New Roman" w:cs="Times New Roman"/>
          <w:sz w:val="26"/>
          <w:szCs w:val="26"/>
        </w:rPr>
        <w:t>The rate of “disagree” and “strongly disagree” was the lowest</w:t>
      </w:r>
      <w:r w:rsidR="00D45EB5" w:rsidRPr="00DF3370">
        <w:rPr>
          <w:rFonts w:ascii="Times New Roman" w:hAnsi="Times New Roman" w:cs="Times New Roman"/>
          <w:sz w:val="26"/>
          <w:szCs w:val="26"/>
        </w:rPr>
        <w:t xml:space="preserve"> in most of the variables, such as DC1 (2,8%), DC2 (3,3%), DC3 (</w:t>
      </w:r>
      <w:r w:rsidR="00F76626" w:rsidRPr="00DF3370">
        <w:rPr>
          <w:rFonts w:ascii="Times New Roman" w:hAnsi="Times New Roman" w:cs="Times New Roman"/>
          <w:sz w:val="26"/>
          <w:szCs w:val="26"/>
        </w:rPr>
        <w:t>6</w:t>
      </w:r>
      <w:r w:rsidR="00D45EB5" w:rsidRPr="00DF3370">
        <w:rPr>
          <w:rFonts w:ascii="Times New Roman" w:hAnsi="Times New Roman" w:cs="Times New Roman"/>
          <w:sz w:val="26"/>
          <w:szCs w:val="26"/>
        </w:rPr>
        <w:t>,</w:t>
      </w:r>
      <w:r w:rsidR="00F76626" w:rsidRPr="00DF3370">
        <w:rPr>
          <w:rFonts w:ascii="Times New Roman" w:hAnsi="Times New Roman" w:cs="Times New Roman"/>
          <w:sz w:val="26"/>
          <w:szCs w:val="26"/>
        </w:rPr>
        <w:t>1</w:t>
      </w:r>
      <w:r w:rsidR="00D45EB5" w:rsidRPr="00DF3370">
        <w:rPr>
          <w:rFonts w:ascii="Times New Roman" w:hAnsi="Times New Roman" w:cs="Times New Roman"/>
          <w:sz w:val="26"/>
          <w:szCs w:val="26"/>
        </w:rPr>
        <w:t>%), DC4 (</w:t>
      </w:r>
      <w:r w:rsidR="00F76626" w:rsidRPr="00DF3370">
        <w:rPr>
          <w:rFonts w:ascii="Times New Roman" w:hAnsi="Times New Roman" w:cs="Times New Roman"/>
          <w:sz w:val="26"/>
          <w:szCs w:val="26"/>
        </w:rPr>
        <w:t>6</w:t>
      </w:r>
      <w:r w:rsidR="00D45EB5" w:rsidRPr="00DF3370">
        <w:rPr>
          <w:rFonts w:ascii="Times New Roman" w:hAnsi="Times New Roman" w:cs="Times New Roman"/>
          <w:sz w:val="26"/>
          <w:szCs w:val="26"/>
        </w:rPr>
        <w:t>,</w:t>
      </w:r>
      <w:r w:rsidR="00F76626" w:rsidRPr="00DF3370">
        <w:rPr>
          <w:rFonts w:ascii="Times New Roman" w:hAnsi="Times New Roman" w:cs="Times New Roman"/>
          <w:sz w:val="26"/>
          <w:szCs w:val="26"/>
        </w:rPr>
        <w:t>5</w:t>
      </w:r>
      <w:r w:rsidR="00D45EB5" w:rsidRPr="00DF3370">
        <w:rPr>
          <w:rFonts w:ascii="Times New Roman" w:hAnsi="Times New Roman" w:cs="Times New Roman"/>
          <w:sz w:val="26"/>
          <w:szCs w:val="26"/>
        </w:rPr>
        <w:t>%), and DC5 (</w:t>
      </w:r>
      <w:r w:rsidR="00F76626" w:rsidRPr="00DF3370">
        <w:rPr>
          <w:rFonts w:ascii="Times New Roman" w:hAnsi="Times New Roman" w:cs="Times New Roman"/>
          <w:sz w:val="26"/>
          <w:szCs w:val="26"/>
        </w:rPr>
        <w:t>5</w:t>
      </w:r>
      <w:r w:rsidR="00D45EB5" w:rsidRPr="00DF3370">
        <w:rPr>
          <w:rFonts w:ascii="Times New Roman" w:hAnsi="Times New Roman" w:cs="Times New Roman"/>
          <w:sz w:val="26"/>
          <w:szCs w:val="26"/>
        </w:rPr>
        <w:t>,</w:t>
      </w:r>
      <w:r w:rsidR="00F76626" w:rsidRPr="00DF3370">
        <w:rPr>
          <w:rFonts w:ascii="Times New Roman" w:hAnsi="Times New Roman" w:cs="Times New Roman"/>
          <w:sz w:val="26"/>
          <w:szCs w:val="26"/>
        </w:rPr>
        <w:t>2</w:t>
      </w:r>
      <w:r w:rsidR="00D45EB5" w:rsidRPr="00DF3370">
        <w:rPr>
          <w:rFonts w:ascii="Times New Roman" w:hAnsi="Times New Roman" w:cs="Times New Roman"/>
          <w:sz w:val="26"/>
          <w:szCs w:val="26"/>
        </w:rPr>
        <w:t>%)</w:t>
      </w:r>
      <w:r w:rsidR="0005065A" w:rsidRPr="00DF3370">
        <w:rPr>
          <w:rFonts w:ascii="Times New Roman" w:hAnsi="Times New Roman" w:cs="Times New Roman"/>
          <w:sz w:val="26"/>
          <w:szCs w:val="26"/>
        </w:rPr>
        <w:t>.</w:t>
      </w:r>
      <w:r w:rsidR="00120E3E" w:rsidRPr="00DF3370">
        <w:rPr>
          <w:rFonts w:ascii="Times New Roman" w:hAnsi="Times New Roman" w:cs="Times New Roman"/>
          <w:sz w:val="26"/>
          <w:szCs w:val="26"/>
        </w:rPr>
        <w:t xml:space="preserve"> </w:t>
      </w:r>
      <w:r w:rsidR="0044719B" w:rsidRPr="00DF3370">
        <w:rPr>
          <w:rFonts w:ascii="Times New Roman" w:hAnsi="Times New Roman" w:cs="Times New Roman"/>
          <w:sz w:val="26"/>
          <w:szCs w:val="26"/>
        </w:rPr>
        <w:t>Overall</w:t>
      </w:r>
      <w:r w:rsidR="00120E3E" w:rsidRPr="00DF3370">
        <w:rPr>
          <w:rFonts w:ascii="Times New Roman" w:hAnsi="Times New Roman" w:cs="Times New Roman"/>
          <w:sz w:val="26"/>
          <w:szCs w:val="26"/>
        </w:rPr>
        <w:t xml:space="preserve">, the results </w:t>
      </w:r>
      <w:r w:rsidR="007656C6" w:rsidRPr="00DF3370">
        <w:rPr>
          <w:rFonts w:ascii="Times New Roman" w:hAnsi="Times New Roman" w:cs="Times New Roman"/>
          <w:sz w:val="26"/>
          <w:szCs w:val="26"/>
        </w:rPr>
        <w:t>proved that instructors’ digital competence was highly appreciated in favor of positive agreement, reflecting that instructors were increasingly adapting well to the digital teaching environment and could apply technology in online teaching activities.</w:t>
      </w:r>
    </w:p>
    <w:p w14:paraId="645C06F1" w14:textId="0369ADA3" w:rsidR="00BA5DDC" w:rsidRPr="00DF3370" w:rsidRDefault="00866C2E" w:rsidP="00870725">
      <w:pPr>
        <w:spacing w:after="120" w:line="288" w:lineRule="auto"/>
        <w:jc w:val="center"/>
        <w:rPr>
          <w:rFonts w:ascii="Times New Roman" w:hAnsi="Times New Roman" w:cs="Times New Roman"/>
          <w:sz w:val="26"/>
          <w:szCs w:val="26"/>
        </w:rPr>
      </w:pPr>
      <w:r w:rsidRPr="00DF3370">
        <w:rPr>
          <w:noProof/>
        </w:rPr>
        <w:lastRenderedPageBreak/>
        <w:drawing>
          <wp:inline distT="0" distB="0" distL="0" distR="0" wp14:anchorId="0836E7A3" wp14:editId="5EF9E9F8">
            <wp:extent cx="5861050" cy="3321050"/>
            <wp:effectExtent l="0" t="0" r="6350" b="12700"/>
            <wp:docPr id="1721620530" name="Chart 1">
              <a:extLst xmlns:a="http://schemas.openxmlformats.org/drawingml/2006/main">
                <a:ext uri="{FF2B5EF4-FFF2-40B4-BE49-F238E27FC236}">
                  <a16:creationId xmlns:a16="http://schemas.microsoft.com/office/drawing/2014/main" id="{5C741A06-7ACB-430D-80CD-23CE975267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B8DA8C" w14:textId="4394B395" w:rsidR="0026543F" w:rsidRPr="00DF3370" w:rsidRDefault="002822B9" w:rsidP="00970062">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 xml:space="preserve">Figure 2 indicates student feedback in online classrooms through five observed variables (SF1-SF5). Most of participants had positive assessment of feedback at the highest rate of “agree” and “strongly agree”, namely 89,4% (SF3 – instructive feedback and learning outcome improvement), 87,4% (SF5 – interaction based on received feedback), </w:t>
      </w:r>
      <w:r w:rsidR="003D7E6A" w:rsidRPr="00DF3370">
        <w:rPr>
          <w:rFonts w:ascii="Times New Roman" w:hAnsi="Times New Roman" w:cs="Times New Roman"/>
          <w:sz w:val="26"/>
          <w:szCs w:val="26"/>
        </w:rPr>
        <w:t>86,2% (SF1 – in</w:t>
      </w:r>
      <w:r w:rsidR="006A264F" w:rsidRPr="00DF3370">
        <w:rPr>
          <w:rFonts w:ascii="Times New Roman" w:hAnsi="Times New Roman" w:cs="Times New Roman"/>
          <w:sz w:val="26"/>
          <w:szCs w:val="26"/>
        </w:rPr>
        <w:t>-</w:t>
      </w:r>
      <w:r w:rsidR="003D7E6A" w:rsidRPr="00DF3370">
        <w:rPr>
          <w:rFonts w:ascii="Times New Roman" w:hAnsi="Times New Roman" w:cs="Times New Roman"/>
          <w:sz w:val="26"/>
          <w:szCs w:val="26"/>
        </w:rPr>
        <w:t>time feedback from instructors), 86,2% (SF2 – feedback helping understand weaknesses and strengths), and 76,5% (SF4 – personalized feedback based on need)</w:t>
      </w:r>
      <w:r w:rsidR="00A91E5B" w:rsidRPr="00DF3370">
        <w:rPr>
          <w:rFonts w:ascii="Times New Roman" w:hAnsi="Times New Roman" w:cs="Times New Roman"/>
          <w:sz w:val="26"/>
          <w:szCs w:val="26"/>
        </w:rPr>
        <w:t>.</w:t>
      </w:r>
      <w:r w:rsidR="004F04DD" w:rsidRPr="00DF3370">
        <w:rPr>
          <w:rFonts w:ascii="Times New Roman" w:hAnsi="Times New Roman" w:cs="Times New Roman"/>
          <w:sz w:val="26"/>
          <w:szCs w:val="26"/>
        </w:rPr>
        <w:t xml:space="preserve">  </w:t>
      </w:r>
      <w:r w:rsidR="003940C7" w:rsidRPr="00DF3370">
        <w:rPr>
          <w:rFonts w:ascii="Times New Roman" w:hAnsi="Times New Roman" w:cs="Times New Roman"/>
          <w:sz w:val="26"/>
          <w:szCs w:val="26"/>
        </w:rPr>
        <w:t xml:space="preserve">In contrast, the rate of “disagree” and “strongly disagree” </w:t>
      </w:r>
      <w:r w:rsidR="00A81E75" w:rsidRPr="00DF3370">
        <w:rPr>
          <w:rFonts w:ascii="Times New Roman" w:hAnsi="Times New Roman" w:cs="Times New Roman"/>
          <w:sz w:val="26"/>
          <w:szCs w:val="26"/>
        </w:rPr>
        <w:t>was very low; SF1 (4,5%), SF2 (4,9%), SF3 (5,7%), SF4 (7,4%), and SF5 (4,1%).</w:t>
      </w:r>
      <w:r w:rsidR="004F04DD" w:rsidRPr="00DF3370">
        <w:rPr>
          <w:rFonts w:ascii="Times New Roman" w:hAnsi="Times New Roman" w:cs="Times New Roman"/>
          <w:sz w:val="26"/>
          <w:szCs w:val="26"/>
        </w:rPr>
        <w:t xml:space="preserve"> Also, the “Neutral” rate was low for variables, ranging from 4,9 to 16,3%. Generally, the results explained that students had </w:t>
      </w:r>
      <w:r w:rsidR="009427F1" w:rsidRPr="00DF3370">
        <w:rPr>
          <w:rFonts w:ascii="Times New Roman" w:hAnsi="Times New Roman" w:cs="Times New Roman"/>
          <w:sz w:val="26"/>
          <w:szCs w:val="26"/>
        </w:rPr>
        <w:t>positive</w:t>
      </w:r>
      <w:r w:rsidR="004F04DD" w:rsidRPr="00DF3370">
        <w:rPr>
          <w:rFonts w:ascii="Times New Roman" w:hAnsi="Times New Roman" w:cs="Times New Roman"/>
          <w:sz w:val="26"/>
          <w:szCs w:val="26"/>
        </w:rPr>
        <w:t xml:space="preserve"> experience </w:t>
      </w:r>
      <w:r w:rsidR="00F5690F" w:rsidRPr="00DF3370">
        <w:rPr>
          <w:rFonts w:ascii="Times New Roman" w:hAnsi="Times New Roman" w:cs="Times New Roman"/>
          <w:sz w:val="26"/>
          <w:szCs w:val="26"/>
        </w:rPr>
        <w:t>with</w:t>
      </w:r>
      <w:r w:rsidR="004F04DD" w:rsidRPr="00DF3370">
        <w:rPr>
          <w:rFonts w:ascii="Times New Roman" w:hAnsi="Times New Roman" w:cs="Times New Roman"/>
          <w:sz w:val="26"/>
          <w:szCs w:val="26"/>
        </w:rPr>
        <w:t xml:space="preserve"> learning feedback, appreciating the support of </w:t>
      </w:r>
      <w:r w:rsidR="00F5690F" w:rsidRPr="00DF3370">
        <w:rPr>
          <w:rFonts w:ascii="Times New Roman" w:hAnsi="Times New Roman" w:cs="Times New Roman"/>
          <w:sz w:val="26"/>
          <w:szCs w:val="26"/>
        </w:rPr>
        <w:t xml:space="preserve">the </w:t>
      </w:r>
      <w:r w:rsidR="004F04DD" w:rsidRPr="00DF3370">
        <w:rPr>
          <w:rFonts w:ascii="Times New Roman" w:hAnsi="Times New Roman" w:cs="Times New Roman"/>
          <w:sz w:val="26"/>
          <w:szCs w:val="26"/>
        </w:rPr>
        <w:t>online learning process.</w:t>
      </w:r>
    </w:p>
    <w:p w14:paraId="1D17D408" w14:textId="07C458B5" w:rsidR="00CE5C3E" w:rsidRPr="00DF3370" w:rsidRDefault="00CC08F9" w:rsidP="00870725">
      <w:pPr>
        <w:spacing w:after="120" w:line="288" w:lineRule="auto"/>
        <w:jc w:val="center"/>
        <w:rPr>
          <w:rFonts w:ascii="Times New Roman" w:hAnsi="Times New Roman" w:cs="Times New Roman"/>
          <w:sz w:val="26"/>
          <w:szCs w:val="26"/>
        </w:rPr>
      </w:pPr>
      <w:r w:rsidRPr="00DF3370">
        <w:rPr>
          <w:noProof/>
        </w:rPr>
        <w:lastRenderedPageBreak/>
        <w:drawing>
          <wp:inline distT="0" distB="0" distL="0" distR="0" wp14:anchorId="128BC9E2" wp14:editId="607F8845">
            <wp:extent cx="5911850" cy="3117850"/>
            <wp:effectExtent l="0" t="0" r="12700" b="6350"/>
            <wp:docPr id="1226638290" name="Chart 1">
              <a:extLst xmlns:a="http://schemas.openxmlformats.org/drawingml/2006/main">
                <a:ext uri="{FF2B5EF4-FFF2-40B4-BE49-F238E27FC236}">
                  <a16:creationId xmlns:a16="http://schemas.microsoft.com/office/drawing/2014/main" id="{35B0456C-17F3-C891-F74F-24D25FBFDF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BD5A65" w14:textId="3B74BC29" w:rsidR="002072EF" w:rsidRPr="00DF3370" w:rsidRDefault="00AE2235" w:rsidP="00970062">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Figure 3</w:t>
      </w:r>
      <w:r w:rsidR="00983F51" w:rsidRPr="00DF3370">
        <w:rPr>
          <w:rFonts w:ascii="Times New Roman" w:hAnsi="Times New Roman" w:cs="Times New Roman"/>
          <w:sz w:val="26"/>
          <w:szCs w:val="26"/>
        </w:rPr>
        <w:t xml:space="preserve"> illustrates </w:t>
      </w:r>
      <w:r w:rsidR="00795C1B" w:rsidRPr="00DF3370">
        <w:rPr>
          <w:rFonts w:ascii="Times New Roman" w:hAnsi="Times New Roman" w:cs="Times New Roman"/>
          <w:sz w:val="26"/>
          <w:szCs w:val="26"/>
        </w:rPr>
        <w:t>the Personalized Learning (PL1-PL5) framework</w:t>
      </w:r>
      <w:r w:rsidR="00983F51" w:rsidRPr="00DF3370">
        <w:rPr>
          <w:rFonts w:ascii="Times New Roman" w:hAnsi="Times New Roman" w:cs="Times New Roman"/>
          <w:sz w:val="26"/>
          <w:szCs w:val="26"/>
        </w:rPr>
        <w:t>. According to the results, “agree” and “strongly agree” outnumbered in comparison with other variables, such</w:t>
      </w:r>
      <w:r w:rsidR="00C37C5C" w:rsidRPr="00DF3370">
        <w:rPr>
          <w:rFonts w:ascii="Times New Roman" w:hAnsi="Times New Roman" w:cs="Times New Roman"/>
          <w:sz w:val="26"/>
          <w:szCs w:val="26"/>
        </w:rPr>
        <w:t xml:space="preserve"> as </w:t>
      </w:r>
      <w:r w:rsidR="00BA0A32" w:rsidRPr="00DF3370">
        <w:rPr>
          <w:rFonts w:ascii="Times New Roman" w:hAnsi="Times New Roman" w:cs="Times New Roman"/>
          <w:sz w:val="26"/>
          <w:szCs w:val="26"/>
        </w:rPr>
        <w:t>85,4% (</w:t>
      </w:r>
      <w:r w:rsidR="00983F51" w:rsidRPr="00DF3370">
        <w:rPr>
          <w:rFonts w:ascii="Times New Roman" w:hAnsi="Times New Roman" w:cs="Times New Roman"/>
          <w:sz w:val="26"/>
          <w:szCs w:val="26"/>
        </w:rPr>
        <w:t>PL3 – appropriate materials on the LMS</w:t>
      </w:r>
      <w:r w:rsidR="00BA0A32" w:rsidRPr="00DF3370">
        <w:rPr>
          <w:rFonts w:ascii="Times New Roman" w:hAnsi="Times New Roman" w:cs="Times New Roman"/>
          <w:sz w:val="26"/>
          <w:szCs w:val="26"/>
        </w:rPr>
        <w:t>), 83,4% (PL5 – approach</w:t>
      </w:r>
      <w:r w:rsidR="008E3C4D" w:rsidRPr="00DF3370">
        <w:rPr>
          <w:rFonts w:ascii="Times New Roman" w:hAnsi="Times New Roman" w:cs="Times New Roman"/>
          <w:sz w:val="26"/>
          <w:szCs w:val="26"/>
        </w:rPr>
        <w:t>ing</w:t>
      </w:r>
      <w:r w:rsidR="00BA0A32" w:rsidRPr="00DF3370">
        <w:rPr>
          <w:rFonts w:ascii="Times New Roman" w:hAnsi="Times New Roman" w:cs="Times New Roman"/>
          <w:sz w:val="26"/>
          <w:szCs w:val="26"/>
        </w:rPr>
        <w:t xml:space="preserve"> content), 82,1% (PL1 – content appropriateness with individual needs), 81,7% (PL2 – individual learning pace), </w:t>
      </w:r>
      <w:r w:rsidR="00C37C5C" w:rsidRPr="00DF3370">
        <w:rPr>
          <w:rFonts w:ascii="Times New Roman" w:hAnsi="Times New Roman" w:cs="Times New Roman"/>
          <w:sz w:val="26"/>
          <w:szCs w:val="26"/>
        </w:rPr>
        <w:t xml:space="preserve">and </w:t>
      </w:r>
      <w:r w:rsidR="00BA0A32" w:rsidRPr="00DF3370">
        <w:rPr>
          <w:rFonts w:ascii="Times New Roman" w:hAnsi="Times New Roman" w:cs="Times New Roman"/>
          <w:sz w:val="26"/>
          <w:szCs w:val="26"/>
        </w:rPr>
        <w:t>78,4% (</w:t>
      </w:r>
      <w:r w:rsidR="00983F51" w:rsidRPr="00DF3370">
        <w:rPr>
          <w:rFonts w:ascii="Times New Roman" w:hAnsi="Times New Roman" w:cs="Times New Roman"/>
          <w:sz w:val="26"/>
          <w:szCs w:val="26"/>
        </w:rPr>
        <w:t>PL4 – learning support appropriate with individual competence</w:t>
      </w:r>
      <w:r w:rsidR="00BA0A32" w:rsidRPr="00DF3370">
        <w:rPr>
          <w:rFonts w:ascii="Times New Roman" w:hAnsi="Times New Roman" w:cs="Times New Roman"/>
          <w:sz w:val="26"/>
          <w:szCs w:val="26"/>
        </w:rPr>
        <w:t>).</w:t>
      </w:r>
      <w:r w:rsidR="00873F2D" w:rsidRPr="00DF3370">
        <w:rPr>
          <w:rFonts w:ascii="Times New Roman" w:hAnsi="Times New Roman" w:cs="Times New Roman"/>
          <w:sz w:val="26"/>
          <w:szCs w:val="26"/>
        </w:rPr>
        <w:t xml:space="preserve"> These results </w:t>
      </w:r>
      <w:r w:rsidR="00D961FA" w:rsidRPr="00DF3370">
        <w:rPr>
          <w:rFonts w:ascii="Times New Roman" w:hAnsi="Times New Roman" w:cs="Times New Roman"/>
          <w:sz w:val="26"/>
          <w:szCs w:val="26"/>
        </w:rPr>
        <w:t>show</w:t>
      </w:r>
      <w:r w:rsidR="00873F2D" w:rsidRPr="00DF3370">
        <w:rPr>
          <w:rFonts w:ascii="Times New Roman" w:hAnsi="Times New Roman" w:cs="Times New Roman"/>
          <w:sz w:val="26"/>
          <w:szCs w:val="26"/>
        </w:rPr>
        <w:t>ed a positive trend in personalized learning</w:t>
      </w:r>
      <w:r w:rsidR="00660C9D" w:rsidRPr="00DF3370">
        <w:rPr>
          <w:rFonts w:ascii="Times New Roman" w:hAnsi="Times New Roman" w:cs="Times New Roman"/>
          <w:sz w:val="26"/>
          <w:szCs w:val="26"/>
        </w:rPr>
        <w:t>, being well-fit with students’ needs</w:t>
      </w:r>
      <w:r w:rsidR="004A21D0" w:rsidRPr="00DF3370">
        <w:rPr>
          <w:rFonts w:ascii="Times New Roman" w:hAnsi="Times New Roman" w:cs="Times New Roman"/>
          <w:sz w:val="26"/>
          <w:szCs w:val="26"/>
        </w:rPr>
        <w:t xml:space="preserve"> and meeting flexibility and individual support in the learning process</w:t>
      </w:r>
      <w:r w:rsidR="00660C9D" w:rsidRPr="00DF3370">
        <w:rPr>
          <w:rFonts w:ascii="Times New Roman" w:hAnsi="Times New Roman" w:cs="Times New Roman"/>
          <w:sz w:val="26"/>
          <w:szCs w:val="26"/>
        </w:rPr>
        <w:t>.</w:t>
      </w:r>
      <w:r w:rsidR="00065CC3" w:rsidRPr="00DF3370">
        <w:rPr>
          <w:rFonts w:ascii="Times New Roman" w:hAnsi="Times New Roman" w:cs="Times New Roman"/>
          <w:sz w:val="26"/>
          <w:szCs w:val="26"/>
        </w:rPr>
        <w:t xml:space="preserve"> The “Neutral” rate fluctuated from 10,2% to 15,4%,</w:t>
      </w:r>
      <w:r w:rsidR="002072EF" w:rsidRPr="00DF3370">
        <w:rPr>
          <w:rFonts w:ascii="Times New Roman" w:hAnsi="Times New Roman" w:cs="Times New Roman"/>
          <w:sz w:val="26"/>
          <w:szCs w:val="26"/>
        </w:rPr>
        <w:t xml:space="preserve"> reflecting </w:t>
      </w:r>
      <w:r w:rsidR="00795C1B" w:rsidRPr="00DF3370">
        <w:rPr>
          <w:rFonts w:ascii="Times New Roman" w:hAnsi="Times New Roman" w:cs="Times New Roman"/>
          <w:sz w:val="26"/>
          <w:szCs w:val="26"/>
        </w:rPr>
        <w:t xml:space="preserve">that </w:t>
      </w:r>
      <w:r w:rsidR="002072EF" w:rsidRPr="00DF3370">
        <w:rPr>
          <w:rFonts w:ascii="Times New Roman" w:hAnsi="Times New Roman" w:cs="Times New Roman"/>
          <w:sz w:val="26"/>
          <w:szCs w:val="26"/>
        </w:rPr>
        <w:t xml:space="preserve">fewer participants had </w:t>
      </w:r>
      <w:r w:rsidR="00795C1B" w:rsidRPr="00DF3370">
        <w:rPr>
          <w:rFonts w:ascii="Times New Roman" w:hAnsi="Times New Roman" w:cs="Times New Roman"/>
          <w:sz w:val="26"/>
          <w:szCs w:val="26"/>
        </w:rPr>
        <w:t xml:space="preserve">a </w:t>
      </w:r>
      <w:r w:rsidR="002072EF" w:rsidRPr="00DF3370">
        <w:rPr>
          <w:rFonts w:ascii="Times New Roman" w:hAnsi="Times New Roman" w:cs="Times New Roman"/>
          <w:sz w:val="26"/>
          <w:szCs w:val="26"/>
        </w:rPr>
        <w:t xml:space="preserve">clear decision in doing the survey. The very low rates for “disagree” and “strongly disagree” </w:t>
      </w:r>
      <w:r w:rsidR="00795C1B" w:rsidRPr="00DF3370">
        <w:rPr>
          <w:rFonts w:ascii="Times New Roman" w:hAnsi="Times New Roman" w:cs="Times New Roman"/>
          <w:sz w:val="26"/>
          <w:szCs w:val="26"/>
        </w:rPr>
        <w:t>occurred for</w:t>
      </w:r>
      <w:r w:rsidR="002072EF" w:rsidRPr="00DF3370">
        <w:rPr>
          <w:rFonts w:ascii="Times New Roman" w:hAnsi="Times New Roman" w:cs="Times New Roman"/>
          <w:sz w:val="26"/>
          <w:szCs w:val="26"/>
        </w:rPr>
        <w:t xml:space="preserve"> most of </w:t>
      </w:r>
      <w:r w:rsidR="00795C1B" w:rsidRPr="00DF3370">
        <w:rPr>
          <w:rFonts w:ascii="Times New Roman" w:hAnsi="Times New Roman" w:cs="Times New Roman"/>
          <w:sz w:val="26"/>
          <w:szCs w:val="26"/>
        </w:rPr>
        <w:t xml:space="preserve">the </w:t>
      </w:r>
      <w:r w:rsidR="002072EF" w:rsidRPr="00DF3370">
        <w:rPr>
          <w:rFonts w:ascii="Times New Roman" w:hAnsi="Times New Roman" w:cs="Times New Roman"/>
          <w:sz w:val="26"/>
          <w:szCs w:val="26"/>
        </w:rPr>
        <w:t xml:space="preserve">variables under 5%. There were fewer negative ideas for PL. In overview, the results demonstrated the role of personalized learning in enhancing </w:t>
      </w:r>
      <w:r w:rsidR="00795C1B" w:rsidRPr="00DF3370">
        <w:rPr>
          <w:rFonts w:ascii="Times New Roman" w:hAnsi="Times New Roman" w:cs="Times New Roman"/>
          <w:sz w:val="26"/>
          <w:szCs w:val="26"/>
        </w:rPr>
        <w:t xml:space="preserve">the </w:t>
      </w:r>
      <w:r w:rsidR="002072EF" w:rsidRPr="00DF3370">
        <w:rPr>
          <w:rFonts w:ascii="Times New Roman" w:hAnsi="Times New Roman" w:cs="Times New Roman"/>
          <w:sz w:val="26"/>
          <w:szCs w:val="26"/>
        </w:rPr>
        <w:t>online learning experience.</w:t>
      </w:r>
    </w:p>
    <w:p w14:paraId="4ADF7069" w14:textId="59F00AE9" w:rsidR="00C7657D" w:rsidRPr="00DF3370" w:rsidRDefault="00974778" w:rsidP="00532212">
      <w:pPr>
        <w:pStyle w:val="ListParagraph"/>
        <w:numPr>
          <w:ilvl w:val="0"/>
          <w:numId w:val="36"/>
        </w:numPr>
        <w:spacing w:after="120" w:line="288" w:lineRule="auto"/>
        <w:jc w:val="center"/>
        <w:rPr>
          <w:rFonts w:ascii="Times New Roman" w:hAnsi="Times New Roman" w:cs="Times New Roman"/>
          <w:b/>
          <w:bCs/>
          <w:sz w:val="26"/>
          <w:szCs w:val="26"/>
        </w:rPr>
      </w:pPr>
      <w:r w:rsidRPr="00DF3370">
        <w:rPr>
          <w:rFonts w:ascii="Times New Roman" w:hAnsi="Times New Roman" w:cs="Times New Roman"/>
          <w:b/>
          <w:bCs/>
          <w:sz w:val="26"/>
          <w:szCs w:val="26"/>
        </w:rPr>
        <w:t>CONCLUSION</w:t>
      </w:r>
    </w:p>
    <w:p w14:paraId="0F745E36" w14:textId="7D794FB8" w:rsidR="001D2A75" w:rsidRPr="00DF3370" w:rsidRDefault="00870725" w:rsidP="00B214A8">
      <w:pPr>
        <w:spacing w:after="120" w:line="288" w:lineRule="auto"/>
        <w:jc w:val="both"/>
        <w:rPr>
          <w:rFonts w:ascii="Times New Roman" w:hAnsi="Times New Roman" w:cs="Times New Roman"/>
          <w:sz w:val="26"/>
          <w:szCs w:val="26"/>
        </w:rPr>
      </w:pPr>
      <w:r w:rsidRPr="00DF3370">
        <w:rPr>
          <w:rFonts w:ascii="Times New Roman" w:hAnsi="Times New Roman" w:cs="Times New Roman"/>
          <w:sz w:val="26"/>
          <w:szCs w:val="26"/>
        </w:rPr>
        <w:t xml:space="preserve">In conclusion, </w:t>
      </w:r>
      <w:r w:rsidR="006A5607" w:rsidRPr="00DF3370">
        <w:rPr>
          <w:rFonts w:ascii="Times New Roman" w:hAnsi="Times New Roman" w:cs="Times New Roman"/>
          <w:sz w:val="26"/>
          <w:szCs w:val="26"/>
        </w:rPr>
        <w:t>there is a positive effect of digital competence on feedback and personalized learning.</w:t>
      </w:r>
      <w:r w:rsidR="006A264F" w:rsidRPr="00DF3370">
        <w:rPr>
          <w:rFonts w:ascii="Times New Roman" w:hAnsi="Times New Roman" w:cs="Times New Roman"/>
          <w:sz w:val="26"/>
          <w:szCs w:val="26"/>
        </w:rPr>
        <w:t xml:space="preserve"> Instructors’ digital competence consists of </w:t>
      </w:r>
      <w:r w:rsidR="00535ECA" w:rsidRPr="00DF3370">
        <w:rPr>
          <w:rFonts w:ascii="Times New Roman" w:hAnsi="Times New Roman" w:cs="Times New Roman"/>
          <w:sz w:val="26"/>
          <w:szCs w:val="26"/>
        </w:rPr>
        <w:t>selecting digital sources</w:t>
      </w:r>
      <w:r w:rsidR="006A264F" w:rsidRPr="00DF3370">
        <w:rPr>
          <w:rFonts w:ascii="Times New Roman" w:hAnsi="Times New Roman" w:cs="Times New Roman"/>
          <w:sz w:val="26"/>
          <w:szCs w:val="26"/>
        </w:rPr>
        <w:t>, using</w:t>
      </w:r>
      <w:r w:rsidR="00535ECA" w:rsidRPr="00DF3370">
        <w:rPr>
          <w:rFonts w:ascii="Times New Roman" w:hAnsi="Times New Roman" w:cs="Times New Roman"/>
          <w:sz w:val="26"/>
          <w:szCs w:val="26"/>
        </w:rPr>
        <w:t xml:space="preserve"> digital tools in teaching</w:t>
      </w:r>
      <w:r w:rsidR="006A264F" w:rsidRPr="00DF3370">
        <w:rPr>
          <w:rFonts w:ascii="Times New Roman" w:hAnsi="Times New Roman" w:cs="Times New Roman"/>
          <w:sz w:val="26"/>
          <w:szCs w:val="26"/>
        </w:rPr>
        <w:t>, providing technical</w:t>
      </w:r>
      <w:r w:rsidR="00535ECA" w:rsidRPr="00DF3370">
        <w:rPr>
          <w:rFonts w:ascii="Times New Roman" w:hAnsi="Times New Roman" w:cs="Times New Roman"/>
          <w:sz w:val="26"/>
          <w:szCs w:val="26"/>
        </w:rPr>
        <w:t xml:space="preserve"> support through digital platforms</w:t>
      </w:r>
      <w:r w:rsidR="006A264F" w:rsidRPr="00DF3370">
        <w:rPr>
          <w:rFonts w:ascii="Times New Roman" w:hAnsi="Times New Roman" w:cs="Times New Roman"/>
          <w:sz w:val="26"/>
          <w:szCs w:val="26"/>
        </w:rPr>
        <w:t xml:space="preserve">, organizing and managing </w:t>
      </w:r>
      <w:r w:rsidR="00535ECA" w:rsidRPr="00DF3370">
        <w:rPr>
          <w:rFonts w:ascii="Times New Roman" w:hAnsi="Times New Roman" w:cs="Times New Roman"/>
          <w:sz w:val="26"/>
          <w:szCs w:val="26"/>
        </w:rPr>
        <w:t>effective digital classroom</w:t>
      </w:r>
      <w:r w:rsidR="006A264F" w:rsidRPr="00DF3370">
        <w:rPr>
          <w:rFonts w:ascii="Times New Roman" w:hAnsi="Times New Roman" w:cs="Times New Roman"/>
          <w:sz w:val="26"/>
          <w:szCs w:val="26"/>
        </w:rPr>
        <w:t>s, and assessing</w:t>
      </w:r>
      <w:r w:rsidR="00535ECA" w:rsidRPr="00DF3370">
        <w:rPr>
          <w:rFonts w:ascii="Times New Roman" w:hAnsi="Times New Roman" w:cs="Times New Roman"/>
          <w:sz w:val="26"/>
          <w:szCs w:val="26"/>
        </w:rPr>
        <w:t xml:space="preserve"> learning outcomes</w:t>
      </w:r>
      <w:r w:rsidR="006A264F" w:rsidRPr="00DF3370">
        <w:rPr>
          <w:rFonts w:ascii="Times New Roman" w:hAnsi="Times New Roman" w:cs="Times New Roman"/>
          <w:sz w:val="26"/>
          <w:szCs w:val="26"/>
        </w:rPr>
        <w:t xml:space="preserve"> through technology use.</w:t>
      </w:r>
      <w:r w:rsidR="00535ECA" w:rsidRPr="00DF3370">
        <w:rPr>
          <w:rFonts w:ascii="Times New Roman" w:hAnsi="Times New Roman" w:cs="Times New Roman"/>
          <w:sz w:val="26"/>
          <w:szCs w:val="26"/>
        </w:rPr>
        <w:t xml:space="preserve"> </w:t>
      </w:r>
      <w:r w:rsidR="007E3B65" w:rsidRPr="00DF3370">
        <w:rPr>
          <w:rFonts w:ascii="Times New Roman" w:hAnsi="Times New Roman" w:cs="Times New Roman"/>
          <w:sz w:val="26"/>
          <w:szCs w:val="26"/>
        </w:rPr>
        <w:t xml:space="preserve">Instructors </w:t>
      </w:r>
      <w:r w:rsidR="007478BE" w:rsidRPr="00DF3370">
        <w:rPr>
          <w:rFonts w:ascii="Times New Roman" w:hAnsi="Times New Roman" w:cs="Times New Roman"/>
          <w:sz w:val="26"/>
          <w:szCs w:val="26"/>
        </w:rPr>
        <w:t>tend to</w:t>
      </w:r>
      <w:r w:rsidR="00535ECA" w:rsidRPr="00DF3370">
        <w:rPr>
          <w:rFonts w:ascii="Times New Roman" w:hAnsi="Times New Roman" w:cs="Times New Roman"/>
          <w:sz w:val="26"/>
          <w:szCs w:val="26"/>
        </w:rPr>
        <w:t xml:space="preserve"> </w:t>
      </w:r>
      <w:r w:rsidR="007E3B65" w:rsidRPr="00DF3370">
        <w:rPr>
          <w:rFonts w:ascii="Times New Roman" w:hAnsi="Times New Roman" w:cs="Times New Roman"/>
          <w:sz w:val="26"/>
          <w:szCs w:val="26"/>
        </w:rPr>
        <w:t>adapt</w:t>
      </w:r>
      <w:r w:rsidR="00535ECA" w:rsidRPr="00DF3370">
        <w:rPr>
          <w:rFonts w:ascii="Times New Roman" w:hAnsi="Times New Roman" w:cs="Times New Roman"/>
          <w:sz w:val="26"/>
          <w:szCs w:val="26"/>
        </w:rPr>
        <w:t xml:space="preserve"> well to the digital teaching environment and apply technology in online teaching activities.</w:t>
      </w:r>
      <w:r w:rsidR="00B214A8" w:rsidRPr="00DF3370">
        <w:rPr>
          <w:rFonts w:ascii="Times New Roman" w:hAnsi="Times New Roman" w:cs="Times New Roman"/>
          <w:sz w:val="26"/>
          <w:szCs w:val="26"/>
        </w:rPr>
        <w:t xml:space="preserve"> Th</w:t>
      </w:r>
      <w:r w:rsidR="008674EA" w:rsidRPr="00DF3370">
        <w:rPr>
          <w:rFonts w:ascii="Times New Roman" w:hAnsi="Times New Roman" w:cs="Times New Roman"/>
          <w:sz w:val="26"/>
          <w:szCs w:val="26"/>
        </w:rPr>
        <w:t>e</w:t>
      </w:r>
      <w:r w:rsidR="00B214A8" w:rsidRPr="00DF3370">
        <w:rPr>
          <w:rFonts w:ascii="Times New Roman" w:hAnsi="Times New Roman" w:cs="Times New Roman"/>
          <w:sz w:val="26"/>
          <w:szCs w:val="26"/>
        </w:rPr>
        <w:t xml:space="preserve"> influenc</w:t>
      </w:r>
      <w:r w:rsidR="008B2F3B" w:rsidRPr="00DF3370">
        <w:rPr>
          <w:rFonts w:ascii="Times New Roman" w:hAnsi="Times New Roman" w:cs="Times New Roman"/>
          <w:sz w:val="26"/>
          <w:szCs w:val="26"/>
        </w:rPr>
        <w:t>ing</w:t>
      </w:r>
      <w:r w:rsidR="008674EA" w:rsidRPr="00DF3370">
        <w:rPr>
          <w:rFonts w:ascii="Times New Roman" w:hAnsi="Times New Roman" w:cs="Times New Roman"/>
          <w:sz w:val="26"/>
          <w:szCs w:val="26"/>
        </w:rPr>
        <w:t xml:space="preserve"> factors</w:t>
      </w:r>
      <w:r w:rsidR="00B214A8" w:rsidRPr="00DF3370">
        <w:rPr>
          <w:rFonts w:ascii="Times New Roman" w:hAnsi="Times New Roman" w:cs="Times New Roman"/>
          <w:sz w:val="26"/>
          <w:szCs w:val="26"/>
        </w:rPr>
        <w:t xml:space="preserve"> </w:t>
      </w:r>
      <w:r w:rsidR="008B2F3B" w:rsidRPr="00DF3370">
        <w:rPr>
          <w:rFonts w:ascii="Times New Roman" w:hAnsi="Times New Roman" w:cs="Times New Roman"/>
          <w:sz w:val="26"/>
          <w:szCs w:val="26"/>
        </w:rPr>
        <w:t>are</w:t>
      </w:r>
      <w:r w:rsidR="00B214A8" w:rsidRPr="00DF3370">
        <w:rPr>
          <w:rFonts w:ascii="Times New Roman" w:hAnsi="Times New Roman" w:cs="Times New Roman"/>
          <w:sz w:val="26"/>
          <w:szCs w:val="26"/>
        </w:rPr>
        <w:t xml:space="preserve"> found through the following </w:t>
      </w:r>
      <w:r w:rsidR="008B2F3B" w:rsidRPr="00DF3370">
        <w:rPr>
          <w:rFonts w:ascii="Times New Roman" w:hAnsi="Times New Roman" w:cs="Times New Roman"/>
          <w:sz w:val="26"/>
          <w:szCs w:val="26"/>
        </w:rPr>
        <w:t>items</w:t>
      </w:r>
      <w:r w:rsidR="00B214A8" w:rsidRPr="00DF3370">
        <w:rPr>
          <w:rFonts w:ascii="Times New Roman" w:hAnsi="Times New Roman" w:cs="Times New Roman"/>
          <w:sz w:val="26"/>
          <w:szCs w:val="26"/>
        </w:rPr>
        <w:t xml:space="preserve">. </w:t>
      </w:r>
      <w:r w:rsidR="00DA42BD" w:rsidRPr="00DF3370">
        <w:rPr>
          <w:rFonts w:ascii="Times New Roman" w:hAnsi="Times New Roman" w:cs="Times New Roman"/>
          <w:sz w:val="26"/>
          <w:szCs w:val="26"/>
        </w:rPr>
        <w:t xml:space="preserve">First, </w:t>
      </w:r>
      <w:r w:rsidR="001C439D" w:rsidRPr="00DF3370">
        <w:rPr>
          <w:rFonts w:ascii="Times New Roman" w:hAnsi="Times New Roman" w:cs="Times New Roman"/>
          <w:sz w:val="26"/>
          <w:szCs w:val="26"/>
        </w:rPr>
        <w:t xml:space="preserve">HIU </w:t>
      </w:r>
      <w:r w:rsidR="00DA42BD" w:rsidRPr="00DF3370">
        <w:rPr>
          <w:rFonts w:ascii="Times New Roman" w:hAnsi="Times New Roman" w:cs="Times New Roman"/>
          <w:sz w:val="26"/>
          <w:szCs w:val="26"/>
        </w:rPr>
        <w:t xml:space="preserve">instructors’ digital competence positively affects feedback. When instructors have high digital competence, they can provide more rapid and diverse </w:t>
      </w:r>
      <w:r w:rsidR="00DA42BD" w:rsidRPr="00DF3370">
        <w:rPr>
          <w:rFonts w:ascii="Times New Roman" w:hAnsi="Times New Roman" w:cs="Times New Roman"/>
          <w:sz w:val="26"/>
          <w:szCs w:val="26"/>
        </w:rPr>
        <w:lastRenderedPageBreak/>
        <w:t>feedback.</w:t>
      </w:r>
      <w:r w:rsidR="00EF2DA6" w:rsidRPr="00DF3370">
        <w:rPr>
          <w:rFonts w:ascii="Times New Roman" w:hAnsi="Times New Roman" w:cs="Times New Roman"/>
          <w:sz w:val="26"/>
          <w:szCs w:val="26"/>
        </w:rPr>
        <w:t xml:space="preserve"> The </w:t>
      </w:r>
      <w:r w:rsidR="00CB237B" w:rsidRPr="00DF3370">
        <w:rPr>
          <w:rFonts w:ascii="Times New Roman" w:hAnsi="Times New Roman" w:cs="Times New Roman"/>
          <w:sz w:val="26"/>
          <w:szCs w:val="26"/>
        </w:rPr>
        <w:t>form</w:t>
      </w:r>
      <w:r w:rsidR="00EF2DA6" w:rsidRPr="00DF3370">
        <w:rPr>
          <w:rFonts w:ascii="Times New Roman" w:hAnsi="Times New Roman" w:cs="Times New Roman"/>
          <w:sz w:val="26"/>
          <w:szCs w:val="26"/>
        </w:rPr>
        <w:t xml:space="preserve">s of feedback include </w:t>
      </w:r>
      <w:r w:rsidR="00535ECA" w:rsidRPr="00DF3370">
        <w:rPr>
          <w:rFonts w:ascii="Times New Roman" w:hAnsi="Times New Roman" w:cs="Times New Roman"/>
          <w:sz w:val="26"/>
          <w:szCs w:val="26"/>
        </w:rPr>
        <w:t xml:space="preserve">instructive feedback and learning outcome improvement, interaction based on received feedback, </w:t>
      </w:r>
      <w:r w:rsidR="006A264F" w:rsidRPr="00DF3370">
        <w:rPr>
          <w:rFonts w:ascii="Times New Roman" w:hAnsi="Times New Roman" w:cs="Times New Roman"/>
          <w:sz w:val="26"/>
          <w:szCs w:val="26"/>
        </w:rPr>
        <w:t>in-time</w:t>
      </w:r>
      <w:r w:rsidR="00535ECA" w:rsidRPr="00DF3370">
        <w:rPr>
          <w:rFonts w:ascii="Times New Roman" w:hAnsi="Times New Roman" w:cs="Times New Roman"/>
          <w:sz w:val="26"/>
          <w:szCs w:val="26"/>
        </w:rPr>
        <w:t xml:space="preserve"> feedback from </w:t>
      </w:r>
      <w:r w:rsidR="001C439D" w:rsidRPr="00DF3370">
        <w:rPr>
          <w:rFonts w:ascii="Times New Roman" w:hAnsi="Times New Roman" w:cs="Times New Roman"/>
          <w:sz w:val="26"/>
          <w:szCs w:val="26"/>
        </w:rPr>
        <w:t xml:space="preserve">HIU </w:t>
      </w:r>
      <w:r w:rsidR="00535ECA" w:rsidRPr="00DF3370">
        <w:rPr>
          <w:rFonts w:ascii="Times New Roman" w:hAnsi="Times New Roman" w:cs="Times New Roman"/>
          <w:sz w:val="26"/>
          <w:szCs w:val="26"/>
        </w:rPr>
        <w:t xml:space="preserve">instructors, feedback helping understand weaknesses and strengths, </w:t>
      </w:r>
      <w:r w:rsidR="00EF2DA6" w:rsidRPr="00DF3370">
        <w:rPr>
          <w:rFonts w:ascii="Times New Roman" w:hAnsi="Times New Roman" w:cs="Times New Roman"/>
          <w:sz w:val="26"/>
          <w:szCs w:val="26"/>
        </w:rPr>
        <w:t xml:space="preserve">and </w:t>
      </w:r>
      <w:r w:rsidR="00535ECA" w:rsidRPr="00DF3370">
        <w:rPr>
          <w:rFonts w:ascii="Times New Roman" w:hAnsi="Times New Roman" w:cs="Times New Roman"/>
          <w:sz w:val="26"/>
          <w:szCs w:val="26"/>
        </w:rPr>
        <w:t xml:space="preserve">personalized feedback based on need.  </w:t>
      </w:r>
      <w:r w:rsidR="00DA42BD" w:rsidRPr="00DF3370">
        <w:rPr>
          <w:rFonts w:ascii="Times New Roman" w:hAnsi="Times New Roman" w:cs="Times New Roman"/>
          <w:sz w:val="26"/>
          <w:szCs w:val="26"/>
        </w:rPr>
        <w:t>Second, digital competence directly affects personalized learning</w:t>
      </w:r>
      <w:r w:rsidR="00081501" w:rsidRPr="00DF3370">
        <w:rPr>
          <w:rFonts w:ascii="Times New Roman" w:hAnsi="Times New Roman" w:cs="Times New Roman"/>
          <w:sz w:val="26"/>
          <w:szCs w:val="26"/>
        </w:rPr>
        <w:t xml:space="preserve"> thanks to t</w:t>
      </w:r>
      <w:r w:rsidR="00DA42BD" w:rsidRPr="00DF3370">
        <w:rPr>
          <w:rFonts w:ascii="Times New Roman" w:hAnsi="Times New Roman" w:cs="Times New Roman"/>
          <w:sz w:val="26"/>
          <w:szCs w:val="26"/>
        </w:rPr>
        <w:t>echnology support in designing content and a learning path for each student</w:t>
      </w:r>
      <w:r w:rsidR="008E3C4D" w:rsidRPr="00DF3370">
        <w:rPr>
          <w:rFonts w:ascii="Times New Roman" w:hAnsi="Times New Roman" w:cs="Times New Roman"/>
          <w:sz w:val="26"/>
          <w:szCs w:val="26"/>
        </w:rPr>
        <w:t xml:space="preserve">, selecting appropriate materials on the LMS, approaching content, ensuring </w:t>
      </w:r>
      <w:r w:rsidR="00535ECA" w:rsidRPr="00DF3370">
        <w:rPr>
          <w:rFonts w:ascii="Times New Roman" w:hAnsi="Times New Roman" w:cs="Times New Roman"/>
          <w:sz w:val="26"/>
          <w:szCs w:val="26"/>
        </w:rPr>
        <w:t xml:space="preserve">content appropriateness with individual needs, </w:t>
      </w:r>
      <w:r w:rsidR="008E3C4D" w:rsidRPr="00DF3370">
        <w:rPr>
          <w:rFonts w:ascii="Times New Roman" w:hAnsi="Times New Roman" w:cs="Times New Roman"/>
          <w:sz w:val="26"/>
          <w:szCs w:val="26"/>
        </w:rPr>
        <w:t>maintaining</w:t>
      </w:r>
      <w:r w:rsidR="00535ECA" w:rsidRPr="00DF3370">
        <w:rPr>
          <w:rFonts w:ascii="Times New Roman" w:hAnsi="Times New Roman" w:cs="Times New Roman"/>
          <w:sz w:val="26"/>
          <w:szCs w:val="26"/>
        </w:rPr>
        <w:t xml:space="preserve"> individual learning pace, </w:t>
      </w:r>
      <w:r w:rsidR="008E3C4D" w:rsidRPr="00DF3370">
        <w:rPr>
          <w:rFonts w:ascii="Times New Roman" w:hAnsi="Times New Roman" w:cs="Times New Roman"/>
          <w:sz w:val="26"/>
          <w:szCs w:val="26"/>
        </w:rPr>
        <w:t xml:space="preserve">and providing </w:t>
      </w:r>
      <w:r w:rsidR="00535ECA" w:rsidRPr="00DF3370">
        <w:rPr>
          <w:rFonts w:ascii="Times New Roman" w:hAnsi="Times New Roman" w:cs="Times New Roman"/>
          <w:sz w:val="26"/>
          <w:szCs w:val="26"/>
        </w:rPr>
        <w:t xml:space="preserve">learning support appropriate </w:t>
      </w:r>
      <w:r w:rsidR="008E3C4D" w:rsidRPr="00DF3370">
        <w:rPr>
          <w:rFonts w:ascii="Times New Roman" w:hAnsi="Times New Roman" w:cs="Times New Roman"/>
          <w:sz w:val="26"/>
          <w:szCs w:val="26"/>
        </w:rPr>
        <w:t>to</w:t>
      </w:r>
      <w:r w:rsidR="00535ECA" w:rsidRPr="00DF3370">
        <w:rPr>
          <w:rFonts w:ascii="Times New Roman" w:hAnsi="Times New Roman" w:cs="Times New Roman"/>
          <w:sz w:val="26"/>
          <w:szCs w:val="26"/>
        </w:rPr>
        <w:t xml:space="preserve"> individual competence. </w:t>
      </w:r>
      <w:r w:rsidR="00DA42BD" w:rsidRPr="00DF3370">
        <w:rPr>
          <w:rFonts w:ascii="Times New Roman" w:hAnsi="Times New Roman" w:cs="Times New Roman"/>
          <w:sz w:val="26"/>
          <w:szCs w:val="26"/>
        </w:rPr>
        <w:t xml:space="preserve">Third, </w:t>
      </w:r>
      <w:r w:rsidR="001C439D" w:rsidRPr="00DF3370">
        <w:rPr>
          <w:rFonts w:ascii="Times New Roman" w:hAnsi="Times New Roman" w:cs="Times New Roman"/>
          <w:sz w:val="26"/>
          <w:szCs w:val="26"/>
        </w:rPr>
        <w:t xml:space="preserve">HIU </w:t>
      </w:r>
      <w:r w:rsidR="00DA42BD" w:rsidRPr="00DF3370">
        <w:rPr>
          <w:rFonts w:ascii="Times New Roman" w:hAnsi="Times New Roman" w:cs="Times New Roman"/>
          <w:sz w:val="26"/>
          <w:szCs w:val="26"/>
        </w:rPr>
        <w:t>student</w:t>
      </w:r>
      <w:r w:rsidR="001C439D" w:rsidRPr="00DF3370">
        <w:rPr>
          <w:rFonts w:ascii="Times New Roman" w:hAnsi="Times New Roman" w:cs="Times New Roman"/>
          <w:sz w:val="26"/>
          <w:szCs w:val="26"/>
        </w:rPr>
        <w:t>s’</w:t>
      </w:r>
      <w:r w:rsidR="00DA42BD" w:rsidRPr="00DF3370">
        <w:rPr>
          <w:rFonts w:ascii="Times New Roman" w:hAnsi="Times New Roman" w:cs="Times New Roman"/>
          <w:sz w:val="26"/>
          <w:szCs w:val="26"/>
        </w:rPr>
        <w:t xml:space="preserve"> feedback has a powerful effect on personalized learning</w:t>
      </w:r>
      <w:r w:rsidR="00535ECA" w:rsidRPr="00DF3370">
        <w:rPr>
          <w:rFonts w:ascii="Times New Roman" w:hAnsi="Times New Roman" w:cs="Times New Roman"/>
          <w:sz w:val="26"/>
          <w:szCs w:val="26"/>
        </w:rPr>
        <w:t xml:space="preserve"> because the quality of feedback helps </w:t>
      </w:r>
      <w:r w:rsidR="001D2A75" w:rsidRPr="00DF3370">
        <w:rPr>
          <w:rFonts w:ascii="Times New Roman" w:hAnsi="Times New Roman" w:cs="Times New Roman"/>
          <w:sz w:val="26"/>
          <w:szCs w:val="26"/>
        </w:rPr>
        <w:t>them</w:t>
      </w:r>
      <w:r w:rsidR="00535ECA" w:rsidRPr="00DF3370">
        <w:rPr>
          <w:rFonts w:ascii="Times New Roman" w:hAnsi="Times New Roman" w:cs="Times New Roman"/>
          <w:sz w:val="26"/>
          <w:szCs w:val="26"/>
        </w:rPr>
        <w:t xml:space="preserve"> adjust the learning process based on individual needs.</w:t>
      </w:r>
      <w:r w:rsidR="00B214A8" w:rsidRPr="00DF3370">
        <w:rPr>
          <w:rFonts w:ascii="Times New Roman" w:hAnsi="Times New Roman" w:cs="Times New Roman"/>
          <w:sz w:val="26"/>
          <w:szCs w:val="26"/>
        </w:rPr>
        <w:t xml:space="preserve"> </w:t>
      </w:r>
      <w:r w:rsidR="00535ECA" w:rsidRPr="00DF3370">
        <w:rPr>
          <w:rFonts w:ascii="Times New Roman" w:hAnsi="Times New Roman" w:cs="Times New Roman"/>
          <w:sz w:val="26"/>
          <w:szCs w:val="26"/>
        </w:rPr>
        <w:t xml:space="preserve">Finally, </w:t>
      </w:r>
      <w:r w:rsidR="001D2A75" w:rsidRPr="00DF3370">
        <w:rPr>
          <w:rFonts w:ascii="Times New Roman" w:hAnsi="Times New Roman" w:cs="Times New Roman"/>
          <w:sz w:val="26"/>
          <w:szCs w:val="26"/>
        </w:rPr>
        <w:t xml:space="preserve">HIU </w:t>
      </w:r>
      <w:r w:rsidR="00535ECA" w:rsidRPr="00DF3370">
        <w:rPr>
          <w:rFonts w:ascii="Times New Roman" w:hAnsi="Times New Roman" w:cs="Times New Roman"/>
          <w:sz w:val="26"/>
          <w:szCs w:val="26"/>
        </w:rPr>
        <w:t>student feedback plays a mediating role in the relationship between digital competence and personalized</w:t>
      </w:r>
      <w:r w:rsidR="00B214A8" w:rsidRPr="00DF3370">
        <w:rPr>
          <w:rFonts w:ascii="Times New Roman" w:hAnsi="Times New Roman" w:cs="Times New Roman"/>
          <w:sz w:val="26"/>
          <w:szCs w:val="26"/>
        </w:rPr>
        <w:t xml:space="preserve"> learning</w:t>
      </w:r>
      <w:r w:rsidR="00535ECA" w:rsidRPr="00DF3370">
        <w:rPr>
          <w:rFonts w:ascii="Times New Roman" w:hAnsi="Times New Roman" w:cs="Times New Roman"/>
          <w:sz w:val="26"/>
          <w:szCs w:val="26"/>
        </w:rPr>
        <w:t>.</w:t>
      </w:r>
      <w:r w:rsidR="00B214A8" w:rsidRPr="00DF3370">
        <w:rPr>
          <w:rFonts w:ascii="Times New Roman" w:hAnsi="Times New Roman" w:cs="Times New Roman"/>
          <w:sz w:val="26"/>
          <w:szCs w:val="26"/>
        </w:rPr>
        <w:t xml:space="preserve"> </w:t>
      </w:r>
      <w:r w:rsidR="005623C4" w:rsidRPr="00DF3370">
        <w:rPr>
          <w:rFonts w:ascii="Times New Roman" w:hAnsi="Times New Roman" w:cs="Times New Roman"/>
          <w:sz w:val="26"/>
          <w:szCs w:val="26"/>
        </w:rPr>
        <w:t>From the above results, the</w:t>
      </w:r>
      <w:r w:rsidR="00B214A8" w:rsidRPr="00DF3370">
        <w:rPr>
          <w:rFonts w:ascii="Times New Roman" w:hAnsi="Times New Roman" w:cs="Times New Roman"/>
          <w:sz w:val="26"/>
          <w:szCs w:val="26"/>
        </w:rPr>
        <w:t xml:space="preserve"> </w:t>
      </w:r>
      <w:r w:rsidR="005623C4" w:rsidRPr="00DF3370">
        <w:rPr>
          <w:rFonts w:ascii="Times New Roman" w:hAnsi="Times New Roman" w:cs="Times New Roman"/>
          <w:sz w:val="26"/>
          <w:szCs w:val="26"/>
        </w:rPr>
        <w:t xml:space="preserve">recommendations of the study are that </w:t>
      </w:r>
      <w:r w:rsidR="001D2A75" w:rsidRPr="00DF3370">
        <w:rPr>
          <w:rFonts w:ascii="Times New Roman" w:hAnsi="Times New Roman" w:cs="Times New Roman"/>
          <w:sz w:val="26"/>
          <w:szCs w:val="26"/>
        </w:rPr>
        <w:t xml:space="preserve">HIU </w:t>
      </w:r>
      <w:proofErr w:type="gramStart"/>
      <w:r w:rsidR="00095502" w:rsidRPr="00DF3370">
        <w:rPr>
          <w:rFonts w:ascii="Times New Roman" w:hAnsi="Times New Roman" w:cs="Times New Roman"/>
          <w:sz w:val="26"/>
          <w:szCs w:val="26"/>
        </w:rPr>
        <w:t xml:space="preserve">in </w:t>
      </w:r>
      <w:r w:rsidR="00D66EF9" w:rsidRPr="00DF3370">
        <w:rPr>
          <w:rFonts w:ascii="Times New Roman" w:hAnsi="Times New Roman" w:cs="Times New Roman"/>
          <w:sz w:val="26"/>
          <w:szCs w:val="26"/>
        </w:rPr>
        <w:t xml:space="preserve">particular </w:t>
      </w:r>
      <w:r w:rsidR="00095502" w:rsidRPr="00DF3370">
        <w:rPr>
          <w:rFonts w:ascii="Times New Roman" w:hAnsi="Times New Roman" w:cs="Times New Roman"/>
          <w:sz w:val="26"/>
          <w:szCs w:val="26"/>
        </w:rPr>
        <w:t>and</w:t>
      </w:r>
      <w:proofErr w:type="gramEnd"/>
      <w:r w:rsidR="00095502" w:rsidRPr="00DF3370">
        <w:rPr>
          <w:rFonts w:ascii="Times New Roman" w:hAnsi="Times New Roman" w:cs="Times New Roman"/>
          <w:sz w:val="26"/>
          <w:szCs w:val="26"/>
        </w:rPr>
        <w:t xml:space="preserve"> universities in </w:t>
      </w:r>
      <w:r w:rsidR="00D66EF9" w:rsidRPr="00DF3370">
        <w:rPr>
          <w:rFonts w:ascii="Times New Roman" w:hAnsi="Times New Roman" w:cs="Times New Roman"/>
          <w:sz w:val="26"/>
          <w:szCs w:val="26"/>
        </w:rPr>
        <w:t>general</w:t>
      </w:r>
      <w:r w:rsidR="00095502" w:rsidRPr="00DF3370">
        <w:rPr>
          <w:rFonts w:ascii="Times New Roman" w:hAnsi="Times New Roman" w:cs="Times New Roman"/>
          <w:sz w:val="26"/>
          <w:szCs w:val="26"/>
        </w:rPr>
        <w:t xml:space="preserve"> </w:t>
      </w:r>
      <w:r w:rsidR="005623C4" w:rsidRPr="00DF3370">
        <w:rPr>
          <w:rFonts w:ascii="Times New Roman" w:hAnsi="Times New Roman" w:cs="Times New Roman"/>
          <w:sz w:val="26"/>
          <w:szCs w:val="26"/>
        </w:rPr>
        <w:t xml:space="preserve">should build digital competence training programs and professional development for instructors. </w:t>
      </w:r>
      <w:r w:rsidR="00095502" w:rsidRPr="00DF3370">
        <w:rPr>
          <w:rFonts w:ascii="Times New Roman" w:hAnsi="Times New Roman" w:cs="Times New Roman"/>
          <w:sz w:val="26"/>
          <w:szCs w:val="26"/>
        </w:rPr>
        <w:t xml:space="preserve"> </w:t>
      </w:r>
    </w:p>
    <w:p w14:paraId="34112813" w14:textId="77777777" w:rsidR="001D2A75" w:rsidRPr="00DF3370" w:rsidRDefault="001D2A75" w:rsidP="00B214A8">
      <w:pPr>
        <w:spacing w:after="120" w:line="288" w:lineRule="auto"/>
        <w:jc w:val="both"/>
        <w:rPr>
          <w:rFonts w:ascii="Times New Roman" w:hAnsi="Times New Roman" w:cs="Times New Roman"/>
          <w:sz w:val="26"/>
          <w:szCs w:val="26"/>
        </w:rPr>
      </w:pPr>
    </w:p>
    <w:p w14:paraId="061C7F02" w14:textId="77777777" w:rsidR="00535ECA" w:rsidRPr="00DF3370" w:rsidRDefault="00535ECA">
      <w:pPr>
        <w:rPr>
          <w:rFonts w:ascii="Times New Roman" w:hAnsi="Times New Roman" w:cs="Times New Roman"/>
          <w:b/>
          <w:bCs/>
          <w:sz w:val="26"/>
          <w:szCs w:val="26"/>
        </w:rPr>
      </w:pPr>
      <w:r w:rsidRPr="00DF3370">
        <w:rPr>
          <w:rFonts w:ascii="Times New Roman" w:hAnsi="Times New Roman" w:cs="Times New Roman"/>
          <w:b/>
          <w:bCs/>
          <w:sz w:val="26"/>
          <w:szCs w:val="26"/>
        </w:rPr>
        <w:br w:type="page"/>
      </w:r>
    </w:p>
    <w:p w14:paraId="50F94223" w14:textId="4D7B168A" w:rsidR="00DE00DC" w:rsidRPr="00DF3370" w:rsidRDefault="00C7657D" w:rsidP="00535ECA">
      <w:pPr>
        <w:spacing w:after="120" w:line="288" w:lineRule="auto"/>
        <w:jc w:val="center"/>
        <w:rPr>
          <w:rFonts w:ascii="Times New Roman" w:hAnsi="Times New Roman" w:cs="Times New Roman"/>
          <w:b/>
          <w:bCs/>
          <w:sz w:val="26"/>
          <w:szCs w:val="26"/>
        </w:rPr>
      </w:pPr>
      <w:r w:rsidRPr="00DF3370">
        <w:rPr>
          <w:rFonts w:ascii="Times New Roman" w:hAnsi="Times New Roman" w:cs="Times New Roman"/>
          <w:b/>
          <w:bCs/>
          <w:sz w:val="26"/>
          <w:szCs w:val="26"/>
        </w:rPr>
        <w:lastRenderedPageBreak/>
        <w:t>REFERENCE</w:t>
      </w:r>
      <w:r w:rsidR="00DE00DC" w:rsidRPr="00DF3370">
        <w:rPr>
          <w:rFonts w:ascii="Times New Roman" w:hAnsi="Times New Roman" w:cs="Times New Roman"/>
          <w:b/>
          <w:bCs/>
          <w:sz w:val="26"/>
          <w:szCs w:val="26"/>
        </w:rPr>
        <w:t>S</w:t>
      </w:r>
    </w:p>
    <w:p w14:paraId="6BA897AB" w14:textId="77777777" w:rsidR="0090159E" w:rsidRPr="00DF3370" w:rsidRDefault="0090159E" w:rsidP="0091355E">
      <w:pPr>
        <w:spacing w:after="120" w:line="288" w:lineRule="auto"/>
        <w:ind w:left="720" w:hanging="720"/>
        <w:rPr>
          <w:rFonts w:ascii="Times New Roman" w:hAnsi="Times New Roman" w:cs="Times New Roman"/>
          <w:sz w:val="26"/>
          <w:szCs w:val="26"/>
        </w:rPr>
      </w:pPr>
      <w:r w:rsidRPr="00DF3370">
        <w:rPr>
          <w:rFonts w:ascii="Times New Roman" w:hAnsi="Times New Roman" w:cs="Times New Roman"/>
          <w:sz w:val="26"/>
          <w:szCs w:val="26"/>
        </w:rPr>
        <w:t xml:space="preserve">Betancur, C. V., &amp; García, V. M. R. A. (2023). Microlearning for the development of teachers' digital competence related to feedback and decision making. </w:t>
      </w:r>
      <w:r w:rsidRPr="00DF3370">
        <w:rPr>
          <w:rFonts w:ascii="Times New Roman" w:hAnsi="Times New Roman" w:cs="Times New Roman"/>
          <w:i/>
          <w:iCs/>
          <w:sz w:val="26"/>
          <w:szCs w:val="26"/>
        </w:rPr>
        <w:t>Education Sciences, 13</w:t>
      </w:r>
      <w:r w:rsidRPr="00DF3370">
        <w:rPr>
          <w:rFonts w:ascii="Times New Roman" w:hAnsi="Times New Roman" w:cs="Times New Roman"/>
          <w:sz w:val="26"/>
          <w:szCs w:val="26"/>
        </w:rPr>
        <w:t xml:space="preserve">(7), 722. </w:t>
      </w:r>
      <w:hyperlink r:id="rId10" w:history="1">
        <w:r w:rsidRPr="00DF3370">
          <w:rPr>
            <w:rStyle w:val="Hyperlink"/>
            <w:rFonts w:ascii="Times New Roman" w:hAnsi="Times New Roman" w:cs="Times New Roman"/>
            <w:color w:val="auto"/>
            <w:sz w:val="26"/>
            <w:szCs w:val="26"/>
            <w:u w:val="none"/>
          </w:rPr>
          <w:t>https://doi.org/10.3390/educsci13070722</w:t>
        </w:r>
      </w:hyperlink>
    </w:p>
    <w:p w14:paraId="1AB4746B" w14:textId="77777777" w:rsidR="0091355E" w:rsidRPr="00DF3370" w:rsidRDefault="0091355E" w:rsidP="0091355E">
      <w:pPr>
        <w:spacing w:after="120" w:line="288" w:lineRule="auto"/>
        <w:ind w:left="720" w:hanging="720"/>
        <w:rPr>
          <w:rFonts w:ascii="Times New Roman" w:hAnsi="Times New Roman" w:cs="Times New Roman"/>
          <w:sz w:val="26"/>
          <w:szCs w:val="26"/>
        </w:rPr>
      </w:pPr>
      <w:r w:rsidRPr="00DF3370">
        <w:rPr>
          <w:rFonts w:ascii="Times New Roman" w:hAnsi="Times New Roman" w:cs="Times New Roman"/>
          <w:sz w:val="26"/>
          <w:szCs w:val="26"/>
        </w:rPr>
        <w:t xml:space="preserve">Bond, M., </w:t>
      </w:r>
      <w:proofErr w:type="spellStart"/>
      <w:r w:rsidRPr="00DF3370">
        <w:rPr>
          <w:rFonts w:ascii="Times New Roman" w:hAnsi="Times New Roman" w:cs="Times New Roman"/>
          <w:sz w:val="26"/>
          <w:szCs w:val="26"/>
        </w:rPr>
        <w:t>Bedenlier</w:t>
      </w:r>
      <w:proofErr w:type="spellEnd"/>
      <w:r w:rsidRPr="00DF3370">
        <w:rPr>
          <w:rFonts w:ascii="Times New Roman" w:hAnsi="Times New Roman" w:cs="Times New Roman"/>
          <w:sz w:val="26"/>
          <w:szCs w:val="26"/>
        </w:rPr>
        <w:t>, S., Marín, V. I., &amp; Händel, M. (2024). Personalized learning in digital higher education: A systematic review. Computers &amp; Education.</w:t>
      </w:r>
    </w:p>
    <w:p w14:paraId="3EA0C3BF" w14:textId="77777777" w:rsidR="0091355E" w:rsidRPr="00DF3370" w:rsidRDefault="008E1612" w:rsidP="0091355E">
      <w:pPr>
        <w:spacing w:after="120" w:line="288" w:lineRule="auto"/>
        <w:ind w:left="720" w:hanging="720"/>
        <w:jc w:val="both"/>
      </w:pPr>
      <w:r w:rsidRPr="00DF3370">
        <w:rPr>
          <w:rFonts w:ascii="Times New Roman" w:hAnsi="Times New Roman" w:cs="Times New Roman"/>
          <w:sz w:val="26"/>
          <w:szCs w:val="26"/>
        </w:rPr>
        <w:t xml:space="preserve">Carless, D., &amp; Boud, D. (2018). The </w:t>
      </w:r>
      <w:r w:rsidR="00D17D9E" w:rsidRPr="00DF3370">
        <w:rPr>
          <w:rFonts w:ascii="Times New Roman" w:hAnsi="Times New Roman" w:cs="Times New Roman"/>
          <w:sz w:val="26"/>
          <w:szCs w:val="26"/>
        </w:rPr>
        <w:t>Development of Student Feedback Literacy</w:t>
      </w:r>
      <w:r w:rsidRPr="00DF3370">
        <w:rPr>
          <w:rFonts w:ascii="Times New Roman" w:hAnsi="Times New Roman" w:cs="Times New Roman"/>
          <w:sz w:val="26"/>
          <w:szCs w:val="26"/>
        </w:rPr>
        <w:t xml:space="preserve">. </w:t>
      </w:r>
      <w:r w:rsidRPr="00DF3370">
        <w:rPr>
          <w:rFonts w:ascii="Times New Roman" w:hAnsi="Times New Roman" w:cs="Times New Roman"/>
          <w:i/>
          <w:iCs/>
          <w:sz w:val="26"/>
          <w:szCs w:val="26"/>
        </w:rPr>
        <w:t>Assessment &amp; Evaluation in Higher Education, 43</w:t>
      </w:r>
      <w:r w:rsidRPr="00DF3370">
        <w:rPr>
          <w:rFonts w:ascii="Times New Roman" w:hAnsi="Times New Roman" w:cs="Times New Roman"/>
          <w:sz w:val="26"/>
          <w:szCs w:val="26"/>
        </w:rPr>
        <w:t xml:space="preserve">(8), 1315–1325. </w:t>
      </w:r>
      <w:hyperlink r:id="rId11" w:history="1">
        <w:r w:rsidRPr="00DF3370">
          <w:rPr>
            <w:rStyle w:val="Hyperlink"/>
            <w:rFonts w:ascii="Times New Roman" w:hAnsi="Times New Roman" w:cs="Times New Roman"/>
            <w:color w:val="auto"/>
            <w:sz w:val="26"/>
            <w:szCs w:val="26"/>
            <w:u w:val="none"/>
          </w:rPr>
          <w:t>https://doi.org/10.1080/02602938.2018.1463354</w:t>
        </w:r>
      </w:hyperlink>
    </w:p>
    <w:p w14:paraId="754604D1" w14:textId="4E1960BB" w:rsidR="0090159E" w:rsidRPr="00DF3370" w:rsidRDefault="0090159E" w:rsidP="0091355E">
      <w:pPr>
        <w:spacing w:after="120" w:line="288" w:lineRule="auto"/>
        <w:ind w:left="720" w:hanging="720"/>
        <w:jc w:val="both"/>
      </w:pPr>
      <w:r w:rsidRPr="00DF3370">
        <w:rPr>
          <w:rFonts w:ascii="Times New Roman" w:hAnsi="Times New Roman" w:cs="Times New Roman"/>
          <w:sz w:val="26"/>
          <w:szCs w:val="26"/>
        </w:rPr>
        <w:t xml:space="preserve">Chaw, L. Y., &amp; Tang, C. M. (2024). Exploring the relationship between digital competence proficiency and student learning performance. </w:t>
      </w:r>
      <w:r w:rsidRPr="00DF3370">
        <w:rPr>
          <w:rFonts w:ascii="Times New Roman" w:hAnsi="Times New Roman" w:cs="Times New Roman"/>
          <w:i/>
          <w:iCs/>
          <w:sz w:val="26"/>
          <w:szCs w:val="26"/>
        </w:rPr>
        <w:t>European Journal of Education, 59</w:t>
      </w:r>
      <w:r w:rsidRPr="00DF3370">
        <w:rPr>
          <w:rFonts w:ascii="Times New Roman" w:hAnsi="Times New Roman" w:cs="Times New Roman"/>
          <w:sz w:val="26"/>
          <w:szCs w:val="26"/>
        </w:rPr>
        <w:t xml:space="preserve">, e12593. </w:t>
      </w:r>
      <w:hyperlink r:id="rId12" w:history="1">
        <w:r w:rsidRPr="00DF3370">
          <w:rPr>
            <w:rStyle w:val="Hyperlink"/>
            <w:rFonts w:ascii="Times New Roman" w:hAnsi="Times New Roman" w:cs="Times New Roman"/>
            <w:color w:val="auto"/>
            <w:sz w:val="26"/>
            <w:szCs w:val="26"/>
            <w:u w:val="none"/>
          </w:rPr>
          <w:t>https://doi.org/10.1111/ejed.12593</w:t>
        </w:r>
      </w:hyperlink>
    </w:p>
    <w:p w14:paraId="2C224537" w14:textId="77777777" w:rsidR="0091355E" w:rsidRPr="00DF3370" w:rsidRDefault="00B1581A" w:rsidP="0091355E">
      <w:pPr>
        <w:spacing w:after="120" w:line="288" w:lineRule="auto"/>
        <w:ind w:left="720" w:hanging="720"/>
        <w:jc w:val="both"/>
      </w:pPr>
      <w:r w:rsidRPr="00DF3370">
        <w:rPr>
          <w:rFonts w:ascii="Times New Roman" w:hAnsi="Times New Roman" w:cs="Times New Roman"/>
          <w:sz w:val="26"/>
          <w:szCs w:val="26"/>
        </w:rPr>
        <w:t xml:space="preserve">Creswell, J. W., &amp; Creswell, J. D. (2018). </w:t>
      </w:r>
      <w:r w:rsidRPr="00DF3370">
        <w:rPr>
          <w:rFonts w:ascii="Times New Roman" w:hAnsi="Times New Roman" w:cs="Times New Roman"/>
          <w:i/>
          <w:iCs/>
          <w:sz w:val="26"/>
          <w:szCs w:val="26"/>
        </w:rPr>
        <w:t xml:space="preserve">Research </w:t>
      </w:r>
      <w:r w:rsidR="00D17D9E" w:rsidRPr="00DF3370">
        <w:rPr>
          <w:rFonts w:ascii="Times New Roman" w:hAnsi="Times New Roman" w:cs="Times New Roman"/>
          <w:i/>
          <w:iCs/>
          <w:sz w:val="26"/>
          <w:szCs w:val="26"/>
        </w:rPr>
        <w:t>D</w:t>
      </w:r>
      <w:r w:rsidRPr="00DF3370">
        <w:rPr>
          <w:rFonts w:ascii="Times New Roman" w:hAnsi="Times New Roman" w:cs="Times New Roman"/>
          <w:i/>
          <w:iCs/>
          <w:sz w:val="26"/>
          <w:szCs w:val="26"/>
        </w:rPr>
        <w:t xml:space="preserve">esign: Qualitative, </w:t>
      </w:r>
      <w:r w:rsidR="00D17D9E" w:rsidRPr="00DF3370">
        <w:rPr>
          <w:rFonts w:ascii="Times New Roman" w:hAnsi="Times New Roman" w:cs="Times New Roman"/>
          <w:i/>
          <w:iCs/>
          <w:sz w:val="26"/>
          <w:szCs w:val="26"/>
        </w:rPr>
        <w:t>Quantitative, and Mixed Methods Approach</w:t>
      </w:r>
      <w:r w:rsidRPr="00DF3370">
        <w:rPr>
          <w:rFonts w:ascii="Times New Roman" w:hAnsi="Times New Roman" w:cs="Times New Roman"/>
          <w:sz w:val="26"/>
          <w:szCs w:val="26"/>
        </w:rPr>
        <w:t xml:space="preserve"> (5th ed.). SAGE Publications.</w:t>
      </w:r>
      <w:r w:rsidRPr="00DF3370">
        <w:rPr>
          <w:rFonts w:ascii="Times New Roman" w:hAnsi="Times New Roman" w:cs="Times New Roman"/>
          <w:sz w:val="26"/>
          <w:szCs w:val="26"/>
        </w:rPr>
        <w:br/>
      </w:r>
      <w:hyperlink r:id="rId13" w:tgtFrame="_new" w:history="1">
        <w:r w:rsidRPr="00DF3370">
          <w:rPr>
            <w:rStyle w:val="Hyperlink"/>
            <w:rFonts w:ascii="Times New Roman" w:hAnsi="Times New Roman" w:cs="Times New Roman"/>
            <w:color w:val="auto"/>
            <w:sz w:val="26"/>
            <w:szCs w:val="26"/>
            <w:u w:val="none"/>
          </w:rPr>
          <w:t>https://us.sagepub.com/en-us/nam/research-design/book255675</w:t>
        </w:r>
      </w:hyperlink>
    </w:p>
    <w:p w14:paraId="5E82A94D" w14:textId="76EE3989" w:rsidR="0091355E" w:rsidRPr="00DF3370" w:rsidRDefault="0091355E" w:rsidP="0091355E">
      <w:pPr>
        <w:spacing w:after="120" w:line="288" w:lineRule="auto"/>
        <w:ind w:left="720" w:hanging="720"/>
        <w:jc w:val="both"/>
      </w:pPr>
      <w:r w:rsidRPr="00DF3370">
        <w:rPr>
          <w:rFonts w:ascii="Times New Roman" w:hAnsi="Times New Roman" w:cs="Times New Roman"/>
          <w:sz w:val="26"/>
          <w:szCs w:val="26"/>
        </w:rPr>
        <w:t>Dang, T. D., Phan</w:t>
      </w:r>
      <w:proofErr w:type="gramStart"/>
      <w:r w:rsidRPr="00DF3370">
        <w:rPr>
          <w:rFonts w:ascii="Times New Roman" w:hAnsi="Times New Roman" w:cs="Times New Roman"/>
          <w:sz w:val="26"/>
          <w:szCs w:val="26"/>
        </w:rPr>
        <w:t>, T.</w:t>
      </w:r>
      <w:proofErr w:type="gramEnd"/>
      <w:r w:rsidRPr="00DF3370">
        <w:rPr>
          <w:rFonts w:ascii="Times New Roman" w:hAnsi="Times New Roman" w:cs="Times New Roman"/>
          <w:sz w:val="26"/>
          <w:szCs w:val="26"/>
        </w:rPr>
        <w:t xml:space="preserve"> T., Vu, T. N. Q., La, T. D., &amp; Pham, V. K. (2024). Digital competence of lecturers and its impact on student learning value in higher education. </w:t>
      </w:r>
      <w:proofErr w:type="spellStart"/>
      <w:r w:rsidRPr="00DF3370">
        <w:rPr>
          <w:rFonts w:ascii="Times New Roman" w:hAnsi="Times New Roman" w:cs="Times New Roman"/>
          <w:i/>
          <w:iCs/>
          <w:sz w:val="26"/>
          <w:szCs w:val="26"/>
        </w:rPr>
        <w:t>Heliyon</w:t>
      </w:r>
      <w:proofErr w:type="spellEnd"/>
      <w:r w:rsidRPr="00DF3370">
        <w:rPr>
          <w:rFonts w:ascii="Times New Roman" w:hAnsi="Times New Roman" w:cs="Times New Roman"/>
          <w:i/>
          <w:iCs/>
          <w:sz w:val="26"/>
          <w:szCs w:val="26"/>
        </w:rPr>
        <w:t>, 10</w:t>
      </w:r>
      <w:r w:rsidRPr="00DF3370">
        <w:rPr>
          <w:rFonts w:ascii="Times New Roman" w:hAnsi="Times New Roman" w:cs="Times New Roman"/>
          <w:sz w:val="26"/>
          <w:szCs w:val="26"/>
        </w:rPr>
        <w:t xml:space="preserve">(17), e37318. </w:t>
      </w:r>
      <w:hyperlink r:id="rId14" w:tgtFrame="_new" w:history="1">
        <w:r w:rsidRPr="00DF3370">
          <w:rPr>
            <w:rStyle w:val="Hyperlink"/>
            <w:rFonts w:ascii="Times New Roman" w:hAnsi="Times New Roman" w:cs="Times New Roman"/>
            <w:color w:val="auto"/>
            <w:sz w:val="26"/>
            <w:szCs w:val="26"/>
            <w:u w:val="none"/>
          </w:rPr>
          <w:t>https://doi.org/10.1016/j.heliyon.2024.e37318</w:t>
        </w:r>
      </w:hyperlink>
    </w:p>
    <w:p w14:paraId="7E72640E" w14:textId="5B15F0B9" w:rsidR="00DE00DC" w:rsidRPr="00DF3370" w:rsidRDefault="00DE00DC" w:rsidP="004C1B48">
      <w:pPr>
        <w:spacing w:after="120" w:line="288" w:lineRule="auto"/>
        <w:ind w:left="720" w:hanging="720"/>
        <w:jc w:val="both"/>
        <w:rPr>
          <w:rFonts w:ascii="Times New Roman" w:hAnsi="Times New Roman" w:cs="Times New Roman"/>
          <w:sz w:val="26"/>
          <w:szCs w:val="26"/>
        </w:rPr>
      </w:pPr>
      <w:r w:rsidRPr="00DF3370">
        <w:rPr>
          <w:rFonts w:ascii="Times New Roman" w:hAnsi="Times New Roman" w:cs="Times New Roman"/>
          <w:sz w:val="26"/>
          <w:szCs w:val="26"/>
        </w:rPr>
        <w:t xml:space="preserve">Hair, J. F., Hult, G. T. M., Ringle, C. M., &amp; Sarstedt, M. (2022). </w:t>
      </w:r>
      <w:r w:rsidRPr="00DF3370">
        <w:rPr>
          <w:rFonts w:ascii="Times New Roman" w:hAnsi="Times New Roman" w:cs="Times New Roman"/>
          <w:i/>
          <w:iCs/>
          <w:sz w:val="26"/>
          <w:szCs w:val="26"/>
        </w:rPr>
        <w:t xml:space="preserve">A </w:t>
      </w:r>
      <w:r w:rsidR="00D17D9E" w:rsidRPr="00DF3370">
        <w:rPr>
          <w:rFonts w:ascii="Times New Roman" w:hAnsi="Times New Roman" w:cs="Times New Roman"/>
          <w:i/>
          <w:iCs/>
          <w:sz w:val="26"/>
          <w:szCs w:val="26"/>
        </w:rPr>
        <w:t>Primer on Partial Least Squares Structural Equation Modeling</w:t>
      </w:r>
      <w:r w:rsidRPr="00DF3370">
        <w:rPr>
          <w:rFonts w:ascii="Times New Roman" w:hAnsi="Times New Roman" w:cs="Times New Roman"/>
          <w:i/>
          <w:iCs/>
          <w:sz w:val="26"/>
          <w:szCs w:val="26"/>
        </w:rPr>
        <w:t xml:space="preserve"> (PLS-SEM)</w:t>
      </w:r>
      <w:r w:rsidRPr="00DF3370">
        <w:rPr>
          <w:rFonts w:ascii="Times New Roman" w:hAnsi="Times New Roman" w:cs="Times New Roman"/>
          <w:sz w:val="26"/>
          <w:szCs w:val="26"/>
        </w:rPr>
        <w:t xml:space="preserve"> (3rd ed.). SAGE Publications.</w:t>
      </w:r>
      <w:r w:rsidRPr="00DF3370">
        <w:rPr>
          <w:rFonts w:ascii="Times New Roman" w:hAnsi="Times New Roman" w:cs="Times New Roman"/>
          <w:sz w:val="26"/>
          <w:szCs w:val="26"/>
        </w:rPr>
        <w:br/>
      </w:r>
      <w:hyperlink r:id="rId15" w:history="1">
        <w:r w:rsidRPr="00DF3370">
          <w:rPr>
            <w:rStyle w:val="Hyperlink"/>
            <w:rFonts w:ascii="Times New Roman" w:hAnsi="Times New Roman" w:cs="Times New Roman"/>
            <w:color w:val="auto"/>
            <w:sz w:val="26"/>
            <w:szCs w:val="26"/>
            <w:u w:val="none"/>
          </w:rPr>
          <w:t>https://us.sagepub.com/en-us/nam/a-primer-on-partial-least-squares-structural-equation-modeling-pls-sem/book277161</w:t>
        </w:r>
      </w:hyperlink>
    </w:p>
    <w:p w14:paraId="1A45911E" w14:textId="7A545A18" w:rsidR="00DE00DC" w:rsidRPr="00DF3370" w:rsidRDefault="00DE00DC" w:rsidP="004C1B48">
      <w:pPr>
        <w:spacing w:after="120" w:line="288" w:lineRule="auto"/>
        <w:ind w:left="720" w:hanging="720"/>
        <w:jc w:val="both"/>
        <w:rPr>
          <w:rFonts w:ascii="Times New Roman" w:hAnsi="Times New Roman" w:cs="Times New Roman"/>
          <w:sz w:val="26"/>
          <w:szCs w:val="26"/>
        </w:rPr>
      </w:pPr>
      <w:r w:rsidRPr="00DF3370">
        <w:rPr>
          <w:rFonts w:ascii="Times New Roman" w:hAnsi="Times New Roman" w:cs="Times New Roman"/>
          <w:sz w:val="26"/>
          <w:szCs w:val="26"/>
        </w:rPr>
        <w:t xml:space="preserve">Hattie, J., &amp; Timperley, H. (2007). The </w:t>
      </w:r>
      <w:r w:rsidR="00D17D9E" w:rsidRPr="00DF3370">
        <w:rPr>
          <w:rFonts w:ascii="Times New Roman" w:hAnsi="Times New Roman" w:cs="Times New Roman"/>
          <w:sz w:val="26"/>
          <w:szCs w:val="26"/>
        </w:rPr>
        <w:t>Power of Feedback</w:t>
      </w:r>
      <w:r w:rsidRPr="00DF3370">
        <w:rPr>
          <w:rFonts w:ascii="Times New Roman" w:hAnsi="Times New Roman" w:cs="Times New Roman"/>
          <w:sz w:val="26"/>
          <w:szCs w:val="26"/>
        </w:rPr>
        <w:t xml:space="preserve">. </w:t>
      </w:r>
      <w:r w:rsidRPr="00DF3370">
        <w:rPr>
          <w:rFonts w:ascii="Times New Roman" w:hAnsi="Times New Roman" w:cs="Times New Roman"/>
          <w:i/>
          <w:iCs/>
          <w:sz w:val="26"/>
          <w:szCs w:val="26"/>
        </w:rPr>
        <w:t>Review of Educational Research, 77</w:t>
      </w:r>
      <w:r w:rsidRPr="00DF3370">
        <w:rPr>
          <w:rFonts w:ascii="Times New Roman" w:hAnsi="Times New Roman" w:cs="Times New Roman"/>
          <w:sz w:val="26"/>
          <w:szCs w:val="26"/>
        </w:rPr>
        <w:t xml:space="preserve">(1), 81–112. </w:t>
      </w:r>
      <w:hyperlink r:id="rId16" w:history="1">
        <w:r w:rsidRPr="00DF3370">
          <w:rPr>
            <w:rStyle w:val="Hyperlink"/>
            <w:rFonts w:ascii="Times New Roman" w:hAnsi="Times New Roman" w:cs="Times New Roman"/>
            <w:color w:val="auto"/>
            <w:sz w:val="26"/>
            <w:szCs w:val="26"/>
            <w:u w:val="none"/>
          </w:rPr>
          <w:t>https://doi.org/10.3102/003465430298487</w:t>
        </w:r>
      </w:hyperlink>
      <w:r w:rsidRPr="00DF3370">
        <w:rPr>
          <w:rFonts w:ascii="Times New Roman" w:hAnsi="Times New Roman" w:cs="Times New Roman"/>
          <w:sz w:val="26"/>
          <w:szCs w:val="26"/>
        </w:rPr>
        <w:t>.</w:t>
      </w:r>
    </w:p>
    <w:p w14:paraId="38C6D4A9" w14:textId="77777777" w:rsidR="0091355E" w:rsidRPr="00DF3370" w:rsidRDefault="00572F1B" w:rsidP="0091355E">
      <w:pPr>
        <w:spacing w:after="120" w:line="288" w:lineRule="auto"/>
        <w:ind w:left="720" w:hanging="720"/>
        <w:jc w:val="both"/>
        <w:rPr>
          <w:rFonts w:ascii="Times New Roman" w:hAnsi="Times New Roman" w:cs="Times New Roman"/>
          <w:sz w:val="26"/>
          <w:szCs w:val="26"/>
        </w:rPr>
      </w:pPr>
      <w:r w:rsidRPr="00DF3370">
        <w:rPr>
          <w:rFonts w:ascii="Times New Roman" w:hAnsi="Times New Roman" w:cs="Times New Roman"/>
          <w:sz w:val="26"/>
          <w:szCs w:val="26"/>
        </w:rPr>
        <w:t xml:space="preserve">Holmes, W., Bialik, M., &amp; Fadel, C. (2019). </w:t>
      </w:r>
      <w:r w:rsidRPr="00DF3370">
        <w:rPr>
          <w:rFonts w:ascii="Times New Roman" w:hAnsi="Times New Roman" w:cs="Times New Roman"/>
          <w:i/>
          <w:iCs/>
          <w:sz w:val="26"/>
          <w:szCs w:val="26"/>
        </w:rPr>
        <w:t xml:space="preserve">Artificial </w:t>
      </w:r>
      <w:r w:rsidR="00D17D9E" w:rsidRPr="00DF3370">
        <w:rPr>
          <w:rFonts w:ascii="Times New Roman" w:hAnsi="Times New Roman" w:cs="Times New Roman"/>
          <w:i/>
          <w:iCs/>
          <w:sz w:val="26"/>
          <w:szCs w:val="26"/>
        </w:rPr>
        <w:t>Intelligence in Education</w:t>
      </w:r>
      <w:r w:rsidRPr="00DF3370">
        <w:rPr>
          <w:rFonts w:ascii="Times New Roman" w:hAnsi="Times New Roman" w:cs="Times New Roman"/>
          <w:sz w:val="26"/>
          <w:szCs w:val="26"/>
        </w:rPr>
        <w:t xml:space="preserve">. Center for Curriculum Redesign. </w:t>
      </w:r>
      <w:hyperlink r:id="rId17" w:history="1">
        <w:r w:rsidR="0090159E" w:rsidRPr="00DF3370">
          <w:rPr>
            <w:rStyle w:val="Hyperlink"/>
            <w:rFonts w:ascii="Times New Roman" w:hAnsi="Times New Roman" w:cs="Times New Roman"/>
            <w:color w:val="auto"/>
            <w:sz w:val="26"/>
            <w:szCs w:val="26"/>
            <w:u w:val="none"/>
          </w:rPr>
          <w:t>https://curriculumredesign.org/wp-content/uploads/AI-in-Education-Promises-and-Implications-for-Teaching-and-Learning.pdf</w:t>
        </w:r>
      </w:hyperlink>
    </w:p>
    <w:p w14:paraId="527013A2" w14:textId="00C5A13A" w:rsidR="0090159E" w:rsidRPr="00DF3370" w:rsidRDefault="0090159E" w:rsidP="0091355E">
      <w:pPr>
        <w:spacing w:after="120" w:line="288" w:lineRule="auto"/>
        <w:ind w:left="720" w:hanging="720"/>
        <w:jc w:val="both"/>
        <w:rPr>
          <w:rFonts w:ascii="Times New Roman" w:hAnsi="Times New Roman" w:cs="Times New Roman"/>
          <w:sz w:val="26"/>
          <w:szCs w:val="26"/>
        </w:rPr>
      </w:pPr>
      <w:r w:rsidRPr="00DF3370">
        <w:rPr>
          <w:rFonts w:ascii="Times New Roman" w:hAnsi="Times New Roman" w:cs="Times New Roman"/>
          <w:sz w:val="26"/>
          <w:szCs w:val="26"/>
        </w:rPr>
        <w:t xml:space="preserve">Hizam, S. M., Akter, H., Sentosa, I., &amp; Ahmed, W. (2021). Digital competency of educators in the virtual learning environment: A structural equation modeling analysis. </w:t>
      </w:r>
      <w:r w:rsidRPr="00DF3370">
        <w:rPr>
          <w:rFonts w:ascii="Times New Roman" w:hAnsi="Times New Roman" w:cs="Times New Roman"/>
          <w:i/>
          <w:iCs/>
          <w:sz w:val="26"/>
          <w:szCs w:val="26"/>
        </w:rPr>
        <w:t>IOP Conference Series: Earth and Environmental Science, 704</w:t>
      </w:r>
      <w:r w:rsidRPr="00DF3370">
        <w:rPr>
          <w:rFonts w:ascii="Times New Roman" w:hAnsi="Times New Roman" w:cs="Times New Roman"/>
          <w:sz w:val="26"/>
          <w:szCs w:val="26"/>
        </w:rPr>
        <w:t xml:space="preserve">(1), 012023. </w:t>
      </w:r>
      <w:hyperlink r:id="rId18" w:tgtFrame="_new" w:history="1">
        <w:r w:rsidRPr="00DF3370">
          <w:rPr>
            <w:rStyle w:val="Hyperlink"/>
            <w:rFonts w:ascii="Times New Roman" w:hAnsi="Times New Roman" w:cs="Times New Roman"/>
            <w:color w:val="auto"/>
            <w:sz w:val="26"/>
            <w:szCs w:val="26"/>
            <w:u w:val="none"/>
          </w:rPr>
          <w:t>https://doi.org/10.1088/1755-1315/704/1/012023</w:t>
        </w:r>
      </w:hyperlink>
    </w:p>
    <w:p w14:paraId="65FE5E48" w14:textId="77777777" w:rsidR="0090159E" w:rsidRPr="00DF3370" w:rsidRDefault="0090159E" w:rsidP="004C1B48">
      <w:pPr>
        <w:spacing w:after="120" w:line="288" w:lineRule="auto"/>
        <w:ind w:left="720" w:hanging="720"/>
        <w:jc w:val="both"/>
        <w:rPr>
          <w:rFonts w:ascii="Times New Roman" w:hAnsi="Times New Roman" w:cs="Times New Roman"/>
          <w:sz w:val="26"/>
          <w:szCs w:val="26"/>
        </w:rPr>
      </w:pPr>
    </w:p>
    <w:p w14:paraId="5A48FD15" w14:textId="2187F5DE" w:rsidR="00572F1B" w:rsidRPr="00DF3370" w:rsidRDefault="00572F1B" w:rsidP="004C1B48">
      <w:pPr>
        <w:spacing w:after="120" w:line="288" w:lineRule="auto"/>
        <w:ind w:left="720" w:hanging="720"/>
        <w:jc w:val="both"/>
        <w:rPr>
          <w:rFonts w:ascii="Times New Roman" w:hAnsi="Times New Roman" w:cs="Times New Roman"/>
          <w:sz w:val="26"/>
          <w:szCs w:val="26"/>
        </w:rPr>
      </w:pPr>
      <w:proofErr w:type="spellStart"/>
      <w:r w:rsidRPr="00DF3370">
        <w:rPr>
          <w:rFonts w:ascii="Times New Roman" w:hAnsi="Times New Roman" w:cs="Times New Roman"/>
          <w:sz w:val="26"/>
          <w:szCs w:val="26"/>
        </w:rPr>
        <w:lastRenderedPageBreak/>
        <w:t>Instefjord</w:t>
      </w:r>
      <w:proofErr w:type="spellEnd"/>
      <w:r w:rsidRPr="00DF3370">
        <w:rPr>
          <w:rFonts w:ascii="Times New Roman" w:hAnsi="Times New Roman" w:cs="Times New Roman"/>
          <w:sz w:val="26"/>
          <w:szCs w:val="26"/>
        </w:rPr>
        <w:t xml:space="preserve">, E. J., &amp; Munthe, E. (2017). Preparing </w:t>
      </w:r>
      <w:r w:rsidR="00D17D9E" w:rsidRPr="00DF3370">
        <w:rPr>
          <w:rFonts w:ascii="Times New Roman" w:hAnsi="Times New Roman" w:cs="Times New Roman"/>
          <w:sz w:val="26"/>
          <w:szCs w:val="26"/>
        </w:rPr>
        <w:t xml:space="preserve">Pre-Service Teachers to Integrate Technology: </w:t>
      </w:r>
      <w:r w:rsidRPr="00DF3370">
        <w:rPr>
          <w:rFonts w:ascii="Times New Roman" w:hAnsi="Times New Roman" w:cs="Times New Roman"/>
          <w:sz w:val="26"/>
          <w:szCs w:val="26"/>
        </w:rPr>
        <w:t xml:space="preserve">An </w:t>
      </w:r>
      <w:r w:rsidR="00D17D9E" w:rsidRPr="00DF3370">
        <w:rPr>
          <w:rFonts w:ascii="Times New Roman" w:hAnsi="Times New Roman" w:cs="Times New Roman"/>
          <w:sz w:val="26"/>
          <w:szCs w:val="26"/>
        </w:rPr>
        <w:t>Analysis of the Emphasis on Digital Competence in Teacher Education Curricula</w:t>
      </w:r>
      <w:r w:rsidRPr="00DF3370">
        <w:rPr>
          <w:rFonts w:ascii="Times New Roman" w:hAnsi="Times New Roman" w:cs="Times New Roman"/>
          <w:sz w:val="26"/>
          <w:szCs w:val="26"/>
        </w:rPr>
        <w:t xml:space="preserve">. </w:t>
      </w:r>
      <w:r w:rsidRPr="00DF3370">
        <w:rPr>
          <w:rFonts w:ascii="Times New Roman" w:hAnsi="Times New Roman" w:cs="Times New Roman"/>
          <w:i/>
          <w:iCs/>
          <w:sz w:val="26"/>
          <w:szCs w:val="26"/>
        </w:rPr>
        <w:t>Teaching and Teacher Education, 67</w:t>
      </w:r>
      <w:r w:rsidRPr="00DF3370">
        <w:rPr>
          <w:rFonts w:ascii="Times New Roman" w:hAnsi="Times New Roman" w:cs="Times New Roman"/>
          <w:sz w:val="26"/>
          <w:szCs w:val="26"/>
        </w:rPr>
        <w:t>, 37–45.</w:t>
      </w:r>
      <w:r w:rsidRPr="00DF3370">
        <w:rPr>
          <w:rFonts w:ascii="Times New Roman" w:hAnsi="Times New Roman" w:cs="Times New Roman"/>
          <w:sz w:val="26"/>
          <w:szCs w:val="26"/>
        </w:rPr>
        <w:br/>
      </w:r>
      <w:hyperlink r:id="rId19" w:tgtFrame="_new" w:history="1">
        <w:r w:rsidRPr="00DF3370">
          <w:rPr>
            <w:rStyle w:val="Hyperlink"/>
            <w:rFonts w:ascii="Times New Roman" w:hAnsi="Times New Roman" w:cs="Times New Roman"/>
            <w:color w:val="auto"/>
            <w:sz w:val="26"/>
            <w:szCs w:val="26"/>
            <w:u w:val="none"/>
          </w:rPr>
          <w:t>https://doi.org/10.1016/j.tate.2017.05.016</w:t>
        </w:r>
      </w:hyperlink>
    </w:p>
    <w:p w14:paraId="651D492F" w14:textId="173CB538" w:rsidR="008E1612" w:rsidRPr="00DF3370" w:rsidRDefault="008E1612" w:rsidP="004C1B48">
      <w:pPr>
        <w:spacing w:after="120" w:line="288" w:lineRule="auto"/>
        <w:ind w:left="720" w:hanging="720"/>
        <w:jc w:val="both"/>
        <w:rPr>
          <w:rFonts w:ascii="Times New Roman" w:hAnsi="Times New Roman" w:cs="Times New Roman"/>
          <w:sz w:val="26"/>
          <w:szCs w:val="26"/>
        </w:rPr>
      </w:pPr>
      <w:r w:rsidRPr="00DF3370">
        <w:rPr>
          <w:rFonts w:ascii="Times New Roman" w:hAnsi="Times New Roman" w:cs="Times New Roman"/>
          <w:sz w:val="26"/>
          <w:szCs w:val="26"/>
        </w:rPr>
        <w:t xml:space="preserve">Ilomäki, L., Paavola, S., </w:t>
      </w:r>
      <w:proofErr w:type="spellStart"/>
      <w:r w:rsidRPr="00DF3370">
        <w:rPr>
          <w:rFonts w:ascii="Times New Roman" w:hAnsi="Times New Roman" w:cs="Times New Roman"/>
          <w:sz w:val="26"/>
          <w:szCs w:val="26"/>
        </w:rPr>
        <w:t>Lakkala</w:t>
      </w:r>
      <w:proofErr w:type="spellEnd"/>
      <w:r w:rsidRPr="00DF3370">
        <w:rPr>
          <w:rFonts w:ascii="Times New Roman" w:hAnsi="Times New Roman" w:cs="Times New Roman"/>
          <w:sz w:val="26"/>
          <w:szCs w:val="26"/>
        </w:rPr>
        <w:t xml:space="preserve">, M., &amp; </w:t>
      </w:r>
      <w:proofErr w:type="spellStart"/>
      <w:r w:rsidRPr="00DF3370">
        <w:rPr>
          <w:rFonts w:ascii="Times New Roman" w:hAnsi="Times New Roman" w:cs="Times New Roman"/>
          <w:sz w:val="26"/>
          <w:szCs w:val="26"/>
        </w:rPr>
        <w:t>Kantosalo</w:t>
      </w:r>
      <w:proofErr w:type="spellEnd"/>
      <w:r w:rsidRPr="00DF3370">
        <w:rPr>
          <w:rFonts w:ascii="Times New Roman" w:hAnsi="Times New Roman" w:cs="Times New Roman"/>
          <w:sz w:val="26"/>
          <w:szCs w:val="26"/>
        </w:rPr>
        <w:t xml:space="preserve">, A. (2016). Digital </w:t>
      </w:r>
      <w:r w:rsidR="00D17D9E" w:rsidRPr="00DF3370">
        <w:rPr>
          <w:rFonts w:ascii="Times New Roman" w:hAnsi="Times New Roman" w:cs="Times New Roman"/>
          <w:sz w:val="26"/>
          <w:szCs w:val="26"/>
        </w:rPr>
        <w:t>Competence—</w:t>
      </w:r>
      <w:r w:rsidRPr="00DF3370">
        <w:rPr>
          <w:rFonts w:ascii="Times New Roman" w:hAnsi="Times New Roman" w:cs="Times New Roman"/>
          <w:sz w:val="26"/>
          <w:szCs w:val="26"/>
        </w:rPr>
        <w:t xml:space="preserve">An </w:t>
      </w:r>
      <w:r w:rsidR="00D17D9E" w:rsidRPr="00DF3370">
        <w:rPr>
          <w:rFonts w:ascii="Times New Roman" w:hAnsi="Times New Roman" w:cs="Times New Roman"/>
          <w:sz w:val="26"/>
          <w:szCs w:val="26"/>
        </w:rPr>
        <w:t>Emergent Boundary Concept.</w:t>
      </w:r>
      <w:r w:rsidRPr="00DF3370">
        <w:rPr>
          <w:rFonts w:ascii="Times New Roman" w:hAnsi="Times New Roman" w:cs="Times New Roman"/>
          <w:sz w:val="26"/>
          <w:szCs w:val="26"/>
        </w:rPr>
        <w:t xml:space="preserve"> </w:t>
      </w:r>
      <w:r w:rsidRPr="00DF3370">
        <w:rPr>
          <w:rFonts w:ascii="Times New Roman" w:hAnsi="Times New Roman" w:cs="Times New Roman"/>
          <w:i/>
          <w:iCs/>
          <w:sz w:val="26"/>
          <w:szCs w:val="26"/>
        </w:rPr>
        <w:t>Education and Information Technologies, 21</w:t>
      </w:r>
      <w:r w:rsidRPr="00DF3370">
        <w:rPr>
          <w:rFonts w:ascii="Times New Roman" w:hAnsi="Times New Roman" w:cs="Times New Roman"/>
          <w:sz w:val="26"/>
          <w:szCs w:val="26"/>
        </w:rPr>
        <w:t>(3), 655–679.</w:t>
      </w:r>
      <w:r w:rsidR="00D17D9E" w:rsidRPr="00DF3370">
        <w:rPr>
          <w:rFonts w:ascii="Times New Roman" w:hAnsi="Times New Roman" w:cs="Times New Roman"/>
          <w:sz w:val="26"/>
          <w:szCs w:val="26"/>
        </w:rPr>
        <w:t xml:space="preserve"> </w:t>
      </w:r>
      <w:r w:rsidRPr="00DF3370">
        <w:rPr>
          <w:rFonts w:ascii="Times New Roman" w:hAnsi="Times New Roman" w:cs="Times New Roman"/>
          <w:sz w:val="26"/>
          <w:szCs w:val="26"/>
        </w:rPr>
        <w:t>https://doi.org/10.1007/s10639-014-9346-4</w:t>
      </w:r>
    </w:p>
    <w:p w14:paraId="2E0719C9" w14:textId="11D6FFC6" w:rsidR="00DE00DC" w:rsidRPr="00DF3370" w:rsidRDefault="00DE00DC" w:rsidP="004C1B48">
      <w:pPr>
        <w:spacing w:after="120" w:line="288" w:lineRule="auto"/>
        <w:ind w:left="720" w:hanging="720"/>
        <w:jc w:val="both"/>
        <w:rPr>
          <w:rFonts w:ascii="Times New Roman" w:hAnsi="Times New Roman" w:cs="Times New Roman"/>
          <w:sz w:val="26"/>
          <w:szCs w:val="26"/>
        </w:rPr>
      </w:pPr>
      <w:r w:rsidRPr="00DF3370">
        <w:rPr>
          <w:rFonts w:ascii="Times New Roman" w:hAnsi="Times New Roman" w:cs="Times New Roman"/>
          <w:sz w:val="26"/>
          <w:szCs w:val="26"/>
        </w:rPr>
        <w:t xml:space="preserve">Nicol, D. J., &amp; Macfarlane‐Dick, D. (2006). Formative </w:t>
      </w:r>
      <w:r w:rsidR="00D17D9E" w:rsidRPr="00DF3370">
        <w:rPr>
          <w:rFonts w:ascii="Times New Roman" w:hAnsi="Times New Roman" w:cs="Times New Roman"/>
          <w:sz w:val="26"/>
          <w:szCs w:val="26"/>
        </w:rPr>
        <w:t>Assessment and Self‐Regulated Learning</w:t>
      </w:r>
      <w:r w:rsidRPr="00DF3370">
        <w:rPr>
          <w:rFonts w:ascii="Times New Roman" w:hAnsi="Times New Roman" w:cs="Times New Roman"/>
          <w:sz w:val="26"/>
          <w:szCs w:val="26"/>
        </w:rPr>
        <w:t xml:space="preserve">. </w:t>
      </w:r>
      <w:r w:rsidRPr="00DF3370">
        <w:rPr>
          <w:rFonts w:ascii="Times New Roman" w:hAnsi="Times New Roman" w:cs="Times New Roman"/>
          <w:i/>
          <w:iCs/>
          <w:sz w:val="26"/>
          <w:szCs w:val="26"/>
        </w:rPr>
        <w:t>Studies in Higher Education, 31</w:t>
      </w:r>
      <w:r w:rsidRPr="00DF3370">
        <w:rPr>
          <w:rFonts w:ascii="Times New Roman" w:hAnsi="Times New Roman" w:cs="Times New Roman"/>
          <w:sz w:val="26"/>
          <w:szCs w:val="26"/>
        </w:rPr>
        <w:t>(2), 199–218.</w:t>
      </w:r>
      <w:r w:rsidRPr="00DF3370">
        <w:rPr>
          <w:rFonts w:ascii="Times New Roman" w:hAnsi="Times New Roman" w:cs="Times New Roman"/>
          <w:sz w:val="26"/>
          <w:szCs w:val="26"/>
        </w:rPr>
        <w:br/>
      </w:r>
      <w:hyperlink r:id="rId20" w:tgtFrame="_new" w:history="1">
        <w:r w:rsidRPr="00DF3370">
          <w:rPr>
            <w:rStyle w:val="Hyperlink"/>
            <w:rFonts w:ascii="Times New Roman" w:hAnsi="Times New Roman" w:cs="Times New Roman"/>
            <w:color w:val="auto"/>
            <w:sz w:val="26"/>
            <w:szCs w:val="26"/>
            <w:u w:val="none"/>
          </w:rPr>
          <w:t>https://doi.org/10.1080/03075070600572090</w:t>
        </w:r>
      </w:hyperlink>
      <w:r w:rsidRPr="00DF3370">
        <w:rPr>
          <w:rFonts w:ascii="Times New Roman" w:hAnsi="Times New Roman" w:cs="Times New Roman"/>
          <w:sz w:val="26"/>
          <w:szCs w:val="26"/>
        </w:rPr>
        <w:t>.</w:t>
      </w:r>
    </w:p>
    <w:p w14:paraId="62344782" w14:textId="146E2A50" w:rsidR="00DE00DC" w:rsidRPr="00DF3370" w:rsidRDefault="00DE00DC" w:rsidP="004C1B48">
      <w:pPr>
        <w:spacing w:after="120" w:line="288" w:lineRule="auto"/>
        <w:ind w:left="720" w:hanging="720"/>
        <w:jc w:val="both"/>
        <w:rPr>
          <w:rFonts w:ascii="Times New Roman" w:hAnsi="Times New Roman" w:cs="Times New Roman"/>
          <w:sz w:val="26"/>
          <w:szCs w:val="26"/>
        </w:rPr>
      </w:pPr>
      <w:r w:rsidRPr="00DF3370">
        <w:rPr>
          <w:rFonts w:ascii="Times New Roman" w:hAnsi="Times New Roman" w:cs="Times New Roman"/>
          <w:sz w:val="26"/>
          <w:szCs w:val="26"/>
        </w:rPr>
        <w:t xml:space="preserve">Pane, J. F., Steiner, E. D., Baird, M. D., &amp; Hamilton, L. S. (2017). </w:t>
      </w:r>
      <w:r w:rsidRPr="00DF3370">
        <w:rPr>
          <w:rFonts w:ascii="Times New Roman" w:hAnsi="Times New Roman" w:cs="Times New Roman"/>
          <w:i/>
          <w:iCs/>
          <w:sz w:val="26"/>
          <w:szCs w:val="26"/>
        </w:rPr>
        <w:t xml:space="preserve">Informing </w:t>
      </w:r>
      <w:r w:rsidR="00D17D9E" w:rsidRPr="00DF3370">
        <w:rPr>
          <w:rFonts w:ascii="Times New Roman" w:hAnsi="Times New Roman" w:cs="Times New Roman"/>
          <w:i/>
          <w:iCs/>
          <w:sz w:val="26"/>
          <w:szCs w:val="26"/>
        </w:rPr>
        <w:t xml:space="preserve">Progress: </w:t>
      </w:r>
      <w:r w:rsidRPr="00DF3370">
        <w:rPr>
          <w:rFonts w:ascii="Times New Roman" w:hAnsi="Times New Roman" w:cs="Times New Roman"/>
          <w:i/>
          <w:iCs/>
          <w:sz w:val="26"/>
          <w:szCs w:val="26"/>
        </w:rPr>
        <w:t xml:space="preserve">Insights </w:t>
      </w:r>
      <w:r w:rsidR="00D17D9E" w:rsidRPr="00DF3370">
        <w:rPr>
          <w:rFonts w:ascii="Times New Roman" w:hAnsi="Times New Roman" w:cs="Times New Roman"/>
          <w:i/>
          <w:iCs/>
          <w:sz w:val="26"/>
          <w:szCs w:val="26"/>
        </w:rPr>
        <w:t>on Personalized Learning Implementation</w:t>
      </w:r>
      <w:r w:rsidRPr="00DF3370">
        <w:rPr>
          <w:rFonts w:ascii="Times New Roman" w:hAnsi="Times New Roman" w:cs="Times New Roman"/>
          <w:sz w:val="26"/>
          <w:szCs w:val="26"/>
        </w:rPr>
        <w:t>. RAND Corporation.</w:t>
      </w:r>
      <w:r w:rsidRPr="00DF3370">
        <w:rPr>
          <w:rFonts w:ascii="Times New Roman" w:hAnsi="Times New Roman" w:cs="Times New Roman"/>
          <w:sz w:val="26"/>
          <w:szCs w:val="26"/>
        </w:rPr>
        <w:br/>
      </w:r>
      <w:hyperlink r:id="rId21" w:history="1">
        <w:r w:rsidR="00572F1B" w:rsidRPr="00DF3370">
          <w:rPr>
            <w:rStyle w:val="Hyperlink"/>
            <w:rFonts w:ascii="Times New Roman" w:hAnsi="Times New Roman" w:cs="Times New Roman"/>
            <w:color w:val="auto"/>
            <w:sz w:val="26"/>
            <w:szCs w:val="26"/>
          </w:rPr>
          <w:t>https://doi.org/10.7249/RR2042</w:t>
        </w:r>
      </w:hyperlink>
      <w:r w:rsidRPr="00DF3370">
        <w:rPr>
          <w:rFonts w:ascii="Times New Roman" w:hAnsi="Times New Roman" w:cs="Times New Roman"/>
          <w:sz w:val="26"/>
          <w:szCs w:val="26"/>
        </w:rPr>
        <w:t>.</w:t>
      </w:r>
    </w:p>
    <w:p w14:paraId="21CB33C5" w14:textId="2CE8C814" w:rsidR="00572F1B" w:rsidRPr="00DF3370" w:rsidRDefault="00572F1B" w:rsidP="004C1B48">
      <w:pPr>
        <w:spacing w:after="120" w:line="288" w:lineRule="auto"/>
        <w:ind w:left="720" w:hanging="720"/>
        <w:jc w:val="both"/>
        <w:rPr>
          <w:rFonts w:ascii="Times New Roman" w:hAnsi="Times New Roman" w:cs="Times New Roman"/>
          <w:sz w:val="26"/>
          <w:szCs w:val="26"/>
        </w:rPr>
      </w:pPr>
      <w:r w:rsidRPr="00DF3370">
        <w:rPr>
          <w:rFonts w:ascii="Times New Roman" w:hAnsi="Times New Roman" w:cs="Times New Roman"/>
          <w:sz w:val="26"/>
          <w:szCs w:val="26"/>
        </w:rPr>
        <w:t xml:space="preserve">Redecker, C. (2017). European </w:t>
      </w:r>
      <w:r w:rsidR="00D17D9E" w:rsidRPr="00DF3370">
        <w:rPr>
          <w:rFonts w:ascii="Times New Roman" w:hAnsi="Times New Roman" w:cs="Times New Roman"/>
          <w:sz w:val="26"/>
          <w:szCs w:val="26"/>
        </w:rPr>
        <w:t>Framework for the Digital Competence of Educators</w:t>
      </w:r>
      <w:r w:rsidRPr="00DF3370">
        <w:rPr>
          <w:rFonts w:ascii="Times New Roman" w:hAnsi="Times New Roman" w:cs="Times New Roman"/>
          <w:sz w:val="26"/>
          <w:szCs w:val="26"/>
        </w:rPr>
        <w:t xml:space="preserve">: </w:t>
      </w:r>
      <w:proofErr w:type="spellStart"/>
      <w:r w:rsidRPr="00DF3370">
        <w:rPr>
          <w:rFonts w:ascii="Times New Roman" w:hAnsi="Times New Roman" w:cs="Times New Roman"/>
          <w:sz w:val="26"/>
          <w:szCs w:val="26"/>
        </w:rPr>
        <w:t>DigCompEdu</w:t>
      </w:r>
      <w:proofErr w:type="spellEnd"/>
      <w:r w:rsidRPr="00DF3370">
        <w:rPr>
          <w:rFonts w:ascii="Times New Roman" w:hAnsi="Times New Roman" w:cs="Times New Roman"/>
          <w:sz w:val="26"/>
          <w:szCs w:val="26"/>
        </w:rPr>
        <w:t xml:space="preserve">. </w:t>
      </w:r>
      <w:r w:rsidRPr="00DF3370">
        <w:rPr>
          <w:rFonts w:ascii="Times New Roman" w:hAnsi="Times New Roman" w:cs="Times New Roman"/>
          <w:i/>
          <w:iCs/>
          <w:sz w:val="26"/>
          <w:szCs w:val="26"/>
        </w:rPr>
        <w:t>European Commission</w:t>
      </w:r>
      <w:r w:rsidRPr="00DF3370">
        <w:rPr>
          <w:rFonts w:ascii="Times New Roman" w:hAnsi="Times New Roman" w:cs="Times New Roman"/>
          <w:sz w:val="26"/>
          <w:szCs w:val="26"/>
        </w:rPr>
        <w:t xml:space="preserve">. </w:t>
      </w:r>
      <w:hyperlink r:id="rId22" w:history="1">
        <w:r w:rsidRPr="00DF3370">
          <w:rPr>
            <w:rStyle w:val="Hyperlink"/>
            <w:rFonts w:ascii="Times New Roman" w:hAnsi="Times New Roman" w:cs="Times New Roman"/>
            <w:color w:val="auto"/>
            <w:sz w:val="26"/>
            <w:szCs w:val="26"/>
            <w:u w:val="none"/>
          </w:rPr>
          <w:t>https://doi.org/10.2760/159770</w:t>
        </w:r>
      </w:hyperlink>
    </w:p>
    <w:p w14:paraId="1629C525" w14:textId="48694C26" w:rsidR="008E1612" w:rsidRPr="00DF3370" w:rsidRDefault="008E1612" w:rsidP="004C1B48">
      <w:pPr>
        <w:spacing w:after="120" w:line="288" w:lineRule="auto"/>
        <w:ind w:left="720" w:hanging="720"/>
        <w:jc w:val="both"/>
        <w:rPr>
          <w:rFonts w:ascii="Times New Roman" w:hAnsi="Times New Roman" w:cs="Times New Roman"/>
          <w:sz w:val="26"/>
          <w:szCs w:val="26"/>
        </w:rPr>
      </w:pPr>
      <w:r w:rsidRPr="00DF3370">
        <w:rPr>
          <w:rFonts w:ascii="Times New Roman" w:hAnsi="Times New Roman" w:cs="Times New Roman"/>
          <w:sz w:val="26"/>
          <w:szCs w:val="26"/>
        </w:rPr>
        <w:t xml:space="preserve">Shute, V. J. (2008). Focus </w:t>
      </w:r>
      <w:r w:rsidR="00D17D9E" w:rsidRPr="00DF3370">
        <w:rPr>
          <w:rFonts w:ascii="Times New Roman" w:hAnsi="Times New Roman" w:cs="Times New Roman"/>
          <w:sz w:val="26"/>
          <w:szCs w:val="26"/>
        </w:rPr>
        <w:t>on Formative Feedback</w:t>
      </w:r>
      <w:r w:rsidRPr="00DF3370">
        <w:rPr>
          <w:rFonts w:ascii="Times New Roman" w:hAnsi="Times New Roman" w:cs="Times New Roman"/>
          <w:sz w:val="26"/>
          <w:szCs w:val="26"/>
        </w:rPr>
        <w:t xml:space="preserve">. </w:t>
      </w:r>
      <w:r w:rsidRPr="00DF3370">
        <w:rPr>
          <w:rFonts w:ascii="Times New Roman" w:hAnsi="Times New Roman" w:cs="Times New Roman"/>
          <w:i/>
          <w:iCs/>
          <w:sz w:val="26"/>
          <w:szCs w:val="26"/>
        </w:rPr>
        <w:t>Review of Educational Research, 78</w:t>
      </w:r>
      <w:r w:rsidRPr="00DF3370">
        <w:rPr>
          <w:rFonts w:ascii="Times New Roman" w:hAnsi="Times New Roman" w:cs="Times New Roman"/>
          <w:sz w:val="26"/>
          <w:szCs w:val="26"/>
        </w:rPr>
        <w:t xml:space="preserve">(1), 153–189. </w:t>
      </w:r>
      <w:hyperlink r:id="rId23" w:history="1">
        <w:r w:rsidRPr="00DF3370">
          <w:rPr>
            <w:rStyle w:val="Hyperlink"/>
            <w:rFonts w:ascii="Times New Roman" w:hAnsi="Times New Roman" w:cs="Times New Roman"/>
            <w:color w:val="auto"/>
            <w:sz w:val="26"/>
            <w:szCs w:val="26"/>
            <w:u w:val="none"/>
          </w:rPr>
          <w:t>https://doi.org/10.3102/0034654307313795</w:t>
        </w:r>
      </w:hyperlink>
    </w:p>
    <w:p w14:paraId="2949512E" w14:textId="3818F3E1" w:rsidR="00DE00DC" w:rsidRPr="00DF3370" w:rsidRDefault="00DE00DC" w:rsidP="004C1B48">
      <w:pPr>
        <w:spacing w:after="120" w:line="288" w:lineRule="auto"/>
        <w:ind w:left="720" w:hanging="720"/>
        <w:jc w:val="both"/>
        <w:rPr>
          <w:rFonts w:ascii="Times New Roman" w:hAnsi="Times New Roman" w:cs="Times New Roman"/>
          <w:sz w:val="26"/>
          <w:szCs w:val="26"/>
        </w:rPr>
      </w:pPr>
      <w:proofErr w:type="spellStart"/>
      <w:r w:rsidRPr="00DF3370">
        <w:rPr>
          <w:rFonts w:ascii="Times New Roman" w:hAnsi="Times New Roman" w:cs="Times New Roman"/>
          <w:sz w:val="26"/>
          <w:szCs w:val="26"/>
        </w:rPr>
        <w:t>Tondeur</w:t>
      </w:r>
      <w:proofErr w:type="spellEnd"/>
      <w:r w:rsidRPr="00DF3370">
        <w:rPr>
          <w:rFonts w:ascii="Times New Roman" w:hAnsi="Times New Roman" w:cs="Times New Roman"/>
          <w:sz w:val="26"/>
          <w:szCs w:val="26"/>
        </w:rPr>
        <w:t xml:space="preserve">, J., </w:t>
      </w:r>
      <w:r w:rsidR="006F0C47" w:rsidRPr="00DF3370">
        <w:rPr>
          <w:rFonts w:ascii="Times New Roman" w:hAnsi="Times New Roman" w:cs="Times New Roman"/>
          <w:sz w:val="26"/>
          <w:szCs w:val="26"/>
        </w:rPr>
        <w:t>V</w:t>
      </w:r>
      <w:r w:rsidRPr="00DF3370">
        <w:rPr>
          <w:rFonts w:ascii="Times New Roman" w:hAnsi="Times New Roman" w:cs="Times New Roman"/>
          <w:sz w:val="26"/>
          <w:szCs w:val="26"/>
        </w:rPr>
        <w:t xml:space="preserve">an Braak, J., Ertmer, P. A., &amp; Ottenbreit-Leftwich, A. (2017). Understanding the </w:t>
      </w:r>
      <w:r w:rsidR="00D17D9E" w:rsidRPr="00DF3370">
        <w:rPr>
          <w:rFonts w:ascii="Times New Roman" w:hAnsi="Times New Roman" w:cs="Times New Roman"/>
          <w:sz w:val="26"/>
          <w:szCs w:val="26"/>
        </w:rPr>
        <w:t xml:space="preserve">Relationship Between Teachers’ Pedagogical Beliefs and Technology Use in Education: </w:t>
      </w:r>
      <w:r w:rsidRPr="00DF3370">
        <w:rPr>
          <w:rFonts w:ascii="Times New Roman" w:hAnsi="Times New Roman" w:cs="Times New Roman"/>
          <w:sz w:val="26"/>
          <w:szCs w:val="26"/>
        </w:rPr>
        <w:t xml:space="preserve">A </w:t>
      </w:r>
      <w:r w:rsidR="00D17D9E" w:rsidRPr="00DF3370">
        <w:rPr>
          <w:rFonts w:ascii="Times New Roman" w:hAnsi="Times New Roman" w:cs="Times New Roman"/>
          <w:sz w:val="26"/>
          <w:szCs w:val="26"/>
        </w:rPr>
        <w:t>Systematic Review</w:t>
      </w:r>
      <w:r w:rsidRPr="00DF3370">
        <w:rPr>
          <w:rFonts w:ascii="Times New Roman" w:hAnsi="Times New Roman" w:cs="Times New Roman"/>
          <w:sz w:val="26"/>
          <w:szCs w:val="26"/>
        </w:rPr>
        <w:t xml:space="preserve">. </w:t>
      </w:r>
      <w:r w:rsidRPr="00DF3370">
        <w:rPr>
          <w:rFonts w:ascii="Times New Roman" w:hAnsi="Times New Roman" w:cs="Times New Roman"/>
          <w:i/>
          <w:iCs/>
          <w:sz w:val="26"/>
          <w:szCs w:val="26"/>
        </w:rPr>
        <w:t>Educational Technology Research and Development, 65</w:t>
      </w:r>
      <w:r w:rsidRPr="00DF3370">
        <w:rPr>
          <w:rFonts w:ascii="Times New Roman" w:hAnsi="Times New Roman" w:cs="Times New Roman"/>
          <w:sz w:val="26"/>
          <w:szCs w:val="26"/>
        </w:rPr>
        <w:t>, 555–575.</w:t>
      </w:r>
      <w:r w:rsidRPr="00DF3370">
        <w:rPr>
          <w:rFonts w:ascii="Times New Roman" w:hAnsi="Times New Roman" w:cs="Times New Roman"/>
          <w:sz w:val="26"/>
          <w:szCs w:val="26"/>
        </w:rPr>
        <w:br/>
      </w:r>
      <w:hyperlink r:id="rId24" w:tgtFrame="_new" w:history="1">
        <w:r w:rsidRPr="00DF3370">
          <w:rPr>
            <w:rStyle w:val="Hyperlink"/>
            <w:rFonts w:ascii="Times New Roman" w:hAnsi="Times New Roman" w:cs="Times New Roman"/>
            <w:color w:val="auto"/>
            <w:sz w:val="26"/>
            <w:szCs w:val="26"/>
            <w:u w:val="none"/>
          </w:rPr>
          <w:t>https://doi.org/10.1007/s11423-016-9481-2</w:t>
        </w:r>
      </w:hyperlink>
    </w:p>
    <w:p w14:paraId="46F6EE0B" w14:textId="6AFA955E" w:rsidR="00DE00DC" w:rsidRPr="00DF3370" w:rsidRDefault="00DE00DC" w:rsidP="004C1B48">
      <w:pPr>
        <w:spacing w:after="120" w:line="288" w:lineRule="auto"/>
        <w:ind w:left="720" w:hanging="720"/>
        <w:jc w:val="both"/>
        <w:rPr>
          <w:rFonts w:ascii="Times New Roman" w:hAnsi="Times New Roman" w:cs="Times New Roman"/>
          <w:sz w:val="26"/>
          <w:szCs w:val="26"/>
        </w:rPr>
      </w:pPr>
      <w:r w:rsidRPr="00DF3370">
        <w:rPr>
          <w:rFonts w:ascii="Times New Roman" w:hAnsi="Times New Roman" w:cs="Times New Roman"/>
          <w:sz w:val="26"/>
          <w:szCs w:val="26"/>
        </w:rPr>
        <w:t xml:space="preserve">Walkington, C. (2013). Using </w:t>
      </w:r>
      <w:r w:rsidR="00D17D9E" w:rsidRPr="00DF3370">
        <w:rPr>
          <w:rFonts w:ascii="Times New Roman" w:hAnsi="Times New Roman" w:cs="Times New Roman"/>
          <w:sz w:val="26"/>
          <w:szCs w:val="26"/>
        </w:rPr>
        <w:t>Adaptive Learning Technologies to Personalize Instruction to Student Interests</w:t>
      </w:r>
      <w:r w:rsidRPr="00DF3370">
        <w:rPr>
          <w:rFonts w:ascii="Times New Roman" w:hAnsi="Times New Roman" w:cs="Times New Roman"/>
          <w:sz w:val="26"/>
          <w:szCs w:val="26"/>
        </w:rPr>
        <w:t xml:space="preserve">. </w:t>
      </w:r>
      <w:r w:rsidRPr="00DF3370">
        <w:rPr>
          <w:rFonts w:ascii="Times New Roman" w:hAnsi="Times New Roman" w:cs="Times New Roman"/>
          <w:i/>
          <w:iCs/>
          <w:sz w:val="26"/>
          <w:szCs w:val="26"/>
        </w:rPr>
        <w:t>Journal of Educational Psychology, 105</w:t>
      </w:r>
      <w:r w:rsidRPr="00DF3370">
        <w:rPr>
          <w:rFonts w:ascii="Times New Roman" w:hAnsi="Times New Roman" w:cs="Times New Roman"/>
          <w:sz w:val="26"/>
          <w:szCs w:val="26"/>
        </w:rPr>
        <w:t>(4), 932–945.</w:t>
      </w:r>
      <w:r w:rsidRPr="00DF3370">
        <w:rPr>
          <w:rFonts w:ascii="Times New Roman" w:hAnsi="Times New Roman" w:cs="Times New Roman"/>
          <w:sz w:val="26"/>
          <w:szCs w:val="26"/>
        </w:rPr>
        <w:br/>
        <w:t>https://doi.org/10.1037/a0031882</w:t>
      </w:r>
    </w:p>
    <w:p w14:paraId="2D9727C7" w14:textId="596E4268" w:rsidR="00DE00DC" w:rsidRPr="00DF3370" w:rsidRDefault="00DE00DC" w:rsidP="004C1B48">
      <w:pPr>
        <w:spacing w:after="120" w:line="288" w:lineRule="auto"/>
        <w:ind w:left="720" w:hanging="720"/>
        <w:jc w:val="both"/>
        <w:rPr>
          <w:rFonts w:ascii="Times New Roman" w:hAnsi="Times New Roman" w:cs="Times New Roman"/>
          <w:sz w:val="26"/>
          <w:szCs w:val="26"/>
        </w:rPr>
      </w:pPr>
      <w:r w:rsidRPr="00DF3370">
        <w:rPr>
          <w:rFonts w:ascii="Times New Roman" w:hAnsi="Times New Roman" w:cs="Times New Roman"/>
          <w:sz w:val="26"/>
          <w:szCs w:val="26"/>
        </w:rPr>
        <w:t xml:space="preserve">Zimmerman, B. J. (2002). Becoming a </w:t>
      </w:r>
      <w:r w:rsidR="00F3285D" w:rsidRPr="00DF3370">
        <w:rPr>
          <w:rFonts w:ascii="Times New Roman" w:hAnsi="Times New Roman" w:cs="Times New Roman"/>
          <w:sz w:val="26"/>
          <w:szCs w:val="26"/>
        </w:rPr>
        <w:t>Self-Regulated Learner</w:t>
      </w:r>
      <w:r w:rsidRPr="00DF3370">
        <w:rPr>
          <w:rFonts w:ascii="Times New Roman" w:hAnsi="Times New Roman" w:cs="Times New Roman"/>
          <w:sz w:val="26"/>
          <w:szCs w:val="26"/>
        </w:rPr>
        <w:t xml:space="preserve">: An overview. </w:t>
      </w:r>
      <w:r w:rsidRPr="00DF3370">
        <w:rPr>
          <w:rFonts w:ascii="Times New Roman" w:hAnsi="Times New Roman" w:cs="Times New Roman"/>
          <w:i/>
          <w:iCs/>
          <w:sz w:val="26"/>
          <w:szCs w:val="26"/>
        </w:rPr>
        <w:t>Theory Into Practice, 41</w:t>
      </w:r>
      <w:r w:rsidRPr="00DF3370">
        <w:rPr>
          <w:rFonts w:ascii="Times New Roman" w:hAnsi="Times New Roman" w:cs="Times New Roman"/>
          <w:sz w:val="26"/>
          <w:szCs w:val="26"/>
        </w:rPr>
        <w:t xml:space="preserve">(2), 64–70. </w:t>
      </w:r>
      <w:hyperlink r:id="rId25" w:history="1">
        <w:r w:rsidRPr="00DF3370">
          <w:rPr>
            <w:rStyle w:val="Hyperlink"/>
            <w:rFonts w:ascii="Times New Roman" w:hAnsi="Times New Roman" w:cs="Times New Roman"/>
            <w:color w:val="auto"/>
            <w:sz w:val="26"/>
            <w:szCs w:val="26"/>
            <w:u w:val="none"/>
          </w:rPr>
          <w:t>https://doi.org/10.1207/s15430421tip4102_2</w:t>
        </w:r>
      </w:hyperlink>
    </w:p>
    <w:p w14:paraId="1ADDCEBE" w14:textId="77777777" w:rsidR="00DE00DC" w:rsidRPr="00DF3370" w:rsidRDefault="00DE00DC" w:rsidP="00970062">
      <w:pPr>
        <w:spacing w:after="120" w:line="288" w:lineRule="auto"/>
        <w:rPr>
          <w:rFonts w:ascii="Times New Roman" w:hAnsi="Times New Roman" w:cs="Times New Roman"/>
          <w:sz w:val="26"/>
          <w:szCs w:val="26"/>
        </w:rPr>
      </w:pPr>
    </w:p>
    <w:p w14:paraId="7DF91B07" w14:textId="77777777" w:rsidR="00DE00DC" w:rsidRPr="00DF3370" w:rsidRDefault="00DE00DC" w:rsidP="00970062">
      <w:pPr>
        <w:spacing w:after="120" w:line="288" w:lineRule="auto"/>
        <w:jc w:val="both"/>
        <w:rPr>
          <w:rFonts w:ascii="Times New Roman" w:hAnsi="Times New Roman" w:cs="Times New Roman"/>
          <w:sz w:val="26"/>
          <w:szCs w:val="26"/>
        </w:rPr>
      </w:pPr>
    </w:p>
    <w:p w14:paraId="346446EC" w14:textId="056B1841" w:rsidR="00C7657D" w:rsidRPr="00DF3370" w:rsidRDefault="00C7657D" w:rsidP="00970062">
      <w:pPr>
        <w:spacing w:after="120" w:line="288" w:lineRule="auto"/>
        <w:rPr>
          <w:rFonts w:ascii="Times New Roman" w:hAnsi="Times New Roman" w:cs="Times New Roman"/>
          <w:b/>
          <w:bCs/>
          <w:sz w:val="26"/>
          <w:szCs w:val="26"/>
        </w:rPr>
      </w:pPr>
      <w:r w:rsidRPr="00DF3370">
        <w:rPr>
          <w:rFonts w:ascii="Times New Roman" w:hAnsi="Times New Roman" w:cs="Times New Roman"/>
          <w:b/>
          <w:bCs/>
          <w:sz w:val="26"/>
          <w:szCs w:val="26"/>
        </w:rPr>
        <w:t xml:space="preserve"> </w:t>
      </w:r>
    </w:p>
    <w:p w14:paraId="18020E50" w14:textId="2B04BF3A" w:rsidR="00DE00DC" w:rsidRPr="00DF3370" w:rsidRDefault="00DE00DC" w:rsidP="00970062">
      <w:pPr>
        <w:spacing w:after="120" w:line="288" w:lineRule="auto"/>
        <w:rPr>
          <w:rFonts w:ascii="Times New Roman" w:hAnsi="Times New Roman" w:cs="Times New Roman"/>
          <w:b/>
          <w:bCs/>
          <w:sz w:val="26"/>
          <w:szCs w:val="26"/>
        </w:rPr>
      </w:pPr>
    </w:p>
    <w:sectPr w:rsidR="00DE00DC" w:rsidRPr="00DF3370">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ED41D" w14:textId="77777777" w:rsidR="00D16BE8" w:rsidRDefault="00D16BE8" w:rsidP="00C7657D">
      <w:pPr>
        <w:spacing w:after="0" w:line="240" w:lineRule="auto"/>
      </w:pPr>
      <w:r>
        <w:separator/>
      </w:r>
    </w:p>
  </w:endnote>
  <w:endnote w:type="continuationSeparator" w:id="0">
    <w:p w14:paraId="61D67966" w14:textId="77777777" w:rsidR="00D16BE8" w:rsidRDefault="00D16BE8" w:rsidP="00C7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158943"/>
      <w:docPartObj>
        <w:docPartGallery w:val="Page Numbers (Bottom of Page)"/>
        <w:docPartUnique/>
      </w:docPartObj>
    </w:sdtPr>
    <w:sdtEndPr>
      <w:rPr>
        <w:noProof/>
      </w:rPr>
    </w:sdtEndPr>
    <w:sdtContent>
      <w:p w14:paraId="593186BA" w14:textId="015933A5" w:rsidR="00C7657D" w:rsidRDefault="00C765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52DEB9" w14:textId="77777777" w:rsidR="00C7657D" w:rsidRDefault="00C76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0FD49" w14:textId="77777777" w:rsidR="00D16BE8" w:rsidRDefault="00D16BE8" w:rsidP="00C7657D">
      <w:pPr>
        <w:spacing w:after="0" w:line="240" w:lineRule="auto"/>
      </w:pPr>
      <w:r>
        <w:separator/>
      </w:r>
    </w:p>
  </w:footnote>
  <w:footnote w:type="continuationSeparator" w:id="0">
    <w:p w14:paraId="409444F1" w14:textId="77777777" w:rsidR="00D16BE8" w:rsidRDefault="00D16BE8" w:rsidP="00C76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13D"/>
    <w:multiLevelType w:val="multilevel"/>
    <w:tmpl w:val="3480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74E3C"/>
    <w:multiLevelType w:val="multilevel"/>
    <w:tmpl w:val="4F00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F68E7"/>
    <w:multiLevelType w:val="multilevel"/>
    <w:tmpl w:val="6646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04C6E"/>
    <w:multiLevelType w:val="multilevel"/>
    <w:tmpl w:val="9AFE6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C20D2"/>
    <w:multiLevelType w:val="multilevel"/>
    <w:tmpl w:val="9404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204EB"/>
    <w:multiLevelType w:val="multilevel"/>
    <w:tmpl w:val="BF14F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310911"/>
    <w:multiLevelType w:val="multilevel"/>
    <w:tmpl w:val="EAF4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C6098"/>
    <w:multiLevelType w:val="multilevel"/>
    <w:tmpl w:val="E9AE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F5759"/>
    <w:multiLevelType w:val="multilevel"/>
    <w:tmpl w:val="7CFA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B76D64"/>
    <w:multiLevelType w:val="multilevel"/>
    <w:tmpl w:val="E0E4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EB2C2D"/>
    <w:multiLevelType w:val="multilevel"/>
    <w:tmpl w:val="0834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BB6339"/>
    <w:multiLevelType w:val="multilevel"/>
    <w:tmpl w:val="A39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62C38"/>
    <w:multiLevelType w:val="multilevel"/>
    <w:tmpl w:val="502C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661A3A"/>
    <w:multiLevelType w:val="multilevel"/>
    <w:tmpl w:val="C49A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A20998"/>
    <w:multiLevelType w:val="multilevel"/>
    <w:tmpl w:val="6DE8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F876E2"/>
    <w:multiLevelType w:val="multilevel"/>
    <w:tmpl w:val="225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4A5A56"/>
    <w:multiLevelType w:val="multilevel"/>
    <w:tmpl w:val="B6BC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F1B4A"/>
    <w:multiLevelType w:val="hybridMultilevel"/>
    <w:tmpl w:val="14AA3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C83545"/>
    <w:multiLevelType w:val="multilevel"/>
    <w:tmpl w:val="BA28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82108"/>
    <w:multiLevelType w:val="multilevel"/>
    <w:tmpl w:val="E73E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E57A24"/>
    <w:multiLevelType w:val="multilevel"/>
    <w:tmpl w:val="EEBE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794F82"/>
    <w:multiLevelType w:val="multilevel"/>
    <w:tmpl w:val="EAEC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8410AE"/>
    <w:multiLevelType w:val="multilevel"/>
    <w:tmpl w:val="4A368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94DE7"/>
    <w:multiLevelType w:val="multilevel"/>
    <w:tmpl w:val="CA78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C06D24"/>
    <w:multiLevelType w:val="multilevel"/>
    <w:tmpl w:val="978E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D80092"/>
    <w:multiLevelType w:val="multilevel"/>
    <w:tmpl w:val="2B1A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0C08FA"/>
    <w:multiLevelType w:val="hybridMultilevel"/>
    <w:tmpl w:val="E67CC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DD3AF5"/>
    <w:multiLevelType w:val="multilevel"/>
    <w:tmpl w:val="02B6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4408FF"/>
    <w:multiLevelType w:val="multilevel"/>
    <w:tmpl w:val="9E6E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764D88"/>
    <w:multiLevelType w:val="multilevel"/>
    <w:tmpl w:val="5F1C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9F5C8F"/>
    <w:multiLevelType w:val="multilevel"/>
    <w:tmpl w:val="588C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C264F7"/>
    <w:multiLevelType w:val="multilevel"/>
    <w:tmpl w:val="588C6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FF098E"/>
    <w:multiLevelType w:val="multilevel"/>
    <w:tmpl w:val="77BC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3A2041"/>
    <w:multiLevelType w:val="multilevel"/>
    <w:tmpl w:val="3DA6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D81D92"/>
    <w:multiLevelType w:val="multilevel"/>
    <w:tmpl w:val="4F6A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9F78AD"/>
    <w:multiLevelType w:val="multilevel"/>
    <w:tmpl w:val="B58C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126261">
    <w:abstractNumId w:val="18"/>
  </w:num>
  <w:num w:numId="2" w16cid:durableId="1316034438">
    <w:abstractNumId w:val="5"/>
  </w:num>
  <w:num w:numId="3" w16cid:durableId="1942686940">
    <w:abstractNumId w:val="7"/>
  </w:num>
  <w:num w:numId="4" w16cid:durableId="1341152638">
    <w:abstractNumId w:val="33"/>
  </w:num>
  <w:num w:numId="5" w16cid:durableId="332145979">
    <w:abstractNumId w:val="0"/>
  </w:num>
  <w:num w:numId="6" w16cid:durableId="1308238718">
    <w:abstractNumId w:val="32"/>
  </w:num>
  <w:num w:numId="7" w16cid:durableId="783426666">
    <w:abstractNumId w:val="19"/>
  </w:num>
  <w:num w:numId="8" w16cid:durableId="626352440">
    <w:abstractNumId w:val="12"/>
  </w:num>
  <w:num w:numId="9" w16cid:durableId="798843392">
    <w:abstractNumId w:val="35"/>
  </w:num>
  <w:num w:numId="10" w16cid:durableId="2114519453">
    <w:abstractNumId w:val="27"/>
  </w:num>
  <w:num w:numId="11" w16cid:durableId="1703437533">
    <w:abstractNumId w:val="1"/>
  </w:num>
  <w:num w:numId="12" w16cid:durableId="868566988">
    <w:abstractNumId w:val="15"/>
  </w:num>
  <w:num w:numId="13" w16cid:durableId="1846432003">
    <w:abstractNumId w:val="13"/>
  </w:num>
  <w:num w:numId="14" w16cid:durableId="2092504442">
    <w:abstractNumId w:val="11"/>
  </w:num>
  <w:num w:numId="15" w16cid:durableId="2040162745">
    <w:abstractNumId w:val="9"/>
  </w:num>
  <w:num w:numId="16" w16cid:durableId="923027080">
    <w:abstractNumId w:val="14"/>
  </w:num>
  <w:num w:numId="17" w16cid:durableId="2047219303">
    <w:abstractNumId w:val="30"/>
  </w:num>
  <w:num w:numId="18" w16cid:durableId="193466145">
    <w:abstractNumId w:val="20"/>
  </w:num>
  <w:num w:numId="19" w16cid:durableId="1786541794">
    <w:abstractNumId w:val="4"/>
  </w:num>
  <w:num w:numId="20" w16cid:durableId="1787117564">
    <w:abstractNumId w:val="28"/>
  </w:num>
  <w:num w:numId="21" w16cid:durableId="1812401944">
    <w:abstractNumId w:val="29"/>
  </w:num>
  <w:num w:numId="22" w16cid:durableId="1762526700">
    <w:abstractNumId w:val="8"/>
  </w:num>
  <w:num w:numId="23" w16cid:durableId="791561082">
    <w:abstractNumId w:val="22"/>
  </w:num>
  <w:num w:numId="24" w16cid:durableId="1899515251">
    <w:abstractNumId w:val="23"/>
  </w:num>
  <w:num w:numId="25" w16cid:durableId="32461235">
    <w:abstractNumId w:val="24"/>
  </w:num>
  <w:num w:numId="26" w16cid:durableId="566040628">
    <w:abstractNumId w:val="2"/>
  </w:num>
  <w:num w:numId="27" w16cid:durableId="1169759658">
    <w:abstractNumId w:val="6"/>
  </w:num>
  <w:num w:numId="28" w16cid:durableId="1662850969">
    <w:abstractNumId w:val="16"/>
  </w:num>
  <w:num w:numId="29" w16cid:durableId="1943761957">
    <w:abstractNumId w:val="34"/>
  </w:num>
  <w:num w:numId="30" w16cid:durableId="1221792982">
    <w:abstractNumId w:val="31"/>
  </w:num>
  <w:num w:numId="31" w16cid:durableId="1318995490">
    <w:abstractNumId w:val="3"/>
  </w:num>
  <w:num w:numId="32" w16cid:durableId="1561165306">
    <w:abstractNumId w:val="25"/>
  </w:num>
  <w:num w:numId="33" w16cid:durableId="1119183603">
    <w:abstractNumId w:val="10"/>
  </w:num>
  <w:num w:numId="34" w16cid:durableId="36050566">
    <w:abstractNumId w:val="21"/>
  </w:num>
  <w:num w:numId="35" w16cid:durableId="1481649575">
    <w:abstractNumId w:val="17"/>
  </w:num>
  <w:num w:numId="36" w16cid:durableId="4349030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E9"/>
    <w:rsid w:val="000035D6"/>
    <w:rsid w:val="00005257"/>
    <w:rsid w:val="000104FD"/>
    <w:rsid w:val="000115C0"/>
    <w:rsid w:val="00013D14"/>
    <w:rsid w:val="0001586E"/>
    <w:rsid w:val="00030428"/>
    <w:rsid w:val="00035AA0"/>
    <w:rsid w:val="00047D49"/>
    <w:rsid w:val="000500CD"/>
    <w:rsid w:val="0005065A"/>
    <w:rsid w:val="00065CC3"/>
    <w:rsid w:val="00071E1E"/>
    <w:rsid w:val="00074A2A"/>
    <w:rsid w:val="00077339"/>
    <w:rsid w:val="00080DD0"/>
    <w:rsid w:val="00081501"/>
    <w:rsid w:val="00082FFD"/>
    <w:rsid w:val="000903CD"/>
    <w:rsid w:val="00095502"/>
    <w:rsid w:val="00097B82"/>
    <w:rsid w:val="000A1C29"/>
    <w:rsid w:val="000A3E48"/>
    <w:rsid w:val="000A42E4"/>
    <w:rsid w:val="000A7246"/>
    <w:rsid w:val="000A7683"/>
    <w:rsid w:val="000B08B9"/>
    <w:rsid w:val="000C6EEA"/>
    <w:rsid w:val="000D1A35"/>
    <w:rsid w:val="000D3139"/>
    <w:rsid w:val="000D612D"/>
    <w:rsid w:val="000E14E9"/>
    <w:rsid w:val="000E7DB9"/>
    <w:rsid w:val="000F01CF"/>
    <w:rsid w:val="000F0B3B"/>
    <w:rsid w:val="001036B4"/>
    <w:rsid w:val="0011313A"/>
    <w:rsid w:val="001167A0"/>
    <w:rsid w:val="00120E3E"/>
    <w:rsid w:val="00122FB7"/>
    <w:rsid w:val="001247C1"/>
    <w:rsid w:val="001259B3"/>
    <w:rsid w:val="00126B2D"/>
    <w:rsid w:val="00126BC7"/>
    <w:rsid w:val="001430B9"/>
    <w:rsid w:val="001520F6"/>
    <w:rsid w:val="0015597F"/>
    <w:rsid w:val="00160C70"/>
    <w:rsid w:val="00163F73"/>
    <w:rsid w:val="0016567F"/>
    <w:rsid w:val="00166ABF"/>
    <w:rsid w:val="00173204"/>
    <w:rsid w:val="0018371A"/>
    <w:rsid w:val="00194432"/>
    <w:rsid w:val="00194D34"/>
    <w:rsid w:val="00197655"/>
    <w:rsid w:val="001A7D0C"/>
    <w:rsid w:val="001B1291"/>
    <w:rsid w:val="001C241D"/>
    <w:rsid w:val="001C439D"/>
    <w:rsid w:val="001D2A75"/>
    <w:rsid w:val="001D2AEE"/>
    <w:rsid w:val="001F1605"/>
    <w:rsid w:val="002072EF"/>
    <w:rsid w:val="00217B34"/>
    <w:rsid w:val="00235629"/>
    <w:rsid w:val="0024461C"/>
    <w:rsid w:val="002533E7"/>
    <w:rsid w:val="00254459"/>
    <w:rsid w:val="00257FB7"/>
    <w:rsid w:val="0026543F"/>
    <w:rsid w:val="002662CC"/>
    <w:rsid w:val="00274E1B"/>
    <w:rsid w:val="00275A8B"/>
    <w:rsid w:val="002822B9"/>
    <w:rsid w:val="00290A91"/>
    <w:rsid w:val="002B3EE9"/>
    <w:rsid w:val="002B7896"/>
    <w:rsid w:val="002C25F8"/>
    <w:rsid w:val="002E4DEB"/>
    <w:rsid w:val="002E6A86"/>
    <w:rsid w:val="002E7F0C"/>
    <w:rsid w:val="003017B9"/>
    <w:rsid w:val="003109CD"/>
    <w:rsid w:val="0032018C"/>
    <w:rsid w:val="0032378E"/>
    <w:rsid w:val="00326810"/>
    <w:rsid w:val="003370CA"/>
    <w:rsid w:val="003401F4"/>
    <w:rsid w:val="003416E9"/>
    <w:rsid w:val="003540C0"/>
    <w:rsid w:val="0035631A"/>
    <w:rsid w:val="00370D93"/>
    <w:rsid w:val="00371F4B"/>
    <w:rsid w:val="00385976"/>
    <w:rsid w:val="003940C7"/>
    <w:rsid w:val="00396E3A"/>
    <w:rsid w:val="003B0326"/>
    <w:rsid w:val="003B4255"/>
    <w:rsid w:val="003B6BF2"/>
    <w:rsid w:val="003C3445"/>
    <w:rsid w:val="003C4AD9"/>
    <w:rsid w:val="003C6B72"/>
    <w:rsid w:val="003D121A"/>
    <w:rsid w:val="003D27A0"/>
    <w:rsid w:val="003D4158"/>
    <w:rsid w:val="003D63CD"/>
    <w:rsid w:val="003D719E"/>
    <w:rsid w:val="003D7E6A"/>
    <w:rsid w:val="003E0BE2"/>
    <w:rsid w:val="003E30D5"/>
    <w:rsid w:val="003F3680"/>
    <w:rsid w:val="003F4F83"/>
    <w:rsid w:val="003F7AB6"/>
    <w:rsid w:val="004000C6"/>
    <w:rsid w:val="00406BE5"/>
    <w:rsid w:val="00413643"/>
    <w:rsid w:val="00421C29"/>
    <w:rsid w:val="00427FE4"/>
    <w:rsid w:val="00427FF7"/>
    <w:rsid w:val="004312D8"/>
    <w:rsid w:val="00431E1A"/>
    <w:rsid w:val="004373B5"/>
    <w:rsid w:val="00437BE9"/>
    <w:rsid w:val="00442088"/>
    <w:rsid w:val="0044691A"/>
    <w:rsid w:val="0044719B"/>
    <w:rsid w:val="0045044E"/>
    <w:rsid w:val="00454808"/>
    <w:rsid w:val="00495694"/>
    <w:rsid w:val="00495942"/>
    <w:rsid w:val="004A139F"/>
    <w:rsid w:val="004A21D0"/>
    <w:rsid w:val="004A3215"/>
    <w:rsid w:val="004A6866"/>
    <w:rsid w:val="004B13BE"/>
    <w:rsid w:val="004B26C2"/>
    <w:rsid w:val="004B746B"/>
    <w:rsid w:val="004C1B48"/>
    <w:rsid w:val="004E0D46"/>
    <w:rsid w:val="004E3536"/>
    <w:rsid w:val="004F04DD"/>
    <w:rsid w:val="004F2281"/>
    <w:rsid w:val="004F29E0"/>
    <w:rsid w:val="004F7690"/>
    <w:rsid w:val="00507812"/>
    <w:rsid w:val="00511555"/>
    <w:rsid w:val="00515763"/>
    <w:rsid w:val="00517C1B"/>
    <w:rsid w:val="005243F8"/>
    <w:rsid w:val="00525C58"/>
    <w:rsid w:val="00532212"/>
    <w:rsid w:val="00534144"/>
    <w:rsid w:val="00535ECA"/>
    <w:rsid w:val="00544C42"/>
    <w:rsid w:val="0055221F"/>
    <w:rsid w:val="00553030"/>
    <w:rsid w:val="005623C4"/>
    <w:rsid w:val="00562A54"/>
    <w:rsid w:val="00570B2B"/>
    <w:rsid w:val="00572F1B"/>
    <w:rsid w:val="00575C08"/>
    <w:rsid w:val="00575F24"/>
    <w:rsid w:val="0058225D"/>
    <w:rsid w:val="00593AAB"/>
    <w:rsid w:val="005971DE"/>
    <w:rsid w:val="005A077F"/>
    <w:rsid w:val="005A152E"/>
    <w:rsid w:val="005A6B50"/>
    <w:rsid w:val="005A6FA7"/>
    <w:rsid w:val="005A73BA"/>
    <w:rsid w:val="005B0947"/>
    <w:rsid w:val="005B389E"/>
    <w:rsid w:val="005D550B"/>
    <w:rsid w:val="005D721A"/>
    <w:rsid w:val="005E03EC"/>
    <w:rsid w:val="005E41FD"/>
    <w:rsid w:val="005F1B22"/>
    <w:rsid w:val="005F5534"/>
    <w:rsid w:val="005F729A"/>
    <w:rsid w:val="006162CC"/>
    <w:rsid w:val="00624139"/>
    <w:rsid w:val="00626526"/>
    <w:rsid w:val="006418A3"/>
    <w:rsid w:val="006426F5"/>
    <w:rsid w:val="0065497F"/>
    <w:rsid w:val="00660C9D"/>
    <w:rsid w:val="00684D03"/>
    <w:rsid w:val="0069083E"/>
    <w:rsid w:val="00694793"/>
    <w:rsid w:val="006A264F"/>
    <w:rsid w:val="006A5607"/>
    <w:rsid w:val="006A6663"/>
    <w:rsid w:val="006B206D"/>
    <w:rsid w:val="006D2301"/>
    <w:rsid w:val="006F0040"/>
    <w:rsid w:val="006F0C47"/>
    <w:rsid w:val="006F2916"/>
    <w:rsid w:val="006F3744"/>
    <w:rsid w:val="006F41E0"/>
    <w:rsid w:val="00701084"/>
    <w:rsid w:val="0070766F"/>
    <w:rsid w:val="00707BB3"/>
    <w:rsid w:val="00707C1D"/>
    <w:rsid w:val="0071307C"/>
    <w:rsid w:val="007146BD"/>
    <w:rsid w:val="00724081"/>
    <w:rsid w:val="00725D5E"/>
    <w:rsid w:val="00726D85"/>
    <w:rsid w:val="00746219"/>
    <w:rsid w:val="007478BE"/>
    <w:rsid w:val="007528BF"/>
    <w:rsid w:val="007656C6"/>
    <w:rsid w:val="0078649D"/>
    <w:rsid w:val="00795C1B"/>
    <w:rsid w:val="007A6D4B"/>
    <w:rsid w:val="007B651A"/>
    <w:rsid w:val="007D69E1"/>
    <w:rsid w:val="007E3B65"/>
    <w:rsid w:val="007E4C8B"/>
    <w:rsid w:val="007F697D"/>
    <w:rsid w:val="00814EE8"/>
    <w:rsid w:val="0082361F"/>
    <w:rsid w:val="00824EBA"/>
    <w:rsid w:val="00826ABA"/>
    <w:rsid w:val="00832CEE"/>
    <w:rsid w:val="00851E10"/>
    <w:rsid w:val="0085241F"/>
    <w:rsid w:val="00852F81"/>
    <w:rsid w:val="00866C2E"/>
    <w:rsid w:val="008674EA"/>
    <w:rsid w:val="00870725"/>
    <w:rsid w:val="008723B6"/>
    <w:rsid w:val="008736E7"/>
    <w:rsid w:val="00873C02"/>
    <w:rsid w:val="00873F2D"/>
    <w:rsid w:val="00876B2F"/>
    <w:rsid w:val="00881EA4"/>
    <w:rsid w:val="00891605"/>
    <w:rsid w:val="0089496D"/>
    <w:rsid w:val="008953E3"/>
    <w:rsid w:val="008955A0"/>
    <w:rsid w:val="008A0C28"/>
    <w:rsid w:val="008A3BC5"/>
    <w:rsid w:val="008A7883"/>
    <w:rsid w:val="008B2F3B"/>
    <w:rsid w:val="008B3735"/>
    <w:rsid w:val="008D350A"/>
    <w:rsid w:val="008D6A97"/>
    <w:rsid w:val="008E1612"/>
    <w:rsid w:val="008E3C4D"/>
    <w:rsid w:val="008E799F"/>
    <w:rsid w:val="008F3ABF"/>
    <w:rsid w:val="008F50B4"/>
    <w:rsid w:val="0090159E"/>
    <w:rsid w:val="0091355E"/>
    <w:rsid w:val="00923945"/>
    <w:rsid w:val="00925B08"/>
    <w:rsid w:val="00927AC0"/>
    <w:rsid w:val="009313C7"/>
    <w:rsid w:val="009340C0"/>
    <w:rsid w:val="00935E5C"/>
    <w:rsid w:val="009362DE"/>
    <w:rsid w:val="009427F1"/>
    <w:rsid w:val="00947EFB"/>
    <w:rsid w:val="00954444"/>
    <w:rsid w:val="00970062"/>
    <w:rsid w:val="00974778"/>
    <w:rsid w:val="009770C5"/>
    <w:rsid w:val="0098110F"/>
    <w:rsid w:val="009825F6"/>
    <w:rsid w:val="00983EE7"/>
    <w:rsid w:val="00983F51"/>
    <w:rsid w:val="0099610D"/>
    <w:rsid w:val="009A1786"/>
    <w:rsid w:val="009A1ACE"/>
    <w:rsid w:val="009A7585"/>
    <w:rsid w:val="009B2F6A"/>
    <w:rsid w:val="009D3804"/>
    <w:rsid w:val="009D5124"/>
    <w:rsid w:val="009D7428"/>
    <w:rsid w:val="009E1439"/>
    <w:rsid w:val="009E4367"/>
    <w:rsid w:val="009E4ED2"/>
    <w:rsid w:val="009F509F"/>
    <w:rsid w:val="00A00C42"/>
    <w:rsid w:val="00A06F1C"/>
    <w:rsid w:val="00A17092"/>
    <w:rsid w:val="00A31BF2"/>
    <w:rsid w:val="00A327A9"/>
    <w:rsid w:val="00A46A11"/>
    <w:rsid w:val="00A5524A"/>
    <w:rsid w:val="00A714F6"/>
    <w:rsid w:val="00A77C50"/>
    <w:rsid w:val="00A81E75"/>
    <w:rsid w:val="00A91E5B"/>
    <w:rsid w:val="00A91EBC"/>
    <w:rsid w:val="00A97701"/>
    <w:rsid w:val="00AA105E"/>
    <w:rsid w:val="00AA4E84"/>
    <w:rsid w:val="00AC5B3F"/>
    <w:rsid w:val="00AD24E5"/>
    <w:rsid w:val="00AE2235"/>
    <w:rsid w:val="00AE5AE3"/>
    <w:rsid w:val="00AF1264"/>
    <w:rsid w:val="00AF1534"/>
    <w:rsid w:val="00B0044E"/>
    <w:rsid w:val="00B02C51"/>
    <w:rsid w:val="00B04238"/>
    <w:rsid w:val="00B135A0"/>
    <w:rsid w:val="00B1581A"/>
    <w:rsid w:val="00B208C6"/>
    <w:rsid w:val="00B214A8"/>
    <w:rsid w:val="00B22AB6"/>
    <w:rsid w:val="00B27611"/>
    <w:rsid w:val="00B30DD3"/>
    <w:rsid w:val="00B34C72"/>
    <w:rsid w:val="00B3672B"/>
    <w:rsid w:val="00B37841"/>
    <w:rsid w:val="00B43EEC"/>
    <w:rsid w:val="00B45911"/>
    <w:rsid w:val="00B515D2"/>
    <w:rsid w:val="00B55677"/>
    <w:rsid w:val="00B56C20"/>
    <w:rsid w:val="00B6091D"/>
    <w:rsid w:val="00B652EE"/>
    <w:rsid w:val="00B66328"/>
    <w:rsid w:val="00B94677"/>
    <w:rsid w:val="00BA0A32"/>
    <w:rsid w:val="00BA467F"/>
    <w:rsid w:val="00BA4DF4"/>
    <w:rsid w:val="00BA5DDC"/>
    <w:rsid w:val="00BB0F1C"/>
    <w:rsid w:val="00BB1C9C"/>
    <w:rsid w:val="00BB740B"/>
    <w:rsid w:val="00BC0B81"/>
    <w:rsid w:val="00BC1EB9"/>
    <w:rsid w:val="00BC32F8"/>
    <w:rsid w:val="00BD6587"/>
    <w:rsid w:val="00BD778B"/>
    <w:rsid w:val="00BF0E8A"/>
    <w:rsid w:val="00BF613C"/>
    <w:rsid w:val="00BF75C5"/>
    <w:rsid w:val="00C0458C"/>
    <w:rsid w:val="00C11386"/>
    <w:rsid w:val="00C33A74"/>
    <w:rsid w:val="00C366C4"/>
    <w:rsid w:val="00C37C5C"/>
    <w:rsid w:val="00C37ED4"/>
    <w:rsid w:val="00C64C0C"/>
    <w:rsid w:val="00C7632D"/>
    <w:rsid w:val="00C7657D"/>
    <w:rsid w:val="00C777B8"/>
    <w:rsid w:val="00C850DE"/>
    <w:rsid w:val="00C87252"/>
    <w:rsid w:val="00C901C2"/>
    <w:rsid w:val="00C97C2D"/>
    <w:rsid w:val="00CB237B"/>
    <w:rsid w:val="00CC08F9"/>
    <w:rsid w:val="00CD358F"/>
    <w:rsid w:val="00CD43AD"/>
    <w:rsid w:val="00CD6A95"/>
    <w:rsid w:val="00CE1CE0"/>
    <w:rsid w:val="00CE4808"/>
    <w:rsid w:val="00CE5C3E"/>
    <w:rsid w:val="00CF7B41"/>
    <w:rsid w:val="00D148A5"/>
    <w:rsid w:val="00D15EE7"/>
    <w:rsid w:val="00D16BE8"/>
    <w:rsid w:val="00D17D9E"/>
    <w:rsid w:val="00D23A37"/>
    <w:rsid w:val="00D30A3B"/>
    <w:rsid w:val="00D45EB5"/>
    <w:rsid w:val="00D5452C"/>
    <w:rsid w:val="00D54833"/>
    <w:rsid w:val="00D62C05"/>
    <w:rsid w:val="00D656CA"/>
    <w:rsid w:val="00D66EF9"/>
    <w:rsid w:val="00D81E05"/>
    <w:rsid w:val="00D81E0D"/>
    <w:rsid w:val="00D84AE1"/>
    <w:rsid w:val="00D90FE9"/>
    <w:rsid w:val="00D961FA"/>
    <w:rsid w:val="00D96EF8"/>
    <w:rsid w:val="00DA42BD"/>
    <w:rsid w:val="00DA7065"/>
    <w:rsid w:val="00DA7DE8"/>
    <w:rsid w:val="00DB654F"/>
    <w:rsid w:val="00DB7674"/>
    <w:rsid w:val="00DC0B6E"/>
    <w:rsid w:val="00DC21F5"/>
    <w:rsid w:val="00DD0193"/>
    <w:rsid w:val="00DD27CD"/>
    <w:rsid w:val="00DD7354"/>
    <w:rsid w:val="00DE00DC"/>
    <w:rsid w:val="00DE1974"/>
    <w:rsid w:val="00DE339E"/>
    <w:rsid w:val="00DE3DA3"/>
    <w:rsid w:val="00DE68E7"/>
    <w:rsid w:val="00DF1386"/>
    <w:rsid w:val="00DF3370"/>
    <w:rsid w:val="00DF4B87"/>
    <w:rsid w:val="00DF638A"/>
    <w:rsid w:val="00E063F8"/>
    <w:rsid w:val="00E365BF"/>
    <w:rsid w:val="00E407C1"/>
    <w:rsid w:val="00E42D79"/>
    <w:rsid w:val="00E44241"/>
    <w:rsid w:val="00E5176E"/>
    <w:rsid w:val="00E51E00"/>
    <w:rsid w:val="00E51EAD"/>
    <w:rsid w:val="00E54582"/>
    <w:rsid w:val="00E55349"/>
    <w:rsid w:val="00E61791"/>
    <w:rsid w:val="00E61EAF"/>
    <w:rsid w:val="00E64F7A"/>
    <w:rsid w:val="00E75AA6"/>
    <w:rsid w:val="00E86CEE"/>
    <w:rsid w:val="00E92393"/>
    <w:rsid w:val="00E96419"/>
    <w:rsid w:val="00EA4C2B"/>
    <w:rsid w:val="00EA5D12"/>
    <w:rsid w:val="00EB1946"/>
    <w:rsid w:val="00EB59AB"/>
    <w:rsid w:val="00EC06C3"/>
    <w:rsid w:val="00EC1B3C"/>
    <w:rsid w:val="00EC4037"/>
    <w:rsid w:val="00EC5C36"/>
    <w:rsid w:val="00ED0B43"/>
    <w:rsid w:val="00ED1BBE"/>
    <w:rsid w:val="00EF0EC0"/>
    <w:rsid w:val="00EF105C"/>
    <w:rsid w:val="00EF2DA6"/>
    <w:rsid w:val="00F062A1"/>
    <w:rsid w:val="00F07533"/>
    <w:rsid w:val="00F07FEB"/>
    <w:rsid w:val="00F14BB9"/>
    <w:rsid w:val="00F14E6D"/>
    <w:rsid w:val="00F206A6"/>
    <w:rsid w:val="00F25A45"/>
    <w:rsid w:val="00F30C3B"/>
    <w:rsid w:val="00F3285D"/>
    <w:rsid w:val="00F442CD"/>
    <w:rsid w:val="00F45AC6"/>
    <w:rsid w:val="00F51080"/>
    <w:rsid w:val="00F553C8"/>
    <w:rsid w:val="00F5690F"/>
    <w:rsid w:val="00F64517"/>
    <w:rsid w:val="00F70A27"/>
    <w:rsid w:val="00F76626"/>
    <w:rsid w:val="00F81C52"/>
    <w:rsid w:val="00F84C13"/>
    <w:rsid w:val="00F901D1"/>
    <w:rsid w:val="00F90EFD"/>
    <w:rsid w:val="00F92E42"/>
    <w:rsid w:val="00F973CB"/>
    <w:rsid w:val="00FA4E85"/>
    <w:rsid w:val="00FB668F"/>
    <w:rsid w:val="00FB6870"/>
    <w:rsid w:val="00FC10E0"/>
    <w:rsid w:val="00FC2250"/>
    <w:rsid w:val="00FC67F4"/>
    <w:rsid w:val="00FE0BD4"/>
    <w:rsid w:val="00FF15F7"/>
    <w:rsid w:val="00FF37CC"/>
    <w:rsid w:val="00FF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4D76"/>
  <w15:chartTrackingRefBased/>
  <w15:docId w15:val="{1F4D7532-3327-4AED-BC33-2AAABD41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E9"/>
  </w:style>
  <w:style w:type="paragraph" w:styleId="Heading1">
    <w:name w:val="heading 1"/>
    <w:basedOn w:val="Normal"/>
    <w:next w:val="Normal"/>
    <w:link w:val="Heading1Char"/>
    <w:uiPriority w:val="9"/>
    <w:qFormat/>
    <w:rsid w:val="00341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1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16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16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16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1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1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6E9"/>
    <w:rPr>
      <w:rFonts w:eastAsiaTheme="majorEastAsia" w:cstheme="majorBidi"/>
      <w:color w:val="272727" w:themeColor="text1" w:themeTint="D8"/>
    </w:rPr>
  </w:style>
  <w:style w:type="paragraph" w:styleId="Title">
    <w:name w:val="Title"/>
    <w:basedOn w:val="Normal"/>
    <w:next w:val="Normal"/>
    <w:link w:val="TitleChar"/>
    <w:uiPriority w:val="10"/>
    <w:qFormat/>
    <w:rsid w:val="00341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6E9"/>
    <w:pPr>
      <w:spacing w:before="160"/>
      <w:jc w:val="center"/>
    </w:pPr>
    <w:rPr>
      <w:i/>
      <w:iCs/>
      <w:color w:val="404040" w:themeColor="text1" w:themeTint="BF"/>
    </w:rPr>
  </w:style>
  <w:style w:type="character" w:customStyle="1" w:styleId="QuoteChar">
    <w:name w:val="Quote Char"/>
    <w:basedOn w:val="DefaultParagraphFont"/>
    <w:link w:val="Quote"/>
    <w:uiPriority w:val="29"/>
    <w:rsid w:val="003416E9"/>
    <w:rPr>
      <w:i/>
      <w:iCs/>
      <w:color w:val="404040" w:themeColor="text1" w:themeTint="BF"/>
    </w:rPr>
  </w:style>
  <w:style w:type="paragraph" w:styleId="ListParagraph">
    <w:name w:val="List Paragraph"/>
    <w:basedOn w:val="Normal"/>
    <w:uiPriority w:val="34"/>
    <w:qFormat/>
    <w:rsid w:val="003416E9"/>
    <w:pPr>
      <w:ind w:left="720"/>
      <w:contextualSpacing/>
    </w:pPr>
  </w:style>
  <w:style w:type="character" w:styleId="IntenseEmphasis">
    <w:name w:val="Intense Emphasis"/>
    <w:basedOn w:val="DefaultParagraphFont"/>
    <w:uiPriority w:val="21"/>
    <w:qFormat/>
    <w:rsid w:val="003416E9"/>
    <w:rPr>
      <w:i/>
      <w:iCs/>
      <w:color w:val="0F4761" w:themeColor="accent1" w:themeShade="BF"/>
    </w:rPr>
  </w:style>
  <w:style w:type="paragraph" w:styleId="IntenseQuote">
    <w:name w:val="Intense Quote"/>
    <w:basedOn w:val="Normal"/>
    <w:next w:val="Normal"/>
    <w:link w:val="IntenseQuoteChar"/>
    <w:uiPriority w:val="30"/>
    <w:qFormat/>
    <w:rsid w:val="00341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16E9"/>
    <w:rPr>
      <w:i/>
      <w:iCs/>
      <w:color w:val="0F4761" w:themeColor="accent1" w:themeShade="BF"/>
    </w:rPr>
  </w:style>
  <w:style w:type="character" w:styleId="IntenseReference">
    <w:name w:val="Intense Reference"/>
    <w:basedOn w:val="DefaultParagraphFont"/>
    <w:uiPriority w:val="32"/>
    <w:qFormat/>
    <w:rsid w:val="003416E9"/>
    <w:rPr>
      <w:b/>
      <w:bCs/>
      <w:smallCaps/>
      <w:color w:val="0F4761" w:themeColor="accent1" w:themeShade="BF"/>
      <w:spacing w:val="5"/>
    </w:rPr>
  </w:style>
  <w:style w:type="character" w:styleId="Hyperlink">
    <w:name w:val="Hyperlink"/>
    <w:basedOn w:val="DefaultParagraphFont"/>
    <w:uiPriority w:val="99"/>
    <w:unhideWhenUsed/>
    <w:rsid w:val="004A139F"/>
    <w:rPr>
      <w:color w:val="467886" w:themeColor="hyperlink"/>
      <w:u w:val="single"/>
    </w:rPr>
  </w:style>
  <w:style w:type="character" w:styleId="UnresolvedMention">
    <w:name w:val="Unresolved Mention"/>
    <w:basedOn w:val="DefaultParagraphFont"/>
    <w:uiPriority w:val="99"/>
    <w:semiHidden/>
    <w:unhideWhenUsed/>
    <w:rsid w:val="004A139F"/>
    <w:rPr>
      <w:color w:val="605E5C"/>
      <w:shd w:val="clear" w:color="auto" w:fill="E1DFDD"/>
    </w:rPr>
  </w:style>
  <w:style w:type="paragraph" w:styleId="NormalWeb">
    <w:name w:val="Normal (Web)"/>
    <w:basedOn w:val="Normal"/>
    <w:uiPriority w:val="99"/>
    <w:semiHidden/>
    <w:unhideWhenUsed/>
    <w:rsid w:val="009D7428"/>
    <w:rPr>
      <w:rFonts w:ascii="Times New Roman" w:hAnsi="Times New Roman" w:cs="Times New Roman"/>
    </w:rPr>
  </w:style>
  <w:style w:type="paragraph" w:styleId="Header">
    <w:name w:val="header"/>
    <w:basedOn w:val="Normal"/>
    <w:link w:val="HeaderChar"/>
    <w:uiPriority w:val="99"/>
    <w:unhideWhenUsed/>
    <w:rsid w:val="00C76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57D"/>
  </w:style>
  <w:style w:type="paragraph" w:styleId="Footer">
    <w:name w:val="footer"/>
    <w:basedOn w:val="Normal"/>
    <w:link w:val="FooterChar"/>
    <w:uiPriority w:val="99"/>
    <w:unhideWhenUsed/>
    <w:rsid w:val="00C76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us.sagepub.com/en-us/nam/research-design/book255675" TargetMode="External"/><Relationship Id="rId18" Type="http://schemas.openxmlformats.org/officeDocument/2006/relationships/hyperlink" Target="https://doi.org/10.1088/1755-1315/704/1/01202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7249/RR2042" TargetMode="External"/><Relationship Id="rId7" Type="http://schemas.openxmlformats.org/officeDocument/2006/relationships/chart" Target="charts/chart1.xml"/><Relationship Id="rId12" Type="http://schemas.openxmlformats.org/officeDocument/2006/relationships/hyperlink" Target="https://doi.org/10.1111/ejed.12593" TargetMode="External"/><Relationship Id="rId17" Type="http://schemas.openxmlformats.org/officeDocument/2006/relationships/hyperlink" Target="https://curriculumredesign.org/wp-content/uploads/AI-in-Education-Promises-and-Implications-for-Teaching-and-Learning.pdf" TargetMode="External"/><Relationship Id="rId25" Type="http://schemas.openxmlformats.org/officeDocument/2006/relationships/hyperlink" Target="https://doi.org/10.1207/s15430421tip4102_2" TargetMode="External"/><Relationship Id="rId2" Type="http://schemas.openxmlformats.org/officeDocument/2006/relationships/styles" Target="styles.xml"/><Relationship Id="rId16" Type="http://schemas.openxmlformats.org/officeDocument/2006/relationships/hyperlink" Target="https://doi.org/10.3102/003465430298487" TargetMode="External"/><Relationship Id="rId20" Type="http://schemas.openxmlformats.org/officeDocument/2006/relationships/hyperlink" Target="https://doi.org/10.1080/030750706005720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2602938.2018.1463354" TargetMode="External"/><Relationship Id="rId24" Type="http://schemas.openxmlformats.org/officeDocument/2006/relationships/hyperlink" Target="https://doi.org/10.1007/s11423-016-9481-2" TargetMode="External"/><Relationship Id="rId5" Type="http://schemas.openxmlformats.org/officeDocument/2006/relationships/footnotes" Target="footnotes.xml"/><Relationship Id="rId15" Type="http://schemas.openxmlformats.org/officeDocument/2006/relationships/hyperlink" Target="https://us.sagepub.com/en-us/nam/a-primer-on-partial-least-squares-structural-equation-modeling-pls-sem/book277161" TargetMode="External"/><Relationship Id="rId23" Type="http://schemas.openxmlformats.org/officeDocument/2006/relationships/hyperlink" Target="https://doi.org/10.3102/0034654307313795" TargetMode="External"/><Relationship Id="rId28" Type="http://schemas.openxmlformats.org/officeDocument/2006/relationships/theme" Target="theme/theme1.xml"/><Relationship Id="rId10" Type="http://schemas.openxmlformats.org/officeDocument/2006/relationships/hyperlink" Target="https://doi.org/10.3390/educsci13070722" TargetMode="External"/><Relationship Id="rId19" Type="http://schemas.openxmlformats.org/officeDocument/2006/relationships/hyperlink" Target="https://doi.org/10.1016/j.tate.2017.05.016"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16/j.heliyon.2024.e37318" TargetMode="External"/><Relationship Id="rId22" Type="http://schemas.openxmlformats.org/officeDocument/2006/relationships/hyperlink" Target="https://doi.org/10.2760/159770"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D&#7919;%20Li&#7879;u-DC-Feedback-PL\V&#7869;%20bi&#7875;u%20&#273;&#789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D&#7919;%20Li&#7879;u-DC-Feedback-PL\V&#7869;%20bi&#7875;u%20&#273;&#789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D&#7919;%20Li&#7879;u-DC-Feedback-PL\V&#7869;%20bi&#7875;u%20&#273;&#789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Figure</a:t>
            </a:r>
            <a:r>
              <a:rPr lang="en-US" sz="1200" b="0" baseline="0">
                <a:latin typeface="Times New Roman" panose="02020603050405020304" pitchFamily="18" charset="0"/>
                <a:cs typeface="Times New Roman" panose="02020603050405020304" pitchFamily="18" charset="0"/>
              </a:rPr>
              <a:t> 1: Instructors' Digital Competence </a:t>
            </a:r>
            <a:endParaRPr lang="en-US" sz="1200" b="0">
              <a:latin typeface="Times New Roman" panose="02020603050405020304" pitchFamily="18" charset="0"/>
              <a:cs typeface="Times New Roman" panose="02020603050405020304" pitchFamily="18" charset="0"/>
            </a:endParaRPr>
          </a:p>
        </c:rich>
      </c:tx>
      <c:layout>
        <c:manualLayout>
          <c:xMode val="edge"/>
          <c:yMode val="edge"/>
          <c:x val="0.29962557243106119"/>
          <c:y val="0.81061563250539626"/>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Sheet2!$C$5</c:f>
              <c:strCache>
                <c:ptCount val="1"/>
                <c:pt idx="0">
                  <c:v>DC1</c:v>
                </c:pt>
              </c:strCache>
            </c:strRef>
          </c:tx>
          <c:spPr>
            <a:solidFill>
              <a:srgbClr val="FFC000"/>
            </a:solidFill>
            <a:ln>
              <a:noFill/>
            </a:ln>
            <a:effectLst/>
          </c:spPr>
          <c:invertIfNegative val="0"/>
          <c:dLbls>
            <c:dLbl>
              <c:idx val="0"/>
              <c:tx>
                <c:rich>
                  <a:bodyPr/>
                  <a:lstStyle/>
                  <a:p>
                    <a:r>
                      <a:rPr lang="en-US"/>
                      <a:t>2,8%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CF5-4C2B-A1CB-DB5BC5DE542B}"/>
                </c:ext>
              </c:extLst>
            </c:dLbl>
            <c:dLbl>
              <c:idx val="2"/>
              <c:tx>
                <c:rich>
                  <a:bodyPr/>
                  <a:lstStyle/>
                  <a:p>
                    <a:r>
                      <a:rPr lang="en-US"/>
                      <a:t>7,3%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CF5-4C2B-A1CB-DB5BC5DE542B}"/>
                </c:ext>
              </c:extLst>
            </c:dLbl>
            <c:dLbl>
              <c:idx val="3"/>
              <c:tx>
                <c:rich>
                  <a:bodyPr/>
                  <a:lstStyle/>
                  <a:p>
                    <a:r>
                      <a:rPr lang="en-US"/>
                      <a:t>41,1%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CF5-4C2B-A1CB-DB5BC5DE542B}"/>
                </c:ext>
              </c:extLst>
            </c:dLbl>
            <c:dLbl>
              <c:idx val="4"/>
              <c:tx>
                <c:rich>
                  <a:bodyPr/>
                  <a:lstStyle/>
                  <a:p>
                    <a:r>
                      <a:rPr lang="en-US"/>
                      <a:t>48,8%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CF5-4C2B-A1CB-DB5BC5DE542B}"/>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Sheet2!$D$4:$H$4</c:f>
              <c:numCache>
                <c:formatCode>General</c:formatCode>
                <c:ptCount val="5"/>
                <c:pt idx="0">
                  <c:v>1</c:v>
                </c:pt>
                <c:pt idx="1">
                  <c:v>2</c:v>
                </c:pt>
                <c:pt idx="2">
                  <c:v>3</c:v>
                </c:pt>
                <c:pt idx="3">
                  <c:v>4</c:v>
                </c:pt>
                <c:pt idx="4">
                  <c:v>5</c:v>
                </c:pt>
              </c:numCache>
            </c:numRef>
          </c:cat>
          <c:val>
            <c:numRef>
              <c:f>Sheet2!$D$5:$H$5</c:f>
              <c:numCache>
                <c:formatCode>General</c:formatCode>
                <c:ptCount val="5"/>
                <c:pt idx="0">
                  <c:v>7</c:v>
                </c:pt>
                <c:pt idx="1">
                  <c:v>0</c:v>
                </c:pt>
                <c:pt idx="2">
                  <c:v>18</c:v>
                </c:pt>
                <c:pt idx="3">
                  <c:v>101</c:v>
                </c:pt>
                <c:pt idx="4">
                  <c:v>120</c:v>
                </c:pt>
              </c:numCache>
            </c:numRef>
          </c:val>
          <c:extLst>
            <c:ext xmlns:c16="http://schemas.microsoft.com/office/drawing/2014/chart" uri="{C3380CC4-5D6E-409C-BE32-E72D297353CC}">
              <c16:uniqueId val="{00000004-BCF5-4C2B-A1CB-DB5BC5DE542B}"/>
            </c:ext>
          </c:extLst>
        </c:ser>
        <c:ser>
          <c:idx val="1"/>
          <c:order val="1"/>
          <c:tx>
            <c:strRef>
              <c:f>Sheet2!$C$6</c:f>
              <c:strCache>
                <c:ptCount val="1"/>
                <c:pt idx="0">
                  <c:v>DC2</c:v>
                </c:pt>
              </c:strCache>
            </c:strRef>
          </c:tx>
          <c:spPr>
            <a:solidFill>
              <a:schemeClr val="accent2"/>
            </a:solidFill>
            <a:ln>
              <a:noFill/>
            </a:ln>
            <a:effectLst/>
          </c:spPr>
          <c:invertIfNegative val="0"/>
          <c:dLbls>
            <c:dLbl>
              <c:idx val="0"/>
              <c:layout>
                <c:manualLayout>
                  <c:x val="2.8835885101031744E-3"/>
                  <c:y val="-4.1256475972270328E-2"/>
                </c:manualLayout>
              </c:layout>
              <c:tx>
                <c:rich>
                  <a:bodyPr/>
                  <a:lstStyle/>
                  <a:p>
                    <a:r>
                      <a:rPr lang="en-US"/>
                      <a:t>3,3%</a:t>
                    </a:r>
                  </a:p>
                </c:rich>
              </c:tx>
              <c:dLblPos val="outEnd"/>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CF5-4C2B-A1CB-DB5BC5DE542B}"/>
                </c:ext>
              </c:extLst>
            </c:dLbl>
            <c:dLbl>
              <c:idx val="1"/>
              <c:tx>
                <c:rich>
                  <a:bodyPr/>
                  <a:lstStyle/>
                  <a:p>
                    <a:r>
                      <a:rPr lang="en-US" baseline="0"/>
                      <a:t>0</a:t>
                    </a:r>
                    <a:endParaRPr lang="en-US"/>
                  </a:p>
                </c:rich>
              </c:tx>
              <c:dLblPos val="outEnd"/>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CF5-4C2B-A1CB-DB5BC5DE542B}"/>
                </c:ext>
              </c:extLst>
            </c:dLbl>
            <c:dLbl>
              <c:idx val="2"/>
              <c:tx>
                <c:rich>
                  <a:bodyPr/>
                  <a:lstStyle/>
                  <a:p>
                    <a:r>
                      <a:rPr lang="en-US"/>
                      <a:t>4,5%</a:t>
                    </a:r>
                  </a:p>
                </c:rich>
              </c:tx>
              <c:dLblPos val="outEnd"/>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CF5-4C2B-A1CB-DB5BC5DE542B}"/>
                </c:ext>
              </c:extLst>
            </c:dLbl>
            <c:dLbl>
              <c:idx val="3"/>
              <c:tx>
                <c:rich>
                  <a:bodyPr/>
                  <a:lstStyle/>
                  <a:p>
                    <a:r>
                      <a:rPr lang="en-US"/>
                      <a:t>39%</a:t>
                    </a:r>
                  </a:p>
                </c:rich>
              </c:tx>
              <c:dLblPos val="outEnd"/>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BCF5-4C2B-A1CB-DB5BC5DE542B}"/>
                </c:ext>
              </c:extLst>
            </c:dLbl>
            <c:dLbl>
              <c:idx val="4"/>
              <c:tx>
                <c:rich>
                  <a:bodyPr/>
                  <a:lstStyle/>
                  <a:p>
                    <a:r>
                      <a:rPr lang="en-US"/>
                      <a:t>53,3%</a:t>
                    </a:r>
                  </a:p>
                </c:rich>
              </c:tx>
              <c:dLblPos val="outEnd"/>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BCF5-4C2B-A1CB-DB5BC5DE542B}"/>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Sheet2!$D$4:$H$4</c:f>
              <c:numCache>
                <c:formatCode>General</c:formatCode>
                <c:ptCount val="5"/>
                <c:pt idx="0">
                  <c:v>1</c:v>
                </c:pt>
                <c:pt idx="1">
                  <c:v>2</c:v>
                </c:pt>
                <c:pt idx="2">
                  <c:v>3</c:v>
                </c:pt>
                <c:pt idx="3">
                  <c:v>4</c:v>
                </c:pt>
                <c:pt idx="4">
                  <c:v>5</c:v>
                </c:pt>
              </c:numCache>
            </c:numRef>
          </c:cat>
          <c:val>
            <c:numRef>
              <c:f>Sheet2!$D$6:$H$6</c:f>
              <c:numCache>
                <c:formatCode>General</c:formatCode>
                <c:ptCount val="5"/>
                <c:pt idx="0">
                  <c:v>8</c:v>
                </c:pt>
                <c:pt idx="1">
                  <c:v>0</c:v>
                </c:pt>
                <c:pt idx="2">
                  <c:v>11</c:v>
                </c:pt>
                <c:pt idx="3">
                  <c:v>96</c:v>
                </c:pt>
                <c:pt idx="4">
                  <c:v>131</c:v>
                </c:pt>
              </c:numCache>
            </c:numRef>
          </c:val>
          <c:extLst>
            <c:ext xmlns:c16="http://schemas.microsoft.com/office/drawing/2014/chart" uri="{C3380CC4-5D6E-409C-BE32-E72D297353CC}">
              <c16:uniqueId val="{0000000A-BCF5-4C2B-A1CB-DB5BC5DE542B}"/>
            </c:ext>
          </c:extLst>
        </c:ser>
        <c:ser>
          <c:idx val="2"/>
          <c:order val="2"/>
          <c:tx>
            <c:strRef>
              <c:f>Sheet2!$C$7</c:f>
              <c:strCache>
                <c:ptCount val="1"/>
                <c:pt idx="0">
                  <c:v>DC3</c:v>
                </c:pt>
              </c:strCache>
            </c:strRef>
          </c:tx>
          <c:spPr>
            <a:solidFill>
              <a:srgbClr val="0070C0"/>
            </a:solidFill>
            <a:ln>
              <a:noFill/>
            </a:ln>
            <a:effectLst/>
          </c:spPr>
          <c:invertIfNegative val="0"/>
          <c:dLbls>
            <c:dLbl>
              <c:idx val="0"/>
              <c:layout>
                <c:manualLayout>
                  <c:x val="1.3216294662209155E-17"/>
                  <c:y val="1.0520389259925003E-2"/>
                </c:manualLayout>
              </c:layout>
              <c:tx>
                <c:rich>
                  <a:bodyPr/>
                  <a:lstStyle/>
                  <a:p>
                    <a:r>
                      <a:rPr lang="en-US"/>
                      <a:t>3,3%</a:t>
                    </a:r>
                  </a:p>
                </c:rich>
              </c:tx>
              <c:dLblPos val="outEnd"/>
              <c:showLegendKey val="0"/>
              <c:showVal val="0"/>
              <c:showCatName val="0"/>
              <c:showSerName val="1"/>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BCF5-4C2B-A1CB-DB5BC5DE542B}"/>
                </c:ext>
              </c:extLst>
            </c:dLbl>
            <c:dLbl>
              <c:idx val="1"/>
              <c:tx>
                <c:rich>
                  <a:bodyPr/>
                  <a:lstStyle/>
                  <a:p>
                    <a:r>
                      <a:rPr lang="en-US"/>
                      <a:t>2,8%</a:t>
                    </a:r>
                  </a:p>
                </c:rich>
              </c:tx>
              <c:dLblPos val="outEnd"/>
              <c:showLegendKey val="0"/>
              <c:showVal val="1"/>
              <c:showCatName val="0"/>
              <c:showSerName val="1"/>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BCF5-4C2B-A1CB-DB5BC5DE542B}"/>
                </c:ext>
              </c:extLst>
            </c:dLbl>
            <c:dLbl>
              <c:idx val="2"/>
              <c:tx>
                <c:rich>
                  <a:bodyPr/>
                  <a:lstStyle/>
                  <a:p>
                    <a:r>
                      <a:rPr lang="en-US"/>
                      <a:t>17,1%</a:t>
                    </a:r>
                  </a:p>
                </c:rich>
              </c:tx>
              <c:dLblPos val="outEnd"/>
              <c:showLegendKey val="0"/>
              <c:showVal val="1"/>
              <c:showCatName val="0"/>
              <c:showSerName val="1"/>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BCF5-4C2B-A1CB-DB5BC5DE542B}"/>
                </c:ext>
              </c:extLst>
            </c:dLbl>
            <c:dLbl>
              <c:idx val="3"/>
              <c:tx>
                <c:rich>
                  <a:bodyPr/>
                  <a:lstStyle/>
                  <a:p>
                    <a:r>
                      <a:rPr lang="en-US"/>
                      <a:t>28,5%</a:t>
                    </a:r>
                  </a:p>
                </c:rich>
              </c:tx>
              <c:dLblPos val="outEnd"/>
              <c:showLegendKey val="0"/>
              <c:showVal val="1"/>
              <c:showCatName val="1"/>
              <c:showSerName val="1"/>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BCF5-4C2B-A1CB-DB5BC5DE542B}"/>
                </c:ext>
              </c:extLst>
            </c:dLbl>
            <c:dLbl>
              <c:idx val="4"/>
              <c:tx>
                <c:rich>
                  <a:bodyPr/>
                  <a:lstStyle/>
                  <a:p>
                    <a:r>
                      <a:rPr lang="en-US"/>
                      <a:t>48,4%</a:t>
                    </a:r>
                  </a:p>
                </c:rich>
              </c:tx>
              <c:dLblPos val="outEnd"/>
              <c:showLegendKey val="0"/>
              <c:showVal val="1"/>
              <c:showCatName val="0"/>
              <c:showSerName val="1"/>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BCF5-4C2B-A1CB-DB5BC5DE542B}"/>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Sheet2!$D$4:$H$4</c:f>
              <c:numCache>
                <c:formatCode>General</c:formatCode>
                <c:ptCount val="5"/>
                <c:pt idx="0">
                  <c:v>1</c:v>
                </c:pt>
                <c:pt idx="1">
                  <c:v>2</c:v>
                </c:pt>
                <c:pt idx="2">
                  <c:v>3</c:v>
                </c:pt>
                <c:pt idx="3">
                  <c:v>4</c:v>
                </c:pt>
                <c:pt idx="4">
                  <c:v>5</c:v>
                </c:pt>
              </c:numCache>
            </c:numRef>
          </c:cat>
          <c:val>
            <c:numRef>
              <c:f>Sheet2!$D$7:$H$7</c:f>
              <c:numCache>
                <c:formatCode>General</c:formatCode>
                <c:ptCount val="5"/>
                <c:pt idx="0">
                  <c:v>8</c:v>
                </c:pt>
                <c:pt idx="1">
                  <c:v>7</c:v>
                </c:pt>
                <c:pt idx="2">
                  <c:v>42</c:v>
                </c:pt>
                <c:pt idx="3">
                  <c:v>70</c:v>
                </c:pt>
                <c:pt idx="4">
                  <c:v>119</c:v>
                </c:pt>
              </c:numCache>
            </c:numRef>
          </c:val>
          <c:extLst>
            <c:ext xmlns:c16="http://schemas.microsoft.com/office/drawing/2014/chart" uri="{C3380CC4-5D6E-409C-BE32-E72D297353CC}">
              <c16:uniqueId val="{00000010-BCF5-4C2B-A1CB-DB5BC5DE542B}"/>
            </c:ext>
          </c:extLst>
        </c:ser>
        <c:ser>
          <c:idx val="3"/>
          <c:order val="3"/>
          <c:tx>
            <c:strRef>
              <c:f>Sheet2!$C$8</c:f>
              <c:strCache>
                <c:ptCount val="1"/>
                <c:pt idx="0">
                  <c:v>DC4</c:v>
                </c:pt>
              </c:strCache>
            </c:strRef>
          </c:tx>
          <c:spPr>
            <a:solidFill>
              <a:schemeClr val="accent4">
                <a:lumMod val="40000"/>
                <a:lumOff val="60000"/>
              </a:schemeClr>
            </a:solidFill>
            <a:ln>
              <a:noFill/>
            </a:ln>
            <a:effectLst/>
          </c:spPr>
          <c:invertIfNegative val="0"/>
          <c:dLbls>
            <c:dLbl>
              <c:idx val="0"/>
              <c:layout>
                <c:manualLayout>
                  <c:x val="2.8835885101031744E-3"/>
                  <c:y val="-5.1467413574865332E-2"/>
                </c:manualLayout>
              </c:layout>
              <c:tx>
                <c:rich>
                  <a:bodyPr/>
                  <a:lstStyle/>
                  <a:p>
                    <a:r>
                      <a:rPr lang="en-US"/>
                      <a:t>2,4%</a:t>
                    </a:r>
                  </a:p>
                </c:rich>
              </c:tx>
              <c:dLblPos val="outEnd"/>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BCF5-4C2B-A1CB-DB5BC5DE542B}"/>
                </c:ext>
              </c:extLst>
            </c:dLbl>
            <c:dLbl>
              <c:idx val="1"/>
              <c:layout>
                <c:manualLayout>
                  <c:x val="-5.2865178648836621E-17"/>
                  <c:y val="-3.4036458675317231E-2"/>
                </c:manualLayout>
              </c:layout>
              <c:tx>
                <c:rich>
                  <a:bodyPr/>
                  <a:lstStyle/>
                  <a:p>
                    <a:r>
                      <a:rPr lang="en-US" baseline="0"/>
                      <a:t>4,1%</a:t>
                    </a:r>
                    <a:endParaRPr lang="en-US"/>
                  </a:p>
                </c:rich>
              </c:tx>
              <c:dLblPos val="outEnd"/>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BCF5-4C2B-A1CB-DB5BC5DE542B}"/>
                </c:ext>
              </c:extLst>
            </c:dLbl>
            <c:dLbl>
              <c:idx val="2"/>
              <c:tx>
                <c:rich>
                  <a:bodyPr/>
                  <a:lstStyle/>
                  <a:p>
                    <a:r>
                      <a:rPr lang="en-US" baseline="0"/>
                      <a:t>22,4%</a:t>
                    </a:r>
                    <a:endParaRPr lang="en-US"/>
                  </a:p>
                </c:rich>
              </c:tx>
              <c:dLblPos val="outEnd"/>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BCF5-4C2B-A1CB-DB5BC5DE542B}"/>
                </c:ext>
              </c:extLst>
            </c:dLbl>
            <c:dLbl>
              <c:idx val="3"/>
              <c:tx>
                <c:rich>
                  <a:bodyPr/>
                  <a:lstStyle/>
                  <a:p>
                    <a:r>
                      <a:rPr lang="en-US" baseline="0"/>
                      <a:t>31,7%</a:t>
                    </a:r>
                    <a:endParaRPr lang="en-US"/>
                  </a:p>
                </c:rich>
              </c:tx>
              <c:dLblPos val="outEnd"/>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BCF5-4C2B-A1CB-DB5BC5DE542B}"/>
                </c:ext>
              </c:extLst>
            </c:dLbl>
            <c:dLbl>
              <c:idx val="4"/>
              <c:tx>
                <c:rich>
                  <a:bodyPr/>
                  <a:lstStyle/>
                  <a:p>
                    <a:r>
                      <a:rPr lang="en-US"/>
                      <a:t>39,4%</a:t>
                    </a:r>
                  </a:p>
                </c:rich>
              </c:tx>
              <c:dLblPos val="outEnd"/>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BCF5-4C2B-A1CB-DB5BC5DE542B}"/>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Sheet2!$D$4:$H$4</c:f>
              <c:numCache>
                <c:formatCode>General</c:formatCode>
                <c:ptCount val="5"/>
                <c:pt idx="0">
                  <c:v>1</c:v>
                </c:pt>
                <c:pt idx="1">
                  <c:v>2</c:v>
                </c:pt>
                <c:pt idx="2">
                  <c:v>3</c:v>
                </c:pt>
                <c:pt idx="3">
                  <c:v>4</c:v>
                </c:pt>
                <c:pt idx="4">
                  <c:v>5</c:v>
                </c:pt>
              </c:numCache>
            </c:numRef>
          </c:cat>
          <c:val>
            <c:numRef>
              <c:f>Sheet2!$D$8:$H$8</c:f>
              <c:numCache>
                <c:formatCode>General</c:formatCode>
                <c:ptCount val="5"/>
                <c:pt idx="0">
                  <c:v>6</c:v>
                </c:pt>
                <c:pt idx="1">
                  <c:v>10</c:v>
                </c:pt>
                <c:pt idx="2">
                  <c:v>55</c:v>
                </c:pt>
                <c:pt idx="3">
                  <c:v>78</c:v>
                </c:pt>
                <c:pt idx="4">
                  <c:v>97</c:v>
                </c:pt>
              </c:numCache>
            </c:numRef>
          </c:val>
          <c:extLst>
            <c:ext xmlns:c16="http://schemas.microsoft.com/office/drawing/2014/chart" uri="{C3380CC4-5D6E-409C-BE32-E72D297353CC}">
              <c16:uniqueId val="{00000016-BCF5-4C2B-A1CB-DB5BC5DE542B}"/>
            </c:ext>
          </c:extLst>
        </c:ser>
        <c:ser>
          <c:idx val="4"/>
          <c:order val="4"/>
          <c:tx>
            <c:strRef>
              <c:f>Sheet2!$C$9</c:f>
              <c:strCache>
                <c:ptCount val="1"/>
                <c:pt idx="0">
                  <c:v>DC5</c:v>
                </c:pt>
              </c:strCache>
            </c:strRef>
          </c:tx>
          <c:spPr>
            <a:solidFill>
              <a:srgbClr val="92D050"/>
            </a:solidFill>
            <a:ln>
              <a:noFill/>
            </a:ln>
            <a:effectLst/>
          </c:spPr>
          <c:invertIfNegative val="0"/>
          <c:dLbls>
            <c:dLbl>
              <c:idx val="0"/>
              <c:layout>
                <c:manualLayout>
                  <c:x val="1.2976148295464259E-2"/>
                  <c:y val="0"/>
                </c:manualLayout>
              </c:layout>
              <c:tx>
                <c:rich>
                  <a:bodyPr/>
                  <a:lstStyle/>
                  <a:p>
                    <a:r>
                      <a:rPr lang="en-US"/>
                      <a:t>2,8%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BCF5-4C2B-A1CB-DB5BC5DE542B}"/>
                </c:ext>
              </c:extLst>
            </c:dLbl>
            <c:dLbl>
              <c:idx val="1"/>
              <c:tx>
                <c:rich>
                  <a:bodyPr/>
                  <a:lstStyle/>
                  <a:p>
                    <a:r>
                      <a:rPr lang="en-US"/>
                      <a:t>2,4%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BCF5-4C2B-A1CB-DB5BC5DE542B}"/>
                </c:ext>
              </c:extLst>
            </c:dLbl>
            <c:dLbl>
              <c:idx val="2"/>
              <c:tx>
                <c:rich>
                  <a:bodyPr/>
                  <a:lstStyle/>
                  <a:p>
                    <a:r>
                      <a:rPr lang="en-US"/>
                      <a:t>11,4%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BCF5-4C2B-A1CB-DB5BC5DE542B}"/>
                </c:ext>
              </c:extLst>
            </c:dLbl>
            <c:dLbl>
              <c:idx val="3"/>
              <c:tx>
                <c:rich>
                  <a:bodyPr/>
                  <a:lstStyle/>
                  <a:p>
                    <a:r>
                      <a:rPr lang="en-US"/>
                      <a:t>27,2%</a:t>
                    </a:r>
                  </a:p>
                </c:rich>
              </c:tx>
              <c:dLblPos val="outEnd"/>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BCF5-4C2B-A1CB-DB5BC5DE542B}"/>
                </c:ext>
              </c:extLst>
            </c:dLbl>
            <c:dLbl>
              <c:idx val="4"/>
              <c:tx>
                <c:rich>
                  <a:bodyPr/>
                  <a:lstStyle/>
                  <a:p>
                    <a:r>
                      <a:rPr lang="en-US"/>
                      <a:t>56,1%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BCF5-4C2B-A1CB-DB5BC5DE542B}"/>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Sheet2!$D$4:$H$4</c:f>
              <c:numCache>
                <c:formatCode>General</c:formatCode>
                <c:ptCount val="5"/>
                <c:pt idx="0">
                  <c:v>1</c:v>
                </c:pt>
                <c:pt idx="1">
                  <c:v>2</c:v>
                </c:pt>
                <c:pt idx="2">
                  <c:v>3</c:v>
                </c:pt>
                <c:pt idx="3">
                  <c:v>4</c:v>
                </c:pt>
                <c:pt idx="4">
                  <c:v>5</c:v>
                </c:pt>
              </c:numCache>
            </c:numRef>
          </c:cat>
          <c:val>
            <c:numRef>
              <c:f>Sheet2!$D$9:$H$9</c:f>
              <c:numCache>
                <c:formatCode>General</c:formatCode>
                <c:ptCount val="5"/>
                <c:pt idx="0">
                  <c:v>7</c:v>
                </c:pt>
                <c:pt idx="1">
                  <c:v>6</c:v>
                </c:pt>
                <c:pt idx="2">
                  <c:v>28</c:v>
                </c:pt>
                <c:pt idx="3">
                  <c:v>67</c:v>
                </c:pt>
                <c:pt idx="4">
                  <c:v>138</c:v>
                </c:pt>
              </c:numCache>
            </c:numRef>
          </c:val>
          <c:extLst>
            <c:ext xmlns:c16="http://schemas.microsoft.com/office/drawing/2014/chart" uri="{C3380CC4-5D6E-409C-BE32-E72D297353CC}">
              <c16:uniqueId val="{0000001C-BCF5-4C2B-A1CB-DB5BC5DE542B}"/>
            </c:ext>
          </c:extLst>
        </c:ser>
        <c:dLbls>
          <c:dLblPos val="outEnd"/>
          <c:showLegendKey val="0"/>
          <c:showVal val="1"/>
          <c:showCatName val="0"/>
          <c:showSerName val="0"/>
          <c:showPercent val="0"/>
          <c:showBubbleSize val="0"/>
        </c:dLbls>
        <c:gapWidth val="219"/>
        <c:overlap val="-27"/>
        <c:axId val="1360074287"/>
        <c:axId val="1360074767"/>
      </c:barChart>
      <c:catAx>
        <c:axId val="1360074287"/>
        <c:scaling>
          <c:orientation val="minMax"/>
        </c:scaling>
        <c:delete val="0"/>
        <c:axPos val="b"/>
        <c:title>
          <c:tx>
            <c:rich>
              <a:bodyPr rot="0" spcFirstLastPara="1" vertOverflow="ellipsis" vert="horz" wrap="square" anchor="ctr" anchorCtr="1"/>
              <a:lstStyle/>
              <a:p>
                <a:pPr algn="l">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1. </a:t>
                </a:r>
                <a:r>
                  <a:rPr lang="en-US" sz="800" b="0" i="0" u="none" strike="noStrike" kern="120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Strongly disagree</a:t>
                </a:r>
                <a:endParaRPr lang="en-US" sz="8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a:p>
                <a:pPr algn="l">
                  <a:defRPr sz="800">
                    <a:latin typeface="Times New Roman" panose="02020603050405020304" pitchFamily="18" charset="0"/>
                    <a:cs typeface="Times New Roman" panose="02020603050405020304" pitchFamily="18" charset="0"/>
                  </a:defRPr>
                </a:pPr>
                <a:r>
                  <a:rPr lang="en-US" sz="8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2. </a:t>
                </a:r>
                <a:r>
                  <a:rPr lang="en-US" sz="800" b="0" i="0" u="none" strike="noStrike" kern="120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Disagree</a:t>
                </a:r>
                <a:endParaRPr lang="en-US" sz="8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a:p>
                <a:pPr algn="l">
                  <a:defRPr sz="800">
                    <a:latin typeface="Times New Roman" panose="02020603050405020304" pitchFamily="18" charset="0"/>
                    <a:cs typeface="Times New Roman" panose="02020603050405020304" pitchFamily="18" charset="0"/>
                  </a:defRPr>
                </a:pPr>
                <a:r>
                  <a:rPr lang="en-US" sz="8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3. </a:t>
                </a:r>
                <a:r>
                  <a:rPr lang="en-US" sz="800" b="0" i="0" u="none" strike="noStrike" kern="120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Neutral</a:t>
                </a:r>
                <a:endParaRPr lang="en-US" sz="8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a:p>
                <a:pPr algn="l">
                  <a:defRPr sz="800">
                    <a:latin typeface="Times New Roman" panose="02020603050405020304" pitchFamily="18" charset="0"/>
                    <a:cs typeface="Times New Roman" panose="02020603050405020304" pitchFamily="18" charset="0"/>
                  </a:defRPr>
                </a:pPr>
                <a:r>
                  <a:rPr lang="en-US" sz="8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4. </a:t>
                </a:r>
                <a:r>
                  <a:rPr lang="en-US" sz="800" b="0" i="0" u="none" strike="noStrike" kern="120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Agree</a:t>
                </a:r>
                <a:endParaRPr lang="en-US" sz="8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a:p>
                <a:pPr algn="l">
                  <a:defRPr sz="800">
                    <a:latin typeface="Times New Roman" panose="02020603050405020304" pitchFamily="18" charset="0"/>
                    <a:cs typeface="Times New Roman" panose="02020603050405020304" pitchFamily="18" charset="0"/>
                  </a:defRPr>
                </a:pPr>
                <a:r>
                  <a:rPr lang="en-US" sz="8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5. </a:t>
                </a:r>
                <a:r>
                  <a:rPr lang="en-US" sz="800" b="0" i="0" u="none" strike="noStrike" kern="120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Strongly agree</a:t>
                </a:r>
                <a:endParaRPr lang="en-US" sz="8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rich>
          </c:tx>
          <c:layout>
            <c:manualLayout>
              <c:xMode val="edge"/>
              <c:yMode val="edge"/>
              <c:x val="0.7992229763120613"/>
              <c:y val="0.68951235825251556"/>
            </c:manualLayout>
          </c:layout>
          <c:overlay val="0"/>
          <c:spPr>
            <a:noFill/>
            <a:ln>
              <a:noFill/>
            </a:ln>
            <a:effectLst/>
          </c:spPr>
          <c:txPr>
            <a:bodyPr rot="0" spcFirstLastPara="1" vertOverflow="ellipsis" vert="horz" wrap="square" anchor="ctr" anchorCtr="1"/>
            <a:lstStyle/>
            <a:p>
              <a:pPr algn="l">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0074767"/>
        <c:crosses val="autoZero"/>
        <c:auto val="1"/>
        <c:lblAlgn val="ctr"/>
        <c:lblOffset val="100"/>
        <c:noMultiLvlLbl val="0"/>
      </c:catAx>
      <c:valAx>
        <c:axId val="13600747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Participants</a:t>
                </a:r>
              </a:p>
            </c:rich>
          </c:tx>
          <c:layout>
            <c:manualLayout>
              <c:xMode val="edge"/>
              <c:yMode val="edge"/>
              <c:x val="1.1534279972325635E-2"/>
              <c:y val="0.2597824650868303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0074287"/>
        <c:crosses val="autoZero"/>
        <c:crossBetween val="between"/>
      </c:valAx>
      <c:spPr>
        <a:noFill/>
        <a:ln>
          <a:noFill/>
        </a:ln>
        <a:effectLst/>
      </c:spPr>
    </c:plotArea>
    <c:legend>
      <c:legendPos val="b"/>
      <c:layout>
        <c:manualLayout>
          <c:xMode val="edge"/>
          <c:yMode val="edge"/>
          <c:x val="0.24376733766019834"/>
          <c:y val="0.71266743684066514"/>
          <c:w val="0.51814713537376866"/>
          <c:h val="5.9177603775632401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Figure 2: Student Feedback</a:t>
            </a:r>
          </a:p>
        </c:rich>
      </c:tx>
      <c:layout>
        <c:manualLayout>
          <c:xMode val="edge"/>
          <c:yMode val="edge"/>
          <c:x val="0.3575659162936583"/>
          <c:y val="0.8114969188634029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Sheet2!$C$35</c:f>
              <c:strCache>
                <c:ptCount val="1"/>
                <c:pt idx="0">
                  <c:v>SF1</c:v>
                </c:pt>
              </c:strCache>
            </c:strRef>
          </c:tx>
          <c:spPr>
            <a:solidFill>
              <a:schemeClr val="accent1"/>
            </a:solidFill>
            <a:ln>
              <a:noFill/>
            </a:ln>
            <a:effectLst/>
          </c:spPr>
          <c:invertIfNegative val="0"/>
          <c:dLbls>
            <c:dLbl>
              <c:idx val="0"/>
              <c:tx>
                <c:rich>
                  <a:bodyPr/>
                  <a:lstStyle/>
                  <a:p>
                    <a:r>
                      <a:rPr lang="en-US"/>
                      <a:t>3,3%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A3E-4391-860E-06DBBE002F58}"/>
                </c:ext>
              </c:extLst>
            </c:dLbl>
            <c:dLbl>
              <c:idx val="1"/>
              <c:tx>
                <c:rich>
                  <a:bodyPr/>
                  <a:lstStyle/>
                  <a:p>
                    <a:r>
                      <a:rPr lang="en-US"/>
                      <a:t>1,2%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A3E-4391-860E-06DBBE002F58}"/>
                </c:ext>
              </c:extLst>
            </c:dLbl>
            <c:dLbl>
              <c:idx val="2"/>
              <c:layout>
                <c:manualLayout>
                  <c:x val="0"/>
                  <c:y val="-3.0592734225621414E-2"/>
                </c:manualLayout>
              </c:layout>
              <c:tx>
                <c:rich>
                  <a:bodyPr/>
                  <a:lstStyle/>
                  <a:p>
                    <a:r>
                      <a:rPr lang="en-US"/>
                      <a:t>9,3%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A3E-4391-860E-06DBBE002F58}"/>
                </c:ext>
              </c:extLst>
            </c:dLbl>
            <c:dLbl>
              <c:idx val="3"/>
              <c:layout>
                <c:manualLayout>
                  <c:x val="2.13675213675198E-3"/>
                  <c:y val="-3.0592734225621449E-2"/>
                </c:manualLayout>
              </c:layout>
              <c:tx>
                <c:rich>
                  <a:bodyPr/>
                  <a:lstStyle/>
                  <a:p>
                    <a:r>
                      <a:rPr lang="en-US"/>
                      <a:t>32,9%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A3E-4391-860E-06DBBE002F58}"/>
                </c:ext>
              </c:extLst>
            </c:dLbl>
            <c:dLbl>
              <c:idx val="4"/>
              <c:tx>
                <c:rich>
                  <a:bodyPr/>
                  <a:lstStyle/>
                  <a:p>
                    <a:r>
                      <a:rPr lang="en-US"/>
                      <a:t>53,3%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A3E-4391-860E-06DBBE002F5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Sheet2!$D$34:$H$34</c:f>
              <c:numCache>
                <c:formatCode>General</c:formatCode>
                <c:ptCount val="5"/>
                <c:pt idx="0">
                  <c:v>1</c:v>
                </c:pt>
                <c:pt idx="1">
                  <c:v>2</c:v>
                </c:pt>
                <c:pt idx="2">
                  <c:v>3</c:v>
                </c:pt>
                <c:pt idx="3">
                  <c:v>4</c:v>
                </c:pt>
                <c:pt idx="4">
                  <c:v>5</c:v>
                </c:pt>
              </c:numCache>
            </c:numRef>
          </c:cat>
          <c:val>
            <c:numRef>
              <c:f>Sheet2!$D$35:$H$35</c:f>
              <c:numCache>
                <c:formatCode>General</c:formatCode>
                <c:ptCount val="5"/>
                <c:pt idx="0">
                  <c:v>8</c:v>
                </c:pt>
                <c:pt idx="1">
                  <c:v>3</c:v>
                </c:pt>
                <c:pt idx="2">
                  <c:v>23</c:v>
                </c:pt>
                <c:pt idx="3">
                  <c:v>81</c:v>
                </c:pt>
                <c:pt idx="4">
                  <c:v>131</c:v>
                </c:pt>
              </c:numCache>
            </c:numRef>
          </c:val>
          <c:extLst>
            <c:ext xmlns:c16="http://schemas.microsoft.com/office/drawing/2014/chart" uri="{C3380CC4-5D6E-409C-BE32-E72D297353CC}">
              <c16:uniqueId val="{00000005-BA3E-4391-860E-06DBBE002F58}"/>
            </c:ext>
          </c:extLst>
        </c:ser>
        <c:ser>
          <c:idx val="1"/>
          <c:order val="1"/>
          <c:tx>
            <c:strRef>
              <c:f>Sheet2!$C$36</c:f>
              <c:strCache>
                <c:ptCount val="1"/>
                <c:pt idx="0">
                  <c:v>SF2</c:v>
                </c:pt>
              </c:strCache>
            </c:strRef>
          </c:tx>
          <c:spPr>
            <a:solidFill>
              <a:schemeClr val="accent2"/>
            </a:solidFill>
            <a:ln>
              <a:noFill/>
            </a:ln>
            <a:effectLst/>
          </c:spPr>
          <c:invertIfNegative val="0"/>
          <c:dLbls>
            <c:dLbl>
              <c:idx val="0"/>
              <c:layout>
                <c:manualLayout>
                  <c:x val="-2.136752136752137E-3"/>
                  <c:y val="-5.7182517577272246E-2"/>
                </c:manualLayout>
              </c:layout>
              <c:tx>
                <c:rich>
                  <a:bodyPr/>
                  <a:lstStyle/>
                  <a:p>
                    <a:r>
                      <a:rPr lang="en-US"/>
                      <a:t>3,3%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A3E-4391-860E-06DBBE002F58}"/>
                </c:ext>
              </c:extLst>
            </c:dLbl>
            <c:dLbl>
              <c:idx val="1"/>
              <c:layout>
                <c:manualLayout>
                  <c:x val="7.3462539230085815E-3"/>
                  <c:y val="-3.0353967579258904E-2"/>
                </c:manualLayout>
              </c:layout>
              <c:tx>
                <c:rich>
                  <a:bodyPr rot="0" spcFirstLastPara="1" vertOverflow="ellipsis" vert="horz" wrap="square" lIns="38100" tIns="19050" rIns="38100" bIns="19050" anchor="ctr" anchorCtr="1">
                    <a:no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sz="700">
                        <a:latin typeface="Times New Roman" panose="02020603050405020304" pitchFamily="18" charset="0"/>
                        <a:cs typeface="Times New Roman" panose="02020603050405020304" pitchFamily="18" charset="0"/>
                      </a:rPr>
                      <a:t>1,6%</a:t>
                    </a:r>
                  </a:p>
                </c:rich>
              </c:tx>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4.9597333391177341E-2"/>
                      <c:h val="6.8240043364144687E-2"/>
                    </c:manualLayout>
                  </c15:layout>
                  <c15:showDataLabelsRange val="0"/>
                </c:ext>
                <c:ext xmlns:c16="http://schemas.microsoft.com/office/drawing/2014/chart" uri="{C3380CC4-5D6E-409C-BE32-E72D297353CC}">
                  <c16:uniqueId val="{00000007-BA3E-4391-860E-06DBBE002F58}"/>
                </c:ext>
              </c:extLst>
            </c:dLbl>
            <c:dLbl>
              <c:idx val="2"/>
              <c:layout>
                <c:manualLayout>
                  <c:x val="1.4666195571707383E-3"/>
                  <c:y val="3.7644720796133754E-3"/>
                </c:manualLayout>
              </c:layout>
              <c:tx>
                <c:rich>
                  <a:bodyPr/>
                  <a:lstStyle/>
                  <a:p>
                    <a:r>
                      <a:rPr lang="en-US"/>
                      <a:t>8,9%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BA3E-4391-860E-06DBBE002F58}"/>
                </c:ext>
              </c:extLst>
            </c:dLbl>
            <c:dLbl>
              <c:idx val="3"/>
              <c:layout>
                <c:manualLayout>
                  <c:x val="4.3997824821447934E-3"/>
                  <c:y val="1.1382797814024733E-2"/>
                </c:manualLayout>
              </c:layout>
              <c:tx>
                <c:rich>
                  <a:bodyPr/>
                  <a:lstStyle/>
                  <a:p>
                    <a:r>
                      <a:rPr lang="en-US"/>
                      <a:t>31,7%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BA3E-4391-860E-06DBBE002F58}"/>
                </c:ext>
              </c:extLst>
            </c:dLbl>
            <c:dLbl>
              <c:idx val="4"/>
              <c:layout>
                <c:manualLayout>
                  <c:x val="1.4665941607149313E-3"/>
                  <c:y val="-1.897132969004137E-2"/>
                </c:manualLayout>
              </c:layout>
              <c:tx>
                <c:rich>
                  <a:bodyPr/>
                  <a:lstStyle/>
                  <a:p>
                    <a:r>
                      <a:rPr lang="en-US"/>
                      <a:t>54,5%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BA3E-4391-860E-06DBBE002F5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Sheet2!$D$34:$H$34</c:f>
              <c:numCache>
                <c:formatCode>General</c:formatCode>
                <c:ptCount val="5"/>
                <c:pt idx="0">
                  <c:v>1</c:v>
                </c:pt>
                <c:pt idx="1">
                  <c:v>2</c:v>
                </c:pt>
                <c:pt idx="2">
                  <c:v>3</c:v>
                </c:pt>
                <c:pt idx="3">
                  <c:v>4</c:v>
                </c:pt>
                <c:pt idx="4">
                  <c:v>5</c:v>
                </c:pt>
              </c:numCache>
            </c:numRef>
          </c:cat>
          <c:val>
            <c:numRef>
              <c:f>Sheet2!$D$36:$H$36</c:f>
              <c:numCache>
                <c:formatCode>General</c:formatCode>
                <c:ptCount val="5"/>
                <c:pt idx="0">
                  <c:v>8</c:v>
                </c:pt>
                <c:pt idx="1">
                  <c:v>4</c:v>
                </c:pt>
                <c:pt idx="2">
                  <c:v>22</c:v>
                </c:pt>
                <c:pt idx="3">
                  <c:v>78</c:v>
                </c:pt>
                <c:pt idx="4">
                  <c:v>134</c:v>
                </c:pt>
              </c:numCache>
            </c:numRef>
          </c:val>
          <c:extLst>
            <c:ext xmlns:c16="http://schemas.microsoft.com/office/drawing/2014/chart" uri="{C3380CC4-5D6E-409C-BE32-E72D297353CC}">
              <c16:uniqueId val="{0000000B-BA3E-4391-860E-06DBBE002F58}"/>
            </c:ext>
          </c:extLst>
        </c:ser>
        <c:ser>
          <c:idx val="2"/>
          <c:order val="2"/>
          <c:tx>
            <c:strRef>
              <c:f>Sheet2!$C$37</c:f>
              <c:strCache>
                <c:ptCount val="1"/>
                <c:pt idx="0">
                  <c:v>SF3</c:v>
                </c:pt>
              </c:strCache>
            </c:strRef>
          </c:tx>
          <c:spPr>
            <a:solidFill>
              <a:srgbClr val="FFC000"/>
            </a:solidFill>
            <a:ln>
              <a:noFill/>
            </a:ln>
            <a:effectLst/>
          </c:spPr>
          <c:invertIfNegative val="0"/>
          <c:dLbls>
            <c:dLbl>
              <c:idx val="0"/>
              <c:tx>
                <c:rich>
                  <a:bodyPr/>
                  <a:lstStyle/>
                  <a:p>
                    <a:r>
                      <a:rPr lang="en-US"/>
                      <a:t>3,3%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BA3E-4391-860E-06DBBE002F58}"/>
                </c:ext>
              </c:extLst>
            </c:dLbl>
            <c:dLbl>
              <c:idx val="1"/>
              <c:tx>
                <c:rich>
                  <a:bodyPr rot="0" spcFirstLastPara="1" vertOverflow="ellipsis" vert="horz" wrap="square" lIns="38100" tIns="19050" rIns="38100" bIns="19050" anchor="ctr" anchorCtr="1">
                    <a:no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sz="700">
                        <a:latin typeface="Times New Roman" panose="02020603050405020304" pitchFamily="18" charset="0"/>
                        <a:cs typeface="Times New Roman" panose="02020603050405020304" pitchFamily="18" charset="0"/>
                      </a:rPr>
                      <a:t>2,4%</a:t>
                    </a:r>
                  </a:p>
                </c:rich>
              </c:tx>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5.3314987875650491E-2"/>
                      <c:h val="3.7826289878201164E-2"/>
                    </c:manualLayout>
                  </c15:layout>
                  <c15:showDataLabelsRange val="0"/>
                </c:ext>
                <c:ext xmlns:c16="http://schemas.microsoft.com/office/drawing/2014/chart" uri="{C3380CC4-5D6E-409C-BE32-E72D297353CC}">
                  <c16:uniqueId val="{0000000D-BA3E-4391-860E-06DBBE002F58}"/>
                </c:ext>
              </c:extLst>
            </c:dLbl>
            <c:dLbl>
              <c:idx val="2"/>
              <c:tx>
                <c:rich>
                  <a:bodyPr/>
                  <a:lstStyle/>
                  <a:p>
                    <a:r>
                      <a:rPr lang="en-US"/>
                      <a:t>4,9%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BA3E-4391-860E-06DBBE002F58}"/>
                </c:ext>
              </c:extLst>
            </c:dLbl>
            <c:dLbl>
              <c:idx val="3"/>
              <c:layout>
                <c:manualLayout>
                  <c:x val="7.8346673280123027E-17"/>
                  <c:y val="7.6481835564052832E-3"/>
                </c:manualLayout>
              </c:layout>
              <c:tx>
                <c:rich>
                  <a:bodyPr/>
                  <a:lstStyle/>
                  <a:p>
                    <a:r>
                      <a:rPr lang="en-US"/>
                      <a:t>26%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BA3E-4391-860E-06DBBE002F58}"/>
                </c:ext>
              </c:extLst>
            </c:dLbl>
            <c:dLbl>
              <c:idx val="4"/>
              <c:tx>
                <c:rich>
                  <a:bodyPr/>
                  <a:lstStyle/>
                  <a:p>
                    <a:r>
                      <a:rPr lang="en-US"/>
                      <a:t>63,4%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BA3E-4391-860E-06DBBE002F5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Sheet2!$D$34:$H$34</c:f>
              <c:numCache>
                <c:formatCode>General</c:formatCode>
                <c:ptCount val="5"/>
                <c:pt idx="0">
                  <c:v>1</c:v>
                </c:pt>
                <c:pt idx="1">
                  <c:v>2</c:v>
                </c:pt>
                <c:pt idx="2">
                  <c:v>3</c:v>
                </c:pt>
                <c:pt idx="3">
                  <c:v>4</c:v>
                </c:pt>
                <c:pt idx="4">
                  <c:v>5</c:v>
                </c:pt>
              </c:numCache>
            </c:numRef>
          </c:cat>
          <c:val>
            <c:numRef>
              <c:f>Sheet2!$D$37:$H$37</c:f>
              <c:numCache>
                <c:formatCode>General</c:formatCode>
                <c:ptCount val="5"/>
                <c:pt idx="0">
                  <c:v>8</c:v>
                </c:pt>
                <c:pt idx="1">
                  <c:v>6</c:v>
                </c:pt>
                <c:pt idx="2">
                  <c:v>12</c:v>
                </c:pt>
                <c:pt idx="3">
                  <c:v>64</c:v>
                </c:pt>
                <c:pt idx="4">
                  <c:v>156</c:v>
                </c:pt>
              </c:numCache>
            </c:numRef>
          </c:val>
          <c:extLst>
            <c:ext xmlns:c16="http://schemas.microsoft.com/office/drawing/2014/chart" uri="{C3380CC4-5D6E-409C-BE32-E72D297353CC}">
              <c16:uniqueId val="{00000011-BA3E-4391-860E-06DBBE002F58}"/>
            </c:ext>
          </c:extLst>
        </c:ser>
        <c:ser>
          <c:idx val="3"/>
          <c:order val="3"/>
          <c:tx>
            <c:strRef>
              <c:f>Sheet2!$C$38</c:f>
              <c:strCache>
                <c:ptCount val="1"/>
                <c:pt idx="0">
                  <c:v>SF4</c:v>
                </c:pt>
              </c:strCache>
            </c:strRef>
          </c:tx>
          <c:spPr>
            <a:solidFill>
              <a:schemeClr val="accent4"/>
            </a:solidFill>
            <a:ln>
              <a:noFill/>
            </a:ln>
            <a:effectLst/>
          </c:spPr>
          <c:invertIfNegative val="0"/>
          <c:dLbls>
            <c:dLbl>
              <c:idx val="0"/>
              <c:layout>
                <c:manualLayout>
                  <c:x val="2.136752136752137E-3"/>
                  <c:y val="-6.1036419204769508E-2"/>
                </c:manualLayout>
              </c:layout>
              <c:tx>
                <c:rich>
                  <a:bodyPr/>
                  <a:lstStyle/>
                  <a:p>
                    <a:r>
                      <a:rPr lang="en-US"/>
                      <a:t>4,1%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BA3E-4391-860E-06DBBE002F58}"/>
                </c:ext>
              </c:extLst>
            </c:dLbl>
            <c:dLbl>
              <c:idx val="1"/>
              <c:layout>
                <c:manualLayout>
                  <c:x val="-5.3774498018624277E-17"/>
                  <c:y val="-3.0354127504066138E-2"/>
                </c:manualLayout>
              </c:layout>
              <c:tx>
                <c:rich>
                  <a:bodyPr/>
                  <a:lstStyle/>
                  <a:p>
                    <a:r>
                      <a:rPr lang="en-US"/>
                      <a:t>3,3%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BA3E-4391-860E-06DBBE002F58}"/>
                </c:ext>
              </c:extLst>
            </c:dLbl>
            <c:dLbl>
              <c:idx val="2"/>
              <c:tx>
                <c:rich>
                  <a:bodyPr/>
                  <a:lstStyle/>
                  <a:p>
                    <a:r>
                      <a:rPr lang="en-US"/>
                      <a:t>16,3%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BA3E-4391-860E-06DBBE002F58}"/>
                </c:ext>
              </c:extLst>
            </c:dLbl>
            <c:dLbl>
              <c:idx val="3"/>
              <c:tx>
                <c:rich>
                  <a:bodyPr/>
                  <a:lstStyle/>
                  <a:p>
                    <a:r>
                      <a:rPr lang="en-US"/>
                      <a:t>29,3%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BA3E-4391-860E-06DBBE002F58}"/>
                </c:ext>
              </c:extLst>
            </c:dLbl>
            <c:dLbl>
              <c:idx val="4"/>
              <c:tx>
                <c:rich>
                  <a:bodyPr/>
                  <a:lstStyle/>
                  <a:p>
                    <a:r>
                      <a:rPr lang="en-US"/>
                      <a:t>47.2%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BA3E-4391-860E-06DBBE002F5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Sheet2!$D$34:$H$34</c:f>
              <c:numCache>
                <c:formatCode>General</c:formatCode>
                <c:ptCount val="5"/>
                <c:pt idx="0">
                  <c:v>1</c:v>
                </c:pt>
                <c:pt idx="1">
                  <c:v>2</c:v>
                </c:pt>
                <c:pt idx="2">
                  <c:v>3</c:v>
                </c:pt>
                <c:pt idx="3">
                  <c:v>4</c:v>
                </c:pt>
                <c:pt idx="4">
                  <c:v>5</c:v>
                </c:pt>
              </c:numCache>
            </c:numRef>
          </c:cat>
          <c:val>
            <c:numRef>
              <c:f>Sheet2!$D$38:$H$38</c:f>
              <c:numCache>
                <c:formatCode>General</c:formatCode>
                <c:ptCount val="5"/>
                <c:pt idx="0">
                  <c:v>10</c:v>
                </c:pt>
                <c:pt idx="1">
                  <c:v>8</c:v>
                </c:pt>
                <c:pt idx="2">
                  <c:v>40</c:v>
                </c:pt>
                <c:pt idx="3">
                  <c:v>72</c:v>
                </c:pt>
                <c:pt idx="4">
                  <c:v>116</c:v>
                </c:pt>
              </c:numCache>
            </c:numRef>
          </c:val>
          <c:extLst>
            <c:ext xmlns:c16="http://schemas.microsoft.com/office/drawing/2014/chart" uri="{C3380CC4-5D6E-409C-BE32-E72D297353CC}">
              <c16:uniqueId val="{00000017-BA3E-4391-860E-06DBBE002F58}"/>
            </c:ext>
          </c:extLst>
        </c:ser>
        <c:ser>
          <c:idx val="4"/>
          <c:order val="4"/>
          <c:tx>
            <c:strRef>
              <c:f>Sheet2!$C$39</c:f>
              <c:strCache>
                <c:ptCount val="1"/>
                <c:pt idx="0">
                  <c:v>SF5</c:v>
                </c:pt>
              </c:strCache>
            </c:strRef>
          </c:tx>
          <c:spPr>
            <a:solidFill>
              <a:srgbClr val="00B050"/>
            </a:solidFill>
            <a:ln>
              <a:noFill/>
            </a:ln>
            <a:effectLst/>
          </c:spPr>
          <c:invertIfNegative val="0"/>
          <c:dLbls>
            <c:dLbl>
              <c:idx val="0"/>
              <c:tx>
                <c:rich>
                  <a:bodyPr/>
                  <a:lstStyle/>
                  <a:p>
                    <a:r>
                      <a:rPr lang="en-US"/>
                      <a:t>3,3%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BA3E-4391-860E-06DBBE002F58}"/>
                </c:ext>
              </c:extLst>
            </c:dLbl>
            <c:dLbl>
              <c:idx val="1"/>
              <c:tx>
                <c:rich>
                  <a:bodyPr/>
                  <a:lstStyle/>
                  <a:p>
                    <a:r>
                      <a:rPr lang="en-US"/>
                      <a:t>0,8%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BA3E-4391-860E-06DBBE002F58}"/>
                </c:ext>
              </c:extLst>
            </c:dLbl>
            <c:dLbl>
              <c:idx val="2"/>
              <c:tx>
                <c:rich>
                  <a:bodyPr/>
                  <a:lstStyle/>
                  <a:p>
                    <a:r>
                      <a:rPr lang="en-US"/>
                      <a:t>8,5%</a:t>
                    </a:r>
                  </a:p>
                </c:rich>
              </c:tx>
              <c:dLblPos val="outEnd"/>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BA3E-4391-860E-06DBBE002F58}"/>
                </c:ext>
              </c:extLst>
            </c:dLbl>
            <c:dLbl>
              <c:idx val="3"/>
              <c:tx>
                <c:rich>
                  <a:bodyPr/>
                  <a:lstStyle/>
                  <a:p>
                    <a:r>
                      <a:rPr lang="en-US"/>
                      <a:t>35%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BA3E-4391-860E-06DBBE002F58}"/>
                </c:ext>
              </c:extLst>
            </c:dLbl>
            <c:dLbl>
              <c:idx val="4"/>
              <c:tx>
                <c:rich>
                  <a:bodyPr/>
                  <a:lstStyle/>
                  <a:p>
                    <a:r>
                      <a:rPr lang="en-US"/>
                      <a:t>52,4%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BA3E-4391-860E-06DBBE002F5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Sheet2!$D$34:$H$34</c:f>
              <c:numCache>
                <c:formatCode>General</c:formatCode>
                <c:ptCount val="5"/>
                <c:pt idx="0">
                  <c:v>1</c:v>
                </c:pt>
                <c:pt idx="1">
                  <c:v>2</c:v>
                </c:pt>
                <c:pt idx="2">
                  <c:v>3</c:v>
                </c:pt>
                <c:pt idx="3">
                  <c:v>4</c:v>
                </c:pt>
                <c:pt idx="4">
                  <c:v>5</c:v>
                </c:pt>
              </c:numCache>
            </c:numRef>
          </c:cat>
          <c:val>
            <c:numRef>
              <c:f>Sheet2!$D$39:$H$39</c:f>
              <c:numCache>
                <c:formatCode>General</c:formatCode>
                <c:ptCount val="5"/>
                <c:pt idx="0">
                  <c:v>8</c:v>
                </c:pt>
                <c:pt idx="1">
                  <c:v>2</c:v>
                </c:pt>
                <c:pt idx="2">
                  <c:v>21</c:v>
                </c:pt>
                <c:pt idx="3">
                  <c:v>86</c:v>
                </c:pt>
                <c:pt idx="4">
                  <c:v>129</c:v>
                </c:pt>
              </c:numCache>
            </c:numRef>
          </c:val>
          <c:extLst>
            <c:ext xmlns:c16="http://schemas.microsoft.com/office/drawing/2014/chart" uri="{C3380CC4-5D6E-409C-BE32-E72D297353CC}">
              <c16:uniqueId val="{0000001D-BA3E-4391-860E-06DBBE002F58}"/>
            </c:ext>
          </c:extLst>
        </c:ser>
        <c:dLbls>
          <c:dLblPos val="outEnd"/>
          <c:showLegendKey val="0"/>
          <c:showVal val="1"/>
          <c:showCatName val="0"/>
          <c:showSerName val="0"/>
          <c:showPercent val="0"/>
          <c:showBubbleSize val="0"/>
        </c:dLbls>
        <c:gapWidth val="219"/>
        <c:overlap val="-27"/>
        <c:axId val="1491478127"/>
        <c:axId val="1491478607"/>
      </c:barChart>
      <c:catAx>
        <c:axId val="1491478127"/>
        <c:scaling>
          <c:orientation val="minMax"/>
        </c:scaling>
        <c:delete val="0"/>
        <c:axPos val="b"/>
        <c:title>
          <c:tx>
            <c:rich>
              <a:bodyPr rot="0" spcFirstLastPara="1" vertOverflow="ellipsis" vert="horz" wrap="square" anchor="ctr" anchorCtr="1"/>
              <a:lstStyle/>
              <a:p>
                <a:pPr algn="l">
                  <a:defRPr sz="800" b="0" i="0" u="none" strike="noStrike" kern="1200" baseline="0">
                    <a:solidFill>
                      <a:schemeClr val="tx1">
                        <a:lumMod val="65000"/>
                        <a:lumOff val="35000"/>
                      </a:schemeClr>
                    </a:solidFill>
                    <a:latin typeface="+mn-lt"/>
                    <a:ea typeface="+mn-ea"/>
                    <a:cs typeface="+mn-cs"/>
                  </a:defRPr>
                </a:pPr>
                <a:r>
                  <a:rPr lang="en-US" sz="800" b="0" i="0" u="none" strike="noStrike" kern="1200" baseline="0">
                    <a:solidFill>
                      <a:sysClr val="windowText" lastClr="000000">
                        <a:lumMod val="65000"/>
                        <a:lumOff val="35000"/>
                      </a:sysClr>
                    </a:solidFill>
                  </a:rPr>
                  <a:t>1. </a:t>
                </a:r>
                <a:r>
                  <a:rPr lang="en-US" sz="800" b="0" i="0" u="none" strike="noStrike" kern="1200" baseline="0">
                    <a:solidFill>
                      <a:sysClr val="windowText" lastClr="000000">
                        <a:lumMod val="65000"/>
                        <a:lumOff val="35000"/>
                      </a:sysClr>
                    </a:solidFill>
                    <a:effectLst/>
                  </a:rPr>
                  <a:t>Strongly disagree</a:t>
                </a:r>
                <a:endParaRPr lang="en-US" sz="800" b="0" i="0" u="none" strike="noStrike" kern="1200" baseline="0">
                  <a:solidFill>
                    <a:sysClr val="windowText" lastClr="000000">
                      <a:lumMod val="65000"/>
                      <a:lumOff val="35000"/>
                    </a:sysClr>
                  </a:solidFill>
                </a:endParaRPr>
              </a:p>
              <a:p>
                <a:pPr algn="l">
                  <a:defRPr sz="800"/>
                </a:pPr>
                <a:r>
                  <a:rPr lang="en-US" sz="800" b="0" i="0" u="none" strike="noStrike" kern="1200" baseline="0">
                    <a:solidFill>
                      <a:sysClr val="windowText" lastClr="000000">
                        <a:lumMod val="65000"/>
                        <a:lumOff val="35000"/>
                      </a:sysClr>
                    </a:solidFill>
                  </a:rPr>
                  <a:t>2. </a:t>
                </a:r>
                <a:r>
                  <a:rPr lang="en-US" sz="800" b="0" i="0" u="none" strike="noStrike" kern="1200" baseline="0">
                    <a:solidFill>
                      <a:sysClr val="windowText" lastClr="000000">
                        <a:lumMod val="65000"/>
                        <a:lumOff val="35000"/>
                      </a:sysClr>
                    </a:solidFill>
                    <a:effectLst/>
                  </a:rPr>
                  <a:t>Disagree</a:t>
                </a:r>
                <a:endParaRPr lang="en-US" sz="800" b="0" i="0" u="none" strike="noStrike" kern="1200" baseline="0">
                  <a:solidFill>
                    <a:sysClr val="windowText" lastClr="000000">
                      <a:lumMod val="65000"/>
                      <a:lumOff val="35000"/>
                    </a:sysClr>
                  </a:solidFill>
                </a:endParaRPr>
              </a:p>
              <a:p>
                <a:pPr algn="l">
                  <a:defRPr sz="800"/>
                </a:pPr>
                <a:r>
                  <a:rPr lang="en-US" sz="800" b="0" i="0" u="none" strike="noStrike" kern="1200" baseline="0">
                    <a:solidFill>
                      <a:sysClr val="windowText" lastClr="000000">
                        <a:lumMod val="65000"/>
                        <a:lumOff val="35000"/>
                      </a:sysClr>
                    </a:solidFill>
                  </a:rPr>
                  <a:t>3. </a:t>
                </a:r>
                <a:r>
                  <a:rPr lang="en-US" sz="800" b="0" i="0" u="none" strike="noStrike" kern="1200" baseline="0">
                    <a:solidFill>
                      <a:sysClr val="windowText" lastClr="000000">
                        <a:lumMod val="65000"/>
                        <a:lumOff val="35000"/>
                      </a:sysClr>
                    </a:solidFill>
                    <a:effectLst/>
                  </a:rPr>
                  <a:t>Neutral</a:t>
                </a:r>
                <a:endParaRPr lang="en-US" sz="800" b="0" i="0" u="none" strike="noStrike" kern="1200" baseline="0">
                  <a:solidFill>
                    <a:sysClr val="windowText" lastClr="000000">
                      <a:lumMod val="65000"/>
                      <a:lumOff val="35000"/>
                    </a:sysClr>
                  </a:solidFill>
                </a:endParaRPr>
              </a:p>
              <a:p>
                <a:pPr algn="l">
                  <a:defRPr sz="800"/>
                </a:pPr>
                <a:r>
                  <a:rPr lang="en-US" sz="800" b="0" i="0" u="none" strike="noStrike" kern="1200" baseline="0">
                    <a:solidFill>
                      <a:sysClr val="windowText" lastClr="000000">
                        <a:lumMod val="65000"/>
                        <a:lumOff val="35000"/>
                      </a:sysClr>
                    </a:solidFill>
                  </a:rPr>
                  <a:t>4. </a:t>
                </a:r>
                <a:r>
                  <a:rPr lang="en-US" sz="800" b="0" i="0" u="none" strike="noStrike" kern="1200" baseline="0">
                    <a:solidFill>
                      <a:sysClr val="windowText" lastClr="000000">
                        <a:lumMod val="65000"/>
                        <a:lumOff val="35000"/>
                      </a:sysClr>
                    </a:solidFill>
                    <a:effectLst/>
                  </a:rPr>
                  <a:t>Agree</a:t>
                </a:r>
                <a:endParaRPr lang="en-US" sz="800" b="0" i="0" u="none" strike="noStrike" kern="1200" baseline="0">
                  <a:solidFill>
                    <a:sysClr val="windowText" lastClr="000000">
                      <a:lumMod val="65000"/>
                      <a:lumOff val="35000"/>
                    </a:sysClr>
                  </a:solidFill>
                </a:endParaRPr>
              </a:p>
              <a:p>
                <a:pPr algn="l">
                  <a:defRPr sz="800"/>
                </a:pPr>
                <a:r>
                  <a:rPr lang="en-US" sz="800" b="0" i="0" u="none" strike="noStrike" kern="1200" baseline="0">
                    <a:solidFill>
                      <a:sysClr val="windowText" lastClr="000000">
                        <a:lumMod val="65000"/>
                        <a:lumOff val="35000"/>
                      </a:sysClr>
                    </a:solidFill>
                  </a:rPr>
                  <a:t>5. </a:t>
                </a:r>
                <a:r>
                  <a:rPr lang="en-US" sz="800" b="0" i="0" u="none" strike="noStrike" kern="1200" baseline="0">
                    <a:solidFill>
                      <a:sysClr val="windowText" lastClr="000000">
                        <a:lumMod val="65000"/>
                        <a:lumOff val="35000"/>
                      </a:sysClr>
                    </a:solidFill>
                    <a:effectLst/>
                  </a:rPr>
                  <a:t>Strongly agree</a:t>
                </a:r>
                <a:endParaRPr lang="en-US" sz="800" b="0" i="0" u="none" strike="noStrike" kern="1200" baseline="0">
                  <a:solidFill>
                    <a:sysClr val="windowText" lastClr="000000">
                      <a:lumMod val="65000"/>
                      <a:lumOff val="35000"/>
                    </a:sysClr>
                  </a:solidFill>
                </a:endParaRPr>
              </a:p>
            </c:rich>
          </c:tx>
          <c:layout>
            <c:manualLayout>
              <c:xMode val="edge"/>
              <c:yMode val="edge"/>
              <c:x val="0.79156975570361399"/>
              <c:y val="0.7073209219292933"/>
            </c:manualLayout>
          </c:layout>
          <c:overlay val="0"/>
          <c:spPr>
            <a:noFill/>
            <a:ln>
              <a:noFill/>
            </a:ln>
            <a:effectLst/>
          </c:spPr>
          <c:txPr>
            <a:bodyPr rot="0" spcFirstLastPara="1" vertOverflow="ellipsis" vert="horz" wrap="square" anchor="ctr" anchorCtr="1"/>
            <a:lstStyle/>
            <a:p>
              <a:pPr algn="l">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1478607"/>
        <c:crosses val="autoZero"/>
        <c:auto val="1"/>
        <c:lblAlgn val="ctr"/>
        <c:lblOffset val="100"/>
        <c:noMultiLvlLbl val="0"/>
      </c:catAx>
      <c:valAx>
        <c:axId val="14914786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Participants </a:t>
                </a:r>
              </a:p>
            </c:rich>
          </c:tx>
          <c:layout>
            <c:manualLayout>
              <c:xMode val="edge"/>
              <c:yMode val="edge"/>
              <c:x val="1.6676425062251834E-2"/>
              <c:y val="0.24409872817950706"/>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1478127"/>
        <c:crosses val="autoZero"/>
        <c:crossBetween val="between"/>
      </c:valAx>
      <c:spPr>
        <a:noFill/>
        <a:ln>
          <a:noFill/>
        </a:ln>
        <a:effectLst/>
      </c:spPr>
    </c:plotArea>
    <c:legend>
      <c:legendPos val="b"/>
      <c:layout>
        <c:manualLayout>
          <c:xMode val="edge"/>
          <c:yMode val="edge"/>
          <c:x val="0.21650684483941582"/>
          <c:y val="0.69473439461371678"/>
          <c:w val="0.55928284379390336"/>
          <c:h val="6.4028685845535727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Figure 3: Personalized</a:t>
            </a:r>
            <a:r>
              <a:rPr lang="en-US" sz="1200" b="0" baseline="0">
                <a:latin typeface="Times New Roman" panose="02020603050405020304" pitchFamily="18" charset="0"/>
                <a:cs typeface="Times New Roman" panose="02020603050405020304" pitchFamily="18" charset="0"/>
              </a:rPr>
              <a:t> Learning</a:t>
            </a:r>
            <a:endParaRPr lang="en-US" sz="1200" b="0">
              <a:latin typeface="Times New Roman" panose="02020603050405020304" pitchFamily="18" charset="0"/>
              <a:cs typeface="Times New Roman" panose="02020603050405020304" pitchFamily="18" charset="0"/>
            </a:endParaRPr>
          </a:p>
        </c:rich>
      </c:tx>
      <c:layout>
        <c:manualLayout>
          <c:xMode val="edge"/>
          <c:yMode val="edge"/>
          <c:x val="0.30269903762029748"/>
          <c:y val="0.85061507233741096"/>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Sheet2!$C$63</c:f>
              <c:strCache>
                <c:ptCount val="1"/>
                <c:pt idx="0">
                  <c:v>PL1</c:v>
                </c:pt>
              </c:strCache>
            </c:strRef>
          </c:tx>
          <c:spPr>
            <a:solidFill>
              <a:srgbClr val="92D050"/>
            </a:solidFill>
            <a:ln>
              <a:noFill/>
            </a:ln>
            <a:effectLst/>
          </c:spPr>
          <c:invertIfNegative val="0"/>
          <c:dLbls>
            <c:dLbl>
              <c:idx val="0"/>
              <c:tx>
                <c:rich>
                  <a:bodyPr/>
                  <a:lstStyle/>
                  <a:p>
                    <a:r>
                      <a:rPr lang="en-US"/>
                      <a:t>3,3%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A5E-4D81-ADE6-270F571F210F}"/>
                </c:ext>
              </c:extLst>
            </c:dLbl>
            <c:dLbl>
              <c:idx val="1"/>
              <c:tx>
                <c:rich>
                  <a:bodyPr/>
                  <a:lstStyle/>
                  <a:p>
                    <a:r>
                      <a:rPr lang="en-US"/>
                      <a:t>2,4%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A5E-4D81-ADE6-270F571F210F}"/>
                </c:ext>
              </c:extLst>
            </c:dLbl>
            <c:dLbl>
              <c:idx val="2"/>
              <c:tx>
                <c:rich>
                  <a:bodyPr/>
                  <a:lstStyle/>
                  <a:p>
                    <a:r>
                      <a:rPr lang="en-US"/>
                      <a:t>12,2%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A5E-4D81-ADE6-270F571F210F}"/>
                </c:ext>
              </c:extLst>
            </c:dLbl>
            <c:dLbl>
              <c:idx val="3"/>
              <c:tx>
                <c:rich>
                  <a:bodyPr/>
                  <a:lstStyle/>
                  <a:p>
                    <a:r>
                      <a:rPr lang="en-US"/>
                      <a:t>35,4%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A5E-4D81-ADE6-270F571F210F}"/>
                </c:ext>
              </c:extLst>
            </c:dLbl>
            <c:dLbl>
              <c:idx val="4"/>
              <c:tx>
                <c:rich>
                  <a:bodyPr/>
                  <a:lstStyle/>
                  <a:p>
                    <a:r>
                      <a:rPr lang="en-US"/>
                      <a:t>46,7%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A5E-4D81-ADE6-270F571F210F}"/>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Sheet2!$D$62:$H$62</c:f>
              <c:numCache>
                <c:formatCode>General</c:formatCode>
                <c:ptCount val="5"/>
                <c:pt idx="0">
                  <c:v>1</c:v>
                </c:pt>
                <c:pt idx="1">
                  <c:v>2</c:v>
                </c:pt>
                <c:pt idx="2">
                  <c:v>3</c:v>
                </c:pt>
                <c:pt idx="3">
                  <c:v>4</c:v>
                </c:pt>
                <c:pt idx="4">
                  <c:v>5</c:v>
                </c:pt>
              </c:numCache>
            </c:numRef>
          </c:cat>
          <c:val>
            <c:numRef>
              <c:f>Sheet2!$D$63:$H$63</c:f>
              <c:numCache>
                <c:formatCode>General</c:formatCode>
                <c:ptCount val="5"/>
                <c:pt idx="0">
                  <c:v>8</c:v>
                </c:pt>
                <c:pt idx="1">
                  <c:v>6</c:v>
                </c:pt>
                <c:pt idx="2">
                  <c:v>30</c:v>
                </c:pt>
                <c:pt idx="3">
                  <c:v>87</c:v>
                </c:pt>
                <c:pt idx="4">
                  <c:v>115</c:v>
                </c:pt>
              </c:numCache>
            </c:numRef>
          </c:val>
          <c:extLst>
            <c:ext xmlns:c16="http://schemas.microsoft.com/office/drawing/2014/chart" uri="{C3380CC4-5D6E-409C-BE32-E72D297353CC}">
              <c16:uniqueId val="{00000005-3A5E-4D81-ADE6-270F571F210F}"/>
            </c:ext>
          </c:extLst>
        </c:ser>
        <c:ser>
          <c:idx val="1"/>
          <c:order val="1"/>
          <c:tx>
            <c:strRef>
              <c:f>Sheet2!$C$64</c:f>
              <c:strCache>
                <c:ptCount val="1"/>
                <c:pt idx="0">
                  <c:v>PL2</c:v>
                </c:pt>
              </c:strCache>
            </c:strRef>
          </c:tx>
          <c:spPr>
            <a:solidFill>
              <a:schemeClr val="accent2"/>
            </a:solidFill>
            <a:ln>
              <a:noFill/>
            </a:ln>
            <a:effectLst/>
          </c:spPr>
          <c:invertIfNegative val="0"/>
          <c:dLbls>
            <c:dLbl>
              <c:idx val="0"/>
              <c:layout>
                <c:manualLayout>
                  <c:x val="0"/>
                  <c:y val="-3.9921153103123219E-2"/>
                </c:manualLayout>
              </c:layout>
              <c:tx>
                <c:rich>
                  <a:bodyPr/>
                  <a:lstStyle/>
                  <a:p>
                    <a:r>
                      <a:rPr lang="en-US"/>
                      <a:t>4,1%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3A5E-4D81-ADE6-270F571F210F}"/>
                </c:ext>
              </c:extLst>
            </c:dLbl>
            <c:dLbl>
              <c:idx val="2"/>
              <c:tx>
                <c:rich>
                  <a:bodyPr/>
                  <a:lstStyle/>
                  <a:p>
                    <a:r>
                      <a:rPr lang="en-US"/>
                      <a:t>14,2%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3A5E-4D81-ADE6-270F571F210F}"/>
                </c:ext>
              </c:extLst>
            </c:dLbl>
            <c:dLbl>
              <c:idx val="3"/>
              <c:tx>
                <c:rich>
                  <a:bodyPr/>
                  <a:lstStyle/>
                  <a:p>
                    <a:r>
                      <a:rPr lang="en-US"/>
                      <a:t>30,5%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3A5E-4D81-ADE6-270F571F210F}"/>
                </c:ext>
              </c:extLst>
            </c:dLbl>
            <c:dLbl>
              <c:idx val="4"/>
              <c:tx>
                <c:rich>
                  <a:bodyPr/>
                  <a:lstStyle/>
                  <a:p>
                    <a:r>
                      <a:rPr lang="en-US"/>
                      <a:t>51,2%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3A5E-4D81-ADE6-270F571F210F}"/>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Sheet2!$D$62:$H$62</c:f>
              <c:numCache>
                <c:formatCode>General</c:formatCode>
                <c:ptCount val="5"/>
                <c:pt idx="0">
                  <c:v>1</c:v>
                </c:pt>
                <c:pt idx="1">
                  <c:v>2</c:v>
                </c:pt>
                <c:pt idx="2">
                  <c:v>3</c:v>
                </c:pt>
                <c:pt idx="3">
                  <c:v>4</c:v>
                </c:pt>
                <c:pt idx="4">
                  <c:v>5</c:v>
                </c:pt>
              </c:numCache>
            </c:numRef>
          </c:cat>
          <c:val>
            <c:numRef>
              <c:f>Sheet2!$D$64:$H$64</c:f>
              <c:numCache>
                <c:formatCode>General</c:formatCode>
                <c:ptCount val="5"/>
                <c:pt idx="0">
                  <c:v>10</c:v>
                </c:pt>
                <c:pt idx="1">
                  <c:v>0</c:v>
                </c:pt>
                <c:pt idx="2">
                  <c:v>35</c:v>
                </c:pt>
                <c:pt idx="3">
                  <c:v>75</c:v>
                </c:pt>
                <c:pt idx="4">
                  <c:v>126</c:v>
                </c:pt>
              </c:numCache>
            </c:numRef>
          </c:val>
          <c:extLst>
            <c:ext xmlns:c16="http://schemas.microsoft.com/office/drawing/2014/chart" uri="{C3380CC4-5D6E-409C-BE32-E72D297353CC}">
              <c16:uniqueId val="{0000000A-3A5E-4D81-ADE6-270F571F210F}"/>
            </c:ext>
          </c:extLst>
        </c:ser>
        <c:ser>
          <c:idx val="2"/>
          <c:order val="2"/>
          <c:tx>
            <c:strRef>
              <c:f>Sheet2!$C$65</c:f>
              <c:strCache>
                <c:ptCount val="1"/>
                <c:pt idx="0">
                  <c:v>PL3</c:v>
                </c:pt>
              </c:strCache>
            </c:strRef>
          </c:tx>
          <c:spPr>
            <a:solidFill>
              <a:schemeClr val="accent3"/>
            </a:solidFill>
            <a:ln>
              <a:noFill/>
            </a:ln>
            <a:effectLst/>
          </c:spPr>
          <c:invertIfNegative val="0"/>
          <c:dLbls>
            <c:dLbl>
              <c:idx val="0"/>
              <c:tx>
                <c:rich>
                  <a:bodyPr/>
                  <a:lstStyle/>
                  <a:p>
                    <a:r>
                      <a:rPr lang="en-US"/>
                      <a:t>3,3%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3A5E-4D81-ADE6-270F571F210F}"/>
                </c:ext>
              </c:extLst>
            </c:dLbl>
            <c:dLbl>
              <c:idx val="1"/>
              <c:tx>
                <c:rich>
                  <a:bodyPr/>
                  <a:lstStyle/>
                  <a:p>
                    <a:r>
                      <a:rPr lang="en-US"/>
                      <a:t>1,2%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3A5E-4D81-ADE6-270F571F210F}"/>
                </c:ext>
              </c:extLst>
            </c:dLbl>
            <c:dLbl>
              <c:idx val="2"/>
              <c:tx>
                <c:rich>
                  <a:bodyPr/>
                  <a:lstStyle/>
                  <a:p>
                    <a:r>
                      <a:rPr lang="en-US"/>
                      <a:t>10,2%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3A5E-4D81-ADE6-270F571F210F}"/>
                </c:ext>
              </c:extLst>
            </c:dLbl>
            <c:dLbl>
              <c:idx val="3"/>
              <c:tx>
                <c:rich>
                  <a:bodyPr/>
                  <a:lstStyle/>
                  <a:p>
                    <a:r>
                      <a:rPr lang="en-US"/>
                      <a:t>37,4%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3A5E-4D81-ADE6-270F571F210F}"/>
                </c:ext>
              </c:extLst>
            </c:dLbl>
            <c:dLbl>
              <c:idx val="4"/>
              <c:tx>
                <c:rich>
                  <a:bodyPr/>
                  <a:lstStyle/>
                  <a:p>
                    <a:r>
                      <a:rPr lang="en-US"/>
                      <a:t>48%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3A5E-4D81-ADE6-270F571F210F}"/>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Sheet2!$D$62:$H$62</c:f>
              <c:numCache>
                <c:formatCode>General</c:formatCode>
                <c:ptCount val="5"/>
                <c:pt idx="0">
                  <c:v>1</c:v>
                </c:pt>
                <c:pt idx="1">
                  <c:v>2</c:v>
                </c:pt>
                <c:pt idx="2">
                  <c:v>3</c:v>
                </c:pt>
                <c:pt idx="3">
                  <c:v>4</c:v>
                </c:pt>
                <c:pt idx="4">
                  <c:v>5</c:v>
                </c:pt>
              </c:numCache>
            </c:numRef>
          </c:cat>
          <c:val>
            <c:numRef>
              <c:f>Sheet2!$D$65:$H$65</c:f>
              <c:numCache>
                <c:formatCode>General</c:formatCode>
                <c:ptCount val="5"/>
                <c:pt idx="0">
                  <c:v>8</c:v>
                </c:pt>
                <c:pt idx="1">
                  <c:v>3</c:v>
                </c:pt>
                <c:pt idx="2">
                  <c:v>25</c:v>
                </c:pt>
                <c:pt idx="3">
                  <c:v>92</c:v>
                </c:pt>
                <c:pt idx="4">
                  <c:v>118</c:v>
                </c:pt>
              </c:numCache>
            </c:numRef>
          </c:val>
          <c:extLst>
            <c:ext xmlns:c16="http://schemas.microsoft.com/office/drawing/2014/chart" uri="{C3380CC4-5D6E-409C-BE32-E72D297353CC}">
              <c16:uniqueId val="{00000010-3A5E-4D81-ADE6-270F571F210F}"/>
            </c:ext>
          </c:extLst>
        </c:ser>
        <c:ser>
          <c:idx val="3"/>
          <c:order val="3"/>
          <c:tx>
            <c:strRef>
              <c:f>Sheet2!$C$66</c:f>
              <c:strCache>
                <c:ptCount val="1"/>
                <c:pt idx="0">
                  <c:v>PL4</c:v>
                </c:pt>
              </c:strCache>
            </c:strRef>
          </c:tx>
          <c:spPr>
            <a:solidFill>
              <a:schemeClr val="accent4"/>
            </a:solidFill>
            <a:ln>
              <a:noFill/>
            </a:ln>
            <a:effectLst/>
          </c:spPr>
          <c:invertIfNegative val="0"/>
          <c:dLbls>
            <c:dLbl>
              <c:idx val="0"/>
              <c:layout>
                <c:manualLayout>
                  <c:x val="1.5361274806795682E-3"/>
                  <c:y val="-4.3247915861716689E-2"/>
                </c:manualLayout>
              </c:layout>
              <c:tx>
                <c:rich>
                  <a:bodyPr/>
                  <a:lstStyle/>
                  <a:p>
                    <a:r>
                      <a:rPr lang="en-US"/>
                      <a:t>3,3%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3A5E-4D81-ADE6-270F571F210F}"/>
                </c:ext>
              </c:extLst>
            </c:dLbl>
            <c:dLbl>
              <c:idx val="1"/>
              <c:layout>
                <c:manualLayout>
                  <c:x val="1.5361274806795682E-3"/>
                  <c:y val="-3.9921153103123094E-2"/>
                </c:manualLayout>
              </c:layout>
              <c:tx>
                <c:rich>
                  <a:bodyPr/>
                  <a:lstStyle/>
                  <a:p>
                    <a:r>
                      <a:rPr lang="en-US"/>
                      <a:t>2,8%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3A5E-4D81-ADE6-270F571F210F}"/>
                </c:ext>
              </c:extLst>
            </c:dLbl>
            <c:dLbl>
              <c:idx val="2"/>
              <c:tx>
                <c:rich>
                  <a:bodyPr/>
                  <a:lstStyle/>
                  <a:p>
                    <a:r>
                      <a:rPr lang="en-US"/>
                      <a:t>15,4%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3A5E-4D81-ADE6-270F571F210F}"/>
                </c:ext>
              </c:extLst>
            </c:dLbl>
            <c:dLbl>
              <c:idx val="3"/>
              <c:tx>
                <c:rich>
                  <a:bodyPr/>
                  <a:lstStyle/>
                  <a:p>
                    <a:r>
                      <a:rPr lang="en-US"/>
                      <a:t>31,7%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3A5E-4D81-ADE6-270F571F210F}"/>
                </c:ext>
              </c:extLst>
            </c:dLbl>
            <c:dLbl>
              <c:idx val="4"/>
              <c:tx>
                <c:rich>
                  <a:bodyPr/>
                  <a:lstStyle/>
                  <a:p>
                    <a:r>
                      <a:rPr lang="en-US"/>
                      <a:t>46,7%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3A5E-4D81-ADE6-270F571F210F}"/>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Sheet2!$D$62:$H$62</c:f>
              <c:numCache>
                <c:formatCode>General</c:formatCode>
                <c:ptCount val="5"/>
                <c:pt idx="0">
                  <c:v>1</c:v>
                </c:pt>
                <c:pt idx="1">
                  <c:v>2</c:v>
                </c:pt>
                <c:pt idx="2">
                  <c:v>3</c:v>
                </c:pt>
                <c:pt idx="3">
                  <c:v>4</c:v>
                </c:pt>
                <c:pt idx="4">
                  <c:v>5</c:v>
                </c:pt>
              </c:numCache>
            </c:numRef>
          </c:cat>
          <c:val>
            <c:numRef>
              <c:f>Sheet2!$D$66:$H$66</c:f>
              <c:numCache>
                <c:formatCode>General</c:formatCode>
                <c:ptCount val="5"/>
                <c:pt idx="0">
                  <c:v>8</c:v>
                </c:pt>
                <c:pt idx="1">
                  <c:v>7</c:v>
                </c:pt>
                <c:pt idx="2">
                  <c:v>38</c:v>
                </c:pt>
                <c:pt idx="3">
                  <c:v>78</c:v>
                </c:pt>
                <c:pt idx="4">
                  <c:v>115</c:v>
                </c:pt>
              </c:numCache>
            </c:numRef>
          </c:val>
          <c:extLst>
            <c:ext xmlns:c16="http://schemas.microsoft.com/office/drawing/2014/chart" uri="{C3380CC4-5D6E-409C-BE32-E72D297353CC}">
              <c16:uniqueId val="{00000016-3A5E-4D81-ADE6-270F571F210F}"/>
            </c:ext>
          </c:extLst>
        </c:ser>
        <c:ser>
          <c:idx val="4"/>
          <c:order val="4"/>
          <c:tx>
            <c:strRef>
              <c:f>Sheet2!$C$67</c:f>
              <c:strCache>
                <c:ptCount val="1"/>
                <c:pt idx="0">
                  <c:v>PL5</c:v>
                </c:pt>
              </c:strCache>
            </c:strRef>
          </c:tx>
          <c:spPr>
            <a:solidFill>
              <a:schemeClr val="accent5"/>
            </a:solidFill>
            <a:ln>
              <a:noFill/>
            </a:ln>
            <a:effectLst/>
          </c:spPr>
          <c:invertIfNegative val="0"/>
          <c:dLbls>
            <c:dLbl>
              <c:idx val="0"/>
              <c:tx>
                <c:rich>
                  <a:bodyPr/>
                  <a:lstStyle/>
                  <a:p>
                    <a:r>
                      <a:rPr lang="en-US"/>
                      <a:t>3,3%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3A5E-4D81-ADE6-270F571F210F}"/>
                </c:ext>
              </c:extLst>
            </c:dLbl>
            <c:dLbl>
              <c:idx val="1"/>
              <c:tx>
                <c:rich>
                  <a:bodyPr/>
                  <a:lstStyle/>
                  <a:p>
                    <a:r>
                      <a:rPr lang="en-US"/>
                      <a:t>0,8%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3A5E-4D81-ADE6-270F571F210F}"/>
                </c:ext>
              </c:extLst>
            </c:dLbl>
            <c:dLbl>
              <c:idx val="2"/>
              <c:tx>
                <c:rich>
                  <a:bodyPr/>
                  <a:lstStyle/>
                  <a:p>
                    <a:r>
                      <a:rPr lang="en-US"/>
                      <a:t>12,6%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3A5E-4D81-ADE6-270F571F210F}"/>
                </c:ext>
              </c:extLst>
            </c:dLbl>
            <c:dLbl>
              <c:idx val="3"/>
              <c:tx>
                <c:rich>
                  <a:bodyPr/>
                  <a:lstStyle/>
                  <a:p>
                    <a:r>
                      <a:rPr lang="en-US"/>
                      <a:t>29,3%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3A5E-4D81-ADE6-270F571F210F}"/>
                </c:ext>
              </c:extLst>
            </c:dLbl>
            <c:dLbl>
              <c:idx val="4"/>
              <c:tx>
                <c:rich>
                  <a:bodyPr/>
                  <a:lstStyle/>
                  <a:p>
                    <a:r>
                      <a:rPr lang="en-US"/>
                      <a:t>54,1%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3A5E-4D81-ADE6-270F571F210F}"/>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Sheet2!$D$62:$H$62</c:f>
              <c:numCache>
                <c:formatCode>General</c:formatCode>
                <c:ptCount val="5"/>
                <c:pt idx="0">
                  <c:v>1</c:v>
                </c:pt>
                <c:pt idx="1">
                  <c:v>2</c:v>
                </c:pt>
                <c:pt idx="2">
                  <c:v>3</c:v>
                </c:pt>
                <c:pt idx="3">
                  <c:v>4</c:v>
                </c:pt>
                <c:pt idx="4">
                  <c:v>5</c:v>
                </c:pt>
              </c:numCache>
            </c:numRef>
          </c:cat>
          <c:val>
            <c:numRef>
              <c:f>Sheet2!$D$67:$H$67</c:f>
              <c:numCache>
                <c:formatCode>General</c:formatCode>
                <c:ptCount val="5"/>
                <c:pt idx="0">
                  <c:v>8</c:v>
                </c:pt>
                <c:pt idx="1">
                  <c:v>2</c:v>
                </c:pt>
                <c:pt idx="2">
                  <c:v>31</c:v>
                </c:pt>
                <c:pt idx="3">
                  <c:v>72</c:v>
                </c:pt>
                <c:pt idx="4">
                  <c:v>133</c:v>
                </c:pt>
              </c:numCache>
            </c:numRef>
          </c:val>
          <c:extLst>
            <c:ext xmlns:c16="http://schemas.microsoft.com/office/drawing/2014/chart" uri="{C3380CC4-5D6E-409C-BE32-E72D297353CC}">
              <c16:uniqueId val="{0000001C-3A5E-4D81-ADE6-270F571F210F}"/>
            </c:ext>
          </c:extLst>
        </c:ser>
        <c:dLbls>
          <c:dLblPos val="outEnd"/>
          <c:showLegendKey val="0"/>
          <c:showVal val="1"/>
          <c:showCatName val="0"/>
          <c:showSerName val="0"/>
          <c:showPercent val="0"/>
          <c:showBubbleSize val="0"/>
        </c:dLbls>
        <c:gapWidth val="219"/>
        <c:overlap val="-27"/>
        <c:axId val="1357613199"/>
        <c:axId val="1357614639"/>
      </c:barChart>
      <c:catAx>
        <c:axId val="1357613199"/>
        <c:scaling>
          <c:orientation val="minMax"/>
        </c:scaling>
        <c:delete val="0"/>
        <c:axPos val="b"/>
        <c:title>
          <c:tx>
            <c:rich>
              <a:bodyPr rot="0" spcFirstLastPara="1" vertOverflow="ellipsis" vert="horz" wrap="square" anchor="ctr" anchorCtr="1"/>
              <a:lstStyle/>
              <a:p>
                <a:pPr algn="l">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1. </a:t>
                </a:r>
                <a:r>
                  <a:rPr lang="en-US" sz="800" b="0" i="0" u="none" strike="noStrike" baseline="0">
                    <a:effectLst/>
                    <a:latin typeface="Times New Roman" panose="02020603050405020304" pitchFamily="18" charset="0"/>
                    <a:cs typeface="Times New Roman" panose="02020603050405020304" pitchFamily="18" charset="0"/>
                  </a:rPr>
                  <a:t>Strongly disagree</a:t>
                </a:r>
                <a:endParaRPr lang="en-US" sz="800">
                  <a:latin typeface="Times New Roman" panose="02020603050405020304" pitchFamily="18" charset="0"/>
                  <a:cs typeface="Times New Roman" panose="02020603050405020304" pitchFamily="18" charset="0"/>
                </a:endParaRPr>
              </a:p>
              <a:p>
                <a:pPr algn="l">
                  <a:defRPr sz="800">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2. </a:t>
                </a:r>
                <a:r>
                  <a:rPr lang="en-US" sz="800" b="0" i="0" u="none" strike="noStrike" baseline="0">
                    <a:effectLst/>
                    <a:latin typeface="Times New Roman" panose="02020603050405020304" pitchFamily="18" charset="0"/>
                    <a:cs typeface="Times New Roman" panose="02020603050405020304" pitchFamily="18" charset="0"/>
                  </a:rPr>
                  <a:t>Disagree</a:t>
                </a:r>
                <a:endParaRPr lang="en-US" sz="800">
                  <a:latin typeface="Times New Roman" panose="02020603050405020304" pitchFamily="18" charset="0"/>
                  <a:cs typeface="Times New Roman" panose="02020603050405020304" pitchFamily="18" charset="0"/>
                </a:endParaRPr>
              </a:p>
              <a:p>
                <a:pPr algn="l">
                  <a:defRPr sz="800">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3. </a:t>
                </a:r>
                <a:r>
                  <a:rPr lang="en-US" sz="800" b="0" i="0" u="none" strike="noStrike" baseline="0">
                    <a:effectLst/>
                    <a:latin typeface="Times New Roman" panose="02020603050405020304" pitchFamily="18" charset="0"/>
                    <a:cs typeface="Times New Roman" panose="02020603050405020304" pitchFamily="18" charset="0"/>
                  </a:rPr>
                  <a:t>Neutral</a:t>
                </a:r>
                <a:endParaRPr lang="en-US" sz="800">
                  <a:latin typeface="Times New Roman" panose="02020603050405020304" pitchFamily="18" charset="0"/>
                  <a:cs typeface="Times New Roman" panose="02020603050405020304" pitchFamily="18" charset="0"/>
                </a:endParaRPr>
              </a:p>
              <a:p>
                <a:pPr algn="l">
                  <a:defRPr sz="800">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4. </a:t>
                </a:r>
                <a:r>
                  <a:rPr lang="en-US" sz="800" b="0" i="0" u="none" strike="noStrike" baseline="0">
                    <a:effectLst/>
                    <a:latin typeface="Times New Roman" panose="02020603050405020304" pitchFamily="18" charset="0"/>
                    <a:cs typeface="Times New Roman" panose="02020603050405020304" pitchFamily="18" charset="0"/>
                  </a:rPr>
                  <a:t>Agree</a:t>
                </a:r>
                <a:endParaRPr lang="en-US" sz="800">
                  <a:latin typeface="Times New Roman" panose="02020603050405020304" pitchFamily="18" charset="0"/>
                  <a:cs typeface="Times New Roman" panose="02020603050405020304" pitchFamily="18" charset="0"/>
                </a:endParaRPr>
              </a:p>
              <a:p>
                <a:pPr algn="l">
                  <a:defRPr sz="800">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5. </a:t>
                </a:r>
                <a:r>
                  <a:rPr lang="en-US" sz="800" b="0" i="0" u="none" strike="noStrike" baseline="0">
                    <a:effectLst/>
                    <a:latin typeface="Times New Roman" panose="02020603050405020304" pitchFamily="18" charset="0"/>
                    <a:cs typeface="Times New Roman" panose="02020603050405020304" pitchFamily="18" charset="0"/>
                  </a:rPr>
                  <a:t>Strongly agree</a:t>
                </a:r>
                <a:endParaRPr lang="en-US" sz="800">
                  <a:latin typeface="Times New Roman" panose="02020603050405020304" pitchFamily="18" charset="0"/>
                  <a:cs typeface="Times New Roman" panose="02020603050405020304" pitchFamily="18" charset="0"/>
                </a:endParaRPr>
              </a:p>
            </c:rich>
          </c:tx>
          <c:layout>
            <c:manualLayout>
              <c:xMode val="edge"/>
              <c:yMode val="edge"/>
              <c:x val="0.7858158904760022"/>
              <c:y val="0.69629087540528012"/>
            </c:manualLayout>
          </c:layout>
          <c:overlay val="0"/>
          <c:spPr>
            <a:noFill/>
            <a:ln>
              <a:noFill/>
            </a:ln>
            <a:effectLst/>
          </c:spPr>
          <c:txPr>
            <a:bodyPr rot="0" spcFirstLastPara="1" vertOverflow="ellipsis" vert="horz" wrap="square" anchor="ctr" anchorCtr="1"/>
            <a:lstStyle/>
            <a:p>
              <a:pPr algn="l">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7614639"/>
        <c:crosses val="autoZero"/>
        <c:auto val="1"/>
        <c:lblAlgn val="ctr"/>
        <c:lblOffset val="100"/>
        <c:noMultiLvlLbl val="0"/>
      </c:catAx>
      <c:valAx>
        <c:axId val="13576146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Participants</a:t>
                </a:r>
                <a:r>
                  <a:rPr lang="en-US" sz="1200" baseline="0">
                    <a:latin typeface="Times New Roman" panose="02020603050405020304" pitchFamily="18" charset="0"/>
                    <a:cs typeface="Times New Roman" panose="02020603050405020304" pitchFamily="18" charset="0"/>
                  </a:rPr>
                  <a:t> </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7613199"/>
        <c:crosses val="autoZero"/>
        <c:crossBetween val="between"/>
      </c:valAx>
      <c:spPr>
        <a:noFill/>
        <a:ln>
          <a:noFill/>
        </a:ln>
        <a:effectLst/>
      </c:spPr>
    </c:plotArea>
    <c:legend>
      <c:legendPos val="b"/>
      <c:layout>
        <c:manualLayout>
          <c:xMode val="edge"/>
          <c:yMode val="edge"/>
          <c:x val="0.14379248267043546"/>
          <c:y val="0.75006946261626661"/>
          <c:w val="0.62547799313547336"/>
          <c:h val="6.3879100827005944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1992</TotalTime>
  <Pages>16</Pages>
  <Words>4816</Words>
  <Characters>27452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Thanh,Tuan</dc:creator>
  <cp:keywords/>
  <dc:description/>
  <cp:lastModifiedBy>Nguyen Thanh,Tuan</cp:lastModifiedBy>
  <cp:revision>534</cp:revision>
  <dcterms:created xsi:type="dcterms:W3CDTF">2026-03-20T09:55:00Z</dcterms:created>
  <dcterms:modified xsi:type="dcterms:W3CDTF">2026-06-13T08:38:00Z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dd11cb7d-ef61-4cc7-a8bb-856307635deb</vt:lpwstr>
  </property>
</Properties>
</file>