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D754" w14:textId="160373B1" w:rsidR="00722EDE" w:rsidRPr="00E40940" w:rsidRDefault="00C00258" w:rsidP="00C00258">
      <w:pPr>
        <w:pStyle w:val="RALs-Title"/>
        <w:ind w:right="-46"/>
        <w:rPr>
          <w:rFonts w:asciiTheme="majorBidi" w:hAnsiTheme="majorBidi" w:cstheme="majorBidi"/>
          <w:rtl/>
          <w:lang w:val="en-US"/>
        </w:rPr>
      </w:pPr>
      <w:r w:rsidRPr="00C00258">
        <w:rPr>
          <w:rFonts w:asciiTheme="majorBidi" w:hAnsiTheme="majorBidi" w:cstheme="majorBidi"/>
          <w:lang w:val="en-US"/>
        </w:rPr>
        <w:t>EFL TEACHERS</w:t>
      </w:r>
      <w:r w:rsidR="00FC39BE">
        <w:rPr>
          <w:rFonts w:asciiTheme="majorBidi" w:hAnsiTheme="majorBidi" w:cstheme="majorBidi"/>
          <w:lang w:val="en-US"/>
        </w:rPr>
        <w:t>’</w:t>
      </w:r>
      <w:r w:rsidRPr="00C00258">
        <w:rPr>
          <w:rFonts w:asciiTheme="majorBidi" w:hAnsiTheme="majorBidi" w:cstheme="majorBidi"/>
          <w:lang w:val="en-US"/>
        </w:rPr>
        <w:t xml:space="preserve"> PERCEPTIONS OF AI-SUPPORTED AND DIGITAL TECHNOLOGIES IN IELTS TEACHING FOR HIGH-QUALITY STUDENTS</w:t>
      </w:r>
    </w:p>
    <w:p w14:paraId="688DA827" w14:textId="71B31E98" w:rsidR="00316775" w:rsidRPr="005C4A93" w:rsidRDefault="00C00258" w:rsidP="005C4A93">
      <w:pPr>
        <w:pStyle w:val="RALs-Authors"/>
        <w:ind w:right="-46" w:firstLine="0"/>
        <w:rPr>
          <w:rFonts w:asciiTheme="majorBidi" w:hAnsiTheme="majorBidi" w:cstheme="majorBidi"/>
        </w:rPr>
      </w:pPr>
      <w:r>
        <w:rPr>
          <w:rFonts w:asciiTheme="majorBidi" w:hAnsiTheme="majorBidi" w:cstheme="majorBidi"/>
        </w:rPr>
        <w:t>Thai, Ho-Van</w:t>
      </w:r>
      <w:r w:rsidR="00722EDE" w:rsidRPr="00E40940">
        <w:rPr>
          <w:rStyle w:val="FootnoteReference"/>
          <w:rFonts w:asciiTheme="majorBidi" w:hAnsiTheme="majorBidi" w:cstheme="majorBidi"/>
        </w:rPr>
        <w:footnoteReference w:id="1"/>
      </w:r>
    </w:p>
    <w:p w14:paraId="1D78C88C" w14:textId="77777777" w:rsidR="00722EDE" w:rsidRPr="00E40940" w:rsidRDefault="00722EDE" w:rsidP="00722EDE">
      <w:pPr>
        <w:pStyle w:val="RALs-HeadingsNoIndent"/>
        <w:rPr>
          <w:rFonts w:asciiTheme="majorBidi" w:hAnsiTheme="majorBidi" w:cstheme="majorBidi"/>
          <w:sz w:val="24"/>
          <w:szCs w:val="24"/>
        </w:rPr>
      </w:pPr>
      <w:r w:rsidRPr="00E40940">
        <w:rPr>
          <w:rFonts w:asciiTheme="majorBidi" w:hAnsiTheme="majorBidi" w:cstheme="majorBidi"/>
          <w:sz w:val="24"/>
          <w:szCs w:val="24"/>
        </w:rPr>
        <w:t>Abstract</w:t>
      </w:r>
    </w:p>
    <w:p w14:paraId="7DCC513B" w14:textId="4A8658B9" w:rsidR="00722EDE" w:rsidRPr="00C00258" w:rsidRDefault="00C00258" w:rsidP="00C00258">
      <w:pPr>
        <w:shd w:val="clear" w:color="auto" w:fill="FFFFFF"/>
        <w:spacing w:before="0" w:after="0" w:line="240" w:lineRule="auto"/>
        <w:ind w:firstLine="0"/>
        <w:rPr>
          <w:rFonts w:asciiTheme="majorBidi" w:hAnsiTheme="majorBidi" w:cstheme="majorBidi"/>
          <w:sz w:val="24"/>
          <w:szCs w:val="24"/>
        </w:rPr>
      </w:pPr>
      <w:r w:rsidRPr="00C00258">
        <w:rPr>
          <w:rFonts w:asciiTheme="majorBidi" w:hAnsiTheme="majorBidi" w:cstheme="majorBidi"/>
          <w:sz w:val="24"/>
          <w:szCs w:val="24"/>
        </w:rPr>
        <w:t>AI and Digital technologies have been taking a crucial focus in the English language learning in higher education in high-stakes preparation institutions like IELTS. While there are many international studies that consider the role of technology in facilitating language learning, fewer have included examining how Vietnamese EFL teachers perceive the factors influencing their adoption of digital and AI-driven tools in teaching high-quality students to take the IELTS. This research investigates what influences the adoption of such technologies by teachers in Vietnamese higher education institutions which provide high-quality programmes. A mixed-method approach</w:t>
      </w:r>
      <w:r>
        <w:rPr>
          <w:rFonts w:asciiTheme="majorBidi" w:hAnsiTheme="majorBidi" w:cstheme="majorBidi"/>
          <w:sz w:val="24"/>
          <w:szCs w:val="24"/>
        </w:rPr>
        <w:t xml:space="preserve"> - </w:t>
      </w:r>
      <w:r w:rsidRPr="00C00258">
        <w:rPr>
          <w:rFonts w:asciiTheme="majorBidi" w:hAnsiTheme="majorBidi" w:cstheme="majorBidi"/>
          <w:sz w:val="24"/>
          <w:szCs w:val="24"/>
        </w:rPr>
        <w:t>survey responses from 50 IELTS lecturers together with interviews were utilised to elicit more detailed findings. Results indicate that teachers</w:t>
      </w:r>
      <w:r w:rsidR="00FC39BE">
        <w:rPr>
          <w:rFonts w:asciiTheme="majorBidi" w:hAnsiTheme="majorBidi" w:cstheme="majorBidi"/>
          <w:sz w:val="24"/>
          <w:szCs w:val="24"/>
        </w:rPr>
        <w:t>’</w:t>
      </w:r>
      <w:r w:rsidRPr="00C00258">
        <w:rPr>
          <w:rFonts w:asciiTheme="majorBidi" w:hAnsiTheme="majorBidi" w:cstheme="majorBidi"/>
          <w:sz w:val="24"/>
          <w:szCs w:val="24"/>
        </w:rPr>
        <w:t xml:space="preserve"> willingness to use AI-supported and digital technologies is driven by five main factors: pedagogic beliefs, technological knowledge and digital competence, personal interest and perceived usefulness, time constraints and workload, as well as institutional culture, infrastructure, and policy support. Despite the gains that teachers cited that AI enhances performance such as automatic feedback, enhanced learner engagement, accelerated test-prep, teachers recognised concern about AI effectiveness and reliability and students</w:t>
      </w:r>
      <w:r w:rsidR="00FC39BE">
        <w:rPr>
          <w:rFonts w:asciiTheme="majorBidi" w:hAnsiTheme="majorBidi" w:cstheme="majorBidi"/>
          <w:sz w:val="24"/>
          <w:szCs w:val="24"/>
        </w:rPr>
        <w:t>’</w:t>
      </w:r>
      <w:r w:rsidRPr="00C00258">
        <w:rPr>
          <w:rFonts w:asciiTheme="majorBidi" w:hAnsiTheme="majorBidi" w:cstheme="majorBidi"/>
          <w:sz w:val="24"/>
          <w:szCs w:val="24"/>
        </w:rPr>
        <w:t xml:space="preserve"> dependence upon AI tools and possible inconsistencies with IELTS assessment criteria. These findings highlight the necessity of systematic AI literacy training, clearer institutional guidelines &amp; implementation of digital pedagogy principles in the curriculum and policy framework for the more critical and potent use of AI-supported technologies in IELTS-directed instruction for students.</w:t>
      </w:r>
    </w:p>
    <w:p w14:paraId="1B9454B5" w14:textId="08A8917B" w:rsidR="00316775" w:rsidRPr="00C00258" w:rsidRDefault="00722EDE" w:rsidP="00C00258">
      <w:pPr>
        <w:spacing w:before="240"/>
        <w:ind w:firstLine="0"/>
        <w:rPr>
          <w:rFonts w:asciiTheme="majorBidi" w:hAnsiTheme="majorBidi" w:cstheme="majorBidi"/>
          <w:sz w:val="24"/>
          <w:szCs w:val="24"/>
        </w:rPr>
      </w:pPr>
      <w:r w:rsidRPr="00F80631">
        <w:rPr>
          <w:rFonts w:asciiTheme="majorBidi" w:hAnsiTheme="majorBidi" w:cstheme="majorBidi"/>
          <w:b/>
          <w:bCs/>
          <w:i/>
          <w:iCs/>
          <w:sz w:val="24"/>
          <w:szCs w:val="24"/>
        </w:rPr>
        <w:t>Keywords</w:t>
      </w:r>
      <w:r w:rsidRPr="00F80631">
        <w:rPr>
          <w:rFonts w:asciiTheme="majorBidi" w:hAnsiTheme="majorBidi" w:cstheme="majorBidi"/>
          <w:b/>
          <w:bCs/>
          <w:sz w:val="24"/>
          <w:szCs w:val="24"/>
        </w:rPr>
        <w:t xml:space="preserve">: </w:t>
      </w:r>
      <w:r w:rsidR="00905A8D" w:rsidRPr="00905A8D">
        <w:rPr>
          <w:rFonts w:asciiTheme="majorBidi" w:hAnsiTheme="majorBidi" w:cstheme="majorBidi"/>
          <w:sz w:val="24"/>
          <w:szCs w:val="24"/>
        </w:rPr>
        <w:t>EFL, Artificial Intelligence</w:t>
      </w:r>
      <w:r w:rsidR="006C57A0">
        <w:rPr>
          <w:rFonts w:asciiTheme="majorBidi" w:hAnsiTheme="majorBidi" w:cstheme="majorBidi"/>
          <w:sz w:val="24"/>
          <w:szCs w:val="24"/>
        </w:rPr>
        <w:t>,</w:t>
      </w:r>
      <w:r w:rsidR="00905A8D" w:rsidRPr="00905A8D">
        <w:rPr>
          <w:rFonts w:asciiTheme="majorBidi" w:hAnsiTheme="majorBidi" w:cstheme="majorBidi"/>
          <w:sz w:val="24"/>
          <w:szCs w:val="24"/>
        </w:rPr>
        <w:t xml:space="preserve"> </w:t>
      </w:r>
      <w:r w:rsidR="006C57A0">
        <w:rPr>
          <w:rFonts w:asciiTheme="majorBidi" w:hAnsiTheme="majorBidi" w:cstheme="majorBidi"/>
          <w:sz w:val="24"/>
          <w:szCs w:val="24"/>
        </w:rPr>
        <w:t>p</w:t>
      </w:r>
      <w:r w:rsidR="00905A8D" w:rsidRPr="00905A8D">
        <w:rPr>
          <w:rFonts w:asciiTheme="majorBidi" w:hAnsiTheme="majorBidi" w:cstheme="majorBidi"/>
          <w:sz w:val="24"/>
          <w:szCs w:val="24"/>
        </w:rPr>
        <w:t>erceptions of AI</w:t>
      </w:r>
      <w:r w:rsidR="006C57A0">
        <w:rPr>
          <w:rFonts w:asciiTheme="majorBidi" w:hAnsiTheme="majorBidi" w:cstheme="majorBidi"/>
          <w:sz w:val="24"/>
          <w:szCs w:val="24"/>
        </w:rPr>
        <w:t>,</w:t>
      </w:r>
      <w:r w:rsidR="00905A8D" w:rsidRPr="00905A8D">
        <w:rPr>
          <w:rFonts w:asciiTheme="majorBidi" w:hAnsiTheme="majorBidi" w:cstheme="majorBidi"/>
          <w:sz w:val="24"/>
          <w:szCs w:val="24"/>
        </w:rPr>
        <w:t xml:space="preserve"> </w:t>
      </w:r>
      <w:r w:rsidR="00905A8D" w:rsidRPr="00C00258">
        <w:rPr>
          <w:rFonts w:asciiTheme="majorBidi" w:hAnsiTheme="majorBidi" w:cstheme="majorBidi"/>
          <w:sz w:val="24"/>
          <w:szCs w:val="24"/>
        </w:rPr>
        <w:t>IELTS</w:t>
      </w:r>
      <w:r w:rsidR="001E62E8">
        <w:rPr>
          <w:rFonts w:asciiTheme="majorBidi" w:hAnsiTheme="majorBidi" w:cstheme="majorBidi"/>
          <w:sz w:val="24"/>
          <w:szCs w:val="24"/>
        </w:rPr>
        <w:t xml:space="preserve">, </w:t>
      </w:r>
      <w:r w:rsidR="001E62E8" w:rsidRPr="001E62E8">
        <w:rPr>
          <w:rFonts w:asciiTheme="majorBidi" w:hAnsiTheme="majorBidi" w:cstheme="majorBidi"/>
          <w:sz w:val="24"/>
          <w:szCs w:val="24"/>
        </w:rPr>
        <w:t>high-quality</w:t>
      </w:r>
    </w:p>
    <w:p w14:paraId="24827068" w14:textId="77777777" w:rsidR="00722EDE" w:rsidRPr="00E40940" w:rsidRDefault="00722EDE" w:rsidP="00722EDE">
      <w:pPr>
        <w:pStyle w:val="RALs-Heading1"/>
        <w:rPr>
          <w:rFonts w:asciiTheme="majorBidi" w:hAnsiTheme="majorBidi" w:cstheme="majorBidi"/>
          <w:b w:val="0"/>
          <w:bCs w:val="0"/>
          <w:sz w:val="24"/>
          <w:szCs w:val="24"/>
        </w:rPr>
      </w:pPr>
      <w:r w:rsidRPr="00E40940">
        <w:rPr>
          <w:rFonts w:asciiTheme="majorBidi" w:hAnsiTheme="majorBidi" w:cstheme="majorBidi"/>
          <w:sz w:val="24"/>
          <w:szCs w:val="24"/>
        </w:rPr>
        <w:t>1. Introduction</w:t>
      </w:r>
    </w:p>
    <w:p w14:paraId="456014A7" w14:textId="669FF029" w:rsidR="00D77C12" w:rsidRPr="00D77C12" w:rsidRDefault="00D77C12" w:rsidP="00D77C12">
      <w:pPr>
        <w:pStyle w:val="RALs-Heading2"/>
        <w:rPr>
          <w:rFonts w:asciiTheme="majorBidi" w:hAnsiTheme="majorBidi" w:cstheme="majorBidi"/>
          <w:sz w:val="24"/>
          <w:szCs w:val="24"/>
          <w:lang w:eastAsia="zh-CN"/>
        </w:rPr>
      </w:pPr>
      <w:r w:rsidRPr="00D77C12">
        <w:rPr>
          <w:rFonts w:asciiTheme="majorBidi" w:hAnsiTheme="majorBidi" w:cstheme="majorBidi"/>
          <w:sz w:val="24"/>
          <w:szCs w:val="24"/>
        </w:rPr>
        <w:t>1.1. Background</w:t>
      </w:r>
    </w:p>
    <w:p w14:paraId="1BF7BEBB" w14:textId="6C73863E" w:rsidR="007959E3" w:rsidRDefault="00B95AFB" w:rsidP="00840D18">
      <w:pPr>
        <w:autoSpaceDE w:val="0"/>
        <w:autoSpaceDN w:val="0"/>
        <w:adjustRightInd w:val="0"/>
        <w:spacing w:before="0" w:after="0" w:line="480" w:lineRule="auto"/>
        <w:rPr>
          <w:rFonts w:asciiTheme="majorBidi" w:eastAsia="TimesNewRomanPSMT" w:hAnsiTheme="majorBidi" w:cstheme="majorBidi"/>
          <w:sz w:val="24"/>
          <w:szCs w:val="24"/>
        </w:rPr>
      </w:pPr>
      <w:r w:rsidRPr="00B95AFB">
        <w:rPr>
          <w:rFonts w:asciiTheme="majorBidi" w:eastAsia="TimesNewRomanPSMT" w:hAnsiTheme="majorBidi" w:cstheme="majorBidi"/>
          <w:sz w:val="24"/>
          <w:szCs w:val="24"/>
        </w:rPr>
        <w:t>The rapid evolution of generative artificial intelligence (AI) and specialized digital applications has radically reshaped the landscape of higher education globally, and English as a Foreign Language (EFL) instruction is no exception (Davis, 2024; Kamalov et al., 2023). Within the context of high-stakes language assessment, particularly the International English Language Testing System (IELTS), digital and AI-driven tools have transitioned from peripheral supplementary materials to core pedagogical infrastructure. In Vietnamese higher education, this technological shift intersects with institutional efforts to elevate academic standards through the implementation of</w:t>
      </w:r>
      <w:r w:rsidR="002A2097">
        <w:rPr>
          <w:rFonts w:asciiTheme="majorBidi" w:eastAsia="TimesNewRomanPSMT" w:hAnsiTheme="majorBidi" w:cstheme="majorBidi"/>
          <w:sz w:val="24"/>
          <w:szCs w:val="24"/>
        </w:rPr>
        <w:t xml:space="preserve"> </w:t>
      </w:r>
      <w:r w:rsidR="00447AA0">
        <w:rPr>
          <w:rFonts w:asciiTheme="majorBidi" w:eastAsia="TimesNewRomanPSMT" w:hAnsiTheme="majorBidi" w:cstheme="majorBidi"/>
          <w:sz w:val="24"/>
          <w:szCs w:val="24"/>
        </w:rPr>
        <w:t>“</w:t>
      </w:r>
      <w:r w:rsidRPr="00B95AFB">
        <w:rPr>
          <w:rFonts w:asciiTheme="majorBidi" w:eastAsia="TimesNewRomanPSMT" w:hAnsiTheme="majorBidi" w:cstheme="majorBidi"/>
          <w:sz w:val="24"/>
          <w:szCs w:val="24"/>
        </w:rPr>
        <w:t>high-quality</w:t>
      </w:r>
      <w:r w:rsidR="00447AA0">
        <w:rPr>
          <w:rFonts w:asciiTheme="majorBidi" w:eastAsia="TimesNewRomanPSMT" w:hAnsiTheme="majorBidi" w:cstheme="majorBidi"/>
          <w:sz w:val="24"/>
          <w:szCs w:val="24"/>
        </w:rPr>
        <w:t>”</w:t>
      </w:r>
      <w:r w:rsidR="002A2097">
        <w:rPr>
          <w:rFonts w:asciiTheme="majorBidi" w:eastAsia="TimesNewRomanPSMT" w:hAnsiTheme="majorBidi" w:cstheme="majorBidi"/>
          <w:sz w:val="24"/>
          <w:szCs w:val="24"/>
        </w:rPr>
        <w:t xml:space="preserve"> </w:t>
      </w:r>
      <w:r w:rsidRPr="00B95AFB">
        <w:rPr>
          <w:rFonts w:asciiTheme="majorBidi" w:eastAsia="TimesNewRomanPSMT" w:hAnsiTheme="majorBidi" w:cstheme="majorBidi"/>
          <w:sz w:val="24"/>
          <w:szCs w:val="24"/>
        </w:rPr>
        <w:t xml:space="preserve">academic programs. These specialized </w:t>
      </w:r>
      <w:r w:rsidRPr="00B95AFB">
        <w:rPr>
          <w:rFonts w:asciiTheme="majorBidi" w:eastAsia="TimesNewRomanPSMT" w:hAnsiTheme="majorBidi" w:cstheme="majorBidi"/>
          <w:sz w:val="24"/>
          <w:szCs w:val="24"/>
        </w:rPr>
        <w:lastRenderedPageBreak/>
        <w:t>programs explicitly demand superior English proficiency from undergraduates, frequently utilizing ambitious IELTS band scores (ranging from 6.5 to 7.5 or higher) as strict benchmarks for global academic integration and graduation clearance. Consequently, tertiary EFL lecturers must navigate the intricate demands of high-stakes exam preparation while simultaneously integrating complex digital ecosystems into their daily instructional routines.</w:t>
      </w:r>
    </w:p>
    <w:p w14:paraId="51DF9F47" w14:textId="7F70FD58" w:rsidR="00BF41EB" w:rsidRPr="005E1551" w:rsidRDefault="00BF41EB" w:rsidP="005E1551">
      <w:pPr>
        <w:pStyle w:val="RALs-Heading2"/>
        <w:rPr>
          <w:rFonts w:asciiTheme="majorBidi" w:hAnsiTheme="majorBidi" w:cstheme="majorBidi"/>
          <w:sz w:val="24"/>
          <w:szCs w:val="24"/>
        </w:rPr>
      </w:pPr>
      <w:r w:rsidRPr="005E1551">
        <w:rPr>
          <w:rFonts w:asciiTheme="majorBidi" w:hAnsiTheme="majorBidi" w:cstheme="majorBidi"/>
          <w:sz w:val="24"/>
          <w:szCs w:val="24"/>
        </w:rPr>
        <w:t xml:space="preserve">1.2. Statement of the </w:t>
      </w:r>
      <w:r w:rsidR="005E1551">
        <w:rPr>
          <w:rFonts w:asciiTheme="majorBidi" w:hAnsiTheme="majorBidi" w:cstheme="majorBidi"/>
          <w:sz w:val="24"/>
          <w:szCs w:val="24"/>
        </w:rPr>
        <w:t>p</w:t>
      </w:r>
      <w:r w:rsidRPr="005E1551">
        <w:rPr>
          <w:rFonts w:asciiTheme="majorBidi" w:hAnsiTheme="majorBidi" w:cstheme="majorBidi"/>
          <w:sz w:val="24"/>
          <w:szCs w:val="24"/>
        </w:rPr>
        <w:t>roblem</w:t>
      </w:r>
    </w:p>
    <w:p w14:paraId="706081F6" w14:textId="62FE0D87" w:rsidR="00BF41EB" w:rsidRPr="00BF41EB" w:rsidRDefault="00BF41EB" w:rsidP="005E1551">
      <w:pPr>
        <w:autoSpaceDE w:val="0"/>
        <w:autoSpaceDN w:val="0"/>
        <w:adjustRightInd w:val="0"/>
        <w:spacing w:before="0" w:after="0" w:line="480" w:lineRule="auto"/>
        <w:rPr>
          <w:rFonts w:asciiTheme="majorBidi" w:eastAsiaTheme="minorHAnsi" w:hAnsiTheme="majorBidi" w:cstheme="majorBidi"/>
          <w:sz w:val="24"/>
          <w:szCs w:val="24"/>
        </w:rPr>
      </w:pPr>
      <w:r w:rsidRPr="00BF41EB">
        <w:rPr>
          <w:rFonts w:asciiTheme="majorBidi" w:eastAsiaTheme="minorHAnsi" w:hAnsiTheme="majorBidi" w:cstheme="majorBidi"/>
          <w:sz w:val="24"/>
          <w:szCs w:val="24"/>
        </w:rPr>
        <w:t>While technology acceptance in EFL is a widely researched domain, the integration of AI tools in specialized, high-stakes testing contexts presents a unique, underexplored pedagogical crisis. IELTS preparation is inherently challenging due to its rigorous assessment rubrics, which require candidates to demonstrate advanced cognitive skills and highly structured academic writing. The core problem emerges when these generalized AI tools intersect with highly pragmatic learner cohorts</w:t>
      </w:r>
      <w:r w:rsidR="005E1551">
        <w:rPr>
          <w:rFonts w:asciiTheme="majorBidi" w:eastAsiaTheme="minorHAnsi" w:hAnsiTheme="majorBidi" w:cstheme="majorBidi"/>
          <w:sz w:val="24"/>
          <w:szCs w:val="24"/>
        </w:rPr>
        <w:t xml:space="preserve">, </w:t>
      </w:r>
      <w:r w:rsidRPr="00BF41EB">
        <w:rPr>
          <w:rFonts w:asciiTheme="majorBidi" w:eastAsiaTheme="minorHAnsi" w:hAnsiTheme="majorBidi" w:cstheme="majorBidi"/>
          <w:sz w:val="24"/>
          <w:szCs w:val="24"/>
        </w:rPr>
        <w:t>specifically, logistics-majored students enrolled in high-quality English programs.</w:t>
      </w:r>
    </w:p>
    <w:p w14:paraId="64DA2CCA" w14:textId="497A3DC8" w:rsidR="00BF41EB" w:rsidRPr="00AE66CD" w:rsidRDefault="00BF41EB" w:rsidP="00CF7E17">
      <w:pPr>
        <w:autoSpaceDE w:val="0"/>
        <w:autoSpaceDN w:val="0"/>
        <w:adjustRightInd w:val="0"/>
        <w:spacing w:before="0" w:after="0" w:line="480" w:lineRule="auto"/>
        <w:rPr>
          <w:rFonts w:asciiTheme="majorBidi" w:eastAsiaTheme="minorHAnsi" w:hAnsiTheme="majorBidi" w:cstheme="majorBidi"/>
          <w:sz w:val="24"/>
          <w:szCs w:val="24"/>
          <w:highlight w:val="yellow"/>
        </w:rPr>
      </w:pPr>
      <w:r w:rsidRPr="00BF41EB">
        <w:rPr>
          <w:rFonts w:asciiTheme="majorBidi" w:eastAsiaTheme="minorHAnsi" w:hAnsiTheme="majorBidi" w:cstheme="majorBidi"/>
          <w:sz w:val="24"/>
          <w:szCs w:val="24"/>
        </w:rPr>
        <w:t>Unlike traditional language or business English majors, logistics students are rigorously trained to prioritize operational efficiency, problem-solving, and task completion. When preparing for the IELTS, this pragmatic mindset often drives them to utilize generative AI not as a cognitive scaffold, but as an academic shortcut to outsource language production, creating a severe algorithmic dependency cycle. Despite the growing ubiquity of automated writing evaluation and generative AI, there is a critical empirical gap regarding how Vietnamese EFL lecturers perceive and manage this specific crisis. Educators are currently operating in an institutional policy vacuum, struggling to balance the efficiency gains of AI with the urgent need to mitigate student overreliance and maintain alignment with strict IELTS band descriptors.</w:t>
      </w:r>
      <w:r w:rsidR="00CF7E17">
        <w:rPr>
          <w:rFonts w:asciiTheme="majorBidi" w:eastAsiaTheme="minorHAnsi" w:hAnsiTheme="majorBidi" w:cstheme="majorBidi"/>
          <w:sz w:val="24"/>
          <w:szCs w:val="24"/>
        </w:rPr>
        <w:t xml:space="preserve"> </w:t>
      </w:r>
      <w:r w:rsidRPr="00AE66CD">
        <w:rPr>
          <w:rFonts w:asciiTheme="majorBidi" w:eastAsiaTheme="minorHAnsi" w:hAnsiTheme="majorBidi" w:cstheme="majorBidi"/>
          <w:sz w:val="24"/>
          <w:szCs w:val="24"/>
          <w:highlight w:val="yellow"/>
        </w:rPr>
        <w:t>The inquiry is guided by the following research questions:</w:t>
      </w:r>
    </w:p>
    <w:p w14:paraId="20F52950" w14:textId="58170848" w:rsidR="00BF41EB" w:rsidRPr="00AE66CD" w:rsidRDefault="00CF7E17" w:rsidP="00BF41EB">
      <w:pPr>
        <w:autoSpaceDE w:val="0"/>
        <w:autoSpaceDN w:val="0"/>
        <w:adjustRightInd w:val="0"/>
        <w:spacing w:before="0" w:after="0" w:line="480" w:lineRule="auto"/>
        <w:rPr>
          <w:rFonts w:asciiTheme="majorBidi" w:eastAsiaTheme="minorHAnsi" w:hAnsiTheme="majorBidi" w:cstheme="majorBidi"/>
          <w:i/>
          <w:iCs/>
          <w:sz w:val="24"/>
          <w:szCs w:val="24"/>
          <w:highlight w:val="yellow"/>
        </w:rPr>
      </w:pPr>
      <w:r w:rsidRPr="00AE66CD">
        <w:rPr>
          <w:rFonts w:asciiTheme="majorBidi" w:eastAsiaTheme="minorHAnsi" w:hAnsiTheme="majorBidi" w:cstheme="majorBidi"/>
          <w:b/>
          <w:bCs/>
          <w:i/>
          <w:iCs/>
          <w:sz w:val="24"/>
          <w:szCs w:val="24"/>
          <w:highlight w:val="yellow"/>
        </w:rPr>
        <w:t>RQ1.</w:t>
      </w:r>
      <w:r w:rsidRPr="00AE66CD">
        <w:rPr>
          <w:rFonts w:asciiTheme="majorBidi" w:eastAsiaTheme="minorHAnsi" w:hAnsiTheme="majorBidi" w:cstheme="majorBidi"/>
          <w:i/>
          <w:iCs/>
          <w:sz w:val="24"/>
          <w:szCs w:val="24"/>
          <w:highlight w:val="yellow"/>
        </w:rPr>
        <w:t xml:space="preserve"> </w:t>
      </w:r>
      <w:r w:rsidR="00BF41EB" w:rsidRPr="00AE66CD">
        <w:rPr>
          <w:rFonts w:asciiTheme="majorBidi" w:eastAsiaTheme="minorHAnsi" w:hAnsiTheme="majorBidi" w:cstheme="majorBidi"/>
          <w:i/>
          <w:iCs/>
          <w:sz w:val="24"/>
          <w:szCs w:val="24"/>
          <w:highlight w:val="yellow"/>
        </w:rPr>
        <w:t>What are the primary factors influencing EFL teachers</w:t>
      </w:r>
      <w:r w:rsidR="00FC39BE">
        <w:rPr>
          <w:rFonts w:asciiTheme="majorBidi" w:eastAsiaTheme="minorHAnsi" w:hAnsiTheme="majorBidi" w:cstheme="majorBidi"/>
          <w:i/>
          <w:iCs/>
          <w:sz w:val="24"/>
          <w:szCs w:val="24"/>
          <w:highlight w:val="yellow"/>
        </w:rPr>
        <w:t>’</w:t>
      </w:r>
      <w:r w:rsidR="00BF41EB" w:rsidRPr="00AE66CD">
        <w:rPr>
          <w:rFonts w:asciiTheme="majorBidi" w:eastAsiaTheme="minorHAnsi" w:hAnsiTheme="majorBidi" w:cstheme="majorBidi"/>
          <w:i/>
          <w:iCs/>
          <w:sz w:val="24"/>
          <w:szCs w:val="24"/>
          <w:highlight w:val="yellow"/>
        </w:rPr>
        <w:t xml:space="preserve"> perceptions of AI-supported technologies in IELTS teaching?</w:t>
      </w:r>
    </w:p>
    <w:p w14:paraId="783E9310" w14:textId="77777777" w:rsidR="00BF41EB" w:rsidRPr="00AE66CD" w:rsidRDefault="00BF41EB" w:rsidP="00BF41EB">
      <w:pPr>
        <w:autoSpaceDE w:val="0"/>
        <w:autoSpaceDN w:val="0"/>
        <w:adjustRightInd w:val="0"/>
        <w:spacing w:before="0" w:after="0" w:line="480" w:lineRule="auto"/>
        <w:rPr>
          <w:rFonts w:asciiTheme="majorBidi" w:eastAsiaTheme="minorHAnsi" w:hAnsiTheme="majorBidi" w:cstheme="majorBidi"/>
          <w:sz w:val="24"/>
          <w:szCs w:val="24"/>
          <w:highlight w:val="yellow"/>
        </w:rPr>
      </w:pPr>
    </w:p>
    <w:p w14:paraId="004131EA" w14:textId="19E41132" w:rsidR="00BF41EB" w:rsidRPr="00AE66CD" w:rsidRDefault="00A67D81" w:rsidP="000F04A9">
      <w:pPr>
        <w:autoSpaceDE w:val="0"/>
        <w:autoSpaceDN w:val="0"/>
        <w:adjustRightInd w:val="0"/>
        <w:spacing w:before="0" w:after="0" w:line="480" w:lineRule="auto"/>
        <w:rPr>
          <w:rFonts w:asciiTheme="majorBidi" w:eastAsiaTheme="minorHAnsi" w:hAnsiTheme="majorBidi" w:cstheme="majorBidi"/>
          <w:b/>
          <w:bCs/>
          <w:i/>
          <w:iCs/>
          <w:sz w:val="24"/>
          <w:szCs w:val="24"/>
          <w:highlight w:val="yellow"/>
          <w:lang w:eastAsia="zh-CN"/>
        </w:rPr>
      </w:pPr>
      <w:r w:rsidRPr="00AE66CD">
        <w:rPr>
          <w:rFonts w:asciiTheme="majorBidi" w:eastAsiaTheme="minorHAnsi" w:hAnsiTheme="majorBidi" w:cstheme="majorBidi"/>
          <w:b/>
          <w:bCs/>
          <w:i/>
          <w:iCs/>
          <w:sz w:val="24"/>
          <w:szCs w:val="24"/>
          <w:highlight w:val="yellow"/>
        </w:rPr>
        <w:lastRenderedPageBreak/>
        <w:t xml:space="preserve">RQ2. </w:t>
      </w:r>
      <w:r w:rsidR="00BF41EB" w:rsidRPr="00AE66CD">
        <w:rPr>
          <w:rFonts w:asciiTheme="majorBidi" w:eastAsiaTheme="minorHAnsi" w:hAnsiTheme="majorBidi" w:cstheme="majorBidi"/>
          <w:i/>
          <w:iCs/>
          <w:sz w:val="24"/>
          <w:szCs w:val="24"/>
          <w:highlight w:val="yellow"/>
        </w:rPr>
        <w:t>How do institutional constraints and the specific pragmatic learning behaviors of non-language majors impact teachers</w:t>
      </w:r>
      <w:r w:rsidR="00FC39BE">
        <w:rPr>
          <w:rFonts w:asciiTheme="majorBidi" w:eastAsiaTheme="minorHAnsi" w:hAnsiTheme="majorBidi" w:cstheme="majorBidi"/>
          <w:i/>
          <w:iCs/>
          <w:sz w:val="24"/>
          <w:szCs w:val="24"/>
          <w:highlight w:val="yellow"/>
        </w:rPr>
        <w:t>’</w:t>
      </w:r>
      <w:r w:rsidR="00BF41EB" w:rsidRPr="00AE66CD">
        <w:rPr>
          <w:rFonts w:asciiTheme="majorBidi" w:eastAsiaTheme="minorHAnsi" w:hAnsiTheme="majorBidi" w:cstheme="majorBidi"/>
          <w:i/>
          <w:iCs/>
          <w:sz w:val="24"/>
          <w:szCs w:val="24"/>
          <w:highlight w:val="yellow"/>
        </w:rPr>
        <w:t xml:space="preserve"> instructional agency regarding AI integration?</w:t>
      </w:r>
    </w:p>
    <w:p w14:paraId="73619113" w14:textId="5DAD7303" w:rsidR="00BF41EB" w:rsidRPr="00AE66CD" w:rsidRDefault="00BF41EB" w:rsidP="000F04A9">
      <w:pPr>
        <w:autoSpaceDE w:val="0"/>
        <w:autoSpaceDN w:val="0"/>
        <w:adjustRightInd w:val="0"/>
        <w:spacing w:before="0" w:after="0" w:line="480" w:lineRule="auto"/>
        <w:rPr>
          <w:rFonts w:asciiTheme="majorBidi" w:eastAsiaTheme="minorHAnsi" w:hAnsiTheme="majorBidi" w:cstheme="majorBidi"/>
          <w:sz w:val="24"/>
          <w:szCs w:val="24"/>
          <w:highlight w:val="yellow"/>
          <w:lang w:eastAsia="zh-CN"/>
        </w:rPr>
      </w:pPr>
      <w:r w:rsidRPr="00AE66CD">
        <w:rPr>
          <w:rFonts w:asciiTheme="majorBidi" w:eastAsiaTheme="minorHAnsi" w:hAnsiTheme="majorBidi" w:cstheme="majorBidi"/>
          <w:sz w:val="24"/>
          <w:szCs w:val="24"/>
          <w:highlight w:val="yellow"/>
        </w:rPr>
        <w:t>Drawing upon the Technology Acceptance Model (TAM) and the Technological Pedagogical Content Knowledge (TPACK) framework, this study proposes the following quantitative hypotheses:</w:t>
      </w:r>
    </w:p>
    <w:p w14:paraId="173DBC2B" w14:textId="57EEC241" w:rsidR="00BF41EB" w:rsidRPr="00AE66CD" w:rsidRDefault="000F04A9" w:rsidP="000F04A9">
      <w:pPr>
        <w:autoSpaceDE w:val="0"/>
        <w:autoSpaceDN w:val="0"/>
        <w:adjustRightInd w:val="0"/>
        <w:spacing w:before="0" w:after="0" w:line="480" w:lineRule="auto"/>
        <w:rPr>
          <w:rFonts w:eastAsiaTheme="minorHAnsi" w:cs="Times New Roman"/>
          <w:i/>
          <w:iCs/>
          <w:sz w:val="24"/>
          <w:szCs w:val="24"/>
          <w:highlight w:val="yellow"/>
          <w:lang w:eastAsia="zh-CN"/>
        </w:rPr>
      </w:pPr>
      <w:r w:rsidRPr="00AE66CD">
        <w:rPr>
          <w:rFonts w:eastAsiaTheme="minorHAnsi" w:cs="Times New Roman"/>
          <w:b/>
          <w:bCs/>
          <w:i/>
          <w:iCs/>
          <w:sz w:val="24"/>
          <w:szCs w:val="24"/>
          <w:highlight w:val="yellow"/>
          <w:lang w:eastAsia="zh-CN"/>
        </w:rPr>
        <w:t>H</w:t>
      </w:r>
      <w:r w:rsidRPr="00AE66CD">
        <w:rPr>
          <w:rFonts w:eastAsia="Microsoft YaHei" w:cs="Times New Roman"/>
          <w:b/>
          <w:bCs/>
          <w:i/>
          <w:iCs/>
          <w:sz w:val="24"/>
          <w:szCs w:val="24"/>
          <w:highlight w:val="yellow"/>
          <w:lang w:eastAsia="zh-CN"/>
        </w:rPr>
        <w:t>1.</w:t>
      </w:r>
      <w:r w:rsidRPr="00AE66CD">
        <w:rPr>
          <w:rFonts w:eastAsia="Microsoft YaHei" w:cs="Times New Roman"/>
          <w:i/>
          <w:iCs/>
          <w:sz w:val="24"/>
          <w:szCs w:val="24"/>
          <w:highlight w:val="yellow"/>
          <w:lang w:eastAsia="zh-CN"/>
        </w:rPr>
        <w:t xml:space="preserve"> </w:t>
      </w:r>
      <w:r w:rsidR="00BF41EB" w:rsidRPr="00AE66CD">
        <w:rPr>
          <w:rFonts w:eastAsiaTheme="minorHAnsi" w:cs="Times New Roman"/>
          <w:i/>
          <w:iCs/>
          <w:sz w:val="24"/>
          <w:szCs w:val="24"/>
          <w:highlight w:val="yellow"/>
        </w:rPr>
        <w:t>Perceived usefulness (PU) and TPACK positively influence teachers</w:t>
      </w:r>
      <w:r w:rsidR="00FC39BE">
        <w:rPr>
          <w:rFonts w:eastAsiaTheme="minorHAnsi" w:cs="Times New Roman"/>
          <w:i/>
          <w:iCs/>
          <w:sz w:val="24"/>
          <w:szCs w:val="24"/>
          <w:highlight w:val="yellow"/>
        </w:rPr>
        <w:t>’</w:t>
      </w:r>
      <w:r w:rsidR="00BF41EB" w:rsidRPr="00AE66CD">
        <w:rPr>
          <w:rFonts w:eastAsiaTheme="minorHAnsi" w:cs="Times New Roman"/>
          <w:i/>
          <w:iCs/>
          <w:sz w:val="24"/>
          <w:szCs w:val="24"/>
          <w:highlight w:val="yellow"/>
        </w:rPr>
        <w:t xml:space="preserve"> willingness to integrate AI-supported tools in IELTS preparation.</w:t>
      </w:r>
    </w:p>
    <w:p w14:paraId="5EE49378" w14:textId="1BD0DC67" w:rsidR="00BF41EB" w:rsidRPr="00AE66CD" w:rsidRDefault="000F04A9" w:rsidP="000F04A9">
      <w:pPr>
        <w:autoSpaceDE w:val="0"/>
        <w:autoSpaceDN w:val="0"/>
        <w:adjustRightInd w:val="0"/>
        <w:spacing w:before="0" w:after="0" w:line="480" w:lineRule="auto"/>
        <w:rPr>
          <w:rFonts w:eastAsiaTheme="minorHAnsi" w:cs="Times New Roman"/>
          <w:i/>
          <w:iCs/>
          <w:sz w:val="24"/>
          <w:szCs w:val="24"/>
          <w:highlight w:val="yellow"/>
          <w:lang w:eastAsia="zh-CN"/>
        </w:rPr>
      </w:pPr>
      <w:r w:rsidRPr="00AE66CD">
        <w:rPr>
          <w:rFonts w:eastAsiaTheme="minorHAnsi" w:cs="Times New Roman"/>
          <w:b/>
          <w:bCs/>
          <w:i/>
          <w:iCs/>
          <w:sz w:val="24"/>
          <w:szCs w:val="24"/>
          <w:highlight w:val="yellow"/>
          <w:lang w:eastAsia="zh-CN"/>
        </w:rPr>
        <w:t>H</w:t>
      </w:r>
      <w:r w:rsidRPr="00AE66CD">
        <w:rPr>
          <w:rFonts w:eastAsia="Microsoft YaHei" w:cs="Times New Roman" w:hint="eastAsia"/>
          <w:b/>
          <w:bCs/>
          <w:i/>
          <w:iCs/>
          <w:sz w:val="24"/>
          <w:szCs w:val="24"/>
          <w:highlight w:val="yellow"/>
          <w:lang w:eastAsia="zh-CN"/>
        </w:rPr>
        <w:t>2</w:t>
      </w:r>
      <w:r w:rsidRPr="00AE66CD">
        <w:rPr>
          <w:rFonts w:eastAsia="Microsoft YaHei" w:cs="Times New Roman"/>
          <w:b/>
          <w:bCs/>
          <w:i/>
          <w:iCs/>
          <w:sz w:val="24"/>
          <w:szCs w:val="24"/>
          <w:highlight w:val="yellow"/>
          <w:lang w:eastAsia="zh-CN"/>
        </w:rPr>
        <w:t>.</w:t>
      </w:r>
      <w:r w:rsidRPr="00AE66CD">
        <w:rPr>
          <w:rFonts w:eastAsia="Microsoft YaHei" w:cs="Times New Roman"/>
          <w:i/>
          <w:iCs/>
          <w:sz w:val="24"/>
          <w:szCs w:val="24"/>
          <w:highlight w:val="yellow"/>
          <w:lang w:eastAsia="zh-CN"/>
        </w:rPr>
        <w:t xml:space="preserve"> </w:t>
      </w:r>
      <w:r w:rsidR="00BF41EB" w:rsidRPr="00AE66CD">
        <w:rPr>
          <w:rFonts w:eastAsiaTheme="minorHAnsi" w:cs="Times New Roman"/>
          <w:i/>
          <w:iCs/>
          <w:sz w:val="24"/>
          <w:szCs w:val="24"/>
          <w:highlight w:val="yellow"/>
        </w:rPr>
        <w:t>Time constraints, heavy workload, and lack of institutional policy support negatively moderate the pedagogical integration of AI-driven tools.</w:t>
      </w:r>
    </w:p>
    <w:p w14:paraId="7CDB2738" w14:textId="5A0E8514" w:rsidR="00BF41EB" w:rsidRPr="00AE66CD" w:rsidRDefault="000F04A9" w:rsidP="000F04A9">
      <w:pPr>
        <w:autoSpaceDE w:val="0"/>
        <w:autoSpaceDN w:val="0"/>
        <w:adjustRightInd w:val="0"/>
        <w:spacing w:before="0" w:after="0" w:line="480" w:lineRule="auto"/>
        <w:rPr>
          <w:rFonts w:eastAsiaTheme="minorHAnsi" w:cs="Times New Roman"/>
          <w:i/>
          <w:iCs/>
          <w:sz w:val="24"/>
          <w:szCs w:val="24"/>
          <w:highlight w:val="yellow"/>
          <w:lang w:eastAsia="zh-CN"/>
        </w:rPr>
      </w:pPr>
      <w:r w:rsidRPr="00AE66CD">
        <w:rPr>
          <w:rFonts w:eastAsiaTheme="minorHAnsi" w:cs="Times New Roman"/>
          <w:b/>
          <w:bCs/>
          <w:i/>
          <w:iCs/>
          <w:sz w:val="24"/>
          <w:szCs w:val="24"/>
          <w:highlight w:val="yellow"/>
          <w:lang w:eastAsia="zh-CN"/>
        </w:rPr>
        <w:t>H</w:t>
      </w:r>
      <w:r w:rsidRPr="00AE66CD">
        <w:rPr>
          <w:rFonts w:eastAsia="Microsoft YaHei" w:cs="Times New Roman" w:hint="eastAsia"/>
          <w:b/>
          <w:bCs/>
          <w:i/>
          <w:iCs/>
          <w:sz w:val="24"/>
          <w:szCs w:val="24"/>
          <w:highlight w:val="yellow"/>
          <w:lang w:eastAsia="zh-CN"/>
        </w:rPr>
        <w:t>3</w:t>
      </w:r>
      <w:r w:rsidRPr="00AE66CD">
        <w:rPr>
          <w:rFonts w:eastAsia="Microsoft YaHei" w:cs="Times New Roman"/>
          <w:b/>
          <w:bCs/>
          <w:i/>
          <w:iCs/>
          <w:sz w:val="24"/>
          <w:szCs w:val="24"/>
          <w:highlight w:val="yellow"/>
          <w:lang w:eastAsia="zh-CN"/>
        </w:rPr>
        <w:t>.</w:t>
      </w:r>
      <w:r w:rsidRPr="00AE66CD">
        <w:rPr>
          <w:rFonts w:eastAsia="Microsoft YaHei" w:cs="Times New Roman"/>
          <w:i/>
          <w:iCs/>
          <w:sz w:val="24"/>
          <w:szCs w:val="24"/>
          <w:highlight w:val="yellow"/>
          <w:lang w:eastAsia="zh-CN"/>
        </w:rPr>
        <w:t xml:space="preserve"> </w:t>
      </w:r>
      <w:r w:rsidR="00BF41EB" w:rsidRPr="00AE66CD">
        <w:rPr>
          <w:rFonts w:eastAsiaTheme="minorHAnsi" w:cs="Times New Roman"/>
          <w:i/>
          <w:iCs/>
          <w:sz w:val="24"/>
          <w:szCs w:val="24"/>
          <w:highlight w:val="yellow"/>
        </w:rPr>
        <w:t>Teachers</w:t>
      </w:r>
      <w:r w:rsidR="00FC39BE">
        <w:rPr>
          <w:rFonts w:eastAsiaTheme="minorHAnsi" w:cs="Times New Roman"/>
          <w:i/>
          <w:iCs/>
          <w:sz w:val="24"/>
          <w:szCs w:val="24"/>
          <w:highlight w:val="yellow"/>
        </w:rPr>
        <w:t>’</w:t>
      </w:r>
      <w:r w:rsidR="00BF41EB" w:rsidRPr="00AE66CD">
        <w:rPr>
          <w:rFonts w:eastAsiaTheme="minorHAnsi" w:cs="Times New Roman"/>
          <w:i/>
          <w:iCs/>
          <w:sz w:val="24"/>
          <w:szCs w:val="24"/>
          <w:highlight w:val="yellow"/>
        </w:rPr>
        <w:t xml:space="preserve"> concerns regarding AI reliability and student algorithmic dependence negatively impact their unconditional acceptance of generative AI in high-stakes writing instruction.</w:t>
      </w:r>
    </w:p>
    <w:p w14:paraId="7E7C8907" w14:textId="57BD5FDE" w:rsidR="00BF41EB" w:rsidRPr="00AE66CD" w:rsidRDefault="00BF41EB" w:rsidP="00734B81">
      <w:pPr>
        <w:pStyle w:val="RALs-Heading2"/>
        <w:rPr>
          <w:rFonts w:asciiTheme="majorBidi" w:hAnsiTheme="majorBidi" w:cstheme="majorBidi"/>
          <w:sz w:val="24"/>
          <w:szCs w:val="24"/>
          <w:highlight w:val="yellow"/>
          <w:lang w:eastAsia="zh-CN"/>
        </w:rPr>
      </w:pPr>
      <w:r w:rsidRPr="00AE66CD">
        <w:rPr>
          <w:rFonts w:asciiTheme="majorBidi" w:hAnsiTheme="majorBidi" w:cstheme="majorBidi"/>
          <w:sz w:val="24"/>
          <w:szCs w:val="24"/>
          <w:highlight w:val="yellow"/>
        </w:rPr>
        <w:t>1.4. Delimitations</w:t>
      </w:r>
    </w:p>
    <w:p w14:paraId="3B1F18A7" w14:textId="271C2529" w:rsidR="006F01BE" w:rsidRPr="00840D18" w:rsidRDefault="00BF41EB" w:rsidP="00BF41EB">
      <w:pPr>
        <w:autoSpaceDE w:val="0"/>
        <w:autoSpaceDN w:val="0"/>
        <w:adjustRightInd w:val="0"/>
        <w:spacing w:before="0" w:after="0" w:line="480" w:lineRule="auto"/>
        <w:rPr>
          <w:rFonts w:asciiTheme="majorBidi" w:eastAsia="TimesNewRomanPSMT" w:hAnsiTheme="majorBidi" w:cstheme="majorBidi"/>
          <w:sz w:val="24"/>
          <w:szCs w:val="24"/>
          <w:lang w:eastAsia="zh-CN"/>
        </w:rPr>
      </w:pPr>
      <w:r w:rsidRPr="00AE66CD">
        <w:rPr>
          <w:rFonts w:asciiTheme="majorBidi" w:eastAsiaTheme="minorHAnsi" w:hAnsiTheme="majorBidi" w:cstheme="majorBidi"/>
          <w:sz w:val="24"/>
          <w:szCs w:val="24"/>
          <w:highlight w:val="yellow"/>
        </w:rPr>
        <w:t>To ensure empirical depth and contextual relevance, this study is delimited in its scope. Geographically and institutionally, the research targets higher education institutions located in Ho Chi Minh City, Vietnam. Demographically, the participant pool is limited to 50 tertiary EFL lecturers explicitly tasked with teaching IELTS preparation courses. Furthermore, the instructional context is confined to high-quality</w:t>
      </w:r>
      <w:r w:rsidR="003267E6" w:rsidRPr="00AE66CD">
        <w:rPr>
          <w:rFonts w:asciiTheme="majorBidi" w:eastAsiaTheme="minorHAnsi" w:hAnsiTheme="majorBidi" w:cstheme="majorBidi" w:hint="eastAsia"/>
          <w:sz w:val="24"/>
          <w:szCs w:val="24"/>
          <w:highlight w:val="yellow"/>
          <w:lang w:eastAsia="zh-CN"/>
        </w:rPr>
        <w:t xml:space="preserve"> </w:t>
      </w:r>
      <w:r w:rsidRPr="00AE66CD">
        <w:rPr>
          <w:rFonts w:asciiTheme="majorBidi" w:eastAsiaTheme="minorHAnsi" w:hAnsiTheme="majorBidi" w:cstheme="majorBidi"/>
          <w:sz w:val="24"/>
          <w:szCs w:val="24"/>
          <w:highlight w:val="yellow"/>
        </w:rPr>
        <w:t>undergraduate programs, specifically targeting cohorts of logistics-majored students learning English for specific professional and academic purposes. This study explicitly excludes English linguistics majors</w:t>
      </w:r>
      <w:r w:rsidR="007628B2" w:rsidRPr="00AE66CD">
        <w:rPr>
          <w:rFonts w:asciiTheme="majorBidi" w:eastAsiaTheme="minorHAnsi" w:hAnsiTheme="majorBidi" w:cstheme="majorBidi"/>
          <w:sz w:val="24"/>
          <w:szCs w:val="24"/>
          <w:highlight w:val="yellow"/>
        </w:rPr>
        <w:t>.</w:t>
      </w:r>
    </w:p>
    <w:p w14:paraId="0450B0E9" w14:textId="01E3F534" w:rsidR="00352213" w:rsidRPr="0062413D" w:rsidRDefault="00722EDE" w:rsidP="0062413D">
      <w:pPr>
        <w:pStyle w:val="RALs-Heading1"/>
        <w:rPr>
          <w:rFonts w:asciiTheme="majorBidi" w:hAnsiTheme="majorBidi" w:cstheme="majorBidi"/>
          <w:sz w:val="24"/>
          <w:szCs w:val="24"/>
        </w:rPr>
      </w:pPr>
      <w:r w:rsidRPr="00E40940">
        <w:rPr>
          <w:rFonts w:asciiTheme="majorBidi" w:hAnsiTheme="majorBidi" w:cstheme="majorBidi"/>
          <w:sz w:val="24"/>
          <w:szCs w:val="24"/>
        </w:rPr>
        <w:t>2. Literature Review</w:t>
      </w:r>
    </w:p>
    <w:p w14:paraId="269F8069" w14:textId="1E829E47" w:rsidR="00B13FAF" w:rsidRDefault="00B13FAF" w:rsidP="0062413D">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 xml:space="preserve">.1. </w:t>
      </w:r>
      <w:r w:rsidR="0062413D" w:rsidRPr="0062413D">
        <w:rPr>
          <w:rFonts w:asciiTheme="majorBidi" w:hAnsiTheme="majorBidi" w:cstheme="majorBidi"/>
          <w:sz w:val="24"/>
          <w:szCs w:val="24"/>
        </w:rPr>
        <w:t>Theoretical perspectives on</w:t>
      </w:r>
      <w:r w:rsidR="0062413D">
        <w:rPr>
          <w:rFonts w:asciiTheme="majorBidi" w:hAnsiTheme="majorBidi" w:cstheme="majorBidi"/>
          <w:sz w:val="24"/>
          <w:szCs w:val="24"/>
        </w:rPr>
        <w:t xml:space="preserve"> </w:t>
      </w:r>
      <w:r w:rsidR="0062413D" w:rsidRPr="0062413D">
        <w:rPr>
          <w:rFonts w:asciiTheme="majorBidi" w:hAnsiTheme="majorBidi" w:cstheme="majorBidi"/>
          <w:sz w:val="24"/>
          <w:szCs w:val="24"/>
        </w:rPr>
        <w:t>AI-supported</w:t>
      </w:r>
      <w:r w:rsidR="00BD7136">
        <w:rPr>
          <w:rFonts w:asciiTheme="majorBidi" w:hAnsiTheme="majorBidi" w:cstheme="majorBidi"/>
          <w:sz w:val="24"/>
          <w:szCs w:val="24"/>
        </w:rPr>
        <w:t xml:space="preserve"> </w:t>
      </w:r>
      <w:r w:rsidR="00BD7136" w:rsidRPr="00BD7136">
        <w:rPr>
          <w:rFonts w:asciiTheme="majorBidi" w:hAnsiTheme="majorBidi" w:cstheme="majorBidi"/>
          <w:sz w:val="24"/>
          <w:szCs w:val="24"/>
        </w:rPr>
        <w:t>instruction</w:t>
      </w:r>
      <w:r w:rsidR="0062413D" w:rsidRPr="0062413D">
        <w:rPr>
          <w:rFonts w:asciiTheme="majorBidi" w:hAnsiTheme="majorBidi" w:cstheme="majorBidi"/>
          <w:sz w:val="24"/>
          <w:szCs w:val="24"/>
        </w:rPr>
        <w:t xml:space="preserve"> </w:t>
      </w:r>
      <w:r w:rsidR="0062413D">
        <w:rPr>
          <w:rFonts w:asciiTheme="majorBidi" w:hAnsiTheme="majorBidi" w:cstheme="majorBidi"/>
          <w:sz w:val="24"/>
          <w:szCs w:val="24"/>
        </w:rPr>
        <w:t>in IELTS teaching</w:t>
      </w:r>
    </w:p>
    <w:p w14:paraId="660B89AC" w14:textId="7DFB95AD" w:rsidR="00BD7136" w:rsidRPr="00BD7136" w:rsidRDefault="00BD7136" w:rsidP="00BD7136">
      <w:pPr>
        <w:autoSpaceDE w:val="0"/>
        <w:autoSpaceDN w:val="0"/>
        <w:adjustRightInd w:val="0"/>
        <w:spacing w:before="0" w:after="0" w:line="480" w:lineRule="auto"/>
        <w:rPr>
          <w:rFonts w:asciiTheme="majorBidi" w:eastAsia="TimesNewRomanPSMT" w:hAnsiTheme="majorBidi" w:cstheme="majorBidi"/>
          <w:sz w:val="24"/>
          <w:szCs w:val="24"/>
        </w:rPr>
      </w:pPr>
      <w:r w:rsidRPr="00BD7136">
        <w:rPr>
          <w:rFonts w:asciiTheme="majorBidi" w:eastAsia="TimesNewRomanPSMT" w:hAnsiTheme="majorBidi" w:cstheme="majorBidi"/>
          <w:sz w:val="24"/>
          <w:szCs w:val="24"/>
        </w:rPr>
        <w:t>The growing presence of AI in educational settings has prompted renewed attention to how emerging technologies shape teaching practices (Dimitriadou &amp; Lanitis, 2023</w:t>
      </w:r>
      <w:r>
        <w:rPr>
          <w:rFonts w:asciiTheme="majorBidi" w:eastAsia="TimesNewRomanPSMT" w:hAnsiTheme="majorBidi" w:cstheme="majorBidi"/>
          <w:sz w:val="24"/>
          <w:szCs w:val="24"/>
        </w:rPr>
        <w:t>)</w:t>
      </w:r>
      <w:r w:rsidRPr="00BD7136">
        <w:rPr>
          <w:rFonts w:asciiTheme="majorBidi" w:eastAsia="TimesNewRomanPSMT" w:hAnsiTheme="majorBidi" w:cstheme="majorBidi"/>
          <w:sz w:val="24"/>
          <w:szCs w:val="24"/>
        </w:rPr>
        <w:t xml:space="preserve">. In English language education, AI-supported instruction refers to the use of intelligent systems, such as </w:t>
      </w:r>
      <w:r w:rsidRPr="00BD7136">
        <w:rPr>
          <w:rFonts w:asciiTheme="majorBidi" w:eastAsia="TimesNewRomanPSMT" w:hAnsiTheme="majorBidi" w:cstheme="majorBidi"/>
          <w:sz w:val="24"/>
          <w:szCs w:val="24"/>
        </w:rPr>
        <w:lastRenderedPageBreak/>
        <w:t xml:space="preserve">automated feedback tools, intelligent tutoring applications, and generative language models, to support learners during the language acquisition process (Liu et al., 2025). </w:t>
      </w:r>
    </w:p>
    <w:p w14:paraId="0EDE29C6" w14:textId="1606CA42" w:rsidR="00BD7136" w:rsidRPr="00BD7136" w:rsidRDefault="00BD7136" w:rsidP="0013021E">
      <w:pPr>
        <w:autoSpaceDE w:val="0"/>
        <w:autoSpaceDN w:val="0"/>
        <w:adjustRightInd w:val="0"/>
        <w:spacing w:before="0" w:after="0" w:line="480" w:lineRule="auto"/>
        <w:rPr>
          <w:rFonts w:asciiTheme="majorBidi" w:eastAsia="TimesNewRomanPSMT" w:hAnsiTheme="majorBidi" w:cstheme="majorBidi"/>
          <w:sz w:val="24"/>
          <w:szCs w:val="24"/>
        </w:rPr>
      </w:pPr>
      <w:r w:rsidRPr="00BD7136">
        <w:rPr>
          <w:rFonts w:asciiTheme="majorBidi" w:eastAsia="TimesNewRomanPSMT" w:hAnsiTheme="majorBidi" w:cstheme="majorBidi"/>
          <w:sz w:val="24"/>
          <w:szCs w:val="24"/>
        </w:rPr>
        <w:t>Understanding teachers</w:t>
      </w:r>
      <w:r w:rsidR="00FC39BE">
        <w:rPr>
          <w:rFonts w:asciiTheme="majorBidi" w:eastAsia="TimesNewRomanPSMT" w:hAnsiTheme="majorBidi" w:cstheme="majorBidi"/>
          <w:sz w:val="24"/>
          <w:szCs w:val="24"/>
        </w:rPr>
        <w:t>’</w:t>
      </w:r>
      <w:r w:rsidRPr="00BD7136">
        <w:rPr>
          <w:rFonts w:asciiTheme="majorBidi" w:eastAsia="TimesNewRomanPSMT" w:hAnsiTheme="majorBidi" w:cstheme="majorBidi"/>
          <w:sz w:val="24"/>
          <w:szCs w:val="24"/>
        </w:rPr>
        <w:t xml:space="preserve"> engagement with such tools in high-stakes testing contexts like IELTS requires a theoretically grounded perspective that recognizes teaching as a cognitively and socially situated activity (Poquet, 2024). Teacher cognition theory provides a useful foundation for examining how teachers interpret and respond to instructional innovations, asserting that teachers</w:t>
      </w:r>
      <w:r w:rsidR="00FC39BE">
        <w:rPr>
          <w:rFonts w:asciiTheme="majorBidi" w:eastAsia="TimesNewRomanPSMT" w:hAnsiTheme="majorBidi" w:cstheme="majorBidi"/>
          <w:sz w:val="24"/>
          <w:szCs w:val="24"/>
        </w:rPr>
        <w:t>’</w:t>
      </w:r>
      <w:r w:rsidRPr="00BD7136">
        <w:rPr>
          <w:rFonts w:asciiTheme="majorBidi" w:eastAsia="TimesNewRomanPSMT" w:hAnsiTheme="majorBidi" w:cstheme="majorBidi"/>
          <w:sz w:val="24"/>
          <w:szCs w:val="24"/>
        </w:rPr>
        <w:t xml:space="preserve"> beliefs, perceptions, and prior experiences strongly influence classroom decision-making and instructional behavior (Bakshi, 2023). The introduction of AI into IELTS instruction, therefore, does not lead to uniform pedagogical change; rather, it is mediated by teachers</w:t>
      </w:r>
      <w:r w:rsidR="00FC39BE">
        <w:rPr>
          <w:rFonts w:asciiTheme="majorBidi" w:eastAsia="TimesNewRomanPSMT" w:hAnsiTheme="majorBidi" w:cstheme="majorBidi"/>
          <w:sz w:val="24"/>
          <w:szCs w:val="24"/>
        </w:rPr>
        <w:t>’</w:t>
      </w:r>
      <w:r w:rsidRPr="00BD7136">
        <w:rPr>
          <w:rFonts w:asciiTheme="majorBidi" w:eastAsia="TimesNewRomanPSMT" w:hAnsiTheme="majorBidi" w:cstheme="majorBidi"/>
          <w:sz w:val="24"/>
          <w:szCs w:val="24"/>
        </w:rPr>
        <w:t xml:space="preserve"> perceptions of AI regarding its instructional value, risks, and legitimacy (Wu et al., 2026). </w:t>
      </w:r>
    </w:p>
    <w:p w14:paraId="272B5E58" w14:textId="05B58648" w:rsidR="00BD7136" w:rsidRPr="00BD7136" w:rsidRDefault="00BD7136" w:rsidP="00BD7136">
      <w:pPr>
        <w:autoSpaceDE w:val="0"/>
        <w:autoSpaceDN w:val="0"/>
        <w:adjustRightInd w:val="0"/>
        <w:spacing w:before="0" w:after="0" w:line="480" w:lineRule="auto"/>
        <w:rPr>
          <w:rFonts w:asciiTheme="majorBidi" w:eastAsia="TimesNewRomanPSMT" w:hAnsiTheme="majorBidi" w:cstheme="majorBidi"/>
          <w:sz w:val="24"/>
          <w:szCs w:val="24"/>
        </w:rPr>
      </w:pPr>
      <w:r w:rsidRPr="00BD7136">
        <w:rPr>
          <w:rFonts w:asciiTheme="majorBidi" w:eastAsia="TimesNewRomanPSMT" w:hAnsiTheme="majorBidi" w:cstheme="majorBidi"/>
          <w:sz w:val="24"/>
          <w:szCs w:val="24"/>
        </w:rPr>
        <w:t>In addition, the TAM suggests that individuals</w:t>
      </w:r>
      <w:r w:rsidR="00FC39BE">
        <w:rPr>
          <w:rFonts w:asciiTheme="majorBidi" w:eastAsia="TimesNewRomanPSMT" w:hAnsiTheme="majorBidi" w:cstheme="majorBidi"/>
          <w:sz w:val="24"/>
          <w:szCs w:val="24"/>
        </w:rPr>
        <w:t>’</w:t>
      </w:r>
      <w:r w:rsidRPr="00BD7136">
        <w:rPr>
          <w:rFonts w:asciiTheme="majorBidi" w:eastAsia="TimesNewRomanPSMT" w:hAnsiTheme="majorBidi" w:cstheme="majorBidi"/>
          <w:sz w:val="24"/>
          <w:szCs w:val="24"/>
        </w:rPr>
        <w:t xml:space="preserve"> adoption of new technologies is influenced by perceived usefulness and perceived ease of use (Liesa-Orús et al., 2023). Within high-stakes preparation contexts, these perceptions are closely linked to pedagogical beliefs and professional identity (Suarez &amp; McGrath, 2022). Complementing these perspectives, Technological Pedagogical Content Knowledge (TPACK) theory emphasizes that meaningful technology integration depends on teachers</w:t>
      </w:r>
      <w:r w:rsidR="00FC39BE">
        <w:rPr>
          <w:rFonts w:asciiTheme="majorBidi" w:eastAsia="TimesNewRomanPSMT" w:hAnsiTheme="majorBidi" w:cstheme="majorBidi"/>
          <w:sz w:val="24"/>
          <w:szCs w:val="24"/>
        </w:rPr>
        <w:t>’</w:t>
      </w:r>
      <w:r w:rsidRPr="00BD7136">
        <w:rPr>
          <w:rFonts w:asciiTheme="majorBidi" w:eastAsia="TimesNewRomanPSMT" w:hAnsiTheme="majorBidi" w:cstheme="majorBidi"/>
          <w:sz w:val="24"/>
          <w:szCs w:val="24"/>
        </w:rPr>
        <w:t xml:space="preserve"> ability to align technological knowledge with pedagogical strategies and subject matter expertise</w:t>
      </w:r>
      <w:r w:rsidR="0013021E">
        <w:rPr>
          <w:rFonts w:asciiTheme="majorBidi" w:eastAsia="TimesNewRomanPSMT" w:hAnsiTheme="majorBidi" w:cstheme="majorBidi"/>
          <w:sz w:val="24"/>
          <w:szCs w:val="24"/>
        </w:rPr>
        <w:t xml:space="preserve">, </w:t>
      </w:r>
      <w:r w:rsidRPr="00BD7136">
        <w:rPr>
          <w:rFonts w:asciiTheme="majorBidi" w:eastAsia="TimesNewRomanPSMT" w:hAnsiTheme="majorBidi" w:cstheme="majorBidi"/>
          <w:sz w:val="24"/>
          <w:szCs w:val="24"/>
        </w:rPr>
        <w:t>specifically the rigid evaluation criteria of the IELTS band descriptors (Zhang &amp; Li, 2025).</w:t>
      </w:r>
    </w:p>
    <w:p w14:paraId="78CFE12B" w14:textId="672E88DA" w:rsidR="0062413D" w:rsidRDefault="0062413D" w:rsidP="0062413D">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Pr>
          <w:rFonts w:asciiTheme="majorBidi" w:hAnsiTheme="majorBidi" w:cstheme="majorBidi"/>
          <w:sz w:val="24"/>
          <w:szCs w:val="24"/>
        </w:rPr>
        <w:t>2</w:t>
      </w:r>
      <w:r w:rsidRPr="00E40940">
        <w:rPr>
          <w:rFonts w:asciiTheme="majorBidi" w:hAnsiTheme="majorBidi" w:cstheme="majorBidi"/>
          <w:sz w:val="24"/>
          <w:szCs w:val="24"/>
        </w:rPr>
        <w:t xml:space="preserve">. </w:t>
      </w:r>
      <w:r w:rsidRPr="0062413D">
        <w:rPr>
          <w:rFonts w:asciiTheme="majorBidi" w:hAnsiTheme="majorBidi" w:cstheme="majorBidi"/>
          <w:sz w:val="24"/>
          <w:szCs w:val="24"/>
        </w:rPr>
        <w:t>Teachers</w:t>
      </w:r>
      <w:r w:rsidR="00FC39BE">
        <w:rPr>
          <w:rFonts w:asciiTheme="majorBidi" w:hAnsiTheme="majorBidi" w:cstheme="majorBidi"/>
          <w:sz w:val="24"/>
          <w:szCs w:val="24"/>
        </w:rPr>
        <w:t>’</w:t>
      </w:r>
      <w:r w:rsidRPr="0062413D">
        <w:rPr>
          <w:rFonts w:asciiTheme="majorBidi" w:hAnsiTheme="majorBidi" w:cstheme="majorBidi"/>
          <w:sz w:val="24"/>
          <w:szCs w:val="24"/>
        </w:rPr>
        <w:t xml:space="preserve"> perceptions of AI-supported</w:t>
      </w:r>
      <w:r>
        <w:rPr>
          <w:rFonts w:asciiTheme="majorBidi" w:hAnsiTheme="majorBidi" w:cstheme="majorBidi"/>
          <w:sz w:val="24"/>
          <w:szCs w:val="24"/>
        </w:rPr>
        <w:t xml:space="preserve"> in IELTS teaching</w:t>
      </w:r>
    </w:p>
    <w:p w14:paraId="64547A6A" w14:textId="1479AA99" w:rsidR="0013021E" w:rsidRPr="0013021E" w:rsidRDefault="0013021E" w:rsidP="0013021E">
      <w:pPr>
        <w:autoSpaceDE w:val="0"/>
        <w:autoSpaceDN w:val="0"/>
        <w:adjustRightInd w:val="0"/>
        <w:spacing w:before="0" w:after="0" w:line="480" w:lineRule="auto"/>
        <w:rPr>
          <w:rFonts w:asciiTheme="majorBidi" w:eastAsia="TimesNewRomanPSMT" w:hAnsiTheme="majorBidi" w:cstheme="majorBidi"/>
          <w:sz w:val="24"/>
          <w:szCs w:val="24"/>
        </w:rPr>
      </w:pPr>
      <w:r w:rsidRPr="0013021E">
        <w:rPr>
          <w:rFonts w:asciiTheme="majorBidi" w:eastAsia="TimesNewRomanPSMT" w:hAnsiTheme="majorBidi" w:cstheme="majorBidi"/>
          <w:sz w:val="24"/>
          <w:szCs w:val="24"/>
        </w:rPr>
        <w:t>Teachers</w:t>
      </w:r>
      <w:r w:rsidR="00FC39BE">
        <w:rPr>
          <w:rFonts w:asciiTheme="majorBidi" w:eastAsia="TimesNewRomanPSMT" w:hAnsiTheme="majorBidi" w:cstheme="majorBidi"/>
          <w:sz w:val="24"/>
          <w:szCs w:val="24"/>
        </w:rPr>
        <w:t>’</w:t>
      </w:r>
      <w:r w:rsidRPr="0013021E">
        <w:rPr>
          <w:rFonts w:asciiTheme="majorBidi" w:eastAsia="TimesNewRomanPSMT" w:hAnsiTheme="majorBidi" w:cstheme="majorBidi"/>
          <w:sz w:val="24"/>
          <w:szCs w:val="24"/>
        </w:rPr>
        <w:t xml:space="preserve"> perceptions of AI-supported tools represent a critical cognitive driver that shapes instructional readiness (Wu et al., 2026). In high-stakes IELTS training, teachers exhibit a complex mixture of optimism and caution. Educators often perceive AI tools as highly useful for enhancing feedback quality, supporting continuous drafting, and managing the heavy instructional workload associated with grading writing and speaking components (An et al., 2022; Bower et al., 2024). When AI is perceived as an administrative asset that improves </w:t>
      </w:r>
      <w:r w:rsidRPr="0013021E">
        <w:rPr>
          <w:rFonts w:asciiTheme="majorBidi" w:eastAsia="TimesNewRomanPSMT" w:hAnsiTheme="majorBidi" w:cstheme="majorBidi"/>
          <w:sz w:val="24"/>
          <w:szCs w:val="24"/>
        </w:rPr>
        <w:lastRenderedPageBreak/>
        <w:t xml:space="preserve">performance, teachers are more likely to integrate it as a resource that extends their professional role (Wu et al., 2026). </w:t>
      </w:r>
    </w:p>
    <w:p w14:paraId="4C7D9BB8" w14:textId="6B8434F6" w:rsidR="0013021E" w:rsidRPr="0013021E" w:rsidRDefault="0013021E" w:rsidP="0013021E">
      <w:pPr>
        <w:autoSpaceDE w:val="0"/>
        <w:autoSpaceDN w:val="0"/>
        <w:adjustRightInd w:val="0"/>
        <w:spacing w:before="0" w:after="0" w:line="480" w:lineRule="auto"/>
        <w:rPr>
          <w:rFonts w:asciiTheme="majorBidi" w:eastAsia="TimesNewRomanPSMT" w:hAnsiTheme="majorBidi" w:cstheme="majorBidi"/>
          <w:sz w:val="24"/>
          <w:szCs w:val="24"/>
        </w:rPr>
      </w:pPr>
      <w:r w:rsidRPr="0013021E">
        <w:rPr>
          <w:rFonts w:asciiTheme="majorBidi" w:eastAsia="TimesNewRomanPSMT" w:hAnsiTheme="majorBidi" w:cstheme="majorBidi"/>
          <w:sz w:val="24"/>
          <w:szCs w:val="24"/>
        </w:rPr>
        <w:t>On the other hand, serious concerns persist regarding the reliability and alignment of AI feedback with official IELTS evaluation criteria (Li &amp; Huang, 2025). Anxiety regarding academic integrity, potential algorithmic bias, and the fear of reducing students</w:t>
      </w:r>
      <w:r w:rsidR="00FC39BE">
        <w:rPr>
          <w:rFonts w:asciiTheme="majorBidi" w:eastAsia="TimesNewRomanPSMT" w:hAnsiTheme="majorBidi" w:cstheme="majorBidi"/>
          <w:sz w:val="24"/>
          <w:szCs w:val="24"/>
        </w:rPr>
        <w:t>’</w:t>
      </w:r>
      <w:r w:rsidRPr="0013021E">
        <w:rPr>
          <w:rFonts w:asciiTheme="majorBidi" w:eastAsia="TimesNewRomanPSMT" w:hAnsiTheme="majorBidi" w:cstheme="majorBidi"/>
          <w:sz w:val="24"/>
          <w:szCs w:val="24"/>
        </w:rPr>
        <w:t xml:space="preserve"> critical thinking through overreliance often diminishes teachers</w:t>
      </w:r>
      <w:r w:rsidR="00FC39BE">
        <w:rPr>
          <w:rFonts w:asciiTheme="majorBidi" w:eastAsia="TimesNewRomanPSMT" w:hAnsiTheme="majorBidi" w:cstheme="majorBidi"/>
          <w:sz w:val="24"/>
          <w:szCs w:val="24"/>
        </w:rPr>
        <w:t>’</w:t>
      </w:r>
      <w:r w:rsidRPr="0013021E">
        <w:rPr>
          <w:rFonts w:asciiTheme="majorBidi" w:eastAsia="TimesNewRomanPSMT" w:hAnsiTheme="majorBidi" w:cstheme="majorBidi"/>
          <w:sz w:val="24"/>
          <w:szCs w:val="24"/>
        </w:rPr>
        <w:t xml:space="preserve"> acceptance (Gustilo et al., 2024; Li &amp; Huang, 2025). Therefore, teachers</w:t>
      </w:r>
      <w:r w:rsidR="00FC39BE">
        <w:rPr>
          <w:rFonts w:asciiTheme="majorBidi" w:eastAsia="TimesNewRomanPSMT" w:hAnsiTheme="majorBidi" w:cstheme="majorBidi"/>
          <w:sz w:val="24"/>
          <w:szCs w:val="24"/>
        </w:rPr>
        <w:t>’</w:t>
      </w:r>
      <w:r w:rsidRPr="0013021E">
        <w:rPr>
          <w:rFonts w:asciiTheme="majorBidi" w:eastAsia="TimesNewRomanPSMT" w:hAnsiTheme="majorBidi" w:cstheme="majorBidi"/>
          <w:sz w:val="24"/>
          <w:szCs w:val="24"/>
        </w:rPr>
        <w:t xml:space="preserve"> perception does not function as a simple binary attitude but as an evaluative interpretive framework through which they negotiate the boundaries between automated efficiency and pedagogical validity (Azis &amp; Numan, 2026).</w:t>
      </w:r>
    </w:p>
    <w:p w14:paraId="665DBA54" w14:textId="12B96E8A" w:rsidR="0062413D" w:rsidRDefault="0062413D" w:rsidP="0062413D">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Pr>
          <w:rFonts w:asciiTheme="majorBidi" w:hAnsiTheme="majorBidi" w:cstheme="majorBidi"/>
          <w:sz w:val="24"/>
          <w:szCs w:val="24"/>
        </w:rPr>
        <w:t>3</w:t>
      </w:r>
      <w:r w:rsidRPr="00E40940">
        <w:rPr>
          <w:rFonts w:asciiTheme="majorBidi" w:hAnsiTheme="majorBidi" w:cstheme="majorBidi"/>
          <w:sz w:val="24"/>
          <w:szCs w:val="24"/>
        </w:rPr>
        <w:t xml:space="preserve">. </w:t>
      </w:r>
      <w:r w:rsidR="0013021E" w:rsidRPr="0013021E">
        <w:rPr>
          <w:rFonts w:asciiTheme="majorBidi" w:hAnsiTheme="majorBidi" w:cstheme="majorBidi"/>
          <w:sz w:val="24"/>
          <w:szCs w:val="24"/>
        </w:rPr>
        <w:t>Professional development and teacher AI competence</w:t>
      </w:r>
    </w:p>
    <w:p w14:paraId="692B7176" w14:textId="044112A2" w:rsidR="0013021E" w:rsidRPr="0013021E" w:rsidRDefault="0013021E" w:rsidP="0013021E">
      <w:pPr>
        <w:autoSpaceDE w:val="0"/>
        <w:autoSpaceDN w:val="0"/>
        <w:adjustRightInd w:val="0"/>
        <w:spacing w:before="0" w:after="0" w:line="480" w:lineRule="auto"/>
        <w:rPr>
          <w:rFonts w:asciiTheme="majorBidi" w:eastAsia="TimesNewRomanPSMT" w:hAnsiTheme="majorBidi" w:cstheme="majorBidi"/>
          <w:sz w:val="24"/>
          <w:szCs w:val="24"/>
        </w:rPr>
      </w:pPr>
      <w:r w:rsidRPr="0013021E">
        <w:rPr>
          <w:rFonts w:asciiTheme="majorBidi" w:eastAsia="TimesNewRomanPSMT" w:hAnsiTheme="majorBidi" w:cstheme="majorBidi"/>
          <w:sz w:val="24"/>
          <w:szCs w:val="24"/>
        </w:rPr>
        <w:t xml:space="preserve">Professional development (PD) serves as the primary capability-building mechanism through which teachers construct technological knowledge, negotiate professional norms, and develop shared digital pedagogy principles within communities of practice (Chiu et al., 2025; Dlamini et al., 2024). In the rapidly evolving domain of </w:t>
      </w:r>
      <w:r w:rsidR="00A846F3">
        <w:rPr>
          <w:rFonts w:asciiTheme="majorBidi" w:eastAsia="TimesNewRomanPSMT" w:hAnsiTheme="majorBidi" w:cstheme="majorBidi"/>
          <w:sz w:val="24"/>
          <w:szCs w:val="24"/>
        </w:rPr>
        <w:t>AI</w:t>
      </w:r>
      <w:r w:rsidRPr="0013021E">
        <w:rPr>
          <w:rFonts w:asciiTheme="majorBidi" w:eastAsia="TimesNewRomanPSMT" w:hAnsiTheme="majorBidi" w:cstheme="majorBidi"/>
          <w:sz w:val="24"/>
          <w:szCs w:val="24"/>
        </w:rPr>
        <w:t xml:space="preserve">, traditional technical training that focuses solely on software proficiency is insufficient (Azis &amp; Numan, 2026). </w:t>
      </w:r>
    </w:p>
    <w:p w14:paraId="109FFED1" w14:textId="2E3232FE" w:rsidR="0013021E" w:rsidRDefault="0013021E" w:rsidP="0013021E">
      <w:pPr>
        <w:autoSpaceDE w:val="0"/>
        <w:autoSpaceDN w:val="0"/>
        <w:adjustRightInd w:val="0"/>
        <w:spacing w:before="0" w:after="0" w:line="480" w:lineRule="auto"/>
        <w:rPr>
          <w:rFonts w:asciiTheme="majorBidi" w:eastAsia="TimesNewRomanPSMT" w:hAnsiTheme="majorBidi" w:cstheme="majorBidi"/>
          <w:sz w:val="24"/>
          <w:szCs w:val="24"/>
        </w:rPr>
      </w:pPr>
      <w:r w:rsidRPr="0013021E">
        <w:rPr>
          <w:rFonts w:asciiTheme="majorBidi" w:eastAsia="TimesNewRomanPSMT" w:hAnsiTheme="majorBidi" w:cstheme="majorBidi"/>
          <w:sz w:val="24"/>
          <w:szCs w:val="24"/>
        </w:rPr>
        <w:t>Effective PD must address both pedagogical implementation and ethical awareness, equipping IELTS instructors with the critical literacy needed to distinguish accurate automated outputs from algorithmic errors (Mouta et al., 2025). Without continuous institutional learning support, teachers</w:t>
      </w:r>
      <w:r w:rsidR="00FC39BE">
        <w:rPr>
          <w:rFonts w:asciiTheme="majorBidi" w:eastAsia="TimesNewRomanPSMT" w:hAnsiTheme="majorBidi" w:cstheme="majorBidi"/>
          <w:sz w:val="24"/>
          <w:szCs w:val="24"/>
        </w:rPr>
        <w:t>’</w:t>
      </w:r>
      <w:r w:rsidRPr="0013021E">
        <w:rPr>
          <w:rFonts w:asciiTheme="majorBidi" w:eastAsia="TimesNewRomanPSMT" w:hAnsiTheme="majorBidi" w:cstheme="majorBidi"/>
          <w:sz w:val="24"/>
          <w:szCs w:val="24"/>
        </w:rPr>
        <w:t xml:space="preserve"> positive perceptions may fail to manifest as actual classroom innovation. PD effectively bridges the gap between perception and practice by enhancing instructional competence and strengthening teachers</w:t>
      </w:r>
      <w:r w:rsidR="00FC39BE">
        <w:rPr>
          <w:rFonts w:asciiTheme="majorBidi" w:eastAsia="TimesNewRomanPSMT" w:hAnsiTheme="majorBidi" w:cstheme="majorBidi"/>
          <w:sz w:val="24"/>
          <w:szCs w:val="24"/>
        </w:rPr>
        <w:t>’</w:t>
      </w:r>
      <w:r w:rsidRPr="0013021E">
        <w:rPr>
          <w:rFonts w:asciiTheme="majorBidi" w:eastAsia="TimesNewRomanPSMT" w:hAnsiTheme="majorBidi" w:cstheme="majorBidi"/>
          <w:sz w:val="24"/>
          <w:szCs w:val="24"/>
        </w:rPr>
        <w:t xml:space="preserve"> confidence to exercise professional agency when integrating AI tools into high-stakes test environments (Wu et al., 2026).</w:t>
      </w:r>
    </w:p>
    <w:p w14:paraId="4F456036" w14:textId="568E1F96" w:rsidR="0013021E" w:rsidRDefault="0013021E" w:rsidP="0013021E">
      <w:pPr>
        <w:pStyle w:val="RALs-Heading2"/>
        <w:rPr>
          <w:rFonts w:asciiTheme="majorBidi" w:hAnsiTheme="majorBidi" w:cstheme="majorBidi"/>
          <w:sz w:val="24"/>
          <w:szCs w:val="24"/>
        </w:rPr>
      </w:pPr>
      <w:r>
        <w:rPr>
          <w:rFonts w:asciiTheme="majorBidi" w:hAnsiTheme="majorBidi" w:cstheme="majorBidi"/>
          <w:sz w:val="24"/>
          <w:szCs w:val="24"/>
        </w:rPr>
        <w:t xml:space="preserve">2.4. </w:t>
      </w:r>
      <w:r w:rsidRPr="0013021E">
        <w:rPr>
          <w:rFonts w:asciiTheme="majorBidi" w:hAnsiTheme="majorBidi" w:cstheme="majorBidi"/>
          <w:sz w:val="24"/>
          <w:szCs w:val="24"/>
        </w:rPr>
        <w:t>Institutional and ethical support in higher education</w:t>
      </w:r>
    </w:p>
    <w:p w14:paraId="20FB22F2" w14:textId="3D5BBA87" w:rsidR="005C4A93" w:rsidRPr="005C4A93" w:rsidRDefault="005C4A93" w:rsidP="005C4A93">
      <w:pPr>
        <w:autoSpaceDE w:val="0"/>
        <w:autoSpaceDN w:val="0"/>
        <w:adjustRightInd w:val="0"/>
        <w:spacing w:before="0" w:after="0" w:line="480" w:lineRule="auto"/>
        <w:rPr>
          <w:rFonts w:asciiTheme="majorBidi" w:eastAsia="TimesNewRomanPSMT" w:hAnsiTheme="majorBidi" w:cstheme="majorBidi"/>
          <w:sz w:val="24"/>
          <w:szCs w:val="24"/>
        </w:rPr>
      </w:pPr>
      <w:r>
        <w:rPr>
          <w:rFonts w:asciiTheme="majorBidi" w:eastAsia="TimesNewRomanPSMT" w:hAnsiTheme="majorBidi" w:cstheme="majorBidi"/>
          <w:sz w:val="24"/>
          <w:szCs w:val="24"/>
        </w:rPr>
        <w:t>I</w:t>
      </w:r>
      <w:r w:rsidRPr="005C4A93">
        <w:rPr>
          <w:rFonts w:asciiTheme="majorBidi" w:eastAsia="TimesNewRomanPSMT" w:hAnsiTheme="majorBidi" w:cstheme="majorBidi"/>
          <w:sz w:val="24"/>
          <w:szCs w:val="24"/>
        </w:rPr>
        <w:t>nstitutional and ethical support (IES) reflects the macro-environmental conditions</w:t>
      </w:r>
      <w:r>
        <w:rPr>
          <w:rFonts w:asciiTheme="majorBidi" w:eastAsia="TimesNewRomanPSMT" w:hAnsiTheme="majorBidi" w:cstheme="majorBidi"/>
          <w:sz w:val="24"/>
          <w:szCs w:val="24"/>
        </w:rPr>
        <w:t xml:space="preserve">, </w:t>
      </w:r>
      <w:r w:rsidRPr="005C4A93">
        <w:rPr>
          <w:rFonts w:asciiTheme="majorBidi" w:eastAsia="TimesNewRomanPSMT" w:hAnsiTheme="majorBidi" w:cstheme="majorBidi"/>
          <w:sz w:val="24"/>
          <w:szCs w:val="24"/>
        </w:rPr>
        <w:t>including organizational norms, structural infrastructure, and explicit policy frameworks</w:t>
      </w:r>
      <w:r>
        <w:rPr>
          <w:rFonts w:asciiTheme="majorBidi" w:eastAsia="TimesNewRomanPSMT" w:hAnsiTheme="majorBidi" w:cstheme="majorBidi"/>
          <w:sz w:val="24"/>
          <w:szCs w:val="24"/>
        </w:rPr>
        <w:t xml:space="preserve">, </w:t>
      </w:r>
      <w:r w:rsidRPr="005C4A93">
        <w:rPr>
          <w:rFonts w:asciiTheme="majorBidi" w:eastAsia="TimesNewRomanPSMT" w:hAnsiTheme="majorBidi" w:cstheme="majorBidi"/>
          <w:sz w:val="24"/>
          <w:szCs w:val="24"/>
        </w:rPr>
        <w:t xml:space="preserve">that regulate and legitimize educational innovations (Balzano et al., 2025). According to </w:t>
      </w:r>
      <w:r w:rsidRPr="005C4A93">
        <w:rPr>
          <w:rFonts w:asciiTheme="majorBidi" w:eastAsia="TimesNewRomanPSMT" w:hAnsiTheme="majorBidi" w:cstheme="majorBidi"/>
          <w:sz w:val="24"/>
          <w:szCs w:val="24"/>
        </w:rPr>
        <w:lastRenderedPageBreak/>
        <w:t xml:space="preserve">institutional theory, the enactment of individual capacity is highly contingent upon the stability of organizational structures (Wu et al., 2026). </w:t>
      </w:r>
    </w:p>
    <w:p w14:paraId="5D786252" w14:textId="0448DB90" w:rsidR="005C4A93" w:rsidRPr="005C4A93" w:rsidRDefault="005C4A93" w:rsidP="005C4A93">
      <w:pPr>
        <w:autoSpaceDE w:val="0"/>
        <w:autoSpaceDN w:val="0"/>
        <w:adjustRightInd w:val="0"/>
        <w:spacing w:before="0" w:after="0" w:line="480" w:lineRule="auto"/>
        <w:rPr>
          <w:rFonts w:asciiTheme="majorBidi" w:eastAsia="TimesNewRomanPSMT" w:hAnsiTheme="majorBidi" w:cstheme="majorBidi"/>
          <w:sz w:val="24"/>
          <w:szCs w:val="24"/>
        </w:rPr>
      </w:pPr>
      <w:r w:rsidRPr="005C4A93">
        <w:rPr>
          <w:rFonts w:asciiTheme="majorBidi" w:eastAsia="TimesNewRomanPSMT" w:hAnsiTheme="majorBidi" w:cstheme="majorBidi"/>
          <w:sz w:val="24"/>
          <w:szCs w:val="24"/>
        </w:rPr>
        <w:t>When universities provide clear, explicit guidelines regarding the ethical boundaries of generative AI and intellectual property, teachers experience lower perceived risks and higher professional safety (Holmes &amp; Porayska-Pomsta, 2023). Conversely, ambiguous or weak institutional governance forces instructors to rely entirely on personal risk management, which can severely constrain the deployment of innovative practices (Mouta et al., 2025). In early technological adoption phases, IES can function as a crucial compensatory or stabilizing structure that reduces variability driven by differences in individual teacher preparedness (Wu et al., 2026).</w:t>
      </w:r>
    </w:p>
    <w:p w14:paraId="71761E10" w14:textId="4727B516" w:rsidR="005C4A93" w:rsidRPr="005C4A93" w:rsidRDefault="005C4A93" w:rsidP="005C4A93">
      <w:pPr>
        <w:pStyle w:val="RALs-Heading2"/>
        <w:rPr>
          <w:rFonts w:asciiTheme="majorBidi" w:hAnsiTheme="majorBidi" w:cstheme="majorBidi"/>
          <w:sz w:val="24"/>
          <w:szCs w:val="24"/>
        </w:rPr>
      </w:pPr>
      <w:r>
        <w:rPr>
          <w:rFonts w:asciiTheme="majorBidi" w:hAnsiTheme="majorBidi" w:cstheme="majorBidi"/>
          <w:sz w:val="24"/>
          <w:szCs w:val="24"/>
        </w:rPr>
        <w:t xml:space="preserve">2.5. </w:t>
      </w:r>
      <w:r w:rsidRPr="005C4A93">
        <w:rPr>
          <w:rFonts w:asciiTheme="majorBidi" w:hAnsiTheme="majorBidi" w:cstheme="majorBidi"/>
          <w:sz w:val="24"/>
          <w:szCs w:val="24"/>
        </w:rPr>
        <w:t>Pedagogical integration of AI and washback on IELTS rubrics</w:t>
      </w:r>
    </w:p>
    <w:p w14:paraId="412368CD" w14:textId="06784616" w:rsidR="005C4A93" w:rsidRPr="005C4A93" w:rsidRDefault="005C4A93" w:rsidP="005C4A93">
      <w:pPr>
        <w:autoSpaceDE w:val="0"/>
        <w:autoSpaceDN w:val="0"/>
        <w:adjustRightInd w:val="0"/>
        <w:spacing w:before="0" w:after="0" w:line="480" w:lineRule="auto"/>
        <w:rPr>
          <w:rFonts w:asciiTheme="majorBidi" w:eastAsia="TimesNewRomanPSMT" w:hAnsiTheme="majorBidi" w:cstheme="majorBidi"/>
          <w:sz w:val="24"/>
          <w:szCs w:val="24"/>
        </w:rPr>
      </w:pPr>
      <w:r w:rsidRPr="005C4A93">
        <w:rPr>
          <w:rFonts w:asciiTheme="majorBidi" w:eastAsia="TimesNewRomanPSMT" w:hAnsiTheme="majorBidi" w:cstheme="majorBidi"/>
          <w:sz w:val="24"/>
          <w:szCs w:val="24"/>
        </w:rPr>
        <w:t>Pedagogical integration (PIAI) denotes the extent to which digital and AI-driven tools are purposefully embedded into instructional designs, daily classroom interactions, and assessment paradigms (Wu et al., 2026). In an exam-driven curriculum like IELTS, integration is intensely dominated by the washback effect, the direct impact of testing formats on teaching methodologies (Latif &amp; Wasim, 2022; Lei &amp; Lei, 2025). Meaningful PIAI requires that automated evaluation tools accurately reflect the hyper-specific public band descriptors of the exam, including lexical resource, grammatical range, and coherence (Wu et al., 2026). Effective pedagogical integration occurs when AI functions as a scaffold for independent learner development, rather than a shortcut that automates language production. Achieving this balance requires constant professional calibration to ensure that computer-assisted assessment practices align with authentic human-scored language standards (Azis &amp; Numan, 2026).</w:t>
      </w:r>
    </w:p>
    <w:p w14:paraId="026977D4"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3. Methodology</w:t>
      </w:r>
    </w:p>
    <w:p w14:paraId="5ADA512A" w14:textId="60D31F5D" w:rsidR="005C4A93" w:rsidRDefault="005C4A93" w:rsidP="001D1F3F">
      <w:pPr>
        <w:ind w:firstLine="0"/>
        <w:rPr>
          <w:rFonts w:asciiTheme="majorBidi" w:hAnsiTheme="majorBidi" w:cstheme="majorBidi"/>
          <w:b/>
          <w:bCs/>
          <w:i/>
          <w:iCs/>
          <w:sz w:val="24"/>
          <w:szCs w:val="24"/>
        </w:rPr>
      </w:pPr>
      <w:r w:rsidRPr="005C4A93">
        <w:rPr>
          <w:rFonts w:asciiTheme="majorBidi" w:hAnsiTheme="majorBidi" w:cstheme="majorBidi"/>
          <w:b/>
          <w:bCs/>
          <w:i/>
          <w:iCs/>
          <w:sz w:val="24"/>
          <w:szCs w:val="24"/>
        </w:rPr>
        <w:t xml:space="preserve">3.1. Research </w:t>
      </w:r>
      <w:r>
        <w:rPr>
          <w:rFonts w:asciiTheme="majorBidi" w:hAnsiTheme="majorBidi" w:cstheme="majorBidi"/>
          <w:b/>
          <w:bCs/>
          <w:i/>
          <w:iCs/>
          <w:sz w:val="24"/>
          <w:szCs w:val="24"/>
        </w:rPr>
        <w:t>d</w:t>
      </w:r>
      <w:r w:rsidRPr="005C4A93">
        <w:rPr>
          <w:rFonts w:asciiTheme="majorBidi" w:hAnsiTheme="majorBidi" w:cstheme="majorBidi"/>
          <w:b/>
          <w:bCs/>
          <w:i/>
          <w:iCs/>
          <w:sz w:val="24"/>
          <w:szCs w:val="24"/>
        </w:rPr>
        <w:t>esign</w:t>
      </w:r>
    </w:p>
    <w:p w14:paraId="528CC27B" w14:textId="5115FBF6" w:rsidR="00DF1E55" w:rsidRDefault="005C4A93" w:rsidP="00C15059">
      <w:pPr>
        <w:autoSpaceDE w:val="0"/>
        <w:autoSpaceDN w:val="0"/>
        <w:adjustRightInd w:val="0"/>
        <w:spacing w:before="0" w:after="0" w:line="480" w:lineRule="auto"/>
        <w:rPr>
          <w:rFonts w:asciiTheme="majorBidi" w:eastAsia="TimesNewRomanPSMT" w:hAnsiTheme="majorBidi" w:cstheme="majorBidi"/>
          <w:sz w:val="24"/>
          <w:szCs w:val="24"/>
        </w:rPr>
      </w:pPr>
      <w:r w:rsidRPr="005C4A93">
        <w:rPr>
          <w:rFonts w:asciiTheme="majorBidi" w:eastAsia="TimesNewRomanPSMT" w:hAnsiTheme="majorBidi" w:cstheme="majorBidi"/>
          <w:sz w:val="24"/>
          <w:szCs w:val="24"/>
        </w:rPr>
        <w:t>This study used a convergent parallel mixed-methods design to investigate tertiary EFL lecturers</w:t>
      </w:r>
      <w:r w:rsidR="00FC39BE">
        <w:rPr>
          <w:rFonts w:asciiTheme="majorBidi" w:eastAsia="TimesNewRomanPSMT" w:hAnsiTheme="majorBidi" w:cstheme="majorBidi"/>
          <w:sz w:val="24"/>
          <w:szCs w:val="24"/>
        </w:rPr>
        <w:t>’</w:t>
      </w:r>
      <w:r w:rsidRPr="005C4A93">
        <w:rPr>
          <w:rFonts w:asciiTheme="majorBidi" w:eastAsia="TimesNewRomanPSMT" w:hAnsiTheme="majorBidi" w:cstheme="majorBidi"/>
          <w:sz w:val="24"/>
          <w:szCs w:val="24"/>
        </w:rPr>
        <w:t xml:space="preserve"> perceptions and experiences regarding AI integration. This design allowed </w:t>
      </w:r>
      <w:r w:rsidRPr="005C4A93">
        <w:rPr>
          <w:rFonts w:asciiTheme="majorBidi" w:eastAsia="TimesNewRomanPSMT" w:hAnsiTheme="majorBidi" w:cstheme="majorBidi"/>
          <w:sz w:val="24"/>
          <w:szCs w:val="24"/>
        </w:rPr>
        <w:lastRenderedPageBreak/>
        <w:t>quantitative survey data and qualitative interview narratives to be collected concurrently and analyzed iteratively, facilitating the triangulation of findings and enriching the interpretation of the factors affecting technology adoption (Abedi et al., 2024; Denny &amp; Weckesser, 2022).</w:t>
      </w:r>
      <w:r w:rsidR="00C15059">
        <w:rPr>
          <w:rFonts w:asciiTheme="majorBidi" w:eastAsia="TimesNewRomanPSMT" w:hAnsiTheme="majorBidi" w:cstheme="majorBidi"/>
          <w:sz w:val="24"/>
          <w:szCs w:val="24"/>
        </w:rPr>
        <w:t xml:space="preserve"> </w:t>
      </w:r>
      <w:r w:rsidRPr="005C4A93">
        <w:rPr>
          <w:rFonts w:asciiTheme="majorBidi" w:eastAsia="TimesNewRomanPSMT" w:hAnsiTheme="majorBidi" w:cstheme="majorBidi"/>
          <w:sz w:val="24"/>
          <w:szCs w:val="24"/>
        </w:rPr>
        <w:t>The quantitative component mapped broad institutional and pedagogical trends using descriptive statistics, while the qualitative component captured the nuanced, context-dependent reasoning underlying teachers</w:t>
      </w:r>
      <w:r w:rsidR="00FC39BE">
        <w:rPr>
          <w:rFonts w:asciiTheme="majorBidi" w:eastAsia="TimesNewRomanPSMT" w:hAnsiTheme="majorBidi" w:cstheme="majorBidi"/>
          <w:sz w:val="24"/>
          <w:szCs w:val="24"/>
        </w:rPr>
        <w:t>’</w:t>
      </w:r>
      <w:r w:rsidRPr="005C4A93">
        <w:rPr>
          <w:rFonts w:asciiTheme="majorBidi" w:eastAsia="TimesNewRomanPSMT" w:hAnsiTheme="majorBidi" w:cstheme="majorBidi"/>
          <w:sz w:val="24"/>
          <w:szCs w:val="24"/>
        </w:rPr>
        <w:t xml:space="preserve"> decisions to integrate, modify, or limit specific tools (Hall &amp; Liebenberg, 2024).  </w:t>
      </w:r>
    </w:p>
    <w:p w14:paraId="171F9B7F" w14:textId="77777777" w:rsidR="00DF1E55" w:rsidRPr="00DF1E55" w:rsidRDefault="005C4A93" w:rsidP="00DF1E55">
      <w:pPr>
        <w:ind w:firstLine="0"/>
        <w:rPr>
          <w:rFonts w:asciiTheme="majorBidi" w:hAnsiTheme="majorBidi" w:cstheme="majorBidi"/>
          <w:b/>
          <w:bCs/>
          <w:i/>
          <w:iCs/>
          <w:sz w:val="24"/>
          <w:szCs w:val="24"/>
        </w:rPr>
      </w:pPr>
      <w:r w:rsidRPr="00DF1E55">
        <w:rPr>
          <w:rFonts w:asciiTheme="majorBidi" w:hAnsiTheme="majorBidi" w:cstheme="majorBidi"/>
          <w:b/>
          <w:bCs/>
          <w:i/>
          <w:iCs/>
          <w:sz w:val="24"/>
          <w:szCs w:val="24"/>
        </w:rPr>
        <w:t>3.2. Participants and Context</w:t>
      </w:r>
    </w:p>
    <w:p w14:paraId="7B2DC97E" w14:textId="0A93E640" w:rsidR="00DF1E55" w:rsidRDefault="005C4A93" w:rsidP="005C4A93">
      <w:pPr>
        <w:autoSpaceDE w:val="0"/>
        <w:autoSpaceDN w:val="0"/>
        <w:adjustRightInd w:val="0"/>
        <w:spacing w:before="0" w:after="0" w:line="480" w:lineRule="auto"/>
        <w:rPr>
          <w:rFonts w:asciiTheme="majorBidi" w:eastAsia="TimesNewRomanPSMT" w:hAnsiTheme="majorBidi" w:cstheme="majorBidi"/>
          <w:sz w:val="24"/>
          <w:szCs w:val="24"/>
        </w:rPr>
      </w:pPr>
      <w:r w:rsidRPr="005C4A93">
        <w:rPr>
          <w:rFonts w:asciiTheme="majorBidi" w:eastAsia="TimesNewRomanPSMT" w:hAnsiTheme="majorBidi" w:cstheme="majorBidi"/>
          <w:sz w:val="24"/>
          <w:szCs w:val="24"/>
        </w:rPr>
        <w:t>The participant sample comprised 50 tertiary EFL lecturers (N=50) actively teaching IELTS preparation modules within high-quality</w:t>
      </w:r>
      <w:r w:rsidR="00DF1E55">
        <w:rPr>
          <w:rFonts w:asciiTheme="majorBidi" w:eastAsia="TimesNewRomanPSMT" w:hAnsiTheme="majorBidi" w:cstheme="majorBidi"/>
          <w:sz w:val="24"/>
          <w:szCs w:val="24"/>
        </w:rPr>
        <w:t xml:space="preserve"> </w:t>
      </w:r>
      <w:r w:rsidRPr="005C4A93">
        <w:rPr>
          <w:rFonts w:asciiTheme="majorBidi" w:eastAsia="TimesNewRomanPSMT" w:hAnsiTheme="majorBidi" w:cstheme="majorBidi"/>
          <w:sz w:val="24"/>
          <w:szCs w:val="24"/>
        </w:rPr>
        <w:t>undergraduate tracks across higher education institutions in Ho Chi Minh City, Vietnam. Purposive sampling was applied to guarantee that all respondents possessed a minimum of two years of direct experience preparing students for high-stakes graduation and professional language benchmarks.The sample exhibited a diverse range of instructional experience (from early-career lecturers to senior faculty members) and institutional profiles, with all participants holding postgraduate degrees (Master</w:t>
      </w:r>
      <w:r w:rsidR="00FC39BE">
        <w:rPr>
          <w:rFonts w:asciiTheme="majorBidi" w:eastAsia="TimesNewRomanPSMT" w:hAnsiTheme="majorBidi" w:cstheme="majorBidi"/>
          <w:sz w:val="24"/>
          <w:szCs w:val="24"/>
        </w:rPr>
        <w:t>’</w:t>
      </w:r>
      <w:r w:rsidRPr="005C4A93">
        <w:rPr>
          <w:rFonts w:asciiTheme="majorBidi" w:eastAsia="TimesNewRomanPSMT" w:hAnsiTheme="majorBidi" w:cstheme="majorBidi"/>
          <w:sz w:val="24"/>
          <w:szCs w:val="24"/>
        </w:rPr>
        <w:t>s or Ph.D. level). To protect participant confidentiality, all institutional and individual identifiers were fully anonymized through the use of alphanumeric codes and generic placeholders.</w:t>
      </w:r>
    </w:p>
    <w:p w14:paraId="2C90560D" w14:textId="48202C71" w:rsidR="00DF1E55" w:rsidRPr="00DF1E55" w:rsidRDefault="005C4A93" w:rsidP="00DF1E55">
      <w:pPr>
        <w:ind w:firstLine="0"/>
        <w:rPr>
          <w:rFonts w:asciiTheme="majorBidi" w:hAnsiTheme="majorBidi" w:cstheme="majorBidi"/>
          <w:b/>
          <w:bCs/>
          <w:i/>
          <w:iCs/>
          <w:sz w:val="24"/>
          <w:szCs w:val="24"/>
        </w:rPr>
      </w:pPr>
      <w:r w:rsidRPr="00DF1E55">
        <w:rPr>
          <w:rFonts w:asciiTheme="majorBidi" w:hAnsiTheme="majorBidi" w:cstheme="majorBidi"/>
          <w:b/>
          <w:bCs/>
          <w:i/>
          <w:iCs/>
          <w:sz w:val="24"/>
          <w:szCs w:val="24"/>
        </w:rPr>
        <w:t xml:space="preserve">3.3. Instruments and </w:t>
      </w:r>
      <w:r w:rsidR="00DF1E55">
        <w:rPr>
          <w:rFonts w:asciiTheme="majorBidi" w:hAnsiTheme="majorBidi" w:cstheme="majorBidi"/>
          <w:b/>
          <w:bCs/>
          <w:i/>
          <w:iCs/>
          <w:sz w:val="24"/>
          <w:szCs w:val="24"/>
        </w:rPr>
        <w:t>d</w:t>
      </w:r>
      <w:r w:rsidRPr="00DF1E55">
        <w:rPr>
          <w:rFonts w:asciiTheme="majorBidi" w:hAnsiTheme="majorBidi" w:cstheme="majorBidi"/>
          <w:b/>
          <w:bCs/>
          <w:i/>
          <w:iCs/>
          <w:sz w:val="24"/>
          <w:szCs w:val="24"/>
        </w:rPr>
        <w:t xml:space="preserve">ata </w:t>
      </w:r>
      <w:r w:rsidR="00DF1E55">
        <w:rPr>
          <w:rFonts w:asciiTheme="majorBidi" w:hAnsiTheme="majorBidi" w:cstheme="majorBidi"/>
          <w:b/>
          <w:bCs/>
          <w:i/>
          <w:iCs/>
          <w:sz w:val="24"/>
          <w:szCs w:val="24"/>
        </w:rPr>
        <w:t>a</w:t>
      </w:r>
      <w:r w:rsidRPr="00DF1E55">
        <w:rPr>
          <w:rFonts w:asciiTheme="majorBidi" w:hAnsiTheme="majorBidi" w:cstheme="majorBidi"/>
          <w:b/>
          <w:bCs/>
          <w:i/>
          <w:iCs/>
          <w:sz w:val="24"/>
          <w:szCs w:val="24"/>
        </w:rPr>
        <w:t>nalysis</w:t>
      </w:r>
    </w:p>
    <w:p w14:paraId="202DCA07" w14:textId="5D44858C" w:rsidR="006A0AE2" w:rsidRPr="005C4A93" w:rsidRDefault="005C4A93" w:rsidP="005C4A93">
      <w:pPr>
        <w:autoSpaceDE w:val="0"/>
        <w:autoSpaceDN w:val="0"/>
        <w:adjustRightInd w:val="0"/>
        <w:spacing w:before="0" w:after="0" w:line="480" w:lineRule="auto"/>
        <w:rPr>
          <w:rFonts w:asciiTheme="majorBidi" w:eastAsia="TimesNewRomanPSMT" w:hAnsiTheme="majorBidi" w:cstheme="majorBidi"/>
          <w:sz w:val="24"/>
          <w:szCs w:val="24"/>
        </w:rPr>
      </w:pPr>
      <w:r w:rsidRPr="005C4A93">
        <w:rPr>
          <w:rFonts w:asciiTheme="majorBidi" w:eastAsia="TimesNewRomanPSMT" w:hAnsiTheme="majorBidi" w:cstheme="majorBidi"/>
          <w:sz w:val="24"/>
          <w:szCs w:val="24"/>
        </w:rPr>
        <w:t xml:space="preserve">Quantitative data were gathered using a closed-ended questionnaire featuring a 5-point Likert scale (ranging from 1 = Strongly Disagree to 5 = Strongly Agree). The measurement items were adapted from established technology adoption instruments (Richter &amp; Richter, 2024) and tailored to the operational realities of high-stakes IELTS teaching. The survey measured five core dimensions: pedagogic beliefs, technological knowledge, personal interest/usefulness, time constraints, and institutional culture. Quantitative analysis was executed using descriptive statistical software to compute means (M), standard deviations (SD), and standard errors.  Qualitative insights were elicited via semi-structured, semi-formal </w:t>
      </w:r>
      <w:r w:rsidRPr="005C4A93">
        <w:rPr>
          <w:rFonts w:asciiTheme="majorBidi" w:eastAsia="TimesNewRomanPSMT" w:hAnsiTheme="majorBidi" w:cstheme="majorBidi"/>
          <w:sz w:val="24"/>
          <w:szCs w:val="24"/>
        </w:rPr>
        <w:lastRenderedPageBreak/>
        <w:t>interviews with a subset of ten participants (n=10) who volunteered during the survey phase. The interview protocol focused on participants</w:t>
      </w:r>
      <w:r w:rsidR="00FC39BE">
        <w:rPr>
          <w:rFonts w:asciiTheme="majorBidi" w:eastAsia="TimesNewRomanPSMT" w:hAnsiTheme="majorBidi" w:cstheme="majorBidi"/>
          <w:sz w:val="24"/>
          <w:szCs w:val="24"/>
        </w:rPr>
        <w:t>’</w:t>
      </w:r>
      <w:r w:rsidRPr="005C4A93">
        <w:rPr>
          <w:rFonts w:asciiTheme="majorBidi" w:eastAsia="TimesNewRomanPSMT" w:hAnsiTheme="majorBidi" w:cstheme="majorBidi"/>
          <w:sz w:val="24"/>
          <w:szCs w:val="24"/>
        </w:rPr>
        <w:t xml:space="preserve"> specific instructional adjustments, experiences with algorithmic discrepancies, and strategies for managing student dependence. All qualitative audio data were transcribed verbatim and analyzed using inductive thematic analysis (Braun &amp; Clarke, 2021). This involved generating initial open codes, grouping codes into stable conceptual categories, and extracting overarching thematic dimensions to triangulate the quantitative findings.</w:t>
      </w:r>
    </w:p>
    <w:p w14:paraId="17AC1FEC" w14:textId="77777777" w:rsidR="00722EDE" w:rsidRPr="00E40940" w:rsidRDefault="00934FC5" w:rsidP="00934FC5">
      <w:pPr>
        <w:pStyle w:val="RALs-Heading1"/>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60356B">
        <w:rPr>
          <w:rFonts w:asciiTheme="majorBidi" w:hAnsiTheme="majorBidi" w:cstheme="majorBidi"/>
          <w:sz w:val="24"/>
          <w:szCs w:val="24"/>
        </w:rPr>
        <w:t xml:space="preserve"> </w:t>
      </w:r>
      <w:r w:rsidR="00722EDE" w:rsidRPr="00E40940">
        <w:rPr>
          <w:rFonts w:asciiTheme="majorBidi" w:hAnsiTheme="majorBidi" w:cstheme="majorBidi"/>
          <w:sz w:val="24"/>
          <w:szCs w:val="24"/>
        </w:rPr>
        <w:t>4. Results</w:t>
      </w:r>
    </w:p>
    <w:p w14:paraId="1D9E5C89" w14:textId="77777777" w:rsidR="00CC70AF" w:rsidRDefault="00CC70AF" w:rsidP="00374F3D">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CC70AF">
        <w:rPr>
          <w:rFonts w:asciiTheme="majorBidi" w:hAnsiTheme="majorBidi" w:cstheme="majorBidi"/>
          <w:color w:val="333333"/>
          <w:shd w:val="clear" w:color="auto" w:fill="FFFFFF"/>
        </w:rPr>
        <w:t xml:space="preserve">The mixed-methods analysis revealed that the pedagogical integration of AI-supported technologies in high-stakes IELTS preparation is not a linear adoption process. Instead, it is driven by a complex matrix of internal teacher cognitions </w:t>
      </w:r>
      <w:r w:rsidRPr="00E766F6">
        <w:rPr>
          <w:rFonts w:asciiTheme="majorBidi" w:hAnsiTheme="majorBidi" w:cstheme="majorBidi"/>
          <w:i/>
          <w:iCs/>
          <w:color w:val="333333"/>
          <w:shd w:val="clear" w:color="auto" w:fill="FFFFFF"/>
        </w:rPr>
        <w:t>(beliefs, agency, and technological competence)</w:t>
      </w:r>
      <w:r w:rsidRPr="00CC70AF">
        <w:rPr>
          <w:rFonts w:asciiTheme="majorBidi" w:hAnsiTheme="majorBidi" w:cstheme="majorBidi"/>
          <w:color w:val="333333"/>
          <w:shd w:val="clear" w:color="auto" w:fill="FFFFFF"/>
        </w:rPr>
        <w:t xml:space="preserve"> and external systemic constraints </w:t>
      </w:r>
      <w:r w:rsidRPr="00E766F6">
        <w:rPr>
          <w:rFonts w:asciiTheme="majorBidi" w:hAnsiTheme="majorBidi" w:cstheme="majorBidi"/>
          <w:i/>
          <w:iCs/>
          <w:color w:val="333333"/>
          <w:shd w:val="clear" w:color="auto" w:fill="FFFFFF"/>
        </w:rPr>
        <w:t>(time, workload, and institutional policy).</w:t>
      </w:r>
    </w:p>
    <w:p w14:paraId="6D83A8A3" w14:textId="77777777" w:rsidR="000608E3" w:rsidRPr="000608E3" w:rsidRDefault="000608E3" w:rsidP="000608E3">
      <w:pPr>
        <w:ind w:firstLine="0"/>
        <w:rPr>
          <w:rFonts w:asciiTheme="majorBidi" w:hAnsiTheme="majorBidi" w:cstheme="majorBidi"/>
          <w:b/>
          <w:bCs/>
          <w:i/>
          <w:iCs/>
          <w:sz w:val="24"/>
          <w:szCs w:val="24"/>
        </w:rPr>
      </w:pPr>
      <w:r w:rsidRPr="000608E3">
        <w:rPr>
          <w:rFonts w:asciiTheme="majorBidi" w:hAnsiTheme="majorBidi" w:cstheme="majorBidi"/>
          <w:b/>
          <w:bCs/>
          <w:i/>
          <w:iCs/>
          <w:sz w:val="24"/>
          <w:szCs w:val="24"/>
        </w:rPr>
        <w:t>4.1. Quantitative Survey Findings</w:t>
      </w:r>
    </w:p>
    <w:p w14:paraId="32B4E137" w14:textId="35167D10" w:rsidR="00781592" w:rsidRDefault="00031DD2" w:rsidP="006D6A74">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031DD2">
        <w:rPr>
          <w:rFonts w:asciiTheme="majorBidi" w:hAnsiTheme="majorBidi" w:cstheme="majorBidi"/>
          <w:color w:val="333333"/>
          <w:shd w:val="clear" w:color="auto" w:fill="FFFFFF"/>
        </w:rPr>
        <w:t xml:space="preserve">The quantitative data derived from the 50 surveyed EFL lecturers indicated varied levels of agreement across the major operational factors affecting technological adoption. The descriptive statistics for the five core dimensions are presented in Table </w:t>
      </w:r>
      <w:r>
        <w:rPr>
          <w:rFonts w:asciiTheme="majorBidi" w:hAnsiTheme="majorBidi" w:cstheme="majorBidi"/>
          <w:color w:val="333333"/>
          <w:shd w:val="clear" w:color="auto" w:fill="FFFFFF"/>
        </w:rPr>
        <w:t>1</w:t>
      </w:r>
      <w:r w:rsidRPr="00031DD2">
        <w:rPr>
          <w:rFonts w:asciiTheme="majorBidi" w:hAnsiTheme="majorBidi" w:cstheme="majorBidi"/>
          <w:color w:val="333333"/>
          <w:shd w:val="clear" w:color="auto" w:fill="FFFFFF"/>
        </w:rPr>
        <w:t>.</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655"/>
        <w:gridCol w:w="767"/>
        <w:gridCol w:w="1131"/>
        <w:gridCol w:w="1418"/>
      </w:tblGrid>
      <w:tr w:rsidR="00E6677D" w14:paraId="0E0DA0B0" w14:textId="77777777" w:rsidTr="00E6677D">
        <w:tc>
          <w:tcPr>
            <w:tcW w:w="8789" w:type="dxa"/>
            <w:gridSpan w:val="5"/>
            <w:tcBorders>
              <w:bottom w:val="single" w:sz="4" w:space="0" w:color="auto"/>
            </w:tcBorders>
            <w:vAlign w:val="center"/>
          </w:tcPr>
          <w:p w14:paraId="34663CA6" w14:textId="77777777" w:rsidR="006D6A74" w:rsidRPr="006D6A74" w:rsidRDefault="006D6A74" w:rsidP="006D6A74">
            <w:pPr>
              <w:pStyle w:val="RALs-TableCaption"/>
              <w:rPr>
                <w:rFonts w:asciiTheme="majorBidi" w:hAnsiTheme="majorBidi" w:cstheme="majorBidi"/>
                <w:b/>
                <w:bCs/>
                <w:sz w:val="24"/>
                <w:szCs w:val="24"/>
              </w:rPr>
            </w:pPr>
            <w:r w:rsidRPr="006D6A74">
              <w:rPr>
                <w:rFonts w:asciiTheme="majorBidi" w:hAnsiTheme="majorBidi" w:cstheme="majorBidi"/>
                <w:b/>
                <w:bCs/>
                <w:sz w:val="24"/>
                <w:szCs w:val="24"/>
              </w:rPr>
              <w:t>Table 1</w:t>
            </w:r>
          </w:p>
          <w:p w14:paraId="0FBE2E94" w14:textId="7849704D" w:rsidR="00E6677D" w:rsidRPr="006D6A74" w:rsidRDefault="006D6A74" w:rsidP="006D6A74">
            <w:pPr>
              <w:pStyle w:val="RALs-TableCaption"/>
              <w:ind w:left="0" w:firstLine="0"/>
              <w:rPr>
                <w:rFonts w:asciiTheme="majorBidi" w:hAnsiTheme="majorBidi" w:cstheme="majorBidi"/>
                <w:i/>
                <w:iCs/>
                <w:color w:val="000000"/>
                <w:szCs w:val="20"/>
              </w:rPr>
            </w:pPr>
            <w:r w:rsidRPr="006D6A74">
              <w:rPr>
                <w:rFonts w:asciiTheme="majorBidi" w:hAnsiTheme="majorBidi" w:cstheme="majorBidi"/>
                <w:i/>
                <w:iCs/>
                <w:sz w:val="24"/>
                <w:szCs w:val="24"/>
              </w:rPr>
              <w:t>Factors influencing AI and Digital technology</w:t>
            </w:r>
          </w:p>
        </w:tc>
      </w:tr>
      <w:tr w:rsidR="00D6027E" w14:paraId="7CD05949" w14:textId="77777777" w:rsidTr="00E6677D">
        <w:tc>
          <w:tcPr>
            <w:tcW w:w="4818" w:type="dxa"/>
            <w:tcBorders>
              <w:top w:val="single" w:sz="4" w:space="0" w:color="auto"/>
              <w:bottom w:val="single" w:sz="4" w:space="0" w:color="auto"/>
            </w:tcBorders>
            <w:vAlign w:val="center"/>
          </w:tcPr>
          <w:p w14:paraId="2330AA77" w14:textId="7C9F2FCB" w:rsidR="00D6027E" w:rsidRPr="003B4C72" w:rsidRDefault="00D6027E" w:rsidP="00D54FFB">
            <w:pPr>
              <w:autoSpaceDE w:val="0"/>
              <w:autoSpaceDN w:val="0"/>
              <w:adjustRightInd w:val="0"/>
              <w:spacing w:before="0" w:after="0" w:line="240" w:lineRule="auto"/>
              <w:ind w:right="62" w:firstLine="0"/>
              <w:jc w:val="left"/>
              <w:rPr>
                <w:rFonts w:asciiTheme="majorBidi" w:hAnsiTheme="majorBidi" w:cstheme="majorBidi"/>
                <w:b/>
                <w:bCs/>
                <w:color w:val="000000"/>
                <w:szCs w:val="20"/>
              </w:rPr>
            </w:pPr>
            <w:r w:rsidRPr="003B4C72">
              <w:rPr>
                <w:rFonts w:asciiTheme="majorBidi" w:hAnsiTheme="majorBidi" w:cstheme="majorBidi"/>
                <w:b/>
                <w:bCs/>
                <w:color w:val="000000"/>
                <w:szCs w:val="20"/>
              </w:rPr>
              <w:t>Dimension</w:t>
            </w:r>
          </w:p>
        </w:tc>
        <w:tc>
          <w:tcPr>
            <w:tcW w:w="655" w:type="dxa"/>
            <w:tcBorders>
              <w:top w:val="single" w:sz="4" w:space="0" w:color="auto"/>
              <w:bottom w:val="single" w:sz="4" w:space="0" w:color="auto"/>
            </w:tcBorders>
            <w:vAlign w:val="center"/>
          </w:tcPr>
          <w:p w14:paraId="1D085C8B" w14:textId="7279E8A3" w:rsidR="00D6027E" w:rsidRPr="003B4C72" w:rsidRDefault="00D6027E" w:rsidP="00D54FFB">
            <w:pPr>
              <w:autoSpaceDE w:val="0"/>
              <w:autoSpaceDN w:val="0"/>
              <w:adjustRightInd w:val="0"/>
              <w:spacing w:before="0" w:after="0" w:line="240" w:lineRule="auto"/>
              <w:ind w:right="62" w:firstLine="0"/>
              <w:jc w:val="left"/>
              <w:rPr>
                <w:rFonts w:asciiTheme="majorBidi" w:hAnsiTheme="majorBidi" w:cstheme="majorBidi"/>
                <w:b/>
                <w:bCs/>
                <w:color w:val="000000"/>
                <w:szCs w:val="20"/>
              </w:rPr>
            </w:pPr>
            <w:r w:rsidRPr="003B4C72">
              <w:rPr>
                <w:rFonts w:asciiTheme="majorBidi" w:hAnsiTheme="majorBidi" w:cstheme="majorBidi"/>
                <w:b/>
                <w:bCs/>
                <w:color w:val="000000"/>
                <w:szCs w:val="20"/>
              </w:rPr>
              <w:t>N</w:t>
            </w:r>
          </w:p>
        </w:tc>
        <w:tc>
          <w:tcPr>
            <w:tcW w:w="767" w:type="dxa"/>
            <w:tcBorders>
              <w:top w:val="single" w:sz="4" w:space="0" w:color="auto"/>
              <w:bottom w:val="single" w:sz="4" w:space="0" w:color="auto"/>
            </w:tcBorders>
            <w:vAlign w:val="center"/>
          </w:tcPr>
          <w:p w14:paraId="64D2F4A5" w14:textId="49DE9A11" w:rsidR="00D6027E" w:rsidRPr="003B4C72" w:rsidRDefault="00D6027E" w:rsidP="00D54FFB">
            <w:pPr>
              <w:autoSpaceDE w:val="0"/>
              <w:autoSpaceDN w:val="0"/>
              <w:adjustRightInd w:val="0"/>
              <w:spacing w:before="0" w:after="0" w:line="240" w:lineRule="auto"/>
              <w:ind w:right="62" w:firstLine="0"/>
              <w:jc w:val="left"/>
              <w:rPr>
                <w:rFonts w:asciiTheme="majorBidi" w:hAnsiTheme="majorBidi" w:cstheme="majorBidi"/>
                <w:b/>
                <w:bCs/>
                <w:color w:val="000000"/>
                <w:szCs w:val="20"/>
              </w:rPr>
            </w:pPr>
            <w:r w:rsidRPr="003B4C72">
              <w:rPr>
                <w:rFonts w:asciiTheme="majorBidi" w:hAnsiTheme="majorBidi" w:cstheme="majorBidi"/>
                <w:b/>
                <w:bCs/>
                <w:color w:val="000000"/>
                <w:szCs w:val="20"/>
              </w:rPr>
              <w:t>Mean</w:t>
            </w:r>
          </w:p>
        </w:tc>
        <w:tc>
          <w:tcPr>
            <w:tcW w:w="1131" w:type="dxa"/>
            <w:tcBorders>
              <w:top w:val="single" w:sz="4" w:space="0" w:color="auto"/>
              <w:bottom w:val="single" w:sz="4" w:space="0" w:color="auto"/>
            </w:tcBorders>
            <w:vAlign w:val="center"/>
          </w:tcPr>
          <w:p w14:paraId="0C0047F8" w14:textId="7BC96ABE" w:rsidR="00D6027E" w:rsidRPr="003B4C72" w:rsidRDefault="00D6027E" w:rsidP="00D54FFB">
            <w:pPr>
              <w:autoSpaceDE w:val="0"/>
              <w:autoSpaceDN w:val="0"/>
              <w:adjustRightInd w:val="0"/>
              <w:spacing w:before="0" w:after="0" w:line="240" w:lineRule="auto"/>
              <w:ind w:right="62" w:firstLine="0"/>
              <w:jc w:val="left"/>
              <w:rPr>
                <w:rFonts w:asciiTheme="majorBidi" w:hAnsiTheme="majorBidi" w:cstheme="majorBidi"/>
                <w:b/>
                <w:bCs/>
                <w:color w:val="000000"/>
                <w:szCs w:val="20"/>
              </w:rPr>
            </w:pPr>
            <w:r w:rsidRPr="003B4C72">
              <w:rPr>
                <w:rFonts w:asciiTheme="majorBidi" w:hAnsiTheme="majorBidi" w:cstheme="majorBidi"/>
                <w:b/>
                <w:bCs/>
                <w:color w:val="000000"/>
                <w:szCs w:val="20"/>
              </w:rPr>
              <w:t>Std. Deviation</w:t>
            </w:r>
          </w:p>
        </w:tc>
        <w:tc>
          <w:tcPr>
            <w:tcW w:w="1418" w:type="dxa"/>
            <w:tcBorders>
              <w:top w:val="single" w:sz="4" w:space="0" w:color="auto"/>
              <w:bottom w:val="single" w:sz="4" w:space="0" w:color="auto"/>
            </w:tcBorders>
            <w:vAlign w:val="center"/>
          </w:tcPr>
          <w:p w14:paraId="57657D27" w14:textId="77777777" w:rsidR="002E2C0D" w:rsidRDefault="00D6027E" w:rsidP="00D54FFB">
            <w:pPr>
              <w:autoSpaceDE w:val="0"/>
              <w:autoSpaceDN w:val="0"/>
              <w:adjustRightInd w:val="0"/>
              <w:spacing w:before="0" w:after="0" w:line="240" w:lineRule="auto"/>
              <w:ind w:right="62" w:firstLine="0"/>
              <w:jc w:val="left"/>
              <w:rPr>
                <w:rFonts w:asciiTheme="majorBidi" w:hAnsiTheme="majorBidi" w:cstheme="majorBidi"/>
                <w:b/>
                <w:bCs/>
                <w:color w:val="000000"/>
                <w:szCs w:val="20"/>
              </w:rPr>
            </w:pPr>
            <w:r w:rsidRPr="003B4C72">
              <w:rPr>
                <w:rFonts w:asciiTheme="majorBidi" w:hAnsiTheme="majorBidi" w:cstheme="majorBidi"/>
                <w:b/>
                <w:bCs/>
                <w:color w:val="000000"/>
                <w:szCs w:val="20"/>
              </w:rPr>
              <w:t xml:space="preserve">Std. </w:t>
            </w:r>
          </w:p>
          <w:p w14:paraId="01D5A966" w14:textId="074A213F" w:rsidR="00D6027E" w:rsidRPr="003B4C72" w:rsidRDefault="00D6027E" w:rsidP="00D54FFB">
            <w:pPr>
              <w:autoSpaceDE w:val="0"/>
              <w:autoSpaceDN w:val="0"/>
              <w:adjustRightInd w:val="0"/>
              <w:spacing w:before="0" w:after="0" w:line="240" w:lineRule="auto"/>
              <w:ind w:right="62" w:firstLine="0"/>
              <w:jc w:val="left"/>
              <w:rPr>
                <w:rFonts w:asciiTheme="majorBidi" w:hAnsiTheme="majorBidi" w:cstheme="majorBidi"/>
                <w:b/>
                <w:bCs/>
                <w:color w:val="000000"/>
                <w:szCs w:val="20"/>
              </w:rPr>
            </w:pPr>
            <w:r w:rsidRPr="003B4C72">
              <w:rPr>
                <w:rFonts w:asciiTheme="majorBidi" w:hAnsiTheme="majorBidi" w:cstheme="majorBidi"/>
                <w:b/>
                <w:bCs/>
                <w:color w:val="000000"/>
                <w:szCs w:val="20"/>
              </w:rPr>
              <w:t>Error</w:t>
            </w:r>
            <w:r w:rsidR="002E2C0D">
              <w:rPr>
                <w:rFonts w:asciiTheme="majorBidi" w:hAnsiTheme="majorBidi" w:cstheme="majorBidi"/>
                <w:b/>
                <w:bCs/>
                <w:color w:val="000000"/>
                <w:szCs w:val="20"/>
              </w:rPr>
              <w:t xml:space="preserve"> </w:t>
            </w:r>
            <w:r w:rsidRPr="003B4C72">
              <w:rPr>
                <w:rFonts w:asciiTheme="majorBidi" w:hAnsiTheme="majorBidi" w:cstheme="majorBidi"/>
                <w:b/>
                <w:bCs/>
                <w:color w:val="000000"/>
                <w:szCs w:val="20"/>
              </w:rPr>
              <w:t>Mean</w:t>
            </w:r>
          </w:p>
        </w:tc>
      </w:tr>
      <w:tr w:rsidR="00D6027E" w14:paraId="406CCC52" w14:textId="77777777" w:rsidTr="00E6677D">
        <w:tc>
          <w:tcPr>
            <w:tcW w:w="4818" w:type="dxa"/>
            <w:tcBorders>
              <w:top w:val="single" w:sz="4" w:space="0" w:color="auto"/>
            </w:tcBorders>
            <w:vAlign w:val="center"/>
          </w:tcPr>
          <w:p w14:paraId="5FFE3E4E" w14:textId="6856ECF5"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Factor 1:</w:t>
            </w:r>
            <w:r w:rsidR="00681D3B" w:rsidRPr="003B4C72">
              <w:rPr>
                <w:rFonts w:asciiTheme="majorBidi" w:hAnsiTheme="majorBidi" w:cstheme="majorBidi"/>
                <w:color w:val="000000"/>
                <w:szCs w:val="20"/>
              </w:rPr>
              <w:t xml:space="preserve"> </w:t>
            </w:r>
            <w:r w:rsidR="00681D3B">
              <w:rPr>
                <w:rFonts w:asciiTheme="majorBidi" w:hAnsiTheme="majorBidi" w:cstheme="majorBidi"/>
                <w:color w:val="000000"/>
                <w:szCs w:val="20"/>
              </w:rPr>
              <w:t>P</w:t>
            </w:r>
            <w:r w:rsidR="00681D3B" w:rsidRPr="003B4C72">
              <w:rPr>
                <w:rFonts w:asciiTheme="majorBidi" w:hAnsiTheme="majorBidi" w:cstheme="majorBidi"/>
                <w:color w:val="000000"/>
                <w:szCs w:val="20"/>
              </w:rPr>
              <w:t xml:space="preserve">edagogic beliefs &amp; </w:t>
            </w:r>
            <w:r w:rsidR="00162EA7">
              <w:rPr>
                <w:rFonts w:asciiTheme="majorBidi" w:hAnsiTheme="majorBidi" w:cstheme="majorBidi"/>
                <w:color w:val="000000"/>
                <w:szCs w:val="20"/>
              </w:rPr>
              <w:t>A</w:t>
            </w:r>
            <w:r w:rsidR="00681D3B" w:rsidRPr="003B4C72">
              <w:rPr>
                <w:rFonts w:asciiTheme="majorBidi" w:hAnsiTheme="majorBidi" w:cstheme="majorBidi"/>
                <w:color w:val="000000"/>
                <w:szCs w:val="20"/>
              </w:rPr>
              <w:t>lignment</w:t>
            </w:r>
          </w:p>
        </w:tc>
        <w:tc>
          <w:tcPr>
            <w:tcW w:w="655" w:type="dxa"/>
            <w:tcBorders>
              <w:top w:val="single" w:sz="4" w:space="0" w:color="auto"/>
            </w:tcBorders>
            <w:vAlign w:val="center"/>
          </w:tcPr>
          <w:p w14:paraId="37A91F9C" w14:textId="01B16673"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50</w:t>
            </w:r>
          </w:p>
        </w:tc>
        <w:tc>
          <w:tcPr>
            <w:tcW w:w="767" w:type="dxa"/>
            <w:tcBorders>
              <w:top w:val="single" w:sz="4" w:space="0" w:color="auto"/>
            </w:tcBorders>
            <w:vAlign w:val="center"/>
          </w:tcPr>
          <w:p w14:paraId="6E2E8560" w14:textId="0DB3F816"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3.84</w:t>
            </w:r>
          </w:p>
        </w:tc>
        <w:tc>
          <w:tcPr>
            <w:tcW w:w="1131" w:type="dxa"/>
            <w:tcBorders>
              <w:top w:val="single" w:sz="4" w:space="0" w:color="auto"/>
            </w:tcBorders>
            <w:vAlign w:val="center"/>
          </w:tcPr>
          <w:p w14:paraId="09BFAEB0" w14:textId="4C412136"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0.62</w:t>
            </w:r>
          </w:p>
        </w:tc>
        <w:tc>
          <w:tcPr>
            <w:tcW w:w="1418" w:type="dxa"/>
            <w:tcBorders>
              <w:top w:val="single" w:sz="4" w:space="0" w:color="auto"/>
            </w:tcBorders>
            <w:vAlign w:val="center"/>
          </w:tcPr>
          <w:p w14:paraId="199D3E54" w14:textId="79A3EE74"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.08</w:t>
            </w:r>
          </w:p>
        </w:tc>
      </w:tr>
      <w:tr w:rsidR="00D6027E" w14:paraId="476EF07B" w14:textId="77777777" w:rsidTr="00E6677D">
        <w:tc>
          <w:tcPr>
            <w:tcW w:w="4818" w:type="dxa"/>
            <w:vAlign w:val="center"/>
          </w:tcPr>
          <w:p w14:paraId="28E73B49" w14:textId="0908F298"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Factor 2:</w:t>
            </w:r>
            <w:r w:rsidR="00681D3B" w:rsidRPr="003B4C72">
              <w:rPr>
                <w:rFonts w:asciiTheme="majorBidi" w:hAnsiTheme="majorBidi" w:cstheme="majorBidi"/>
                <w:color w:val="000000"/>
                <w:szCs w:val="20"/>
              </w:rPr>
              <w:t xml:space="preserve"> </w:t>
            </w:r>
            <w:r w:rsidR="00681D3B">
              <w:rPr>
                <w:rFonts w:asciiTheme="majorBidi" w:hAnsiTheme="majorBidi" w:cstheme="majorBidi"/>
                <w:color w:val="000000"/>
                <w:szCs w:val="20"/>
              </w:rPr>
              <w:t>T</w:t>
            </w:r>
            <w:r w:rsidR="00681D3B" w:rsidRPr="003B4C72">
              <w:rPr>
                <w:rFonts w:asciiTheme="majorBidi" w:hAnsiTheme="majorBidi" w:cstheme="majorBidi"/>
                <w:color w:val="000000"/>
                <w:szCs w:val="20"/>
              </w:rPr>
              <w:t xml:space="preserve">echnological knowledge &amp; </w:t>
            </w:r>
            <w:r w:rsidR="00162EA7">
              <w:rPr>
                <w:rFonts w:asciiTheme="majorBidi" w:hAnsiTheme="majorBidi" w:cstheme="majorBidi"/>
                <w:color w:val="000000"/>
                <w:szCs w:val="20"/>
              </w:rPr>
              <w:t>C</w:t>
            </w:r>
            <w:r w:rsidR="00681D3B" w:rsidRPr="003B4C72">
              <w:rPr>
                <w:rFonts w:asciiTheme="majorBidi" w:hAnsiTheme="majorBidi" w:cstheme="majorBidi"/>
                <w:color w:val="000000"/>
                <w:szCs w:val="20"/>
              </w:rPr>
              <w:t>ompetence</w:t>
            </w:r>
          </w:p>
        </w:tc>
        <w:tc>
          <w:tcPr>
            <w:tcW w:w="655" w:type="dxa"/>
            <w:vAlign w:val="center"/>
          </w:tcPr>
          <w:p w14:paraId="49DA1CA9" w14:textId="10E227BE"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50</w:t>
            </w:r>
          </w:p>
        </w:tc>
        <w:tc>
          <w:tcPr>
            <w:tcW w:w="767" w:type="dxa"/>
            <w:vAlign w:val="center"/>
          </w:tcPr>
          <w:p w14:paraId="4F8A61A0" w14:textId="4F1B4BE2"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3.42</w:t>
            </w:r>
          </w:p>
        </w:tc>
        <w:tc>
          <w:tcPr>
            <w:tcW w:w="1131" w:type="dxa"/>
            <w:vAlign w:val="center"/>
          </w:tcPr>
          <w:p w14:paraId="0AD015FD" w14:textId="653B0F37"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0.78</w:t>
            </w:r>
          </w:p>
        </w:tc>
        <w:tc>
          <w:tcPr>
            <w:tcW w:w="1418" w:type="dxa"/>
            <w:vAlign w:val="center"/>
          </w:tcPr>
          <w:p w14:paraId="6BE83CBC" w14:textId="25C3A353"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.11</w:t>
            </w:r>
          </w:p>
        </w:tc>
      </w:tr>
      <w:tr w:rsidR="00D6027E" w14:paraId="7864FC37" w14:textId="77777777" w:rsidTr="00E6677D">
        <w:tc>
          <w:tcPr>
            <w:tcW w:w="4818" w:type="dxa"/>
            <w:vAlign w:val="center"/>
          </w:tcPr>
          <w:p w14:paraId="060C8603" w14:textId="7CE7E60C"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Factor 3:</w:t>
            </w:r>
            <w:r w:rsidR="00681D3B" w:rsidRPr="003B4C72">
              <w:rPr>
                <w:rFonts w:asciiTheme="majorBidi" w:hAnsiTheme="majorBidi" w:cstheme="majorBidi"/>
                <w:color w:val="000000"/>
                <w:szCs w:val="20"/>
              </w:rPr>
              <w:t xml:space="preserve"> </w:t>
            </w:r>
            <w:r w:rsidR="00681D3B">
              <w:rPr>
                <w:rFonts w:asciiTheme="majorBidi" w:hAnsiTheme="majorBidi" w:cstheme="majorBidi"/>
                <w:color w:val="000000"/>
                <w:szCs w:val="20"/>
              </w:rPr>
              <w:t>P</w:t>
            </w:r>
            <w:r w:rsidR="00681D3B" w:rsidRPr="003B4C72">
              <w:rPr>
                <w:rFonts w:asciiTheme="majorBidi" w:hAnsiTheme="majorBidi" w:cstheme="majorBidi"/>
                <w:color w:val="000000"/>
                <w:szCs w:val="20"/>
              </w:rPr>
              <w:t xml:space="preserve">ersonal interest &amp; </w:t>
            </w:r>
            <w:r w:rsidR="00162EA7">
              <w:rPr>
                <w:rFonts w:asciiTheme="majorBidi" w:hAnsiTheme="majorBidi" w:cstheme="majorBidi"/>
                <w:color w:val="000000"/>
                <w:szCs w:val="20"/>
              </w:rPr>
              <w:t>P</w:t>
            </w:r>
            <w:r w:rsidR="00681D3B" w:rsidRPr="003B4C72">
              <w:rPr>
                <w:rFonts w:asciiTheme="majorBidi" w:hAnsiTheme="majorBidi" w:cstheme="majorBidi"/>
                <w:color w:val="000000"/>
                <w:szCs w:val="20"/>
              </w:rPr>
              <w:t>erceived usefulness</w:t>
            </w:r>
          </w:p>
        </w:tc>
        <w:tc>
          <w:tcPr>
            <w:tcW w:w="655" w:type="dxa"/>
            <w:vAlign w:val="center"/>
          </w:tcPr>
          <w:p w14:paraId="297DE713" w14:textId="6278D800"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50</w:t>
            </w:r>
          </w:p>
        </w:tc>
        <w:tc>
          <w:tcPr>
            <w:tcW w:w="767" w:type="dxa"/>
            <w:vAlign w:val="center"/>
          </w:tcPr>
          <w:p w14:paraId="5E169067" w14:textId="51037401"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4.12</w:t>
            </w:r>
          </w:p>
        </w:tc>
        <w:tc>
          <w:tcPr>
            <w:tcW w:w="1131" w:type="dxa"/>
            <w:vAlign w:val="center"/>
          </w:tcPr>
          <w:p w14:paraId="22AEAAB8" w14:textId="0C863BCF"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0.55</w:t>
            </w:r>
          </w:p>
        </w:tc>
        <w:tc>
          <w:tcPr>
            <w:tcW w:w="1418" w:type="dxa"/>
            <w:vAlign w:val="center"/>
          </w:tcPr>
          <w:p w14:paraId="21D80C85" w14:textId="14B127D4"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.07</w:t>
            </w:r>
          </w:p>
        </w:tc>
      </w:tr>
      <w:tr w:rsidR="00D6027E" w14:paraId="0848D533" w14:textId="77777777" w:rsidTr="00E6677D">
        <w:tc>
          <w:tcPr>
            <w:tcW w:w="4818" w:type="dxa"/>
            <w:vAlign w:val="center"/>
          </w:tcPr>
          <w:p w14:paraId="552CC922" w14:textId="016D0658" w:rsidR="00D6027E" w:rsidRPr="003B4C72" w:rsidRDefault="00681D3B" w:rsidP="002E2C0D">
            <w:pPr>
              <w:autoSpaceDE w:val="0"/>
              <w:autoSpaceDN w:val="0"/>
              <w:adjustRightInd w:val="0"/>
              <w:spacing w:line="320" w:lineRule="atLeast"/>
              <w:ind w:right="60" w:firstLine="0"/>
              <w:jc w:val="left"/>
              <w:rPr>
                <w:rFonts w:asciiTheme="majorBidi" w:hAnsiTheme="majorBidi" w:cstheme="majorBidi"/>
                <w:color w:val="000000"/>
                <w:szCs w:val="20"/>
              </w:rPr>
            </w:pPr>
            <w:r>
              <w:rPr>
                <w:rFonts w:asciiTheme="majorBidi" w:hAnsiTheme="majorBidi" w:cstheme="majorBidi"/>
                <w:color w:val="000000"/>
                <w:szCs w:val="20"/>
              </w:rPr>
              <w:t>F</w:t>
            </w:r>
            <w:r w:rsidRPr="003B4C72">
              <w:rPr>
                <w:rFonts w:asciiTheme="majorBidi" w:hAnsiTheme="majorBidi" w:cstheme="majorBidi"/>
                <w:color w:val="000000"/>
                <w:szCs w:val="20"/>
              </w:rPr>
              <w:t xml:space="preserve">actor 4: </w:t>
            </w:r>
            <w:r>
              <w:rPr>
                <w:rFonts w:asciiTheme="majorBidi" w:hAnsiTheme="majorBidi" w:cstheme="majorBidi"/>
                <w:color w:val="000000"/>
                <w:szCs w:val="20"/>
              </w:rPr>
              <w:t>A</w:t>
            </w:r>
            <w:r w:rsidRPr="003B4C72">
              <w:rPr>
                <w:rFonts w:asciiTheme="majorBidi" w:hAnsiTheme="majorBidi" w:cstheme="majorBidi"/>
                <w:color w:val="000000"/>
                <w:szCs w:val="20"/>
              </w:rPr>
              <w:t xml:space="preserve">vailability of time &amp; </w:t>
            </w:r>
            <w:r w:rsidR="00162EA7">
              <w:rPr>
                <w:rFonts w:asciiTheme="majorBidi" w:hAnsiTheme="majorBidi" w:cstheme="majorBidi"/>
                <w:color w:val="000000"/>
                <w:szCs w:val="20"/>
              </w:rPr>
              <w:t>M</w:t>
            </w:r>
            <w:r w:rsidRPr="003B4C72">
              <w:rPr>
                <w:rFonts w:asciiTheme="majorBidi" w:hAnsiTheme="majorBidi" w:cstheme="majorBidi"/>
                <w:color w:val="000000"/>
                <w:szCs w:val="20"/>
              </w:rPr>
              <w:t>anageable workload</w:t>
            </w:r>
          </w:p>
        </w:tc>
        <w:tc>
          <w:tcPr>
            <w:tcW w:w="655" w:type="dxa"/>
            <w:vAlign w:val="center"/>
          </w:tcPr>
          <w:p w14:paraId="322D00A2" w14:textId="36D7407D"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50</w:t>
            </w:r>
          </w:p>
        </w:tc>
        <w:tc>
          <w:tcPr>
            <w:tcW w:w="767" w:type="dxa"/>
            <w:vAlign w:val="center"/>
          </w:tcPr>
          <w:p w14:paraId="037E142E" w14:textId="7AD1CA75"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2.15</w:t>
            </w:r>
          </w:p>
        </w:tc>
        <w:tc>
          <w:tcPr>
            <w:tcW w:w="1131" w:type="dxa"/>
            <w:vAlign w:val="center"/>
          </w:tcPr>
          <w:p w14:paraId="16D8ED93" w14:textId="5D50DC8B"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0.84</w:t>
            </w:r>
          </w:p>
        </w:tc>
        <w:tc>
          <w:tcPr>
            <w:tcW w:w="1418" w:type="dxa"/>
            <w:vAlign w:val="center"/>
          </w:tcPr>
          <w:p w14:paraId="1B1ED11C" w14:textId="0229ABDF"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.12</w:t>
            </w:r>
          </w:p>
        </w:tc>
      </w:tr>
      <w:tr w:rsidR="00D6027E" w14:paraId="3A624FE9" w14:textId="77777777" w:rsidTr="00E6677D">
        <w:tc>
          <w:tcPr>
            <w:tcW w:w="4818" w:type="dxa"/>
            <w:tcBorders>
              <w:bottom w:val="single" w:sz="4" w:space="0" w:color="auto"/>
            </w:tcBorders>
            <w:vAlign w:val="center"/>
          </w:tcPr>
          <w:p w14:paraId="6D27B794" w14:textId="60BDB9E8"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Factor 5:</w:t>
            </w:r>
            <w:r w:rsidR="00681D3B" w:rsidRPr="003B4C72">
              <w:rPr>
                <w:rFonts w:asciiTheme="majorBidi" w:hAnsiTheme="majorBidi" w:cstheme="majorBidi"/>
                <w:color w:val="000000"/>
                <w:szCs w:val="20"/>
              </w:rPr>
              <w:t xml:space="preserve"> </w:t>
            </w:r>
            <w:r w:rsidR="00681D3B">
              <w:rPr>
                <w:rFonts w:asciiTheme="majorBidi" w:hAnsiTheme="majorBidi" w:cstheme="majorBidi"/>
                <w:color w:val="000000"/>
                <w:szCs w:val="20"/>
              </w:rPr>
              <w:t>I</w:t>
            </w:r>
            <w:r w:rsidR="00681D3B" w:rsidRPr="003B4C72">
              <w:rPr>
                <w:rFonts w:asciiTheme="majorBidi" w:hAnsiTheme="majorBidi" w:cstheme="majorBidi"/>
                <w:color w:val="000000"/>
                <w:szCs w:val="20"/>
              </w:rPr>
              <w:t xml:space="preserve">nstitutional culture &amp; </w:t>
            </w:r>
            <w:r w:rsidR="00162EA7">
              <w:rPr>
                <w:rFonts w:asciiTheme="majorBidi" w:hAnsiTheme="majorBidi" w:cstheme="majorBidi"/>
                <w:color w:val="000000"/>
                <w:szCs w:val="20"/>
              </w:rPr>
              <w:t>P</w:t>
            </w:r>
            <w:r w:rsidR="00681D3B" w:rsidRPr="003B4C72">
              <w:rPr>
                <w:rFonts w:asciiTheme="majorBidi" w:hAnsiTheme="majorBidi" w:cstheme="majorBidi"/>
                <w:color w:val="000000"/>
                <w:szCs w:val="20"/>
              </w:rPr>
              <w:t>olicy support</w:t>
            </w:r>
          </w:p>
        </w:tc>
        <w:tc>
          <w:tcPr>
            <w:tcW w:w="655" w:type="dxa"/>
            <w:tcBorders>
              <w:bottom w:val="single" w:sz="4" w:space="0" w:color="auto"/>
            </w:tcBorders>
            <w:vAlign w:val="center"/>
          </w:tcPr>
          <w:p w14:paraId="27BA8F7E" w14:textId="5FF702D0"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50</w:t>
            </w:r>
          </w:p>
        </w:tc>
        <w:tc>
          <w:tcPr>
            <w:tcW w:w="767" w:type="dxa"/>
            <w:tcBorders>
              <w:bottom w:val="single" w:sz="4" w:space="0" w:color="auto"/>
            </w:tcBorders>
            <w:vAlign w:val="center"/>
          </w:tcPr>
          <w:p w14:paraId="3B1FAFD0" w14:textId="2233D5BB"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2.89</w:t>
            </w:r>
          </w:p>
        </w:tc>
        <w:tc>
          <w:tcPr>
            <w:tcW w:w="1131" w:type="dxa"/>
            <w:tcBorders>
              <w:bottom w:val="single" w:sz="4" w:space="0" w:color="auto"/>
            </w:tcBorders>
            <w:vAlign w:val="center"/>
          </w:tcPr>
          <w:p w14:paraId="49A88CA3" w14:textId="399B3D8D"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0.91</w:t>
            </w:r>
          </w:p>
        </w:tc>
        <w:tc>
          <w:tcPr>
            <w:tcW w:w="1418" w:type="dxa"/>
            <w:tcBorders>
              <w:bottom w:val="single" w:sz="4" w:space="0" w:color="auto"/>
            </w:tcBorders>
            <w:vAlign w:val="center"/>
          </w:tcPr>
          <w:p w14:paraId="62282D64" w14:textId="1395232A" w:rsidR="00D6027E" w:rsidRPr="003B4C72" w:rsidRDefault="00D6027E" w:rsidP="002E2C0D">
            <w:pPr>
              <w:autoSpaceDE w:val="0"/>
              <w:autoSpaceDN w:val="0"/>
              <w:adjustRightInd w:val="0"/>
              <w:spacing w:line="320" w:lineRule="atLeast"/>
              <w:ind w:right="60" w:firstLine="0"/>
              <w:jc w:val="left"/>
              <w:rPr>
                <w:rFonts w:asciiTheme="majorBidi" w:hAnsiTheme="majorBidi" w:cstheme="majorBidi"/>
                <w:color w:val="000000"/>
                <w:szCs w:val="20"/>
              </w:rPr>
            </w:pPr>
            <w:r w:rsidRPr="003B4C72">
              <w:rPr>
                <w:rFonts w:asciiTheme="majorBidi" w:hAnsiTheme="majorBidi" w:cstheme="majorBidi"/>
                <w:color w:val="000000"/>
                <w:szCs w:val="20"/>
              </w:rPr>
              <w:t>.13</w:t>
            </w:r>
          </w:p>
        </w:tc>
      </w:tr>
    </w:tbl>
    <w:p w14:paraId="4F5EDC4F" w14:textId="61737803" w:rsidR="000608E3" w:rsidRPr="009A6099" w:rsidRDefault="009A6099" w:rsidP="009A6099">
      <w:pPr>
        <w:pStyle w:val="RALs-TableNote"/>
        <w:jc w:val="left"/>
        <w:rPr>
          <w:rFonts w:asciiTheme="majorBidi" w:hAnsiTheme="majorBidi" w:cstheme="majorBidi"/>
          <w:sz w:val="20"/>
        </w:rPr>
      </w:pPr>
      <w:r>
        <w:rPr>
          <w:rFonts w:asciiTheme="majorBidi" w:hAnsiTheme="majorBidi" w:cstheme="majorBidi"/>
          <w:sz w:val="20"/>
          <w:vertAlign w:val="superscript"/>
        </w:rPr>
        <w:t>*</w:t>
      </w:r>
      <w:r w:rsidR="00CF01D9" w:rsidRPr="00CF01D9">
        <w:rPr>
          <w:rFonts w:asciiTheme="majorBidi" w:hAnsiTheme="majorBidi" w:cstheme="majorBidi"/>
          <w:sz w:val="20"/>
        </w:rPr>
        <w:t>Scores are based on a 5-point Likert scale (1 = Strongly Disagree, 5 = Strongly Agree).</w:t>
      </w:r>
    </w:p>
    <w:p w14:paraId="316CF8E4" w14:textId="77777777" w:rsidR="009A6099" w:rsidRDefault="009A6099" w:rsidP="00374F3D">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p>
    <w:p w14:paraId="06E3B775" w14:textId="72AC6385" w:rsidR="00D20FA7" w:rsidRDefault="00D20FA7" w:rsidP="00374F3D">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D20FA7">
        <w:rPr>
          <w:rFonts w:asciiTheme="majorBidi" w:hAnsiTheme="majorBidi" w:cstheme="majorBidi"/>
          <w:color w:val="333333"/>
          <w:shd w:val="clear" w:color="auto" w:fill="FFFFFF"/>
        </w:rPr>
        <w:lastRenderedPageBreak/>
        <w:t xml:space="preserve">As illustrated in Table 2, the highest mean score was recorded for </w:t>
      </w:r>
      <w:r w:rsidR="00FC39E8">
        <w:rPr>
          <w:rFonts w:asciiTheme="majorBidi" w:hAnsiTheme="majorBidi" w:cstheme="majorBidi"/>
          <w:color w:val="333333"/>
          <w:shd w:val="clear" w:color="auto" w:fill="FFFFFF"/>
        </w:rPr>
        <w:t>Factor 3</w:t>
      </w:r>
      <w:r w:rsidRPr="00D20FA7">
        <w:rPr>
          <w:rFonts w:asciiTheme="majorBidi" w:hAnsiTheme="majorBidi" w:cstheme="majorBidi"/>
          <w:color w:val="333333"/>
          <w:shd w:val="clear" w:color="auto" w:fill="FFFFFF"/>
        </w:rPr>
        <w:t xml:space="preserve"> (M = 4.12, SD = 0.55), indicating a highly positive internal orientation toward the technical capabilities of modern AI tools. Lecturers strongly perceive AI as a valuable asset for IELTS preparation. Conversely, the lowest score was observed for </w:t>
      </w:r>
      <w:r w:rsidR="00FC39E8">
        <w:rPr>
          <w:rFonts w:asciiTheme="majorBidi" w:hAnsiTheme="majorBidi" w:cstheme="majorBidi"/>
          <w:color w:val="333333"/>
          <w:shd w:val="clear" w:color="auto" w:fill="FFFFFF"/>
        </w:rPr>
        <w:t>Factor 4</w:t>
      </w:r>
      <w:r w:rsidRPr="00D20FA7">
        <w:rPr>
          <w:rFonts w:asciiTheme="majorBidi" w:hAnsiTheme="majorBidi" w:cstheme="majorBidi"/>
          <w:color w:val="333333"/>
          <w:shd w:val="clear" w:color="auto" w:fill="FFFFFF"/>
        </w:rPr>
        <w:t xml:space="preserve"> (M = 2.15, SD = 0.84). This indicates that severe professional time limits and heavy teaching schedules act as significant barriers to the exploration and practical integration of digital toolsets. Furthermore, </w:t>
      </w:r>
      <w:r w:rsidR="00FC39E8">
        <w:rPr>
          <w:rFonts w:asciiTheme="majorBidi" w:hAnsiTheme="majorBidi" w:cstheme="majorBidi"/>
          <w:color w:val="333333"/>
          <w:shd w:val="clear" w:color="auto" w:fill="FFFFFF"/>
        </w:rPr>
        <w:t>Factor 5</w:t>
      </w:r>
      <w:r w:rsidRPr="00D20FA7">
        <w:rPr>
          <w:rFonts w:asciiTheme="majorBidi" w:hAnsiTheme="majorBidi" w:cstheme="majorBidi"/>
          <w:color w:val="333333"/>
          <w:shd w:val="clear" w:color="auto" w:fill="FFFFFF"/>
        </w:rPr>
        <w:t xml:space="preserve"> scored moderately low (M = 2.89, SD = 0.91), validating the premise that AI adoption is currently occurring in a policy vacuum, forcing teachers to rely heavily on individual instructional agency (IA) rather than structured institutional guidance.</w:t>
      </w:r>
    </w:p>
    <w:p w14:paraId="07D9E7B1" w14:textId="77777777" w:rsidR="00253DFE" w:rsidRPr="00AB113A" w:rsidRDefault="00253DFE" w:rsidP="00AB113A">
      <w:pPr>
        <w:ind w:firstLine="0"/>
        <w:rPr>
          <w:rFonts w:asciiTheme="majorBidi" w:hAnsiTheme="majorBidi" w:cstheme="majorBidi"/>
          <w:b/>
          <w:bCs/>
          <w:i/>
          <w:iCs/>
          <w:sz w:val="24"/>
          <w:szCs w:val="24"/>
        </w:rPr>
      </w:pPr>
      <w:r w:rsidRPr="00AB113A">
        <w:rPr>
          <w:rFonts w:asciiTheme="majorBidi" w:hAnsiTheme="majorBidi" w:cstheme="majorBidi"/>
          <w:b/>
          <w:bCs/>
          <w:i/>
          <w:iCs/>
          <w:sz w:val="24"/>
          <w:szCs w:val="24"/>
        </w:rPr>
        <w:t>4.2. Qualitative interview themes</w:t>
      </w:r>
    </w:p>
    <w:p w14:paraId="4D9A2C32" w14:textId="77777777" w:rsidR="00253DFE" w:rsidRPr="00AB113A" w:rsidRDefault="00253DFE" w:rsidP="00AB113A">
      <w:pPr>
        <w:ind w:firstLine="0"/>
        <w:rPr>
          <w:rFonts w:asciiTheme="majorBidi" w:hAnsiTheme="majorBidi" w:cstheme="majorBidi"/>
          <w:b/>
          <w:bCs/>
          <w:sz w:val="24"/>
          <w:szCs w:val="24"/>
        </w:rPr>
      </w:pPr>
      <w:r w:rsidRPr="00AB113A">
        <w:rPr>
          <w:rFonts w:asciiTheme="majorBidi" w:hAnsiTheme="majorBidi" w:cstheme="majorBidi"/>
          <w:b/>
          <w:bCs/>
          <w:sz w:val="24"/>
          <w:szCs w:val="24"/>
        </w:rPr>
        <w:t>4.2.1. Efficiency gains vs. Algorithmic reliability</w:t>
      </w:r>
    </w:p>
    <w:p w14:paraId="2E9E4B2A" w14:textId="77777777" w:rsidR="00253DFE" w:rsidRPr="00253DFE" w:rsidRDefault="00253DFE" w:rsidP="00AB113A">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253DFE">
        <w:rPr>
          <w:rFonts w:asciiTheme="majorBidi" w:hAnsiTheme="majorBidi" w:cstheme="majorBidi"/>
          <w:color w:val="333333"/>
          <w:shd w:val="clear" w:color="auto" w:fill="FFFFFF"/>
        </w:rPr>
        <w:t xml:space="preserve">Lecturers widely acknowledged that AI applications significantly accelerated test-prep routines, particularly for generating topic-specific vocabulary and providing initial grammatical corrections. However, severe doubts persisted regarding the linguistic accuracy of generative AI feedback when applied to complex IELTS tasks. Participants noted that while AI excels at surface-level mechanics, it struggles with the rhetorical depth required for advanced band scores. </w:t>
      </w:r>
    </w:p>
    <w:p w14:paraId="09B64B4D" w14:textId="13DD5361" w:rsidR="00253DFE" w:rsidRPr="009D46BE" w:rsidRDefault="00447AA0" w:rsidP="009D46BE">
      <w:pPr>
        <w:pStyle w:val="NormalWeb"/>
        <w:shd w:val="clear" w:color="auto" w:fill="FFFFFF"/>
        <w:spacing w:before="0" w:beforeAutospacing="0" w:after="120" w:afterAutospacing="0" w:line="480" w:lineRule="auto"/>
        <w:ind w:left="709"/>
        <w:jc w:val="both"/>
        <w:textAlignment w:val="baseline"/>
        <w:rPr>
          <w:rFonts w:asciiTheme="majorBidi" w:hAnsiTheme="majorBidi" w:cstheme="majorBidi"/>
          <w:i/>
          <w:iCs/>
          <w:color w:val="333333"/>
          <w:sz w:val="22"/>
          <w:szCs w:val="22"/>
          <w:shd w:val="clear" w:color="auto" w:fill="FFFFFF"/>
        </w:rPr>
      </w:pPr>
      <w:r>
        <w:rPr>
          <w:rFonts w:asciiTheme="majorBidi" w:hAnsiTheme="majorBidi" w:cstheme="majorBidi"/>
          <w:i/>
          <w:iCs/>
          <w:color w:val="333333"/>
          <w:sz w:val="22"/>
          <w:szCs w:val="22"/>
          <w:shd w:val="clear" w:color="auto" w:fill="FFFFFF"/>
        </w:rPr>
        <w:t>“</w:t>
      </w:r>
      <w:r w:rsidR="00253DFE" w:rsidRPr="009D46BE">
        <w:rPr>
          <w:rFonts w:asciiTheme="majorBidi" w:hAnsiTheme="majorBidi" w:cstheme="majorBidi"/>
          <w:i/>
          <w:iCs/>
          <w:color w:val="333333"/>
          <w:sz w:val="22"/>
          <w:szCs w:val="22"/>
          <w:shd w:val="clear" w:color="auto" w:fill="FFFFFF"/>
        </w:rPr>
        <w:t>AI is fantastic for quickly generating a list of collocations related to global supply chains for my logistics students. It saves me hours of preparation. But when I put a student</w:t>
      </w:r>
      <w:r w:rsidR="00FC39BE">
        <w:rPr>
          <w:rFonts w:asciiTheme="majorBidi" w:hAnsiTheme="majorBidi" w:cstheme="majorBidi"/>
          <w:i/>
          <w:iCs/>
          <w:color w:val="333333"/>
          <w:sz w:val="22"/>
          <w:szCs w:val="22"/>
          <w:shd w:val="clear" w:color="auto" w:fill="FFFFFF"/>
        </w:rPr>
        <w:t>’</w:t>
      </w:r>
      <w:r w:rsidR="00253DFE" w:rsidRPr="009D46BE">
        <w:rPr>
          <w:rFonts w:asciiTheme="majorBidi" w:hAnsiTheme="majorBidi" w:cstheme="majorBidi"/>
          <w:i/>
          <w:iCs/>
          <w:color w:val="333333"/>
          <w:sz w:val="22"/>
          <w:szCs w:val="22"/>
          <w:shd w:val="clear" w:color="auto" w:fill="FFFFFF"/>
        </w:rPr>
        <w:t>s Task 2 essay into the software, the AI grades it a 7.5 based on vocabulary alone, completely ignoring the fact that the student</w:t>
      </w:r>
      <w:r w:rsidR="00FC39BE">
        <w:rPr>
          <w:rFonts w:asciiTheme="majorBidi" w:hAnsiTheme="majorBidi" w:cstheme="majorBidi"/>
          <w:i/>
          <w:iCs/>
          <w:color w:val="333333"/>
          <w:sz w:val="22"/>
          <w:szCs w:val="22"/>
          <w:shd w:val="clear" w:color="auto" w:fill="FFFFFF"/>
        </w:rPr>
        <w:t>’</w:t>
      </w:r>
      <w:r w:rsidR="00253DFE" w:rsidRPr="009D46BE">
        <w:rPr>
          <w:rFonts w:asciiTheme="majorBidi" w:hAnsiTheme="majorBidi" w:cstheme="majorBidi"/>
          <w:i/>
          <w:iCs/>
          <w:color w:val="333333"/>
          <w:sz w:val="22"/>
          <w:szCs w:val="22"/>
          <w:shd w:val="clear" w:color="auto" w:fill="FFFFFF"/>
        </w:rPr>
        <w:t>s central argument lacks logical progression. It cannot read like a human examiner</w:t>
      </w:r>
      <w:r>
        <w:rPr>
          <w:rFonts w:asciiTheme="majorBidi" w:hAnsiTheme="majorBidi" w:cstheme="majorBidi"/>
          <w:i/>
          <w:iCs/>
          <w:color w:val="333333"/>
          <w:sz w:val="22"/>
          <w:szCs w:val="22"/>
          <w:shd w:val="clear" w:color="auto" w:fill="FFFFFF"/>
        </w:rPr>
        <w:t>”</w:t>
      </w:r>
      <w:r w:rsidR="00D27B5D">
        <w:rPr>
          <w:rFonts w:asciiTheme="majorBidi" w:hAnsiTheme="majorBidi" w:cstheme="majorBidi"/>
          <w:i/>
          <w:iCs/>
          <w:color w:val="333333"/>
          <w:sz w:val="22"/>
          <w:szCs w:val="22"/>
          <w:shd w:val="clear" w:color="auto" w:fill="FFFFFF"/>
        </w:rPr>
        <w:t>.</w:t>
      </w:r>
      <w:r w:rsidR="00253DFE" w:rsidRPr="009D46BE">
        <w:rPr>
          <w:rFonts w:asciiTheme="majorBidi" w:hAnsiTheme="majorBidi" w:cstheme="majorBidi"/>
          <w:i/>
          <w:iCs/>
          <w:color w:val="333333"/>
          <w:sz w:val="22"/>
          <w:szCs w:val="22"/>
          <w:shd w:val="clear" w:color="auto" w:fill="FFFFFF"/>
        </w:rPr>
        <w:t xml:space="preserve"> </w:t>
      </w:r>
      <w:r w:rsidR="00253DFE" w:rsidRPr="009D46BE">
        <w:rPr>
          <w:rFonts w:asciiTheme="majorBidi" w:hAnsiTheme="majorBidi" w:cstheme="majorBidi"/>
          <w:color w:val="333333"/>
          <w:sz w:val="22"/>
          <w:szCs w:val="22"/>
          <w:shd w:val="clear" w:color="auto" w:fill="FFFFFF"/>
        </w:rPr>
        <w:t>(Participant 04)</w:t>
      </w:r>
    </w:p>
    <w:p w14:paraId="31736F90" w14:textId="0F264CFA" w:rsidR="00253DFE" w:rsidRPr="009D46BE" w:rsidRDefault="00253DFE" w:rsidP="009D46BE">
      <w:pPr>
        <w:ind w:firstLine="0"/>
        <w:rPr>
          <w:rFonts w:asciiTheme="majorBidi" w:hAnsiTheme="majorBidi" w:cstheme="majorBidi"/>
          <w:b/>
          <w:bCs/>
          <w:sz w:val="24"/>
          <w:szCs w:val="24"/>
        </w:rPr>
      </w:pPr>
      <w:r w:rsidRPr="009D46BE">
        <w:rPr>
          <w:rFonts w:asciiTheme="majorBidi" w:hAnsiTheme="majorBidi" w:cstheme="majorBidi"/>
          <w:b/>
          <w:bCs/>
          <w:sz w:val="24"/>
          <w:szCs w:val="24"/>
        </w:rPr>
        <w:t xml:space="preserve">4.2.2. Student </w:t>
      </w:r>
      <w:r w:rsidR="00C935AC">
        <w:rPr>
          <w:rFonts w:asciiTheme="majorBidi" w:hAnsiTheme="majorBidi" w:cstheme="majorBidi"/>
          <w:b/>
          <w:bCs/>
          <w:sz w:val="24"/>
          <w:szCs w:val="24"/>
        </w:rPr>
        <w:t>d</w:t>
      </w:r>
      <w:r w:rsidRPr="009D46BE">
        <w:rPr>
          <w:rFonts w:asciiTheme="majorBidi" w:hAnsiTheme="majorBidi" w:cstheme="majorBidi"/>
          <w:b/>
          <w:bCs/>
          <w:sz w:val="24"/>
          <w:szCs w:val="24"/>
        </w:rPr>
        <w:t xml:space="preserve">ependence in </w:t>
      </w:r>
      <w:r w:rsidR="00C935AC">
        <w:rPr>
          <w:rFonts w:asciiTheme="majorBidi" w:hAnsiTheme="majorBidi" w:cstheme="majorBidi"/>
          <w:b/>
          <w:bCs/>
          <w:sz w:val="24"/>
          <w:szCs w:val="24"/>
        </w:rPr>
        <w:t>p</w:t>
      </w:r>
      <w:r w:rsidRPr="009D46BE">
        <w:rPr>
          <w:rFonts w:asciiTheme="majorBidi" w:hAnsiTheme="majorBidi" w:cstheme="majorBidi"/>
          <w:b/>
          <w:bCs/>
          <w:sz w:val="24"/>
          <w:szCs w:val="24"/>
        </w:rPr>
        <w:t xml:space="preserve">ragmatic </w:t>
      </w:r>
      <w:r w:rsidR="00C935AC">
        <w:rPr>
          <w:rFonts w:asciiTheme="majorBidi" w:hAnsiTheme="majorBidi" w:cstheme="majorBidi"/>
          <w:b/>
          <w:bCs/>
          <w:sz w:val="24"/>
          <w:szCs w:val="24"/>
        </w:rPr>
        <w:t>c</w:t>
      </w:r>
      <w:r w:rsidRPr="009D46BE">
        <w:rPr>
          <w:rFonts w:asciiTheme="majorBidi" w:hAnsiTheme="majorBidi" w:cstheme="majorBidi"/>
          <w:b/>
          <w:bCs/>
          <w:sz w:val="24"/>
          <w:szCs w:val="24"/>
        </w:rPr>
        <w:t>ohorts</w:t>
      </w:r>
    </w:p>
    <w:p w14:paraId="348BAFB2" w14:textId="768264FB" w:rsidR="00253DFE" w:rsidRPr="00253DFE" w:rsidRDefault="00253DFE" w:rsidP="00AB113A">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253DFE">
        <w:rPr>
          <w:rFonts w:asciiTheme="majorBidi" w:hAnsiTheme="majorBidi" w:cstheme="majorBidi"/>
          <w:color w:val="333333"/>
          <w:shd w:val="clear" w:color="auto" w:fill="FFFFFF"/>
        </w:rPr>
        <w:t xml:space="preserve">A dominant theme was the rising anxiety over student over-dependence on generative AI. </w:t>
      </w:r>
      <w:r w:rsidR="00F56C67">
        <w:rPr>
          <w:rFonts w:asciiTheme="majorBidi" w:hAnsiTheme="majorBidi" w:cstheme="majorBidi"/>
          <w:color w:val="333333"/>
          <w:shd w:val="clear" w:color="auto" w:fill="FFFFFF"/>
        </w:rPr>
        <w:t>S</w:t>
      </w:r>
      <w:r w:rsidRPr="00253DFE">
        <w:rPr>
          <w:rFonts w:asciiTheme="majorBidi" w:hAnsiTheme="majorBidi" w:cstheme="majorBidi"/>
          <w:color w:val="333333"/>
          <w:shd w:val="clear" w:color="auto" w:fill="FFFFFF"/>
        </w:rPr>
        <w:t xml:space="preserve">tudents are often highly pragmatic, tech-savvy, and focused on efficiency. Consequently, </w:t>
      </w:r>
      <w:r w:rsidRPr="00253DFE">
        <w:rPr>
          <w:rFonts w:asciiTheme="majorBidi" w:hAnsiTheme="majorBidi" w:cstheme="majorBidi"/>
          <w:color w:val="333333"/>
          <w:shd w:val="clear" w:color="auto" w:fill="FFFFFF"/>
        </w:rPr>
        <w:lastRenderedPageBreak/>
        <w:t>they are highly susceptible to utilizing AI as an academic shortcut rather than a cognitive scaffold. This threatens the development of authentic communicative competence.</w:t>
      </w:r>
    </w:p>
    <w:p w14:paraId="6DE004F8" w14:textId="2539A68C" w:rsidR="00253DFE" w:rsidRPr="009D46BE" w:rsidRDefault="00447AA0" w:rsidP="009D46BE">
      <w:pPr>
        <w:pStyle w:val="NormalWeb"/>
        <w:shd w:val="clear" w:color="auto" w:fill="FFFFFF"/>
        <w:spacing w:before="0" w:beforeAutospacing="0" w:after="120" w:afterAutospacing="0" w:line="480" w:lineRule="auto"/>
        <w:ind w:left="709"/>
        <w:jc w:val="both"/>
        <w:textAlignment w:val="baseline"/>
        <w:rPr>
          <w:rFonts w:asciiTheme="majorBidi" w:hAnsiTheme="majorBidi" w:cstheme="majorBidi"/>
          <w:color w:val="333333"/>
          <w:sz w:val="22"/>
          <w:szCs w:val="22"/>
          <w:shd w:val="clear" w:color="auto" w:fill="FFFFFF"/>
        </w:rPr>
      </w:pPr>
      <w:r>
        <w:rPr>
          <w:rFonts w:asciiTheme="majorBidi" w:hAnsiTheme="majorBidi" w:cstheme="majorBidi"/>
          <w:i/>
          <w:iCs/>
          <w:color w:val="333333"/>
          <w:sz w:val="22"/>
          <w:szCs w:val="22"/>
          <w:shd w:val="clear" w:color="auto" w:fill="FFFFFF"/>
        </w:rPr>
        <w:t>“</w:t>
      </w:r>
      <w:r w:rsidR="00253DFE" w:rsidRPr="009D46BE">
        <w:rPr>
          <w:rFonts w:asciiTheme="majorBidi" w:hAnsiTheme="majorBidi" w:cstheme="majorBidi"/>
          <w:i/>
          <w:iCs/>
          <w:color w:val="333333"/>
          <w:sz w:val="22"/>
          <w:szCs w:val="22"/>
          <w:shd w:val="clear" w:color="auto" w:fill="FFFFFF"/>
        </w:rPr>
        <w:t>My logistics students are brilliant at using technology to solve problems efficiently. The downside is that they treat IELTS writing as just another task to outsource. Instead of using ChatGPT to outline ideas for a manufacturing prompt, they ask it to write the whole essay, memorize it, and try to replicate it. They are submitting to the technology rather than learning from it, which destroys their independent language processing</w:t>
      </w:r>
      <w:r>
        <w:rPr>
          <w:rFonts w:asciiTheme="majorBidi" w:hAnsiTheme="majorBidi" w:cstheme="majorBidi"/>
          <w:i/>
          <w:iCs/>
          <w:color w:val="333333"/>
          <w:sz w:val="22"/>
          <w:szCs w:val="22"/>
          <w:shd w:val="clear" w:color="auto" w:fill="FFFFFF"/>
        </w:rPr>
        <w:t>”</w:t>
      </w:r>
      <w:r w:rsidR="00D27B5D">
        <w:rPr>
          <w:rFonts w:asciiTheme="majorBidi" w:hAnsiTheme="majorBidi" w:cstheme="majorBidi"/>
          <w:i/>
          <w:iCs/>
          <w:color w:val="333333"/>
          <w:sz w:val="22"/>
          <w:szCs w:val="22"/>
          <w:shd w:val="clear" w:color="auto" w:fill="FFFFFF"/>
        </w:rPr>
        <w:t>.</w:t>
      </w:r>
      <w:r w:rsidR="00253DFE" w:rsidRPr="009D46BE">
        <w:rPr>
          <w:rFonts w:asciiTheme="majorBidi" w:hAnsiTheme="majorBidi" w:cstheme="majorBidi"/>
          <w:i/>
          <w:iCs/>
          <w:color w:val="333333"/>
          <w:sz w:val="22"/>
          <w:szCs w:val="22"/>
          <w:shd w:val="clear" w:color="auto" w:fill="FFFFFF"/>
        </w:rPr>
        <w:t xml:space="preserve"> </w:t>
      </w:r>
      <w:r w:rsidR="00253DFE" w:rsidRPr="009D46BE">
        <w:rPr>
          <w:rFonts w:asciiTheme="majorBidi" w:hAnsiTheme="majorBidi" w:cstheme="majorBidi"/>
          <w:color w:val="333333"/>
          <w:sz w:val="22"/>
          <w:szCs w:val="22"/>
          <w:shd w:val="clear" w:color="auto" w:fill="FFFFFF"/>
        </w:rPr>
        <w:t>(Participant 11)</w:t>
      </w:r>
    </w:p>
    <w:p w14:paraId="462B9EF8" w14:textId="03011BF5" w:rsidR="00253DFE" w:rsidRPr="009D46BE" w:rsidRDefault="00253DFE" w:rsidP="009D46BE">
      <w:pPr>
        <w:ind w:firstLine="0"/>
        <w:rPr>
          <w:rFonts w:asciiTheme="majorBidi" w:hAnsiTheme="majorBidi" w:cstheme="majorBidi"/>
          <w:b/>
          <w:bCs/>
          <w:sz w:val="24"/>
          <w:szCs w:val="24"/>
        </w:rPr>
      </w:pPr>
      <w:r w:rsidRPr="009D46BE">
        <w:rPr>
          <w:rFonts w:asciiTheme="majorBidi" w:hAnsiTheme="majorBidi" w:cstheme="majorBidi"/>
          <w:b/>
          <w:bCs/>
          <w:sz w:val="24"/>
          <w:szCs w:val="24"/>
        </w:rPr>
        <w:t>4.2.3. The</w:t>
      </w:r>
      <w:r w:rsidR="00CF1F45">
        <w:rPr>
          <w:rFonts w:asciiTheme="majorBidi" w:hAnsiTheme="majorBidi" w:cstheme="majorBidi"/>
          <w:b/>
          <w:bCs/>
          <w:sz w:val="24"/>
          <w:szCs w:val="24"/>
        </w:rPr>
        <w:t xml:space="preserve"> b</w:t>
      </w:r>
      <w:r w:rsidRPr="009D46BE">
        <w:rPr>
          <w:rFonts w:asciiTheme="majorBidi" w:hAnsiTheme="majorBidi" w:cstheme="majorBidi"/>
          <w:b/>
          <w:bCs/>
          <w:sz w:val="24"/>
          <w:szCs w:val="24"/>
        </w:rPr>
        <w:t xml:space="preserve">urden of </w:t>
      </w:r>
      <w:r w:rsidR="00473B52" w:rsidRPr="00473B52">
        <w:rPr>
          <w:rFonts w:asciiTheme="majorBidi" w:hAnsiTheme="majorBidi" w:cstheme="majorBidi"/>
          <w:b/>
          <w:bCs/>
          <w:sz w:val="24"/>
          <w:szCs w:val="24"/>
        </w:rPr>
        <w:t>Instructional Agency</w:t>
      </w:r>
    </w:p>
    <w:p w14:paraId="127E7A1F" w14:textId="6ECDC970" w:rsidR="00253DFE" w:rsidRPr="00253DFE" w:rsidRDefault="00253DFE" w:rsidP="00AB113A">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253DFE">
        <w:rPr>
          <w:rFonts w:asciiTheme="majorBidi" w:hAnsiTheme="majorBidi" w:cstheme="majorBidi"/>
          <w:color w:val="333333"/>
          <w:shd w:val="clear" w:color="auto" w:fill="FFFFFF"/>
        </w:rPr>
        <w:t>The qualitative data strongly reflected the quantitative finding regarding low institutional support (M = 2.89). In the absence of clear departmental guidelines or systematic AI literacy training, the burden of regulating AI use falls entirely on the individual teacher</w:t>
      </w:r>
      <w:r w:rsidR="00FC39BE">
        <w:rPr>
          <w:rFonts w:asciiTheme="majorBidi" w:hAnsiTheme="majorBidi" w:cstheme="majorBidi"/>
          <w:color w:val="333333"/>
          <w:shd w:val="clear" w:color="auto" w:fill="FFFFFF"/>
        </w:rPr>
        <w:t>’</w:t>
      </w:r>
      <w:r w:rsidRPr="00253DFE">
        <w:rPr>
          <w:rFonts w:asciiTheme="majorBidi" w:hAnsiTheme="majorBidi" w:cstheme="majorBidi"/>
          <w:color w:val="333333"/>
          <w:shd w:val="clear" w:color="auto" w:fill="FFFFFF"/>
        </w:rPr>
        <w:t xml:space="preserve">s instructional agency. </w:t>
      </w:r>
    </w:p>
    <w:p w14:paraId="3D7F1F0F" w14:textId="346A9F12" w:rsidR="00AD29B9" w:rsidRPr="00714CF0" w:rsidRDefault="00447AA0" w:rsidP="00714CF0">
      <w:pPr>
        <w:pStyle w:val="NormalWeb"/>
        <w:shd w:val="clear" w:color="auto" w:fill="FFFFFF"/>
        <w:spacing w:before="0" w:beforeAutospacing="0" w:after="120" w:afterAutospacing="0" w:line="480" w:lineRule="auto"/>
        <w:ind w:left="709"/>
        <w:jc w:val="both"/>
        <w:textAlignment w:val="baseline"/>
        <w:rPr>
          <w:rFonts w:asciiTheme="majorBidi" w:hAnsiTheme="majorBidi" w:cstheme="majorBidi"/>
          <w:i/>
          <w:iCs/>
          <w:color w:val="333333"/>
          <w:sz w:val="22"/>
          <w:szCs w:val="22"/>
          <w:shd w:val="clear" w:color="auto" w:fill="FFFFFF"/>
        </w:rPr>
      </w:pPr>
      <w:r>
        <w:rPr>
          <w:rFonts w:asciiTheme="majorBidi" w:hAnsiTheme="majorBidi" w:cstheme="majorBidi"/>
          <w:i/>
          <w:iCs/>
          <w:color w:val="333333"/>
          <w:sz w:val="22"/>
          <w:szCs w:val="22"/>
          <w:shd w:val="clear" w:color="auto" w:fill="FFFFFF"/>
        </w:rPr>
        <w:t>“</w:t>
      </w:r>
      <w:r w:rsidR="00253DFE" w:rsidRPr="009D46BE">
        <w:rPr>
          <w:rFonts w:asciiTheme="majorBidi" w:hAnsiTheme="majorBidi" w:cstheme="majorBidi"/>
          <w:i/>
          <w:iCs/>
          <w:color w:val="333333"/>
          <w:sz w:val="22"/>
          <w:szCs w:val="22"/>
          <w:shd w:val="clear" w:color="auto" w:fill="FFFFFF"/>
        </w:rPr>
        <w:t>We are pressured to modernize our classrooms and ensure these high-quality cohorts hit their IELTS 6.5 benchmarks, but there is no official university policy on AI plagiarism or ethical use. I have to invent my own rules and boundaries for every writing assignment. It is exhausting to police this without institutional backing</w:t>
      </w:r>
      <w:r>
        <w:rPr>
          <w:rFonts w:asciiTheme="majorBidi" w:hAnsiTheme="majorBidi" w:cstheme="majorBidi"/>
          <w:i/>
          <w:iCs/>
          <w:color w:val="333333"/>
          <w:sz w:val="22"/>
          <w:szCs w:val="22"/>
          <w:shd w:val="clear" w:color="auto" w:fill="FFFFFF"/>
        </w:rPr>
        <w:t>”</w:t>
      </w:r>
      <w:r w:rsidR="00D27B5D">
        <w:rPr>
          <w:rFonts w:asciiTheme="majorBidi" w:hAnsiTheme="majorBidi" w:cstheme="majorBidi"/>
          <w:i/>
          <w:iCs/>
          <w:color w:val="333333"/>
          <w:sz w:val="22"/>
          <w:szCs w:val="22"/>
          <w:shd w:val="clear" w:color="auto" w:fill="FFFFFF"/>
        </w:rPr>
        <w:t>.</w:t>
      </w:r>
      <w:r w:rsidR="00253DFE" w:rsidRPr="009D46BE">
        <w:rPr>
          <w:rFonts w:asciiTheme="majorBidi" w:hAnsiTheme="majorBidi" w:cstheme="majorBidi"/>
          <w:i/>
          <w:iCs/>
          <w:color w:val="333333"/>
          <w:sz w:val="22"/>
          <w:szCs w:val="22"/>
          <w:shd w:val="clear" w:color="auto" w:fill="FFFFFF"/>
        </w:rPr>
        <w:t xml:space="preserve"> </w:t>
      </w:r>
      <w:r w:rsidR="00253DFE" w:rsidRPr="009D46BE">
        <w:rPr>
          <w:rFonts w:asciiTheme="majorBidi" w:hAnsiTheme="majorBidi" w:cstheme="majorBidi"/>
          <w:color w:val="333333"/>
          <w:sz w:val="22"/>
          <w:szCs w:val="22"/>
          <w:shd w:val="clear" w:color="auto" w:fill="FFFFFF"/>
        </w:rPr>
        <w:t>(Participant 07)</w:t>
      </w:r>
    </w:p>
    <w:p w14:paraId="50D7492E"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 xml:space="preserve">5. Discussion </w:t>
      </w:r>
    </w:p>
    <w:p w14:paraId="6096DCEB" w14:textId="77777777" w:rsidR="00714CF0" w:rsidRPr="00B118B1" w:rsidRDefault="00714CF0" w:rsidP="00B118B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B118B1">
        <w:rPr>
          <w:rFonts w:asciiTheme="majorBidi" w:hAnsiTheme="majorBidi" w:cstheme="majorBidi"/>
          <w:color w:val="333333"/>
          <w:shd w:val="clear" w:color="auto" w:fill="FFFFFF"/>
        </w:rPr>
        <w:t>The empirical results of this study offer a nuanced examination of how tertiary EFL teachers reconcile the immense promises of AI with the rigid realities of high-stakes testing. The findings validate the theoretical premise that the pedagogical integration of AI is not determined by technological availability, but is deeply mediated by teacher cognition, instructional agency, and structural support.</w:t>
      </w:r>
    </w:p>
    <w:p w14:paraId="3FED1610" w14:textId="314E84B5" w:rsidR="00001CF5" w:rsidRPr="00664B18" w:rsidRDefault="00714CF0" w:rsidP="00664B18">
      <w:pPr>
        <w:ind w:firstLine="0"/>
        <w:rPr>
          <w:rFonts w:asciiTheme="majorBidi" w:hAnsiTheme="majorBidi" w:cstheme="majorBidi"/>
          <w:b/>
          <w:bCs/>
          <w:i/>
          <w:iCs/>
          <w:sz w:val="24"/>
          <w:szCs w:val="24"/>
        </w:rPr>
      </w:pPr>
      <w:r w:rsidRPr="00664B18">
        <w:rPr>
          <w:rFonts w:asciiTheme="majorBidi" w:hAnsiTheme="majorBidi" w:cstheme="majorBidi"/>
          <w:b/>
          <w:bCs/>
          <w:i/>
          <w:iCs/>
          <w:sz w:val="24"/>
          <w:szCs w:val="24"/>
        </w:rPr>
        <w:t xml:space="preserve">5.1. The </w:t>
      </w:r>
      <w:r w:rsidR="00001CF5" w:rsidRPr="00664B18">
        <w:rPr>
          <w:rFonts w:asciiTheme="majorBidi" w:hAnsiTheme="majorBidi" w:cstheme="majorBidi"/>
          <w:b/>
          <w:bCs/>
          <w:i/>
          <w:iCs/>
          <w:sz w:val="24"/>
          <w:szCs w:val="24"/>
        </w:rPr>
        <w:t>d</w:t>
      </w:r>
      <w:r w:rsidRPr="00664B18">
        <w:rPr>
          <w:rFonts w:asciiTheme="majorBidi" w:hAnsiTheme="majorBidi" w:cstheme="majorBidi"/>
          <w:b/>
          <w:bCs/>
          <w:i/>
          <w:iCs/>
          <w:sz w:val="24"/>
          <w:szCs w:val="24"/>
        </w:rPr>
        <w:t xml:space="preserve">issonance </w:t>
      </w:r>
      <w:r w:rsidR="00664B18" w:rsidRPr="00664B18">
        <w:rPr>
          <w:rFonts w:asciiTheme="majorBidi" w:hAnsiTheme="majorBidi" w:cstheme="majorBidi"/>
          <w:b/>
          <w:bCs/>
          <w:i/>
          <w:iCs/>
          <w:sz w:val="24"/>
          <w:szCs w:val="24"/>
        </w:rPr>
        <w:t>of</w:t>
      </w:r>
      <w:r w:rsidRPr="00664B18">
        <w:rPr>
          <w:rFonts w:asciiTheme="majorBidi" w:hAnsiTheme="majorBidi" w:cstheme="majorBidi"/>
          <w:b/>
          <w:bCs/>
          <w:i/>
          <w:iCs/>
          <w:sz w:val="24"/>
          <w:szCs w:val="24"/>
        </w:rPr>
        <w:t xml:space="preserve"> </w:t>
      </w:r>
      <w:r w:rsidR="00664B18" w:rsidRPr="00664B18">
        <w:rPr>
          <w:rFonts w:asciiTheme="majorBidi" w:hAnsiTheme="majorBidi" w:cstheme="majorBidi"/>
          <w:b/>
          <w:bCs/>
          <w:i/>
          <w:iCs/>
          <w:sz w:val="24"/>
          <w:szCs w:val="24"/>
        </w:rPr>
        <w:t>PU</w:t>
      </w:r>
      <w:r w:rsidRPr="00664B18">
        <w:rPr>
          <w:rFonts w:asciiTheme="majorBidi" w:hAnsiTheme="majorBidi" w:cstheme="majorBidi"/>
          <w:b/>
          <w:bCs/>
          <w:i/>
          <w:iCs/>
          <w:sz w:val="24"/>
          <w:szCs w:val="24"/>
        </w:rPr>
        <w:t xml:space="preserve"> and </w:t>
      </w:r>
      <w:r w:rsidR="00664B18" w:rsidRPr="00664B18">
        <w:rPr>
          <w:rFonts w:asciiTheme="majorBidi" w:hAnsiTheme="majorBidi" w:cstheme="majorBidi"/>
          <w:b/>
          <w:bCs/>
          <w:i/>
          <w:iCs/>
          <w:sz w:val="24"/>
          <w:szCs w:val="24"/>
        </w:rPr>
        <w:t>SC</w:t>
      </w:r>
    </w:p>
    <w:p w14:paraId="16A60C80" w14:textId="42D10AC9" w:rsidR="00714CF0" w:rsidRPr="00B118B1" w:rsidRDefault="00714CF0" w:rsidP="00B118B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B118B1">
        <w:rPr>
          <w:rFonts w:asciiTheme="majorBidi" w:hAnsiTheme="majorBidi" w:cstheme="majorBidi"/>
          <w:color w:val="333333"/>
          <w:shd w:val="clear" w:color="auto" w:fill="FFFFFF"/>
        </w:rPr>
        <w:t xml:space="preserve">The exceptionally high mean for </w:t>
      </w:r>
      <w:r w:rsidRPr="00664B18">
        <w:rPr>
          <w:rFonts w:asciiTheme="majorBidi" w:hAnsiTheme="majorBidi" w:cstheme="majorBidi"/>
          <w:i/>
          <w:iCs/>
          <w:color w:val="333333"/>
          <w:shd w:val="clear" w:color="auto" w:fill="FFFFFF"/>
        </w:rPr>
        <w:t>Personal Interest and Perceived Usefulness</w:t>
      </w:r>
      <w:r w:rsidRPr="00B118B1">
        <w:rPr>
          <w:rFonts w:asciiTheme="majorBidi" w:hAnsiTheme="majorBidi" w:cstheme="majorBidi"/>
          <w:color w:val="333333"/>
          <w:shd w:val="clear" w:color="auto" w:fill="FFFFFF"/>
        </w:rPr>
        <w:t xml:space="preserve"> (M = 4.12) demonstrates that Vietnamese EFL lecturers possess a strong progressive mindset toward educational technology. They clearly recognize AI</w:t>
      </w:r>
      <w:r w:rsidR="00FC39BE">
        <w:rPr>
          <w:rFonts w:asciiTheme="majorBidi" w:hAnsiTheme="majorBidi" w:cstheme="majorBidi"/>
          <w:color w:val="333333"/>
          <w:shd w:val="clear" w:color="auto" w:fill="FFFFFF"/>
        </w:rPr>
        <w:t>’</w:t>
      </w:r>
      <w:r w:rsidRPr="00B118B1">
        <w:rPr>
          <w:rFonts w:asciiTheme="majorBidi" w:hAnsiTheme="majorBidi" w:cstheme="majorBidi"/>
          <w:color w:val="333333"/>
          <w:shd w:val="clear" w:color="auto" w:fill="FFFFFF"/>
        </w:rPr>
        <w:t xml:space="preserve">s profound potential to revolutionize </w:t>
      </w:r>
      <w:r w:rsidRPr="00B118B1">
        <w:rPr>
          <w:rFonts w:asciiTheme="majorBidi" w:hAnsiTheme="majorBidi" w:cstheme="majorBidi"/>
          <w:color w:val="333333"/>
          <w:shd w:val="clear" w:color="auto" w:fill="FFFFFF"/>
        </w:rPr>
        <w:lastRenderedPageBreak/>
        <w:t xml:space="preserve">traditional, labor-intensive test preparation by providing real-time, low-stakes environments for lexical experimentation. However, this optimism is severely undercut by structural realities. The exceptionally low score for </w:t>
      </w:r>
      <w:r w:rsidRPr="00196899">
        <w:rPr>
          <w:rFonts w:asciiTheme="majorBidi" w:hAnsiTheme="majorBidi" w:cstheme="majorBidi"/>
          <w:i/>
          <w:iCs/>
          <w:color w:val="333333"/>
          <w:shd w:val="clear" w:color="auto" w:fill="FFFFFF"/>
        </w:rPr>
        <w:t>Time Constraints</w:t>
      </w:r>
      <w:r w:rsidRPr="00B118B1">
        <w:rPr>
          <w:rFonts w:asciiTheme="majorBidi" w:hAnsiTheme="majorBidi" w:cstheme="majorBidi"/>
          <w:color w:val="333333"/>
          <w:shd w:val="clear" w:color="auto" w:fill="FFFFFF"/>
        </w:rPr>
        <w:t xml:space="preserve"> (M = 2.15) and the qualitative frustrations regarding workload reveal a critical operational bottleneck. Teachers recognize the value of AI, but lack the professional bandwidth required to rigorously test algorithmic reliability, adapt their lesson plans, and integrate these tools thoughtfully. This dissonance highlights that expecting educators to seamlessly absorb AI integration into their existing, heavy teaching schedules is an unsustainable institutional strategy.</w:t>
      </w:r>
    </w:p>
    <w:p w14:paraId="3DD61A36" w14:textId="3992254C" w:rsidR="00196899" w:rsidRPr="00196899" w:rsidRDefault="00714CF0" w:rsidP="00196899">
      <w:pPr>
        <w:ind w:firstLine="0"/>
        <w:rPr>
          <w:rFonts w:asciiTheme="majorBidi" w:hAnsiTheme="majorBidi" w:cstheme="majorBidi"/>
          <w:b/>
          <w:bCs/>
          <w:i/>
          <w:iCs/>
          <w:sz w:val="24"/>
          <w:szCs w:val="24"/>
        </w:rPr>
      </w:pPr>
      <w:r w:rsidRPr="00196899">
        <w:rPr>
          <w:rFonts w:asciiTheme="majorBidi" w:hAnsiTheme="majorBidi" w:cstheme="majorBidi"/>
          <w:b/>
          <w:bCs/>
          <w:i/>
          <w:iCs/>
          <w:sz w:val="24"/>
          <w:szCs w:val="24"/>
        </w:rPr>
        <w:t>5.2. Instructional Agency and the Challenge</w:t>
      </w:r>
      <w:r w:rsidR="00A915F8">
        <w:rPr>
          <w:rFonts w:asciiTheme="majorBidi" w:hAnsiTheme="majorBidi" w:cstheme="majorBidi"/>
          <w:b/>
          <w:bCs/>
          <w:i/>
          <w:iCs/>
          <w:sz w:val="24"/>
          <w:szCs w:val="24"/>
        </w:rPr>
        <w:t>s</w:t>
      </w:r>
    </w:p>
    <w:p w14:paraId="037F9BF9" w14:textId="7FD16189" w:rsidR="00714CF0" w:rsidRPr="00B118B1" w:rsidRDefault="00714CF0" w:rsidP="00A915F8">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B118B1">
        <w:rPr>
          <w:rFonts w:asciiTheme="majorBidi" w:hAnsiTheme="majorBidi" w:cstheme="majorBidi"/>
          <w:color w:val="333333"/>
          <w:shd w:val="clear" w:color="auto" w:fill="FFFFFF"/>
        </w:rPr>
        <w:t xml:space="preserve">The qualitative findings underscore the central role of Instructional Agency (IA) in navigating the risks of algorithmic dependence. The anxiety surrounding student over-reliance is particularly acute when instructing non-language majors, such as logistics students, who often prioritize task completion and operational efficiency over the slow, recursive process of language acquisition. In these high-quality tracks, where graduates must operate independently in unscripted, global professional landscapes, authentic communicative competence is non-negotiable. </w:t>
      </w:r>
    </w:p>
    <w:p w14:paraId="518F4718" w14:textId="52AF8EBF" w:rsidR="00714CF0" w:rsidRPr="00B118B1" w:rsidRDefault="00714CF0" w:rsidP="00B118B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B118B1">
        <w:rPr>
          <w:rFonts w:asciiTheme="majorBidi" w:hAnsiTheme="majorBidi" w:cstheme="majorBidi"/>
          <w:color w:val="333333"/>
          <w:shd w:val="clear" w:color="auto" w:fill="FFFFFF"/>
        </w:rPr>
        <w:t>When students use generative AI to synthesize entire responses, their apparent proficiency becomes a mere artifact of the software. To counteract this, teachers must exercise high instructional agency by deliberately setting pedagogical boundaries—such as restricting AI use to the brainstorming phase or requiring students to critically critique AI-generated essays against official IELTS rubrics. This agentic, selective integration proves that AI cannot replace the contextual, human expertise of an EFL educator; rather, it demands that the teacher evolves into a critical digital media mediator.</w:t>
      </w:r>
    </w:p>
    <w:p w14:paraId="1EA00984" w14:textId="5D77DA25" w:rsidR="00A915F8" w:rsidRPr="009C07B1" w:rsidRDefault="00714CF0" w:rsidP="009C07B1">
      <w:pPr>
        <w:ind w:firstLine="0"/>
        <w:rPr>
          <w:rFonts w:asciiTheme="majorBidi" w:hAnsiTheme="majorBidi" w:cstheme="majorBidi"/>
          <w:b/>
          <w:bCs/>
          <w:i/>
          <w:iCs/>
          <w:sz w:val="24"/>
          <w:szCs w:val="24"/>
        </w:rPr>
      </w:pPr>
      <w:r w:rsidRPr="009C07B1">
        <w:rPr>
          <w:rFonts w:asciiTheme="majorBidi" w:hAnsiTheme="majorBidi" w:cstheme="majorBidi"/>
          <w:b/>
          <w:bCs/>
          <w:i/>
          <w:iCs/>
          <w:sz w:val="24"/>
          <w:szCs w:val="24"/>
        </w:rPr>
        <w:t xml:space="preserve">5.3. The </w:t>
      </w:r>
      <w:r w:rsidR="00266CC6">
        <w:rPr>
          <w:rFonts w:asciiTheme="majorBidi" w:hAnsiTheme="majorBidi" w:cstheme="majorBidi"/>
          <w:b/>
          <w:bCs/>
          <w:i/>
          <w:iCs/>
          <w:sz w:val="24"/>
          <w:szCs w:val="24"/>
        </w:rPr>
        <w:t>I</w:t>
      </w:r>
      <w:r w:rsidRPr="009C07B1">
        <w:rPr>
          <w:rFonts w:asciiTheme="majorBidi" w:hAnsiTheme="majorBidi" w:cstheme="majorBidi"/>
          <w:b/>
          <w:bCs/>
          <w:i/>
          <w:iCs/>
          <w:sz w:val="24"/>
          <w:szCs w:val="24"/>
        </w:rPr>
        <w:t xml:space="preserve">nstitutional </w:t>
      </w:r>
      <w:r w:rsidR="00266CC6">
        <w:rPr>
          <w:rFonts w:asciiTheme="majorBidi" w:hAnsiTheme="majorBidi" w:cstheme="majorBidi"/>
          <w:b/>
          <w:bCs/>
          <w:i/>
          <w:iCs/>
          <w:sz w:val="24"/>
          <w:szCs w:val="24"/>
        </w:rPr>
        <w:t>s</w:t>
      </w:r>
      <w:r w:rsidRPr="009C07B1">
        <w:rPr>
          <w:rFonts w:asciiTheme="majorBidi" w:hAnsiTheme="majorBidi" w:cstheme="majorBidi"/>
          <w:b/>
          <w:bCs/>
          <w:i/>
          <w:iCs/>
          <w:sz w:val="24"/>
          <w:szCs w:val="24"/>
        </w:rPr>
        <w:t>upport and Professional Development</w:t>
      </w:r>
    </w:p>
    <w:p w14:paraId="2B72C2CE" w14:textId="19E369B1" w:rsidR="00714CF0" w:rsidRPr="00B118B1" w:rsidRDefault="00714CF0" w:rsidP="009061FB">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B118B1">
        <w:rPr>
          <w:rFonts w:asciiTheme="majorBidi" w:hAnsiTheme="majorBidi" w:cstheme="majorBidi"/>
          <w:color w:val="333333"/>
          <w:shd w:val="clear" w:color="auto" w:fill="FFFFFF"/>
        </w:rPr>
        <w:t>The moderation effect of Institutional and Ethical Support (IES) is clearly visible in the teachers</w:t>
      </w:r>
      <w:r w:rsidR="00FC39BE">
        <w:rPr>
          <w:rFonts w:asciiTheme="majorBidi" w:hAnsiTheme="majorBidi" w:cstheme="majorBidi"/>
          <w:color w:val="333333"/>
          <w:shd w:val="clear" w:color="auto" w:fill="FFFFFF"/>
        </w:rPr>
        <w:t>’</w:t>
      </w:r>
      <w:r w:rsidRPr="00B118B1">
        <w:rPr>
          <w:rFonts w:asciiTheme="majorBidi" w:hAnsiTheme="majorBidi" w:cstheme="majorBidi"/>
          <w:color w:val="333333"/>
          <w:shd w:val="clear" w:color="auto" w:fill="FFFFFF"/>
        </w:rPr>
        <w:t xml:space="preserve"> narratives. The relatively low quantitative score for institutional culture (M = 2.89) </w:t>
      </w:r>
      <w:r w:rsidRPr="00B118B1">
        <w:rPr>
          <w:rFonts w:asciiTheme="majorBidi" w:hAnsiTheme="majorBidi" w:cstheme="majorBidi"/>
          <w:color w:val="333333"/>
          <w:shd w:val="clear" w:color="auto" w:fill="FFFFFF"/>
        </w:rPr>
        <w:lastRenderedPageBreak/>
        <w:t xml:space="preserve">correlates directly with the qualitative exhaustion teachers expressed regarding the </w:t>
      </w:r>
      <w:r w:rsidR="00447AA0">
        <w:rPr>
          <w:rFonts w:asciiTheme="majorBidi" w:hAnsiTheme="majorBidi" w:cstheme="majorBidi"/>
          <w:color w:val="333333"/>
          <w:shd w:val="clear" w:color="auto" w:fill="FFFFFF"/>
        </w:rPr>
        <w:t>“</w:t>
      </w:r>
      <w:r w:rsidRPr="00B118B1">
        <w:rPr>
          <w:rFonts w:asciiTheme="majorBidi" w:hAnsiTheme="majorBidi" w:cstheme="majorBidi"/>
          <w:color w:val="333333"/>
          <w:shd w:val="clear" w:color="auto" w:fill="FFFFFF"/>
        </w:rPr>
        <w:t>policy vacuum</w:t>
      </w:r>
      <w:r w:rsidR="00447AA0">
        <w:rPr>
          <w:rFonts w:asciiTheme="majorBidi" w:hAnsiTheme="majorBidi" w:cstheme="majorBidi"/>
          <w:color w:val="333333"/>
          <w:shd w:val="clear" w:color="auto" w:fill="FFFFFF"/>
        </w:rPr>
        <w:t>”</w:t>
      </w:r>
      <w:r w:rsidR="00D27B5D">
        <w:rPr>
          <w:rFonts w:asciiTheme="majorBidi" w:hAnsiTheme="majorBidi" w:cstheme="majorBidi"/>
          <w:color w:val="333333"/>
          <w:shd w:val="clear" w:color="auto" w:fill="FFFFFF"/>
        </w:rPr>
        <w:t>.</w:t>
      </w:r>
      <w:r w:rsidRPr="00B118B1">
        <w:rPr>
          <w:rFonts w:asciiTheme="majorBidi" w:hAnsiTheme="majorBidi" w:cstheme="majorBidi"/>
          <w:color w:val="333333"/>
          <w:shd w:val="clear" w:color="auto" w:fill="FFFFFF"/>
        </w:rPr>
        <w:t xml:space="preserve"> When institutional governance is weak, the entire burden of defining ethical AI use and managing academic integrity falls on individual instructors. This approach creates inconsistencies across classrooms and increases teacher burnout.</w:t>
      </w:r>
    </w:p>
    <w:p w14:paraId="1C798005" w14:textId="161C40C3" w:rsidR="00B118B1" w:rsidRDefault="00714CF0" w:rsidP="00B118B1">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B118B1">
        <w:rPr>
          <w:rFonts w:asciiTheme="majorBidi" w:hAnsiTheme="majorBidi" w:cstheme="majorBidi"/>
          <w:color w:val="333333"/>
          <w:shd w:val="clear" w:color="auto" w:fill="FFFFFF"/>
        </w:rPr>
        <w:t>To move beyond superficial technology adoption, universities must transition from passive observation to active structural support. This necessitates systematic, institutionalized</w:t>
      </w:r>
      <w:r w:rsidR="009061FB">
        <w:rPr>
          <w:rFonts w:asciiTheme="majorBidi" w:hAnsiTheme="majorBidi" w:cstheme="majorBidi"/>
          <w:color w:val="333333"/>
          <w:shd w:val="clear" w:color="auto" w:fill="FFFFFF"/>
        </w:rPr>
        <w:t xml:space="preserve"> </w:t>
      </w:r>
      <w:r w:rsidRPr="00B118B1">
        <w:rPr>
          <w:rFonts w:asciiTheme="majorBidi" w:hAnsiTheme="majorBidi" w:cstheme="majorBidi"/>
          <w:color w:val="333333"/>
          <w:shd w:val="clear" w:color="auto" w:fill="FFFFFF"/>
        </w:rPr>
        <w:t>PD that goes beyond basic software training. Effective PD must focus on AI literacy and digital pedagogy</w:t>
      </w:r>
      <w:r w:rsidR="000A5BDA">
        <w:rPr>
          <w:rFonts w:asciiTheme="majorBidi" w:hAnsiTheme="majorBidi" w:cstheme="majorBidi"/>
          <w:color w:val="333333"/>
          <w:shd w:val="clear" w:color="auto" w:fill="FFFFFF"/>
        </w:rPr>
        <w:t xml:space="preserve">, </w:t>
      </w:r>
      <w:r w:rsidRPr="00B118B1">
        <w:rPr>
          <w:rFonts w:asciiTheme="majorBidi" w:hAnsiTheme="majorBidi" w:cstheme="majorBidi"/>
          <w:color w:val="333333"/>
          <w:shd w:val="clear" w:color="auto" w:fill="FFFFFF"/>
        </w:rPr>
        <w:t>teaching educators how to deconstruct algorithmic biases, align automated feedback with human IELTS rubrics, and design assessments that are resilient to generative AI shortcuts. Furthermore, clear, university-wide ethical guidelines must be established to provide teachers with the institutional backing needed to confidently exercise their instructional agency.</w:t>
      </w:r>
    </w:p>
    <w:p w14:paraId="2DBC42BE" w14:textId="0738438F" w:rsidR="00922F80" w:rsidRPr="00FC39BE" w:rsidRDefault="00922F80" w:rsidP="00922F80">
      <w:pPr>
        <w:ind w:firstLine="0"/>
        <w:rPr>
          <w:rFonts w:asciiTheme="majorBidi" w:hAnsiTheme="majorBidi" w:cstheme="majorBidi"/>
          <w:b/>
          <w:bCs/>
          <w:i/>
          <w:iCs/>
          <w:sz w:val="24"/>
          <w:szCs w:val="24"/>
          <w:highlight w:val="yellow"/>
        </w:rPr>
      </w:pPr>
      <w:r w:rsidRPr="00FC39BE">
        <w:rPr>
          <w:rFonts w:asciiTheme="majorBidi" w:hAnsiTheme="majorBidi" w:cstheme="majorBidi"/>
          <w:b/>
          <w:bCs/>
          <w:i/>
          <w:iCs/>
          <w:sz w:val="24"/>
          <w:szCs w:val="24"/>
          <w:highlight w:val="yellow"/>
        </w:rPr>
        <w:t xml:space="preserve">5.4. </w:t>
      </w:r>
      <w:r w:rsidR="001F09A1" w:rsidRPr="00FC39BE">
        <w:rPr>
          <w:rFonts w:asciiTheme="majorBidi" w:hAnsiTheme="majorBidi" w:cstheme="majorBidi"/>
          <w:b/>
          <w:bCs/>
          <w:i/>
          <w:iCs/>
          <w:sz w:val="24"/>
          <w:szCs w:val="24"/>
          <w:highlight w:val="yellow"/>
        </w:rPr>
        <w:t>Overreliance on AI writing</w:t>
      </w:r>
    </w:p>
    <w:p w14:paraId="23720AA5" w14:textId="232D5612" w:rsidR="00922F80" w:rsidRPr="00B118B1" w:rsidRDefault="00D1010D" w:rsidP="00D1010D">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FC39BE">
        <w:rPr>
          <w:rFonts w:asciiTheme="majorBidi" w:hAnsiTheme="majorBidi" w:cstheme="majorBidi"/>
          <w:color w:val="333333"/>
          <w:highlight w:val="yellow"/>
          <w:shd w:val="clear" w:color="auto" w:fill="FFFFFF"/>
        </w:rPr>
        <w:t xml:space="preserve">Identifying the threat of algorithmic dependence is insufficient without offering actionable pedagogical countermeasures. To mitigate the overreliance of pragmatic, tech-savvy logistics students, EFL lecturers must deploy proactive digital pedagogy solutions that reclaim instructional agency and enforce authentic cognitive engagement. </w:t>
      </w:r>
      <w:r w:rsidRPr="00FC39BE">
        <w:rPr>
          <w:rFonts w:asciiTheme="majorBidi" w:hAnsiTheme="majorBidi" w:cstheme="majorBidi"/>
          <w:i/>
          <w:iCs/>
          <w:color w:val="333333"/>
          <w:highlight w:val="yellow"/>
          <w:shd w:val="clear" w:color="auto" w:fill="FFFFFF"/>
        </w:rPr>
        <w:t xml:space="preserve">First, </w:t>
      </w:r>
      <w:r w:rsidRPr="00FC39BE">
        <w:rPr>
          <w:rFonts w:asciiTheme="majorBidi" w:hAnsiTheme="majorBidi" w:cstheme="majorBidi"/>
          <w:color w:val="333333"/>
          <w:highlight w:val="yellow"/>
          <w:shd w:val="clear" w:color="auto" w:fill="FFFFFF"/>
        </w:rPr>
        <w:t xml:space="preserve">teachers can adopt a </w:t>
      </w:r>
      <w:r w:rsidRPr="00FC39BE">
        <w:rPr>
          <w:rFonts w:asciiTheme="majorBidi" w:hAnsiTheme="majorBidi" w:cstheme="majorBidi"/>
          <w:i/>
          <w:iCs/>
          <w:color w:val="333333"/>
          <w:highlight w:val="yellow"/>
          <w:shd w:val="clear" w:color="auto" w:fill="FFFFFF"/>
        </w:rPr>
        <w:t>Flipped</w:t>
      </w:r>
      <w:r w:rsidR="00A42B60" w:rsidRPr="00FC39BE">
        <w:rPr>
          <w:rFonts w:asciiTheme="majorBidi" w:hAnsiTheme="majorBidi" w:cstheme="majorBidi"/>
          <w:i/>
          <w:iCs/>
          <w:color w:val="333333"/>
          <w:highlight w:val="yellow"/>
          <w:shd w:val="clear" w:color="auto" w:fill="FFFFFF"/>
        </w:rPr>
        <w:t>-</w:t>
      </w:r>
      <w:r w:rsidRPr="00FC39BE">
        <w:rPr>
          <w:rFonts w:asciiTheme="majorBidi" w:hAnsiTheme="majorBidi" w:cstheme="majorBidi"/>
          <w:i/>
          <w:iCs/>
          <w:color w:val="333333"/>
          <w:highlight w:val="yellow"/>
          <w:shd w:val="clear" w:color="auto" w:fill="FFFFFF"/>
        </w:rPr>
        <w:t>AI</w:t>
      </w:r>
      <w:r w:rsidR="00A42B60" w:rsidRPr="00FC39BE">
        <w:rPr>
          <w:rFonts w:asciiTheme="majorBidi" w:hAnsiTheme="majorBidi" w:cstheme="majorBidi"/>
          <w:i/>
          <w:iCs/>
          <w:color w:val="333333"/>
          <w:highlight w:val="yellow"/>
          <w:shd w:val="clear" w:color="auto" w:fill="FFFFFF"/>
        </w:rPr>
        <w:t>-</w:t>
      </w:r>
      <w:r w:rsidRPr="00FC39BE">
        <w:rPr>
          <w:rFonts w:asciiTheme="majorBidi" w:hAnsiTheme="majorBidi" w:cstheme="majorBidi"/>
          <w:i/>
          <w:iCs/>
          <w:color w:val="333333"/>
          <w:highlight w:val="yellow"/>
          <w:shd w:val="clear" w:color="auto" w:fill="FFFFFF"/>
        </w:rPr>
        <w:t>Framework</w:t>
      </w:r>
      <w:r w:rsidR="00A42B60" w:rsidRPr="00FC39BE">
        <w:rPr>
          <w:rFonts w:asciiTheme="majorBidi" w:hAnsiTheme="majorBidi" w:cstheme="majorBidi"/>
          <w:color w:val="333333"/>
          <w:highlight w:val="yellow"/>
          <w:shd w:val="clear" w:color="auto" w:fill="FFFFFF"/>
        </w:rPr>
        <w:t>,</w:t>
      </w:r>
      <w:r w:rsidRPr="00FC39BE">
        <w:rPr>
          <w:rFonts w:asciiTheme="majorBidi" w:hAnsiTheme="majorBidi" w:cstheme="majorBidi"/>
          <w:color w:val="333333"/>
          <w:highlight w:val="yellow"/>
          <w:shd w:val="clear" w:color="auto" w:fill="FFFFFF"/>
        </w:rPr>
        <w:t xml:space="preserve"> which strictly confines generative AI tools to the pre-writing phase. While students may use AI to rapidly generate logistics-specific collocations or map structural outlines, the actual drafting must be conducted in-class without digital assistance, ensuring the cognitive effort of translating ideas into academic English remains entirely with the learner. </w:t>
      </w:r>
      <w:r w:rsidRPr="00FC39BE">
        <w:rPr>
          <w:rFonts w:asciiTheme="majorBidi" w:hAnsiTheme="majorBidi" w:cstheme="majorBidi"/>
          <w:i/>
          <w:iCs/>
          <w:color w:val="333333"/>
          <w:highlight w:val="yellow"/>
          <w:shd w:val="clear" w:color="auto" w:fill="FFFFFF"/>
        </w:rPr>
        <w:t>Second,</w:t>
      </w:r>
      <w:r w:rsidRPr="00FC39BE">
        <w:rPr>
          <w:rFonts w:asciiTheme="majorBidi" w:hAnsiTheme="majorBidi" w:cstheme="majorBidi"/>
          <w:color w:val="333333"/>
          <w:highlight w:val="yellow"/>
          <w:shd w:val="clear" w:color="auto" w:fill="FFFFFF"/>
        </w:rPr>
        <w:t xml:space="preserve"> educators can implement </w:t>
      </w:r>
      <w:r w:rsidR="00447AA0" w:rsidRPr="00FC39BE">
        <w:rPr>
          <w:rFonts w:asciiTheme="majorBidi" w:hAnsiTheme="majorBidi" w:cstheme="majorBidi"/>
          <w:i/>
          <w:iCs/>
          <w:color w:val="333333"/>
          <w:highlight w:val="yellow"/>
          <w:shd w:val="clear" w:color="auto" w:fill="FFFFFF"/>
        </w:rPr>
        <w:t>“</w:t>
      </w:r>
      <w:r w:rsidRPr="00FC39BE">
        <w:rPr>
          <w:rFonts w:asciiTheme="majorBidi" w:hAnsiTheme="majorBidi" w:cstheme="majorBidi"/>
          <w:i/>
          <w:iCs/>
          <w:color w:val="333333"/>
          <w:highlight w:val="yellow"/>
          <w:shd w:val="clear" w:color="auto" w:fill="FFFFFF"/>
        </w:rPr>
        <w:t>Reverse Evaluation Tasks</w:t>
      </w:r>
      <w:r w:rsidR="00447AA0" w:rsidRPr="00FC39BE">
        <w:rPr>
          <w:rFonts w:asciiTheme="majorBidi" w:hAnsiTheme="majorBidi" w:cstheme="majorBidi"/>
          <w:i/>
          <w:iCs/>
          <w:color w:val="333333"/>
          <w:highlight w:val="yellow"/>
          <w:shd w:val="clear" w:color="auto" w:fill="FFFFFF"/>
        </w:rPr>
        <w:t>”</w:t>
      </w:r>
      <w:r w:rsidRPr="00FC39BE">
        <w:rPr>
          <w:rFonts w:asciiTheme="majorBidi" w:hAnsiTheme="majorBidi" w:cstheme="majorBidi"/>
          <w:color w:val="333333"/>
          <w:highlight w:val="yellow"/>
          <w:shd w:val="clear" w:color="auto" w:fill="FFFFFF"/>
        </w:rPr>
        <w:t xml:space="preserve"> to foster critical AI literacy. By requiring students to generate an essay using AI and actively critique its flaws against official IELTS public band descriptors, teachers shift the student</w:t>
      </w:r>
      <w:r w:rsidR="00FC39BE" w:rsidRPr="00FC39BE">
        <w:rPr>
          <w:rFonts w:asciiTheme="majorBidi" w:hAnsiTheme="majorBidi" w:cstheme="majorBidi"/>
          <w:color w:val="333333"/>
          <w:highlight w:val="yellow"/>
          <w:shd w:val="clear" w:color="auto" w:fill="FFFFFF"/>
        </w:rPr>
        <w:t>’</w:t>
      </w:r>
      <w:r w:rsidRPr="00FC39BE">
        <w:rPr>
          <w:rFonts w:asciiTheme="majorBidi" w:hAnsiTheme="majorBidi" w:cstheme="majorBidi"/>
          <w:color w:val="333333"/>
          <w:highlight w:val="yellow"/>
          <w:shd w:val="clear" w:color="auto" w:fill="FFFFFF"/>
        </w:rPr>
        <w:t xml:space="preserve">s role from a passive consumer to a critical evaluator. </w:t>
      </w:r>
      <w:r w:rsidRPr="00FC39BE">
        <w:rPr>
          <w:rFonts w:asciiTheme="majorBidi" w:hAnsiTheme="majorBidi" w:cstheme="majorBidi"/>
          <w:i/>
          <w:iCs/>
          <w:color w:val="333333"/>
          <w:highlight w:val="yellow"/>
          <w:shd w:val="clear" w:color="auto" w:fill="FFFFFF"/>
        </w:rPr>
        <w:t>Finally,</w:t>
      </w:r>
      <w:r w:rsidRPr="00FC39BE">
        <w:rPr>
          <w:rFonts w:asciiTheme="majorBidi" w:hAnsiTheme="majorBidi" w:cstheme="majorBidi"/>
          <w:color w:val="333333"/>
          <w:highlight w:val="yellow"/>
          <w:shd w:val="clear" w:color="auto" w:fill="FFFFFF"/>
        </w:rPr>
        <w:t xml:space="preserve"> moving towards </w:t>
      </w:r>
      <w:r w:rsidR="00447AA0" w:rsidRPr="00FC39BE">
        <w:rPr>
          <w:rFonts w:asciiTheme="majorBidi" w:hAnsiTheme="majorBidi" w:cstheme="majorBidi"/>
          <w:i/>
          <w:iCs/>
          <w:color w:val="333333"/>
          <w:highlight w:val="yellow"/>
          <w:shd w:val="clear" w:color="auto" w:fill="FFFFFF"/>
        </w:rPr>
        <w:t>“</w:t>
      </w:r>
      <w:r w:rsidRPr="00FC39BE">
        <w:rPr>
          <w:rFonts w:asciiTheme="majorBidi" w:hAnsiTheme="majorBidi" w:cstheme="majorBidi"/>
          <w:i/>
          <w:iCs/>
          <w:color w:val="333333"/>
          <w:highlight w:val="yellow"/>
          <w:shd w:val="clear" w:color="auto" w:fill="FFFFFF"/>
        </w:rPr>
        <w:t>Process-Oriented Assessment and Verbal Defenses</w:t>
      </w:r>
      <w:r w:rsidR="00447AA0" w:rsidRPr="00FC39BE">
        <w:rPr>
          <w:rFonts w:asciiTheme="majorBidi" w:hAnsiTheme="majorBidi" w:cstheme="majorBidi"/>
          <w:i/>
          <w:iCs/>
          <w:color w:val="333333"/>
          <w:highlight w:val="yellow"/>
          <w:shd w:val="clear" w:color="auto" w:fill="FFFFFF"/>
        </w:rPr>
        <w:t>”</w:t>
      </w:r>
      <w:r w:rsidRPr="00FC39BE">
        <w:rPr>
          <w:rFonts w:asciiTheme="majorBidi" w:hAnsiTheme="majorBidi" w:cstheme="majorBidi"/>
          <w:color w:val="333333"/>
          <w:highlight w:val="yellow"/>
          <w:shd w:val="clear" w:color="auto" w:fill="FFFFFF"/>
        </w:rPr>
        <w:t xml:space="preserve"> neutralizes the shortcut of automated text generation. Instructors should evaluate </w:t>
      </w:r>
      <w:r w:rsidRPr="00FC39BE">
        <w:rPr>
          <w:rFonts w:asciiTheme="majorBidi" w:hAnsiTheme="majorBidi" w:cstheme="majorBidi"/>
          <w:color w:val="333333"/>
          <w:highlight w:val="yellow"/>
          <w:shd w:val="clear" w:color="auto" w:fill="FFFFFF"/>
        </w:rPr>
        <w:lastRenderedPageBreak/>
        <w:t>drafting iterations rather than just the final product and implement brief, randomized verbal defenses where students orally explain their lexical or grammatical choices. Together, these strategies act as powerful deterrents against submitting unedited, AI-generated work and foster genuine communicative competence.</w:t>
      </w:r>
    </w:p>
    <w:p w14:paraId="43212ADB" w14:textId="6321A310" w:rsidR="00722EDE" w:rsidRPr="00E40940" w:rsidRDefault="00722EDE" w:rsidP="00714CF0">
      <w:pPr>
        <w:pStyle w:val="RALs-Heading1"/>
        <w:rPr>
          <w:rFonts w:asciiTheme="majorBidi" w:hAnsiTheme="majorBidi" w:cstheme="majorBidi"/>
          <w:sz w:val="24"/>
          <w:szCs w:val="24"/>
        </w:rPr>
      </w:pPr>
      <w:r w:rsidRPr="00E40940">
        <w:rPr>
          <w:rFonts w:asciiTheme="majorBidi" w:hAnsiTheme="majorBidi" w:cstheme="majorBidi"/>
          <w:sz w:val="24"/>
          <w:szCs w:val="24"/>
        </w:rPr>
        <w:t>6. Conclusion</w:t>
      </w:r>
    </w:p>
    <w:p w14:paraId="25F13C63" w14:textId="24960837" w:rsidR="009C38DA" w:rsidRPr="009C38DA" w:rsidRDefault="009C38DA" w:rsidP="009C38DA">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9C38DA">
        <w:rPr>
          <w:rFonts w:asciiTheme="majorBidi" w:hAnsiTheme="majorBidi" w:cstheme="majorBidi"/>
          <w:color w:val="333333"/>
          <w:shd w:val="clear" w:color="auto" w:fill="FFFFFF"/>
        </w:rPr>
        <w:t>This study investigated the core factors influencing how Vietnamese tertiary EFL lecturers perceive and adopt AI-supported and digital technologies within high-stakes IELTS preparation frameworks, specifically for logistics-majored student cohorts in high-quality</w:t>
      </w:r>
      <w:r>
        <w:rPr>
          <w:rFonts w:asciiTheme="majorBidi" w:hAnsiTheme="majorBidi" w:cstheme="majorBidi"/>
          <w:color w:val="333333"/>
          <w:shd w:val="clear" w:color="auto" w:fill="FFFFFF"/>
        </w:rPr>
        <w:t xml:space="preserve"> </w:t>
      </w:r>
      <w:r w:rsidRPr="009C38DA">
        <w:rPr>
          <w:rFonts w:asciiTheme="majorBidi" w:hAnsiTheme="majorBidi" w:cstheme="majorBidi"/>
          <w:color w:val="333333"/>
          <w:shd w:val="clear" w:color="auto" w:fill="FFFFFF"/>
        </w:rPr>
        <w:t xml:space="preserve">academic tracks. The findings demonstrate that technology integration in this specialized context is a highly complex, non-linear process mediated by teacher cognition, instructional agency, and structural constraints. </w:t>
      </w:r>
    </w:p>
    <w:p w14:paraId="3475E736" w14:textId="2AA80D8D" w:rsidR="009C38DA" w:rsidRPr="009C38DA" w:rsidRDefault="009C38DA" w:rsidP="009C38DA">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9C38DA">
        <w:rPr>
          <w:rFonts w:asciiTheme="majorBidi" w:hAnsiTheme="majorBidi" w:cstheme="majorBidi"/>
          <w:color w:val="333333"/>
          <w:shd w:val="clear" w:color="auto" w:fill="FFFFFF"/>
        </w:rPr>
        <w:t>While lecturers exhibit strong personal interest and clearly recognize the operational utility of AI in accelerating feedback loops and enhancing vocabulary generation, their pedagogical adoption is heavily hindered by severe time constraints and a pervasive institutional policy vacuum. Furthermore, the unique pragmatic characteristics of logistics students amplify profound concerns regarding automated reliability and algorithmic dependence. When students utilize generative AI as an academic shortcut rather than a cognitive scaffold, they bypass the recursive learning processes essential for authentic language acquisition, risking misalignment with strict human-evaluated IELTS rubrics.</w:t>
      </w:r>
    </w:p>
    <w:p w14:paraId="76CFA793" w14:textId="61737F6F" w:rsidR="006505BE" w:rsidRPr="00A44795" w:rsidRDefault="009C38DA" w:rsidP="00A44795">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333333"/>
          <w:shd w:val="clear" w:color="auto" w:fill="FFFFFF"/>
        </w:rPr>
      </w:pPr>
      <w:r w:rsidRPr="009C38DA">
        <w:rPr>
          <w:rFonts w:asciiTheme="majorBidi" w:hAnsiTheme="majorBidi" w:cstheme="majorBidi"/>
          <w:color w:val="333333"/>
          <w:shd w:val="clear" w:color="auto" w:fill="FFFFFF"/>
        </w:rPr>
        <w:t xml:space="preserve">To ensure that AI functions as a legitimate driver of deep language learning, higher education institutions must urgently transition away from ad-hoc technological usage. It is imperative that universities implement systematic, institutionalized professional development (PD) focused on digital pedagogy and AI literacy, empowering teachers to critically evaluate algorithmic outputs. Concurrently, establishing transparent, university-wide ethical guidelines (IES) is essential to relieve the regulatory burden on individual educators. Only through </w:t>
      </w:r>
      <w:r w:rsidRPr="009C38DA">
        <w:rPr>
          <w:rFonts w:asciiTheme="majorBidi" w:hAnsiTheme="majorBidi" w:cstheme="majorBidi"/>
          <w:color w:val="333333"/>
          <w:shd w:val="clear" w:color="auto" w:fill="FFFFFF"/>
        </w:rPr>
        <w:lastRenderedPageBreak/>
        <w:t>deliberate, agentic integration</w:t>
      </w:r>
      <w:r w:rsidR="00856A0D">
        <w:rPr>
          <w:rFonts w:asciiTheme="majorBidi" w:hAnsiTheme="majorBidi" w:cstheme="majorBidi"/>
          <w:color w:val="333333"/>
          <w:shd w:val="clear" w:color="auto" w:fill="FFFFFF"/>
        </w:rPr>
        <w:t xml:space="preserve">, </w:t>
      </w:r>
      <w:r w:rsidRPr="009C38DA">
        <w:rPr>
          <w:rFonts w:asciiTheme="majorBidi" w:hAnsiTheme="majorBidi" w:cstheme="majorBidi"/>
          <w:color w:val="333333"/>
          <w:shd w:val="clear" w:color="auto" w:fill="FFFFFF"/>
        </w:rPr>
        <w:t>supported by robust institutional frameworks</w:t>
      </w:r>
      <w:r w:rsidR="00856A0D">
        <w:rPr>
          <w:rFonts w:asciiTheme="majorBidi" w:hAnsiTheme="majorBidi" w:cstheme="majorBidi"/>
          <w:color w:val="333333"/>
          <w:shd w:val="clear" w:color="auto" w:fill="FFFFFF"/>
        </w:rPr>
        <w:t xml:space="preserve">, </w:t>
      </w:r>
      <w:r w:rsidRPr="009C38DA">
        <w:rPr>
          <w:rFonts w:asciiTheme="majorBidi" w:hAnsiTheme="majorBidi" w:cstheme="majorBidi"/>
          <w:color w:val="333333"/>
          <w:shd w:val="clear" w:color="auto" w:fill="FFFFFF"/>
        </w:rPr>
        <w:t>can EFL practitioners maximize the transformative potential of AI while preserving the academic rigor required for sustainable, high-level English communicative competence in global professional landscapes</w:t>
      </w:r>
      <w:r w:rsidR="00722EDE" w:rsidRPr="009C38DA">
        <w:rPr>
          <w:rFonts w:asciiTheme="majorBidi" w:hAnsiTheme="majorBidi" w:cstheme="majorBidi"/>
          <w:color w:val="333333"/>
          <w:shd w:val="clear" w:color="auto" w:fill="FFFFFF"/>
        </w:rPr>
        <w:t>.</w:t>
      </w:r>
    </w:p>
    <w:p w14:paraId="462EC057" w14:textId="77777777" w:rsidR="0075641B" w:rsidRDefault="0075641B">
      <w:pPr>
        <w:spacing w:before="0" w:after="160" w:line="259" w:lineRule="auto"/>
        <w:ind w:firstLine="0"/>
        <w:jc w:val="left"/>
        <w:rPr>
          <w:rFonts w:asciiTheme="majorBidi" w:hAnsiTheme="majorBidi" w:cstheme="majorBidi"/>
          <w:b/>
          <w:bCs/>
          <w:sz w:val="24"/>
          <w:szCs w:val="24"/>
        </w:rPr>
      </w:pPr>
      <w:r>
        <w:rPr>
          <w:rFonts w:asciiTheme="majorBidi" w:hAnsiTheme="majorBidi" w:cstheme="majorBidi"/>
          <w:sz w:val="24"/>
          <w:szCs w:val="24"/>
        </w:rPr>
        <w:br w:type="page"/>
      </w:r>
    </w:p>
    <w:p w14:paraId="175CBAA0" w14:textId="2377CE36" w:rsidR="00722EDE" w:rsidRPr="00E40940" w:rsidRDefault="00722EDE" w:rsidP="006505BE">
      <w:pPr>
        <w:pStyle w:val="RALs-Heading1"/>
        <w:jc w:val="both"/>
        <w:rPr>
          <w:rFonts w:asciiTheme="majorBidi" w:hAnsiTheme="majorBidi" w:cstheme="majorBidi"/>
          <w:sz w:val="24"/>
          <w:szCs w:val="24"/>
        </w:rPr>
      </w:pPr>
      <w:r w:rsidRPr="00E40940">
        <w:rPr>
          <w:rFonts w:asciiTheme="majorBidi" w:hAnsiTheme="majorBidi" w:cstheme="majorBidi"/>
          <w:sz w:val="24"/>
          <w:szCs w:val="24"/>
        </w:rPr>
        <w:lastRenderedPageBreak/>
        <w:t>References</w:t>
      </w:r>
    </w:p>
    <w:p w14:paraId="4E43336E"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An, F., Yu, J., &amp; Xi, L. (2022). Relationship between perceived teacher support and learning engagement among adolescents: Mediation role of technology acceptance and learning motivation. </w:t>
      </w:r>
      <w:r w:rsidRPr="004131AF">
        <w:rPr>
          <w:i/>
          <w:iCs/>
          <w:sz w:val="20"/>
          <w:szCs w:val="20"/>
        </w:rPr>
        <w:t>Frontiers in Psychology</w:t>
      </w:r>
      <w:r w:rsidRPr="004131AF">
        <w:rPr>
          <w:sz w:val="20"/>
          <w:szCs w:val="20"/>
        </w:rPr>
        <w:t xml:space="preserve">, </w:t>
      </w:r>
      <w:r w:rsidRPr="004131AF">
        <w:rPr>
          <w:i/>
          <w:iCs/>
          <w:sz w:val="20"/>
          <w:szCs w:val="20"/>
        </w:rPr>
        <w:t>13</w:t>
      </w:r>
      <w:r w:rsidRPr="004131AF">
        <w:rPr>
          <w:sz w:val="20"/>
          <w:szCs w:val="20"/>
        </w:rPr>
        <w:t xml:space="preserve">, 992464. </w:t>
      </w:r>
      <w:hyperlink r:id="rId8" w:tgtFrame="_blank" w:history="1">
        <w:r w:rsidRPr="004131AF">
          <w:rPr>
            <w:rStyle w:val="Hyperlink"/>
            <w:sz w:val="20"/>
            <w:szCs w:val="20"/>
          </w:rPr>
          <w:t>https://doi.org/10.3389/fpsyg.2022.992464</w:t>
        </w:r>
      </w:hyperlink>
    </w:p>
    <w:p w14:paraId="0318D3D0" w14:textId="7B3BCF79"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Azis, M. A., &amp; Numan, M. (2026). Teachers</w:t>
      </w:r>
      <w:r w:rsidR="00FC39BE">
        <w:rPr>
          <w:sz w:val="20"/>
          <w:szCs w:val="20"/>
        </w:rPr>
        <w:t>’</w:t>
      </w:r>
      <w:r w:rsidRPr="004131AF">
        <w:rPr>
          <w:sz w:val="20"/>
          <w:szCs w:val="20"/>
        </w:rPr>
        <w:t xml:space="preserve"> beliefs and decisions regarding artificial intelligence use. </w:t>
      </w:r>
      <w:r w:rsidRPr="004131AF">
        <w:rPr>
          <w:i/>
          <w:iCs/>
          <w:sz w:val="20"/>
          <w:szCs w:val="20"/>
        </w:rPr>
        <w:t>Duties: Education and Humanities International Journal</w:t>
      </w:r>
      <w:r w:rsidRPr="004131AF">
        <w:rPr>
          <w:sz w:val="20"/>
          <w:szCs w:val="20"/>
        </w:rPr>
        <w:t xml:space="preserve">, </w:t>
      </w:r>
      <w:r w:rsidRPr="004131AF">
        <w:rPr>
          <w:i/>
          <w:iCs/>
          <w:sz w:val="20"/>
          <w:szCs w:val="20"/>
        </w:rPr>
        <w:t>2</w:t>
      </w:r>
      <w:r w:rsidRPr="004131AF">
        <w:rPr>
          <w:sz w:val="20"/>
          <w:szCs w:val="20"/>
        </w:rPr>
        <w:t xml:space="preserve">(1), 69-91. </w:t>
      </w:r>
      <w:hyperlink r:id="rId9" w:tgtFrame="_blank" w:history="1">
        <w:r w:rsidRPr="004131AF">
          <w:rPr>
            <w:rStyle w:val="Hyperlink"/>
            <w:sz w:val="20"/>
            <w:szCs w:val="20"/>
          </w:rPr>
          <w:t>https://doi.org/10.70152</w:t>
        </w:r>
      </w:hyperlink>
    </w:p>
    <w:p w14:paraId="6A8285A9"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Bakshi, P. (2023). Are teachers boundedly rational? How beliefs and context affect decision-making. </w:t>
      </w:r>
      <w:r w:rsidRPr="004131AF">
        <w:rPr>
          <w:i/>
          <w:iCs/>
          <w:sz w:val="20"/>
          <w:szCs w:val="20"/>
        </w:rPr>
        <w:t>Leadership and Policy in Schools</w:t>
      </w:r>
      <w:r w:rsidRPr="004131AF">
        <w:rPr>
          <w:sz w:val="20"/>
          <w:szCs w:val="20"/>
        </w:rPr>
        <w:t xml:space="preserve">, </w:t>
      </w:r>
      <w:r w:rsidRPr="004131AF">
        <w:rPr>
          <w:i/>
          <w:iCs/>
          <w:sz w:val="20"/>
          <w:szCs w:val="20"/>
        </w:rPr>
        <w:t>22</w:t>
      </w:r>
      <w:r w:rsidRPr="004131AF">
        <w:rPr>
          <w:sz w:val="20"/>
          <w:szCs w:val="20"/>
        </w:rPr>
        <w:t xml:space="preserve">(2), 261-282. </w:t>
      </w:r>
      <w:hyperlink r:id="rId10" w:tgtFrame="_blank" w:history="1">
        <w:r w:rsidRPr="004131AF">
          <w:rPr>
            <w:rStyle w:val="Hyperlink"/>
            <w:sz w:val="20"/>
            <w:szCs w:val="20"/>
          </w:rPr>
          <w:t>https://doi.org/10.1080/15700763.2021.1950773</w:t>
        </w:r>
      </w:hyperlink>
    </w:p>
    <w:p w14:paraId="2C4E9FF5"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Balzano, M., Marzi, G., &amp; Turzo, T. (2025). SMEs and institutional theory: Major inroads and opportunities ahead. </w:t>
      </w:r>
      <w:r w:rsidRPr="004131AF">
        <w:rPr>
          <w:i/>
          <w:iCs/>
          <w:sz w:val="20"/>
          <w:szCs w:val="20"/>
        </w:rPr>
        <w:t>Management Decision</w:t>
      </w:r>
      <w:r w:rsidRPr="004131AF">
        <w:rPr>
          <w:sz w:val="20"/>
          <w:szCs w:val="20"/>
        </w:rPr>
        <w:t xml:space="preserve">, </w:t>
      </w:r>
      <w:r w:rsidRPr="004131AF">
        <w:rPr>
          <w:i/>
          <w:iCs/>
          <w:sz w:val="20"/>
          <w:szCs w:val="20"/>
        </w:rPr>
        <w:t>63</w:t>
      </w:r>
      <w:r w:rsidRPr="004131AF">
        <w:rPr>
          <w:sz w:val="20"/>
          <w:szCs w:val="20"/>
        </w:rPr>
        <w:t xml:space="preserve">, 1-27. </w:t>
      </w:r>
      <w:hyperlink r:id="rId11" w:tgtFrame="_blank" w:history="1">
        <w:r w:rsidRPr="004131AF">
          <w:rPr>
            <w:rStyle w:val="Hyperlink"/>
            <w:sz w:val="20"/>
            <w:szCs w:val="20"/>
          </w:rPr>
          <w:t>https://doi.org/10.1108/MD-05-2023-0734</w:t>
        </w:r>
      </w:hyperlink>
    </w:p>
    <w:p w14:paraId="5F5B3246"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Bower, M., Torrington, J., Lai, J. W. M., Petocz, P., &amp; Alfano, M. (2024). How should we change teaching and assessment in response to increasingly powerful generative artificial intelligence? Outcomes of the ChatGPT teacher survey. </w:t>
      </w:r>
      <w:r w:rsidRPr="004131AF">
        <w:rPr>
          <w:i/>
          <w:iCs/>
          <w:sz w:val="20"/>
          <w:szCs w:val="20"/>
        </w:rPr>
        <w:t>Education and Information Technologies</w:t>
      </w:r>
      <w:r w:rsidRPr="004131AF">
        <w:rPr>
          <w:sz w:val="20"/>
          <w:szCs w:val="20"/>
        </w:rPr>
        <w:t xml:space="preserve">, </w:t>
      </w:r>
      <w:r w:rsidRPr="004131AF">
        <w:rPr>
          <w:i/>
          <w:iCs/>
          <w:sz w:val="20"/>
          <w:szCs w:val="20"/>
        </w:rPr>
        <w:t>29</w:t>
      </w:r>
      <w:r w:rsidRPr="004131AF">
        <w:rPr>
          <w:sz w:val="20"/>
          <w:szCs w:val="20"/>
        </w:rPr>
        <w:t xml:space="preserve">, 15403-15439. </w:t>
      </w:r>
      <w:hyperlink r:id="rId12" w:tgtFrame="_blank" w:history="1">
        <w:r w:rsidRPr="004131AF">
          <w:rPr>
            <w:rStyle w:val="Hyperlink"/>
            <w:sz w:val="20"/>
            <w:szCs w:val="20"/>
          </w:rPr>
          <w:t>https://doi.org/10.1007/s10639-023-12405-0</w:t>
        </w:r>
      </w:hyperlink>
    </w:p>
    <w:p w14:paraId="48A49114"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Chiu, T. K. F., Ahmad, Z., &amp; Çoban, M. (2025). Development and validation of teacher artificial intelligence (AI) competence self-efficacy (TAICS) scale. </w:t>
      </w:r>
      <w:r w:rsidRPr="004131AF">
        <w:rPr>
          <w:i/>
          <w:iCs/>
          <w:sz w:val="20"/>
          <w:szCs w:val="20"/>
        </w:rPr>
        <w:t>Education and Information Technologies</w:t>
      </w:r>
      <w:r w:rsidRPr="004131AF">
        <w:rPr>
          <w:sz w:val="20"/>
          <w:szCs w:val="20"/>
        </w:rPr>
        <w:t xml:space="preserve">, </w:t>
      </w:r>
      <w:r w:rsidRPr="004131AF">
        <w:rPr>
          <w:i/>
          <w:iCs/>
          <w:sz w:val="20"/>
          <w:szCs w:val="20"/>
        </w:rPr>
        <w:t>30</w:t>
      </w:r>
      <w:r w:rsidRPr="004131AF">
        <w:rPr>
          <w:sz w:val="20"/>
          <w:szCs w:val="20"/>
        </w:rPr>
        <w:t xml:space="preserve">, 6667-6685. </w:t>
      </w:r>
      <w:hyperlink r:id="rId13" w:tgtFrame="_blank" w:history="1">
        <w:r w:rsidRPr="004131AF">
          <w:rPr>
            <w:rStyle w:val="Hyperlink"/>
            <w:sz w:val="20"/>
            <w:szCs w:val="20"/>
          </w:rPr>
          <w:t>https://doi.org/10.1007/s10639-024-13094-2</w:t>
        </w:r>
      </w:hyperlink>
    </w:p>
    <w:p w14:paraId="6C5E8A73"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Cong-Lem, N., Tran, T. N., &amp; Nguyen, T. T. (2024). Academic integrity in the age of generative AI: Perceptions and responses of Vietnamese EFL teachers. </w:t>
      </w:r>
      <w:r w:rsidRPr="004131AF">
        <w:rPr>
          <w:i/>
          <w:iCs/>
          <w:sz w:val="20"/>
          <w:szCs w:val="20"/>
        </w:rPr>
        <w:t>Teaching English With Technology</w:t>
      </w:r>
      <w:r w:rsidRPr="004131AF">
        <w:rPr>
          <w:sz w:val="20"/>
          <w:szCs w:val="20"/>
        </w:rPr>
        <w:t xml:space="preserve">, </w:t>
      </w:r>
      <w:r w:rsidRPr="004131AF">
        <w:rPr>
          <w:i/>
          <w:iCs/>
          <w:sz w:val="20"/>
          <w:szCs w:val="20"/>
        </w:rPr>
        <w:t>24</w:t>
      </w:r>
      <w:r w:rsidRPr="004131AF">
        <w:rPr>
          <w:sz w:val="20"/>
          <w:szCs w:val="20"/>
        </w:rPr>
        <w:t xml:space="preserve">(1). </w:t>
      </w:r>
      <w:hyperlink r:id="rId14" w:tgtFrame="_blank" w:history="1">
        <w:r w:rsidRPr="004131AF">
          <w:rPr>
            <w:rStyle w:val="Hyperlink"/>
            <w:sz w:val="20"/>
            <w:szCs w:val="20"/>
          </w:rPr>
          <w:t>https://doi.org/10.56297/FSYB3031/MXNB7567</w:t>
        </w:r>
      </w:hyperlink>
    </w:p>
    <w:p w14:paraId="01F243FC"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Dimitriadou, E., &amp; Lanitis, A. (2023). A critical evaluation, challenges, and future perspectives of using artificial intelligence and emerging technologies in smart classrooms. </w:t>
      </w:r>
      <w:r w:rsidRPr="004131AF">
        <w:rPr>
          <w:i/>
          <w:iCs/>
          <w:sz w:val="20"/>
          <w:szCs w:val="20"/>
        </w:rPr>
        <w:t>Smart Learning Environments</w:t>
      </w:r>
      <w:r w:rsidRPr="004131AF">
        <w:rPr>
          <w:sz w:val="20"/>
          <w:szCs w:val="20"/>
        </w:rPr>
        <w:t xml:space="preserve">, </w:t>
      </w:r>
      <w:r w:rsidRPr="004131AF">
        <w:rPr>
          <w:i/>
          <w:iCs/>
          <w:sz w:val="20"/>
          <w:szCs w:val="20"/>
        </w:rPr>
        <w:t>10</w:t>
      </w:r>
      <w:r w:rsidRPr="004131AF">
        <w:rPr>
          <w:sz w:val="20"/>
          <w:szCs w:val="20"/>
        </w:rPr>
        <w:t xml:space="preserve">, 12. </w:t>
      </w:r>
      <w:hyperlink r:id="rId15" w:tgtFrame="_blank" w:history="1">
        <w:r w:rsidRPr="004131AF">
          <w:rPr>
            <w:rStyle w:val="Hyperlink"/>
            <w:sz w:val="20"/>
            <w:szCs w:val="20"/>
          </w:rPr>
          <w:t>https://doi.org/10.1186/s40561-023-00231-3</w:t>
        </w:r>
      </w:hyperlink>
    </w:p>
    <w:p w14:paraId="4626C4BB" w14:textId="6F287836"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Gustilo, L., Ong, E., &amp; Lapinid, M. R. (2024). Algorithmically-driven writing and academic integrity: Exploring educators</w:t>
      </w:r>
      <w:r w:rsidR="00FC39BE">
        <w:rPr>
          <w:sz w:val="20"/>
          <w:szCs w:val="20"/>
        </w:rPr>
        <w:t>’</w:t>
      </w:r>
      <w:r w:rsidRPr="004131AF">
        <w:rPr>
          <w:sz w:val="20"/>
          <w:szCs w:val="20"/>
        </w:rPr>
        <w:t xml:space="preserve"> practices, perceptions, and policies in AI era. </w:t>
      </w:r>
      <w:r w:rsidRPr="004131AF">
        <w:rPr>
          <w:i/>
          <w:iCs/>
          <w:sz w:val="20"/>
          <w:szCs w:val="20"/>
        </w:rPr>
        <w:t>International Journal for Educational Integrity</w:t>
      </w:r>
      <w:r w:rsidRPr="004131AF">
        <w:rPr>
          <w:sz w:val="20"/>
          <w:szCs w:val="20"/>
        </w:rPr>
        <w:t xml:space="preserve">, </w:t>
      </w:r>
      <w:r w:rsidRPr="004131AF">
        <w:rPr>
          <w:i/>
          <w:iCs/>
          <w:sz w:val="20"/>
          <w:szCs w:val="20"/>
        </w:rPr>
        <w:t>20</w:t>
      </w:r>
      <w:r w:rsidRPr="004131AF">
        <w:rPr>
          <w:sz w:val="20"/>
          <w:szCs w:val="20"/>
        </w:rPr>
        <w:t xml:space="preserve">(1), 3. </w:t>
      </w:r>
      <w:hyperlink r:id="rId16" w:tgtFrame="_blank" w:history="1">
        <w:r w:rsidRPr="004131AF">
          <w:rPr>
            <w:rStyle w:val="Hyperlink"/>
            <w:sz w:val="20"/>
            <w:szCs w:val="20"/>
          </w:rPr>
          <w:t>https://doi.org/10.1007/s40979-024-00153-8</w:t>
        </w:r>
      </w:hyperlink>
    </w:p>
    <w:p w14:paraId="58561DE4"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Latif, M. W., &amp; Wasim, A. (2022). Teacher beliefs, personal theories and conceptions of assessment literacy - A tertiary EFL perspective. </w:t>
      </w:r>
      <w:r w:rsidRPr="004131AF">
        <w:rPr>
          <w:i/>
          <w:iCs/>
          <w:sz w:val="20"/>
          <w:szCs w:val="20"/>
        </w:rPr>
        <w:t>Language Testing in Asia</w:t>
      </w:r>
      <w:r w:rsidRPr="004131AF">
        <w:rPr>
          <w:sz w:val="20"/>
          <w:szCs w:val="20"/>
        </w:rPr>
        <w:t xml:space="preserve">, </w:t>
      </w:r>
      <w:r w:rsidRPr="004131AF">
        <w:rPr>
          <w:i/>
          <w:iCs/>
          <w:sz w:val="20"/>
          <w:szCs w:val="20"/>
        </w:rPr>
        <w:t>12</w:t>
      </w:r>
      <w:r w:rsidRPr="004131AF">
        <w:rPr>
          <w:sz w:val="20"/>
          <w:szCs w:val="20"/>
        </w:rPr>
        <w:t xml:space="preserve">(1), 11. </w:t>
      </w:r>
      <w:hyperlink r:id="rId17" w:tgtFrame="_blank" w:history="1">
        <w:r w:rsidRPr="004131AF">
          <w:rPr>
            <w:rStyle w:val="Hyperlink"/>
            <w:sz w:val="20"/>
            <w:szCs w:val="20"/>
          </w:rPr>
          <w:t>https://doi.org/10.1186/s40468-022-00158-5</w:t>
        </w:r>
      </w:hyperlink>
    </w:p>
    <w:p w14:paraId="7AC58A24" w14:textId="3FE35C63"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Lei, W., &amp; Lei, Z. (2025). Exploring EFL teachers</w:t>
      </w:r>
      <w:r w:rsidR="00FC39BE">
        <w:rPr>
          <w:sz w:val="20"/>
          <w:szCs w:val="20"/>
        </w:rPr>
        <w:t>’</w:t>
      </w:r>
      <w:r w:rsidRPr="004131AF">
        <w:rPr>
          <w:sz w:val="20"/>
          <w:szCs w:val="20"/>
        </w:rPr>
        <w:t xml:space="preserve"> beliefs and practices of formative assessment in Chinese context. </w:t>
      </w:r>
      <w:r w:rsidRPr="004131AF">
        <w:rPr>
          <w:i/>
          <w:iCs/>
          <w:sz w:val="20"/>
          <w:szCs w:val="20"/>
        </w:rPr>
        <w:t>PLOS One</w:t>
      </w:r>
      <w:r w:rsidRPr="004131AF">
        <w:rPr>
          <w:sz w:val="20"/>
          <w:szCs w:val="20"/>
        </w:rPr>
        <w:t xml:space="preserve">, </w:t>
      </w:r>
      <w:r w:rsidRPr="004131AF">
        <w:rPr>
          <w:i/>
          <w:iCs/>
          <w:sz w:val="20"/>
          <w:szCs w:val="20"/>
        </w:rPr>
        <w:t>20</w:t>
      </w:r>
      <w:r w:rsidRPr="004131AF">
        <w:rPr>
          <w:sz w:val="20"/>
          <w:szCs w:val="20"/>
        </w:rPr>
        <w:t xml:space="preserve">(9), e0333678. </w:t>
      </w:r>
      <w:hyperlink r:id="rId18" w:tgtFrame="_blank" w:history="1">
        <w:r w:rsidRPr="004131AF">
          <w:rPr>
            <w:rStyle w:val="Hyperlink"/>
            <w:sz w:val="20"/>
            <w:szCs w:val="20"/>
          </w:rPr>
          <w:t>https://doi.org/10.1371/journal.pone.0333678</w:t>
        </w:r>
      </w:hyperlink>
    </w:p>
    <w:p w14:paraId="075190E0"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Li, J., &amp; Huang, Q. (2025). Navigating ethical dilemmas in AI-enhanced education. </w:t>
      </w:r>
      <w:r w:rsidRPr="004131AF">
        <w:rPr>
          <w:i/>
          <w:iCs/>
          <w:sz w:val="20"/>
          <w:szCs w:val="20"/>
        </w:rPr>
        <w:t>International Journal of Knowledge Management</w:t>
      </w:r>
      <w:r w:rsidRPr="004131AF">
        <w:rPr>
          <w:sz w:val="20"/>
          <w:szCs w:val="20"/>
        </w:rPr>
        <w:t xml:space="preserve">, </w:t>
      </w:r>
      <w:r w:rsidRPr="004131AF">
        <w:rPr>
          <w:i/>
          <w:iCs/>
          <w:sz w:val="20"/>
          <w:szCs w:val="20"/>
        </w:rPr>
        <w:t>21</w:t>
      </w:r>
      <w:r w:rsidRPr="004131AF">
        <w:rPr>
          <w:sz w:val="20"/>
          <w:szCs w:val="20"/>
        </w:rPr>
        <w:t xml:space="preserve">(1). </w:t>
      </w:r>
      <w:hyperlink r:id="rId19" w:tgtFrame="_blank" w:history="1">
        <w:r w:rsidRPr="004131AF">
          <w:rPr>
            <w:rStyle w:val="Hyperlink"/>
            <w:sz w:val="20"/>
            <w:szCs w:val="20"/>
          </w:rPr>
          <w:t>https://doi.org/10.4018/IJKM.382384</w:t>
        </w:r>
      </w:hyperlink>
    </w:p>
    <w:p w14:paraId="5F2F9659"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Li, M., &amp; Wilson, J. (2025). AI-integrated scaffolding to enhance agency and creativity in K-12 English language learners: A systematic review. </w:t>
      </w:r>
      <w:r w:rsidRPr="004131AF">
        <w:rPr>
          <w:i/>
          <w:iCs/>
          <w:sz w:val="20"/>
          <w:szCs w:val="20"/>
        </w:rPr>
        <w:t>Information</w:t>
      </w:r>
      <w:r w:rsidRPr="004131AF">
        <w:rPr>
          <w:sz w:val="20"/>
          <w:szCs w:val="20"/>
        </w:rPr>
        <w:t xml:space="preserve">, </w:t>
      </w:r>
      <w:r w:rsidRPr="004131AF">
        <w:rPr>
          <w:i/>
          <w:iCs/>
          <w:sz w:val="20"/>
          <w:szCs w:val="20"/>
        </w:rPr>
        <w:t>16</w:t>
      </w:r>
      <w:r w:rsidRPr="004131AF">
        <w:rPr>
          <w:sz w:val="20"/>
          <w:szCs w:val="20"/>
        </w:rPr>
        <w:t xml:space="preserve">, 519. </w:t>
      </w:r>
      <w:hyperlink r:id="rId20" w:tgtFrame="_blank" w:history="1">
        <w:r w:rsidRPr="004131AF">
          <w:rPr>
            <w:rStyle w:val="Hyperlink"/>
            <w:sz w:val="20"/>
            <w:szCs w:val="20"/>
          </w:rPr>
          <w:t>https://doi.org/10.3390/info16070519</w:t>
        </w:r>
      </w:hyperlink>
    </w:p>
    <w:p w14:paraId="3FA7BE48" w14:textId="392D794D"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Mohammad Nezhad, P., &amp; Stolz, S. A. (2025). Unveiling teachers</w:t>
      </w:r>
      <w:r w:rsidR="00FC39BE">
        <w:rPr>
          <w:sz w:val="20"/>
          <w:szCs w:val="20"/>
        </w:rPr>
        <w:t>’</w:t>
      </w:r>
      <w:r w:rsidRPr="004131AF">
        <w:rPr>
          <w:sz w:val="20"/>
          <w:szCs w:val="20"/>
        </w:rPr>
        <w:t xml:space="preserve"> professional agency and decision-making in professional learning: The illusion of choice. </w:t>
      </w:r>
      <w:r w:rsidRPr="004131AF">
        <w:rPr>
          <w:i/>
          <w:iCs/>
          <w:sz w:val="20"/>
          <w:szCs w:val="20"/>
        </w:rPr>
        <w:t>Professional Development in Education</w:t>
      </w:r>
      <w:r w:rsidRPr="004131AF">
        <w:rPr>
          <w:sz w:val="20"/>
          <w:szCs w:val="20"/>
        </w:rPr>
        <w:t xml:space="preserve">, </w:t>
      </w:r>
      <w:r w:rsidRPr="004131AF">
        <w:rPr>
          <w:i/>
          <w:iCs/>
          <w:sz w:val="20"/>
          <w:szCs w:val="20"/>
        </w:rPr>
        <w:t>51</w:t>
      </w:r>
      <w:r w:rsidRPr="004131AF">
        <w:rPr>
          <w:sz w:val="20"/>
          <w:szCs w:val="20"/>
        </w:rPr>
        <w:t xml:space="preserve">, 1067-1087. </w:t>
      </w:r>
      <w:hyperlink r:id="rId21" w:tgtFrame="_blank" w:history="1">
        <w:r w:rsidRPr="004131AF">
          <w:rPr>
            <w:rStyle w:val="Hyperlink"/>
            <w:sz w:val="20"/>
            <w:szCs w:val="20"/>
          </w:rPr>
          <w:t>https://doi.org/10.1080/19415257.2024.2349058</w:t>
        </w:r>
      </w:hyperlink>
    </w:p>
    <w:p w14:paraId="213BA3DA"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Mouta, A., Torrecilla-Sánchez, E. M., &amp; Pinto-Llorente, A. M. (2025). Comprehensive professional learning for teacher agency in addressing ethical challenges of AIED: Insights from educational design research. </w:t>
      </w:r>
      <w:r w:rsidRPr="004131AF">
        <w:rPr>
          <w:i/>
          <w:iCs/>
          <w:sz w:val="20"/>
          <w:szCs w:val="20"/>
        </w:rPr>
        <w:t>Education and Information Technologies</w:t>
      </w:r>
      <w:r w:rsidRPr="004131AF">
        <w:rPr>
          <w:sz w:val="20"/>
          <w:szCs w:val="20"/>
        </w:rPr>
        <w:t xml:space="preserve">, </w:t>
      </w:r>
      <w:r w:rsidRPr="004131AF">
        <w:rPr>
          <w:i/>
          <w:iCs/>
          <w:sz w:val="20"/>
          <w:szCs w:val="20"/>
        </w:rPr>
        <w:t>30</w:t>
      </w:r>
      <w:r w:rsidRPr="004131AF">
        <w:rPr>
          <w:sz w:val="20"/>
          <w:szCs w:val="20"/>
        </w:rPr>
        <w:t xml:space="preserve">(3), 3343-3387. </w:t>
      </w:r>
      <w:hyperlink r:id="rId22" w:tgtFrame="_blank" w:history="1">
        <w:r w:rsidRPr="004131AF">
          <w:rPr>
            <w:rStyle w:val="Hyperlink"/>
            <w:sz w:val="20"/>
            <w:szCs w:val="20"/>
          </w:rPr>
          <w:t>https://doi.org/10.1007/s10639-024-12946-y</w:t>
        </w:r>
      </w:hyperlink>
    </w:p>
    <w:p w14:paraId="0809B7EB" w14:textId="4ECBC05B"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Wu, M., Yao, J., &amp; Al-Hashimy, H. N. H. (2026). English teachers</w:t>
      </w:r>
      <w:r w:rsidR="00FC39BE">
        <w:rPr>
          <w:sz w:val="20"/>
          <w:szCs w:val="20"/>
        </w:rPr>
        <w:t>’</w:t>
      </w:r>
      <w:r w:rsidRPr="004131AF">
        <w:rPr>
          <w:sz w:val="20"/>
          <w:szCs w:val="20"/>
        </w:rPr>
        <w:t xml:space="preserve"> perceptions of AI-supported writing instruction: Implications for professional development. </w:t>
      </w:r>
      <w:r w:rsidRPr="004131AF">
        <w:rPr>
          <w:i/>
          <w:iCs/>
          <w:sz w:val="20"/>
          <w:szCs w:val="20"/>
        </w:rPr>
        <w:t>Frontiers in Psychology</w:t>
      </w:r>
      <w:r w:rsidRPr="004131AF">
        <w:rPr>
          <w:sz w:val="20"/>
          <w:szCs w:val="20"/>
        </w:rPr>
        <w:t xml:space="preserve">, </w:t>
      </w:r>
      <w:r w:rsidRPr="004131AF">
        <w:rPr>
          <w:i/>
          <w:iCs/>
          <w:sz w:val="20"/>
          <w:szCs w:val="20"/>
        </w:rPr>
        <w:t>17</w:t>
      </w:r>
      <w:r w:rsidRPr="004131AF">
        <w:rPr>
          <w:sz w:val="20"/>
          <w:szCs w:val="20"/>
        </w:rPr>
        <w:t xml:space="preserve">, 1806618. </w:t>
      </w:r>
      <w:hyperlink r:id="rId23" w:tgtFrame="_blank" w:history="1">
        <w:r w:rsidRPr="004131AF">
          <w:rPr>
            <w:rStyle w:val="Hyperlink"/>
            <w:sz w:val="20"/>
            <w:szCs w:val="20"/>
          </w:rPr>
          <w:t>https://doi.org/10.3389/fpsyg.2026.1806618</w:t>
        </w:r>
      </w:hyperlink>
    </w:p>
    <w:p w14:paraId="77E15E0D" w14:textId="77777777" w:rsidR="003A29C9" w:rsidRPr="004131AF" w:rsidRDefault="003A29C9" w:rsidP="0014391F">
      <w:pPr>
        <w:pStyle w:val="NormalWeb"/>
        <w:spacing w:before="120" w:beforeAutospacing="0" w:after="0" w:afterAutospacing="0"/>
        <w:ind w:left="567" w:hanging="567"/>
        <w:jc w:val="both"/>
        <w:rPr>
          <w:sz w:val="20"/>
          <w:szCs w:val="20"/>
        </w:rPr>
      </w:pPr>
      <w:r w:rsidRPr="004131AF">
        <w:rPr>
          <w:sz w:val="20"/>
          <w:szCs w:val="20"/>
        </w:rPr>
        <w:t xml:space="preserve">Zhang, Y., &amp; Li, C. (2025). Leveraging pedagogical knowledge for effective technology integration in education: A research-based approach. </w:t>
      </w:r>
      <w:r w:rsidRPr="004131AF">
        <w:rPr>
          <w:i/>
          <w:iCs/>
          <w:sz w:val="20"/>
          <w:szCs w:val="20"/>
        </w:rPr>
        <w:t>International Journal of Educational Research</w:t>
      </w:r>
      <w:r w:rsidRPr="004131AF">
        <w:rPr>
          <w:sz w:val="20"/>
          <w:szCs w:val="20"/>
        </w:rPr>
        <w:t xml:space="preserve">, </w:t>
      </w:r>
      <w:r w:rsidRPr="004131AF">
        <w:rPr>
          <w:i/>
          <w:iCs/>
          <w:sz w:val="20"/>
          <w:szCs w:val="20"/>
        </w:rPr>
        <w:t>130</w:t>
      </w:r>
      <w:r w:rsidRPr="004131AF">
        <w:rPr>
          <w:sz w:val="20"/>
          <w:szCs w:val="20"/>
        </w:rPr>
        <w:t xml:space="preserve">, 102553. </w:t>
      </w:r>
      <w:hyperlink r:id="rId24" w:tgtFrame="_blank" w:history="1">
        <w:r w:rsidRPr="004131AF">
          <w:rPr>
            <w:rStyle w:val="Hyperlink"/>
            <w:sz w:val="20"/>
            <w:szCs w:val="20"/>
          </w:rPr>
          <w:t>https://doi.org/10.1016/j.ijer.2025.102553</w:t>
        </w:r>
      </w:hyperlink>
    </w:p>
    <w:p w14:paraId="4302BC09" w14:textId="77777777" w:rsidR="0014391F" w:rsidRDefault="0014391F" w:rsidP="00374F3D">
      <w:pPr>
        <w:pStyle w:val="RALs-ReferencesList"/>
        <w:rPr>
          <w:rFonts w:asciiTheme="majorBidi" w:eastAsiaTheme="minorHAnsi" w:hAnsiTheme="majorBidi" w:cstheme="majorBidi"/>
          <w:b/>
          <w:bCs/>
          <w:sz w:val="24"/>
          <w:szCs w:val="24"/>
        </w:rPr>
      </w:pPr>
    </w:p>
    <w:p w14:paraId="6FDA110F" w14:textId="77777777" w:rsidR="0014391F" w:rsidRDefault="0014391F" w:rsidP="00374F3D">
      <w:pPr>
        <w:pStyle w:val="RALs-ReferencesList"/>
        <w:rPr>
          <w:rFonts w:asciiTheme="majorBidi" w:eastAsiaTheme="minorHAnsi" w:hAnsiTheme="majorBidi" w:cstheme="majorBidi"/>
          <w:b/>
          <w:bCs/>
          <w:sz w:val="24"/>
          <w:szCs w:val="24"/>
        </w:rPr>
      </w:pPr>
    </w:p>
    <w:p w14:paraId="7D8C79DF" w14:textId="5AF47930" w:rsidR="002334D9" w:rsidRDefault="002334D9" w:rsidP="00374F3D">
      <w:pPr>
        <w:pStyle w:val="RALs-ReferencesList"/>
        <w:rPr>
          <w:rFonts w:asciiTheme="majorBidi" w:eastAsiaTheme="minorHAnsi" w:hAnsiTheme="majorBidi" w:cstheme="majorBidi"/>
          <w:b/>
          <w:bCs/>
          <w:sz w:val="24"/>
          <w:szCs w:val="24"/>
        </w:rPr>
      </w:pPr>
      <w:r w:rsidRPr="002334D9">
        <w:rPr>
          <w:rFonts w:asciiTheme="majorBidi" w:eastAsiaTheme="minorHAnsi" w:hAnsiTheme="majorBidi" w:cstheme="majorBidi"/>
          <w:b/>
          <w:bCs/>
          <w:sz w:val="24"/>
          <w:szCs w:val="24"/>
        </w:rPr>
        <w:lastRenderedPageBreak/>
        <w:t>Bionote</w:t>
      </w:r>
    </w:p>
    <w:p w14:paraId="0369DEA1" w14:textId="6E3D8639" w:rsidR="00BA7885" w:rsidRPr="00E40940" w:rsidRDefault="000F014E" w:rsidP="0014391F">
      <w:pPr>
        <w:pStyle w:val="RALs-Normal-NoIndent"/>
        <w:rPr>
          <w:rFonts w:asciiTheme="majorBidi" w:hAnsiTheme="majorBidi" w:cstheme="majorBidi"/>
          <w:sz w:val="24"/>
          <w:szCs w:val="24"/>
        </w:rPr>
      </w:pPr>
      <w:r w:rsidRPr="000F014E">
        <w:rPr>
          <w:rFonts w:asciiTheme="majorBidi" w:hAnsiTheme="majorBidi" w:cstheme="majorBidi"/>
          <w:sz w:val="24"/>
          <w:szCs w:val="24"/>
        </w:rPr>
        <w:t>Thai Ho-Van is a lecturer at the Faculty of Foreign Languages, College of Foreign Economic Relations (COFER) in Ho Chi Minh City, Vietnam. Holding a TESOL Master</w:t>
      </w:r>
      <w:r w:rsidR="00FC39BE">
        <w:rPr>
          <w:rFonts w:asciiTheme="majorBidi" w:hAnsiTheme="majorBidi" w:cstheme="majorBidi"/>
          <w:sz w:val="24"/>
          <w:szCs w:val="24"/>
        </w:rPr>
        <w:t>’</w:t>
      </w:r>
      <w:r w:rsidRPr="000F014E">
        <w:rPr>
          <w:rFonts w:asciiTheme="majorBidi" w:hAnsiTheme="majorBidi" w:cstheme="majorBidi"/>
          <w:sz w:val="24"/>
          <w:szCs w:val="24"/>
        </w:rPr>
        <w:t>s degree, PhD candidate at Open University of Ho Chi Minh City, his primary research explores innovative educational methodologies, including TBL, CLIL, and EMI. His current academic focus investigates the critical integration of AI-driven tools  for students, aiming to enhance English competence in higher education</w:t>
      </w:r>
      <w:r w:rsidR="0014391F">
        <w:rPr>
          <w:rFonts w:asciiTheme="majorBidi" w:hAnsiTheme="majorBidi" w:cstheme="majorBidi"/>
          <w:sz w:val="24"/>
          <w:szCs w:val="24"/>
        </w:rPr>
        <w:t>.</w:t>
      </w:r>
    </w:p>
    <w:sectPr w:rsidR="00BA7885" w:rsidRPr="00E40940" w:rsidSect="007959E3">
      <w:footnotePr>
        <w:numRestart w:val="eachPage"/>
      </w:footnotePr>
      <w:pgSz w:w="11906" w:h="16838" w:code="9"/>
      <w:pgMar w:top="1440" w:right="1440" w:bottom="1282" w:left="1440"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16C2" w14:textId="77777777" w:rsidR="00CF08F1" w:rsidRDefault="00CF08F1" w:rsidP="00722EDE">
      <w:pPr>
        <w:spacing w:before="0" w:after="0" w:line="240" w:lineRule="auto"/>
      </w:pPr>
      <w:r>
        <w:separator/>
      </w:r>
    </w:p>
  </w:endnote>
  <w:endnote w:type="continuationSeparator" w:id="0">
    <w:p w14:paraId="45AC05C5" w14:textId="77777777" w:rsidR="00CF08F1" w:rsidRDefault="00CF08F1"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 Zar">
    <w:panose1 w:val="020B0604020202020204"/>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NewRomanPSMT">
    <w:altName w:val="MS Gothic"/>
    <w:panose1 w:val="020B0604020202020204"/>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3649" w14:textId="77777777" w:rsidR="00CF08F1" w:rsidRDefault="00CF08F1" w:rsidP="00722EDE">
      <w:pPr>
        <w:spacing w:before="0" w:after="0" w:line="240" w:lineRule="auto"/>
      </w:pPr>
      <w:r>
        <w:separator/>
      </w:r>
    </w:p>
  </w:footnote>
  <w:footnote w:type="continuationSeparator" w:id="0">
    <w:p w14:paraId="477F40D7" w14:textId="77777777" w:rsidR="00CF08F1" w:rsidRDefault="00CF08F1" w:rsidP="00722EDE">
      <w:pPr>
        <w:spacing w:before="0" w:after="0" w:line="240" w:lineRule="auto"/>
      </w:pPr>
      <w:r>
        <w:continuationSeparator/>
      </w:r>
    </w:p>
  </w:footnote>
  <w:footnote w:id="1">
    <w:p w14:paraId="3103ED36" w14:textId="0E4EFD96" w:rsidR="00722EDE" w:rsidRPr="00D00215" w:rsidRDefault="00722EDE" w:rsidP="00AD7745">
      <w:pPr>
        <w:pStyle w:val="FootnoteText"/>
        <w:rPr>
          <w:rFonts w:cs="Times New Roman"/>
        </w:rPr>
      </w:pPr>
      <w:r w:rsidRPr="00D00215">
        <w:rPr>
          <w:rStyle w:val="FootnoteReference"/>
          <w:rFonts w:cs="Times New Roman"/>
        </w:rPr>
        <w:footnoteRef/>
      </w:r>
      <w:r w:rsidR="00C00258">
        <w:rPr>
          <w:rFonts w:cs="Times New Roman"/>
          <w:spacing w:val="-2"/>
        </w:rPr>
        <w:t>College of Foreign Economic Relations</w:t>
      </w:r>
      <w:r w:rsidRPr="00D00215">
        <w:rPr>
          <w:rFonts w:cs="Times New Roman"/>
          <w:spacing w:val="-2"/>
        </w:rPr>
        <w:t xml:space="preserve">, </w:t>
      </w:r>
      <w:r w:rsidR="00C00258">
        <w:rPr>
          <w:rFonts w:cs="Times New Roman"/>
          <w:spacing w:val="-2"/>
        </w:rPr>
        <w:t xml:space="preserve">Ho Chi Minh </w:t>
      </w:r>
      <w:r w:rsidRPr="00D00215">
        <w:rPr>
          <w:rFonts w:cs="Times New Roman"/>
          <w:spacing w:val="-2"/>
        </w:rPr>
        <w:t xml:space="preserve">City, </w:t>
      </w:r>
      <w:r w:rsidR="00C00258">
        <w:rPr>
          <w:rFonts w:cs="Times New Roman"/>
          <w:spacing w:val="-2"/>
        </w:rPr>
        <w:t>Vietnam</w:t>
      </w:r>
      <w:r w:rsidRPr="00D00215">
        <w:rPr>
          <w:rFonts w:cs="Times New Roman"/>
          <w:spacing w:val="-2"/>
        </w:rPr>
        <w:t xml:space="preserve">; </w:t>
      </w:r>
      <w:r w:rsidR="00AD7745">
        <w:rPr>
          <w:rFonts w:cs="Times New Roman"/>
          <w:i/>
          <w:iCs/>
          <w:spacing w:val="-2"/>
        </w:rPr>
        <w:t>Email:</w:t>
      </w:r>
      <w:r w:rsidR="00AD7745" w:rsidRPr="00AD7745">
        <w:rPr>
          <w:rFonts w:cs="Times New Roman"/>
          <w:i/>
          <w:iCs/>
        </w:rPr>
        <w:t xml:space="preserve"> </w:t>
      </w:r>
      <w:r w:rsidR="00C00258">
        <w:rPr>
          <w:rFonts w:cs="Times New Roman"/>
          <w:i/>
          <w:iCs/>
        </w:rPr>
        <w:t>hvthai</w:t>
      </w:r>
      <w:r w:rsidR="00AD7745" w:rsidRPr="00D00215">
        <w:rPr>
          <w:rFonts w:cs="Times New Roman"/>
          <w:i/>
          <w:iCs/>
        </w:rPr>
        <w:t>@</w:t>
      </w:r>
      <w:r w:rsidR="00C00258">
        <w:rPr>
          <w:rFonts w:cs="Times New Roman"/>
          <w:i/>
          <w:iCs/>
        </w:rPr>
        <w:t>cofer.edu.vn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510648">
    <w:abstractNumId w:val="0"/>
  </w:num>
  <w:num w:numId="2" w16cid:durableId="130450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01CF5"/>
    <w:rsid w:val="00005047"/>
    <w:rsid w:val="000255FB"/>
    <w:rsid w:val="00031DD2"/>
    <w:rsid w:val="00033D33"/>
    <w:rsid w:val="000452F9"/>
    <w:rsid w:val="000525E4"/>
    <w:rsid w:val="000608E3"/>
    <w:rsid w:val="00062F1B"/>
    <w:rsid w:val="0008495B"/>
    <w:rsid w:val="000927F3"/>
    <w:rsid w:val="00097731"/>
    <w:rsid w:val="000A5BDA"/>
    <w:rsid w:val="000D02DA"/>
    <w:rsid w:val="000F014E"/>
    <w:rsid w:val="000F04A9"/>
    <w:rsid w:val="00100186"/>
    <w:rsid w:val="00105F23"/>
    <w:rsid w:val="0013021E"/>
    <w:rsid w:val="0014391F"/>
    <w:rsid w:val="001618BC"/>
    <w:rsid w:val="00162EA7"/>
    <w:rsid w:val="00164D5F"/>
    <w:rsid w:val="00185C43"/>
    <w:rsid w:val="00196899"/>
    <w:rsid w:val="001B3AE8"/>
    <w:rsid w:val="001C441C"/>
    <w:rsid w:val="001C5911"/>
    <w:rsid w:val="001D1F3F"/>
    <w:rsid w:val="001E62E8"/>
    <w:rsid w:val="001F09A1"/>
    <w:rsid w:val="00230B4C"/>
    <w:rsid w:val="002334D9"/>
    <w:rsid w:val="0024049F"/>
    <w:rsid w:val="00253DFE"/>
    <w:rsid w:val="002639BD"/>
    <w:rsid w:val="00263F22"/>
    <w:rsid w:val="00264D95"/>
    <w:rsid w:val="00266CC6"/>
    <w:rsid w:val="002835DB"/>
    <w:rsid w:val="00291EBB"/>
    <w:rsid w:val="002A2097"/>
    <w:rsid w:val="002E13AE"/>
    <w:rsid w:val="002E2C0D"/>
    <w:rsid w:val="002E660C"/>
    <w:rsid w:val="00316775"/>
    <w:rsid w:val="003267E6"/>
    <w:rsid w:val="00352213"/>
    <w:rsid w:val="00352D49"/>
    <w:rsid w:val="00374F3D"/>
    <w:rsid w:val="003832E4"/>
    <w:rsid w:val="00385D90"/>
    <w:rsid w:val="003943D0"/>
    <w:rsid w:val="003A29C9"/>
    <w:rsid w:val="003B4C72"/>
    <w:rsid w:val="003C1DED"/>
    <w:rsid w:val="003E053B"/>
    <w:rsid w:val="003E395E"/>
    <w:rsid w:val="003E7F04"/>
    <w:rsid w:val="004131AF"/>
    <w:rsid w:val="00447AA0"/>
    <w:rsid w:val="0047021A"/>
    <w:rsid w:val="00473B52"/>
    <w:rsid w:val="004756A4"/>
    <w:rsid w:val="00486E01"/>
    <w:rsid w:val="00492B4B"/>
    <w:rsid w:val="004C64F8"/>
    <w:rsid w:val="00520821"/>
    <w:rsid w:val="00523C14"/>
    <w:rsid w:val="00531702"/>
    <w:rsid w:val="00534412"/>
    <w:rsid w:val="0055247B"/>
    <w:rsid w:val="0055635B"/>
    <w:rsid w:val="005C4A93"/>
    <w:rsid w:val="005D200D"/>
    <w:rsid w:val="005E1551"/>
    <w:rsid w:val="005E6521"/>
    <w:rsid w:val="005F4AE4"/>
    <w:rsid w:val="0060356B"/>
    <w:rsid w:val="00622A07"/>
    <w:rsid w:val="0062413D"/>
    <w:rsid w:val="0064598B"/>
    <w:rsid w:val="006505BE"/>
    <w:rsid w:val="00660CAB"/>
    <w:rsid w:val="00664B18"/>
    <w:rsid w:val="00681D3B"/>
    <w:rsid w:val="006A0AE2"/>
    <w:rsid w:val="006C57A0"/>
    <w:rsid w:val="006D5B06"/>
    <w:rsid w:val="006D6A74"/>
    <w:rsid w:val="006F01BE"/>
    <w:rsid w:val="00714CF0"/>
    <w:rsid w:val="00722EDE"/>
    <w:rsid w:val="007270FC"/>
    <w:rsid w:val="00731225"/>
    <w:rsid w:val="00734B81"/>
    <w:rsid w:val="007507FE"/>
    <w:rsid w:val="0075641B"/>
    <w:rsid w:val="007628B2"/>
    <w:rsid w:val="00762AAD"/>
    <w:rsid w:val="00781592"/>
    <w:rsid w:val="007815EA"/>
    <w:rsid w:val="007959E3"/>
    <w:rsid w:val="007B54D6"/>
    <w:rsid w:val="00840D18"/>
    <w:rsid w:val="0084425D"/>
    <w:rsid w:val="00856A0D"/>
    <w:rsid w:val="00871571"/>
    <w:rsid w:val="00881C36"/>
    <w:rsid w:val="008C1F6D"/>
    <w:rsid w:val="00905A8D"/>
    <w:rsid w:val="00906143"/>
    <w:rsid w:val="009061FB"/>
    <w:rsid w:val="00906B59"/>
    <w:rsid w:val="00922F80"/>
    <w:rsid w:val="00925CEE"/>
    <w:rsid w:val="009327E5"/>
    <w:rsid w:val="00934FC5"/>
    <w:rsid w:val="00942596"/>
    <w:rsid w:val="00943C2F"/>
    <w:rsid w:val="00950C30"/>
    <w:rsid w:val="009627F9"/>
    <w:rsid w:val="009A2266"/>
    <w:rsid w:val="009A6099"/>
    <w:rsid w:val="009C07B1"/>
    <w:rsid w:val="009C38DA"/>
    <w:rsid w:val="009D46BE"/>
    <w:rsid w:val="00A01970"/>
    <w:rsid w:val="00A30258"/>
    <w:rsid w:val="00A42B60"/>
    <w:rsid w:val="00A43867"/>
    <w:rsid w:val="00A44795"/>
    <w:rsid w:val="00A6273B"/>
    <w:rsid w:val="00A67D81"/>
    <w:rsid w:val="00A846F3"/>
    <w:rsid w:val="00A915F8"/>
    <w:rsid w:val="00A9418A"/>
    <w:rsid w:val="00AA0B64"/>
    <w:rsid w:val="00AB113A"/>
    <w:rsid w:val="00AB1BE1"/>
    <w:rsid w:val="00AB40B0"/>
    <w:rsid w:val="00AD29B9"/>
    <w:rsid w:val="00AD7745"/>
    <w:rsid w:val="00AE1120"/>
    <w:rsid w:val="00AE66CD"/>
    <w:rsid w:val="00B118B1"/>
    <w:rsid w:val="00B13FAF"/>
    <w:rsid w:val="00B3406B"/>
    <w:rsid w:val="00B95AFB"/>
    <w:rsid w:val="00BA7885"/>
    <w:rsid w:val="00BC00EB"/>
    <w:rsid w:val="00BD132F"/>
    <w:rsid w:val="00BD7136"/>
    <w:rsid w:val="00BF41EB"/>
    <w:rsid w:val="00C00258"/>
    <w:rsid w:val="00C15059"/>
    <w:rsid w:val="00C47E23"/>
    <w:rsid w:val="00C51D2A"/>
    <w:rsid w:val="00C863B2"/>
    <w:rsid w:val="00C86B20"/>
    <w:rsid w:val="00C935AC"/>
    <w:rsid w:val="00CC2257"/>
    <w:rsid w:val="00CC70AF"/>
    <w:rsid w:val="00CD3D29"/>
    <w:rsid w:val="00CD5CC3"/>
    <w:rsid w:val="00CF01D9"/>
    <w:rsid w:val="00CF08F1"/>
    <w:rsid w:val="00CF1F45"/>
    <w:rsid w:val="00CF7E17"/>
    <w:rsid w:val="00D1010D"/>
    <w:rsid w:val="00D11C8D"/>
    <w:rsid w:val="00D20FA7"/>
    <w:rsid w:val="00D27A4B"/>
    <w:rsid w:val="00D27B5D"/>
    <w:rsid w:val="00D3302B"/>
    <w:rsid w:val="00D51306"/>
    <w:rsid w:val="00D54FFB"/>
    <w:rsid w:val="00D6027E"/>
    <w:rsid w:val="00D77C12"/>
    <w:rsid w:val="00DC5B1A"/>
    <w:rsid w:val="00DC5BCF"/>
    <w:rsid w:val="00DD1C98"/>
    <w:rsid w:val="00DD7139"/>
    <w:rsid w:val="00DE422F"/>
    <w:rsid w:val="00DF1E55"/>
    <w:rsid w:val="00E025EE"/>
    <w:rsid w:val="00E40940"/>
    <w:rsid w:val="00E40DB8"/>
    <w:rsid w:val="00E60357"/>
    <w:rsid w:val="00E6677D"/>
    <w:rsid w:val="00E766F6"/>
    <w:rsid w:val="00EB35B5"/>
    <w:rsid w:val="00EC1FC8"/>
    <w:rsid w:val="00EE6618"/>
    <w:rsid w:val="00F03E1A"/>
    <w:rsid w:val="00F56C67"/>
    <w:rsid w:val="00F63596"/>
    <w:rsid w:val="00F80056"/>
    <w:rsid w:val="00F80631"/>
    <w:rsid w:val="00FB2BFF"/>
    <w:rsid w:val="00FC39BE"/>
    <w:rsid w:val="00FC3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0C22C"/>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E"/>
    <w:pPr>
      <w:spacing w:before="120" w:after="60" w:line="276" w:lineRule="auto"/>
      <w:ind w:firstLine="720"/>
      <w:jc w:val="both"/>
    </w:pPr>
    <w:rPr>
      <w:rFonts w:ascii="Times New Roman" w:eastAsia="Times New Roman" w:hAnsi="Times New Roman" w:cs="B Zar"/>
      <w:sz w:val="20"/>
    </w:rPr>
  </w:style>
  <w:style w:type="paragraph" w:styleId="Heading4">
    <w:name w:val="heading 4"/>
    <w:basedOn w:val="Normal"/>
    <w:link w:val="Heading4Char"/>
    <w:uiPriority w:val="9"/>
    <w:qFormat/>
    <w:rsid w:val="000608E3"/>
    <w:pPr>
      <w:spacing w:before="100" w:beforeAutospacing="1" w:after="100" w:afterAutospacing="1" w:line="240" w:lineRule="auto"/>
      <w:ind w:firstLine="0"/>
      <w:jc w:val="left"/>
      <w:outlineLvl w:val="3"/>
    </w:pPr>
    <w:rPr>
      <w:rFonts w:cs="Times New Roman"/>
      <w:b/>
      <w:bCs/>
      <w:sz w:val="24"/>
      <w:szCs w:val="24"/>
      <w:lang w:val="en-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5C4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hAnsi="Courier New" w:cs="Courier New"/>
      <w:szCs w:val="20"/>
      <w:lang w:val="en-VN"/>
    </w:rPr>
  </w:style>
  <w:style w:type="character" w:customStyle="1" w:styleId="HTMLPreformattedChar">
    <w:name w:val="HTML Preformatted Char"/>
    <w:basedOn w:val="DefaultParagraphFont"/>
    <w:link w:val="HTMLPreformatted"/>
    <w:uiPriority w:val="99"/>
    <w:semiHidden/>
    <w:rsid w:val="005C4A93"/>
    <w:rPr>
      <w:rFonts w:ascii="Courier New" w:eastAsia="Times New Roman" w:hAnsi="Courier New" w:cs="Courier New"/>
      <w:sz w:val="20"/>
      <w:szCs w:val="20"/>
      <w:lang w:val="en-VN"/>
    </w:rPr>
  </w:style>
  <w:style w:type="character" w:styleId="HTMLCode">
    <w:name w:val="HTML Code"/>
    <w:basedOn w:val="DefaultParagraphFont"/>
    <w:uiPriority w:val="99"/>
    <w:semiHidden/>
    <w:unhideWhenUsed/>
    <w:rsid w:val="005C4A9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0608E3"/>
    <w:rPr>
      <w:rFonts w:ascii="Times New Roman" w:eastAsia="Times New Roman" w:hAnsi="Times New Roman" w:cs="Times New Roman"/>
      <w:b/>
      <w:bCs/>
      <w:sz w:val="24"/>
      <w:szCs w:val="24"/>
      <w:lang w:val="en-VN" w:eastAsia="zh-CN"/>
    </w:rPr>
  </w:style>
  <w:style w:type="character" w:styleId="Strong">
    <w:name w:val="Strong"/>
    <w:basedOn w:val="DefaultParagraphFont"/>
    <w:uiPriority w:val="22"/>
    <w:qFormat/>
    <w:rsid w:val="00781592"/>
    <w:rPr>
      <w:b/>
      <w:bCs/>
    </w:rPr>
  </w:style>
  <w:style w:type="table" w:styleId="TableGrid">
    <w:name w:val="Table Grid"/>
    <w:basedOn w:val="TableNormal"/>
    <w:uiPriority w:val="39"/>
    <w:rsid w:val="00033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3389/fpsyg.2022.992464" TargetMode="External"/><Relationship Id="rId13" Type="http://schemas.openxmlformats.org/officeDocument/2006/relationships/hyperlink" Target="https://www.google.com/search?q=https://doi.org/10.1007/s10639-024-13094-2" TargetMode="External"/><Relationship Id="rId18" Type="http://schemas.openxmlformats.org/officeDocument/2006/relationships/hyperlink" Target="https://www.google.com/search?q=https://doi.org/10.1371/journal.pone.033367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80/19415257.2024.2349058" TargetMode="External"/><Relationship Id="rId7" Type="http://schemas.openxmlformats.org/officeDocument/2006/relationships/endnotes" Target="endnotes.xml"/><Relationship Id="rId12" Type="http://schemas.openxmlformats.org/officeDocument/2006/relationships/hyperlink" Target="https://www.google.com/search?q=https://doi.org/10.1007/s10639-023-12405-0" TargetMode="External"/><Relationship Id="rId17" Type="http://schemas.openxmlformats.org/officeDocument/2006/relationships/hyperlink" Target="https://www.google.com/search?q=https://doi.org/10.1186/s40468-022-00158-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search?q=https://doi.org/10.1007/s40979-024-00153-8" TargetMode="External"/><Relationship Id="rId20" Type="http://schemas.openxmlformats.org/officeDocument/2006/relationships/hyperlink" Target="https://www.google.com/search?q=https://doi.org/10.3390/info16070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https://doi.org/10.1108/MD-05-2023-0734" TargetMode="External"/><Relationship Id="rId24" Type="http://schemas.openxmlformats.org/officeDocument/2006/relationships/hyperlink" Target="https://www.google.com/search?q=https://doi.org/10.1016/j.ijer.2025.102553" TargetMode="External"/><Relationship Id="rId5" Type="http://schemas.openxmlformats.org/officeDocument/2006/relationships/webSettings" Target="webSettings.xml"/><Relationship Id="rId15" Type="http://schemas.openxmlformats.org/officeDocument/2006/relationships/hyperlink" Target="https://www.google.com/search?q=https://doi.org/10.1186/s40561-023-00231-3" TargetMode="External"/><Relationship Id="rId23" Type="http://schemas.openxmlformats.org/officeDocument/2006/relationships/hyperlink" Target="https://www.google.com/search?q=https://doi.org/10.3389/fpsyg.2026.1806618" TargetMode="External"/><Relationship Id="rId10" Type="http://schemas.openxmlformats.org/officeDocument/2006/relationships/hyperlink" Target="https://www.google.com/search?q=https://doi.org/10.1080/15700763.2021.1950773" TargetMode="External"/><Relationship Id="rId19" Type="http://schemas.openxmlformats.org/officeDocument/2006/relationships/hyperlink" Target="https://www.google.com/search?q=https://doi.org/10.4018/IJKM.382384" TargetMode="External"/><Relationship Id="rId4" Type="http://schemas.openxmlformats.org/officeDocument/2006/relationships/settings" Target="settings.xml"/><Relationship Id="rId9" Type="http://schemas.openxmlformats.org/officeDocument/2006/relationships/hyperlink" Target="https://www.google.com/search?q=https://doi.org/10.70152" TargetMode="External"/><Relationship Id="rId14" Type="http://schemas.openxmlformats.org/officeDocument/2006/relationships/hyperlink" Target="https://www.google.com/search?q=https://doi.org/10.56297/FSYB3031/MXNB7567" TargetMode="External"/><Relationship Id="rId22" Type="http://schemas.openxmlformats.org/officeDocument/2006/relationships/hyperlink" Target="https://doi.org/10.1007/s10639-024-12946-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4446</Words>
  <Characters>29529</Characters>
  <Application>Microsoft Office Word</Application>
  <DocSecurity>0</DocSecurity>
  <Lines>454</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Thái Hồ</cp:lastModifiedBy>
  <cp:revision>8</cp:revision>
  <dcterms:created xsi:type="dcterms:W3CDTF">2026-06-13T16:10:00Z</dcterms:created>
  <dcterms:modified xsi:type="dcterms:W3CDTF">2026-06-13T16:18:00Z</dcterms:modified>
</cp:coreProperties>
</file>