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peopleDocument.xml" ContentType="application/vnd.openxmlformats-officedocument.wordprocessingml.people+xml"/>
  <Override PartName="/word/commentsDocument.xml" ContentType="application/vnd.openxmlformats-officedocument.wordprocessingml.comments+xml"/>
  <Override PartName="/word/header1.xml" ContentType="application/vnd.openxmlformats-officedocument.wordprocessingml.header+xml"/>
  <Override PartName="/docProps/app.xml" ContentType="application/vnd.openxmlformats-officedocument.extended-properties+xml"/>
  <Override PartName="/word/commentsIdsDocument.xml" ContentType="application/vnd.openxmlformats-officedocument.wordprocessingml.commentsIds+xml"/>
  <Override PartName="/word/settings.xml" ContentType="application/vnd.openxmlformats-officedocument.wordprocessingml.settings+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76A8E7F" w14:textId="77777777">
      <w:pPr>
        <w:pStyle w:val="1030"/>
        <w:pBdr/>
        <w:spacing w:after="120" w:line="240" w:lineRule="auto"/>
        <w:ind/>
        <w:rPr/>
      </w:pPr>
      <w:r/>
      <w:r/>
    </w:p>
    <w:p w14:paraId="2DE99473" w14:textId="77777777">
      <w:pPr>
        <w:pStyle w:val="1030"/>
        <w:pBdr/>
        <w:spacing w:after="120" w:line="240" w:lineRule="auto"/>
        <w:ind/>
        <w:rPr>
          <w:rtl/>
        </w:rPr>
      </w:pPr>
      <w:r>
        <w:t xml:space="preserve">Exploring the Interplay of Motivation, Learner Autonomy, and Academic Performance among English-Major Students at HUFLIT: A Mixed-Methods Study</w:t>
      </w:r>
      <w:r>
        <w:rPr>
          <w:rtl/>
        </w:rPr>
      </w:r>
      <w:r>
        <w:rPr>
          <w:rtl/>
        </w:rPr>
      </w:r>
    </w:p>
    <w:p w14:paraId="74F0D258" w14:textId="77777777">
      <w:pPr>
        <w:pStyle w:val="1029"/>
        <w:pBdr/>
        <w:spacing/>
        <w:ind/>
        <w:rPr/>
      </w:pPr>
      <w:r>
        <w:t xml:space="preserve">Ma Kinh </w:t>
      </w:r>
      <w:r>
        <w:t xml:space="preserve">Lac </w:t>
      </w:r>
      <w:r>
        <w:t xml:space="preserve">Che</w:t>
      </w:r>
      <w:r>
        <w:rPr>
          <w:rStyle w:val="1047"/>
        </w:rPr>
        <w:footnoteReference w:id="2"/>
      </w:r>
      <w:r>
        <w:t xml:space="preserve">,</w:t>
      </w:r>
      <w:r>
        <w:rPr>
          <w:rStyle w:val="1047"/>
          <w:sz w:val="22"/>
          <w:szCs w:val="22"/>
        </w:rPr>
        <w:footnoteReference w:id="3"/>
      </w:r>
      <w:r>
        <w:t xml:space="preserve">, </w:t>
      </w:r>
      <w:r>
        <w:t xml:space="preserve">Chau Hoang</w:t>
      </w:r>
      <w:r>
        <w:t xml:space="preserve"> </w:t>
      </w:r>
      <w:r>
        <w:t xml:space="preserve">Anh </w:t>
      </w:r>
      <w:r>
        <w:t xml:space="preserve">Phan</w:t>
      </w:r>
      <w:r>
        <w:rPr>
          <w:rStyle w:val="1047"/>
        </w:rPr>
        <w:t xml:space="preserve">1</w:t>
      </w:r>
      <w:r>
        <w:t xml:space="preserve">, </w:t>
      </w:r>
      <w:r>
        <w:t xml:space="preserve">Gia </w:t>
      </w:r>
      <w:r>
        <w:t xml:space="preserve">Bao </w:t>
      </w:r>
      <w:r>
        <w:t xml:space="preserve">Duong</w:t>
      </w:r>
      <w:r>
        <w:rPr>
          <w:rStyle w:val="1047"/>
        </w:rPr>
        <w:t xml:space="preserve">1</w:t>
      </w:r>
      <w:r>
        <w:t xml:space="preserve"> &amp; </w:t>
      </w:r>
      <w:r>
        <w:t xml:space="preserve">Minh</w:t>
      </w:r>
      <w:r>
        <w:t xml:space="preserve"> Quyen Nguyen</w:t>
      </w:r>
      <w:r>
        <w:rPr>
          <w:rStyle w:val="1047"/>
        </w:rPr>
        <w:t xml:space="preserve">1</w:t>
      </w:r>
      <w:r/>
    </w:p>
    <w:p w14:paraId="55C2809D" w14:textId="77777777">
      <w:pPr>
        <w:pStyle w:val="1042"/>
        <w:pBdr/>
        <w:spacing w:after="120" w:before="120" w:line="240" w:lineRule="auto"/>
        <w:ind/>
        <w:rPr>
          <w:rFonts w:cs="Times New Roman"/>
          <w:sz w:val="24"/>
          <w:szCs w:val="24"/>
        </w:rPr>
      </w:pPr>
      <w:r>
        <w:rPr>
          <w:rFonts w:cs="Times New Roman"/>
          <w:sz w:val="24"/>
          <w:szCs w:val="24"/>
        </w:rPr>
      </w:r>
      <w:r>
        <w:rPr>
          <w:rFonts w:cs="Times New Roman"/>
          <w:sz w:val="24"/>
          <w:szCs w:val="24"/>
        </w:rPr>
      </w:r>
      <w:r>
        <w:rPr>
          <w:rFonts w:cs="Times New Roman"/>
          <w:sz w:val="24"/>
          <w:szCs w:val="24"/>
        </w:rPr>
      </w:r>
    </w:p>
    <w:p w14:paraId="21CCF09C" w14:textId="77777777">
      <w:pPr>
        <w:pStyle w:val="1042"/>
        <w:pBdr/>
        <w:spacing w:after="120" w:before="120" w:line="240" w:lineRule="auto"/>
        <w:ind/>
        <w:rPr>
          <w:rFonts w:cs="Times New Roman"/>
          <w:sz w:val="24"/>
          <w:szCs w:val="24"/>
        </w:rPr>
      </w:pPr>
      <w:r>
        <w:rPr>
          <w:rFonts w:cs="Times New Roman"/>
          <w:sz w:val="24"/>
          <w:szCs w:val="24"/>
        </w:rPr>
        <w:t xml:space="preserve">Abstract</w:t>
      </w:r>
      <w:r>
        <w:rPr>
          <w:rFonts w:cs="Times New Roman"/>
          <w:sz w:val="24"/>
          <w:szCs w:val="24"/>
        </w:rPr>
      </w:r>
      <w:r>
        <w:rPr>
          <w:rFonts w:cs="Times New Roman"/>
          <w:sz w:val="24"/>
          <w:szCs w:val="24"/>
        </w:rPr>
      </w:r>
    </w:p>
    <w:p w14:paraId="6CBBA7EF">
      <w:pPr>
        <w:pStyle w:val="1060"/>
        <w:pBdr/>
        <w:spacing w:after="120" w:before="120"/>
        <w:ind w:firstLine="720"/>
        <w:jc w:val="both"/>
        <w:rPr/>
      </w:pP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n Vietnamese tertiary EFL education, students are expected to take responsibility for their own learning while maintaining strong academic outcomes, yet how motivation translates into performance through learner autonomy remains insufficiently examined in </w:t>
      </w: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nstitutional settings such as HUFLIT. This mixed-methods study combined survey data from 145 English-major undergraduates with semi-structured interviews from 12 participants. Partial Least Squares Structural Equation Modeling examined proposed relationshi</w:t>
      </w:r>
      <w:r>
        <w:rPr>
          <w:rFonts w:ascii="Times New Roman" w:hAnsi="Times New Roman" w:eastAsia="Times New Roman" w:cs="Times New Roman"/>
          <w:color w:val="000000" w:themeColor="text1"/>
        </w:rPr>
        <w:t xml:space="preserve">p</w:t>
      </w:r>
      <w:r>
        <w:rPr>
          <w:rFonts w:ascii="Times New Roman" w:hAnsi="Times New Roman" w:eastAsia="Times New Roman" w:cs="Times New Roman"/>
          <w:color w:val="000000" w:themeColor="text1"/>
        </w:rPr>
        <w:t xml:space="preserve">s, while thematic analysis documented lived experiences. Findings revealed that learner autonomy partially mediated the relationships between both intrinsic and extrinsic motivation and academic performance. Intrinsic motivation had the strongest effect on</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learner autonomy (β = 0.618, t = 12.118, p &lt; .001) and a significant direct effect on academic performance (β = 0.395, t = 5.809, p &lt; .001). Learner autonomy was the strongest direct predictor of academic performance (β = 0.436, t = 6.141, p &lt; .001). Extri</w:t>
      </w:r>
      <w:r>
        <w:rPr>
          <w:rFonts w:ascii="Times New Roman" w:hAnsi="Times New Roman" w:eastAsia="Times New Roman" w:cs="Times New Roman"/>
          <w:color w:val="000000" w:themeColor="text1"/>
        </w:rPr>
        <w:t xml:space="preserve">n</w:t>
      </w:r>
      <w:r>
        <w:rPr>
          <w:rFonts w:ascii="Times New Roman" w:hAnsi="Times New Roman" w:eastAsia="Times New Roman" w:cs="Times New Roman"/>
          <w:color w:val="000000" w:themeColor="text1"/>
        </w:rPr>
        <w:t xml:space="preserve">sic motivation showed significant but weaker effects on learner autonomy (β = 0.244, t = 3.342, p = .001) and academic performance (β = 0.123, t = 2.085, p = .040). Proportionally, learner autonomy accounted for 40.5% of intrinsic motivation's total effect</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and 46.3% of extrinsic motivation's total effect. Qualitative analysis identified four themes: (1) internalization of extrinsic motivation, (2) autonomy as a mechanism for addressing academic setbacks, (3) incorporation of informal digital immersion, and (</w:t>
      </w:r>
      <w:r>
        <w:rPr>
          <w:rFonts w:ascii="Times New Roman" w:hAnsi="Times New Roman" w:eastAsia="Times New Roman" w:cs="Times New Roman"/>
          <w:color w:val="000000" w:themeColor="text1"/>
        </w:rPr>
        <w:t xml:space="preserve">4</w:t>
      </w:r>
      <w:r>
        <w:rPr>
          <w:rFonts w:ascii="Times New Roman" w:hAnsi="Times New Roman" w:eastAsia="Times New Roman" w:cs="Times New Roman"/>
          <w:color w:val="000000" w:themeColor="text1"/>
        </w:rPr>
        <w:t xml:space="preserve">) resilience strategies for managing motivational setbacks. This study situates Self-Determination Theory and Self-Regulated Learning frameworks within Vietnamese higher education, providing practical insights for cultivating autonomous learning environmen</w:t>
      </w:r>
      <w:r>
        <w:rPr>
          <w:rFonts w:ascii="Times New Roman" w:hAnsi="Times New Roman" w:eastAsia="Times New Roman" w:cs="Times New Roman"/>
          <w:color w:val="000000" w:themeColor="text1"/>
        </w:rPr>
        <w:t xml:space="preserve">ts that improve English language education outcomes.</w:t>
      </w:r>
      <w:r>
        <w:rPr>
          <w:rFonts w:ascii="Times New Roman" w:hAnsi="Times New Roman" w:eastAsia="Times New Roman" w:cs="Times New Roman"/>
          <w:color w:val="000000" w:themeColor="text1"/>
        </w:rPr>
      </w:r>
      <w:r/>
    </w:p>
    <w:p w14:paraId="3E9959CA" w14:textId="77777777">
      <w:pPr>
        <w:pStyle w:val="1060"/>
        <w:pBdr/>
        <w:spacing w:after="120" w:before="120"/>
        <w:ind/>
        <w:jc w:val="both"/>
        <w:rPr>
          <w:rFonts w:ascii="Times New Roman" w:hAnsi="Times New Roman" w:eastAsia="Times New Roman" w:cs="Times New Roman"/>
          <w:color w:val="000000" w:themeColor="text1"/>
        </w:rPr>
      </w:pPr>
      <w:r>
        <w:rPr>
          <w:rFonts w:ascii="Times New Roman" w:hAnsi="Times New Roman" w:eastAsia="Times New Roman" w:cs="Times New Roman"/>
          <w:b/>
          <w:bCs/>
          <w:i/>
          <w:iCs/>
          <w:color w:val="000000" w:themeColor="text1"/>
        </w:rPr>
        <w:t xml:space="preserve">Keywords</w:t>
      </w:r>
      <w:r>
        <w:rPr>
          <w:rFonts w:ascii="Times New Roman" w:hAnsi="Times New Roman" w:eastAsia="Times New Roman" w:cs="Times New Roman"/>
          <w:color w:val="000000" w:themeColor="text1"/>
        </w:rPr>
        <w:t xml:space="preserve">: academic performance, learner autonomy, intrinsic motivation, extrinsic motivation, EFL learners, HUFLIT</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C166A8F" w14:textId="77777777">
      <w:pPr>
        <w:pBdr/>
        <w:spacing w:after="120" w:line="240" w:lineRule="auto"/>
        <w:ind w:hanging="993" w:left="993"/>
        <w:rPr>
          <w:rFonts w:cs="Times New Roman"/>
          <w:b/>
          <w:bCs/>
          <w:sz w:val="24"/>
          <w:szCs w:val="24"/>
        </w:rPr>
      </w:pPr>
      <w:r>
        <w:rPr>
          <w:rFonts w:cs="Times New Roman"/>
          <w:b/>
          <w:bCs/>
          <w:sz w:val="24"/>
          <w:szCs w:val="24"/>
        </w:rPr>
      </w:r>
      <w:r>
        <w:rPr>
          <w:rFonts w:cs="Times New Roman"/>
          <w:b/>
          <w:bCs/>
          <w:sz w:val="24"/>
          <w:szCs w:val="24"/>
        </w:rPr>
      </w:r>
      <w:r>
        <w:rPr>
          <w:rFonts w:cs="Times New Roman"/>
          <w:b/>
          <w:bCs/>
          <w:sz w:val="24"/>
          <w:szCs w:val="24"/>
        </w:rPr>
      </w:r>
    </w:p>
    <w:p w14:paraId="2302B110" w14:textId="77777777">
      <w:pPr>
        <w:pStyle w:val="1039"/>
        <w:pBdr/>
        <w:spacing w:after="120" w:before="120" w:line="240" w:lineRule="auto"/>
        <w:ind/>
        <w:rPr>
          <w:rFonts w:cs="Times New Roman"/>
          <w:b w:val="0"/>
          <w:bCs w:val="0"/>
          <w:sz w:val="24"/>
          <w:szCs w:val="24"/>
        </w:rPr>
      </w:pPr>
      <w:r>
        <w:rPr>
          <w:rFonts w:cs="Times New Roman"/>
          <w:sz w:val="24"/>
          <w:szCs w:val="24"/>
        </w:rPr>
        <w:t xml:space="preserve">1. Introduction</w:t>
      </w:r>
      <w:r>
        <w:rPr>
          <w:rFonts w:cs="Times New Roman"/>
          <w:b w:val="0"/>
          <w:bCs w:val="0"/>
          <w:sz w:val="24"/>
          <w:szCs w:val="24"/>
        </w:rPr>
      </w:r>
      <w:r>
        <w:rPr>
          <w:rFonts w:cs="Times New Roman"/>
          <w:b w:val="0"/>
          <w:bCs w:val="0"/>
          <w:sz w:val="24"/>
          <w:szCs w:val="24"/>
        </w:rPr>
      </w:r>
    </w:p>
    <w:p w14:paraId="394F86BC"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1.1. Background</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3AF09E8F"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In Vietnamese tert</w:t>
      </w:r>
      <w:r>
        <w:rPr>
          <w:rFonts w:ascii="Times New Roman" w:hAnsi="Times New Roman" w:eastAsia="Times New Roman" w:cs="Times New Roman"/>
          <w:color w:val="000000" w:themeColor="text1"/>
        </w:rPr>
        <w:t xml:space="preserve">iary EFL education, students are increasingly expected to take greater responsibility for their own learning while maintaining satisfactory academic outcomes. This expectation is particularly relevant for English-major students, whose language development </w:t>
      </w:r>
      <w:r>
        <w:rPr>
          <w:rFonts w:ascii="Times New Roman" w:hAnsi="Times New Roman" w:eastAsia="Times New Roman" w:cs="Times New Roman"/>
          <w:color w:val="000000" w:themeColor="text1"/>
        </w:rPr>
        <w:t xml:space="preserve">depends not only on classroom instruction but also on sustained independent practice, strategi</w:t>
      </w:r>
      <w:r>
        <w:rPr>
          <w:rFonts w:ascii="Times New Roman" w:hAnsi="Times New Roman" w:eastAsia="Times New Roman" w:cs="Times New Roman"/>
          <w:color w:val="000000" w:themeColor="text1"/>
        </w:rPr>
        <w:t xml:space="preserve">c resource use, and continuous self-monitoring beyond scheduled lessons. Within this context, motivation and learner autonomy have become central constructs in understanding how students manage their learning and achieve academic progress. Previous researc</w:t>
      </w:r>
      <w:r>
        <w:rPr>
          <w:rFonts w:ascii="Times New Roman" w:hAnsi="Times New Roman" w:eastAsia="Times New Roman" w:cs="Times New Roman"/>
          <w:color w:val="000000" w:themeColor="text1"/>
        </w:rPr>
        <w:t xml:space="preserve">h has shown that motivated learners are more likely to persist through difficulty, use effective learning strategies, and engage more deeply with academic tasks (Pintrich &amp; De Groot, 1990; Zimmerman &amp; Kitsantas, 2014). From the perspective of Self-Determin</w:t>
      </w:r>
      <w:r>
        <w:rPr>
          <w:rFonts w:ascii="Times New Roman" w:hAnsi="Times New Roman" w:eastAsia="Times New Roman" w:cs="Times New Roman"/>
          <w:color w:val="000000" w:themeColor="text1"/>
        </w:rPr>
        <w:t xml:space="preserve">ation Theory, intrinsic motivation reflects students’ genuine interest and enjoyment in learning, whereas extrinsic motivation refers to learning driven by external outcomes such as grades, career opportunities, or social expectations (Deci &amp; Ryan, 2000). </w:t>
      </w:r>
      <w:r/>
    </w:p>
    <w:p w14:paraId="3BFF99A2"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In language learning, both forms of motivation ma</w:t>
      </w:r>
      <w:r>
        <w:rPr>
          <w:rFonts w:ascii="Times New Roman" w:hAnsi="Times New Roman" w:eastAsia="Times New Roman" w:cs="Times New Roman"/>
          <w:color w:val="000000" w:themeColor="text1"/>
        </w:rPr>
        <w:t xml:space="preserve">y influence performance, but their effects depend on whether students can translate motivation into autonomous learning behaviours, such as setting goals, monitoring progress, seeking resources, and adjusting strategies. Learner autonomy is especially impo</w:t>
      </w:r>
      <w:r>
        <w:rPr>
          <w:rFonts w:ascii="Times New Roman" w:hAnsi="Times New Roman" w:eastAsia="Times New Roman" w:cs="Times New Roman"/>
          <w:color w:val="000000" w:themeColor="text1"/>
        </w:rPr>
        <w:t xml:space="preserve">rtant in EFL contexts because language proficiency develops gradually and requires long-term engagement. Studies in Vietnam suggest that although university students often value independent learning, they may lack the metacognitive strategies needed to pra</w:t>
      </w:r>
      <w:r>
        <w:rPr>
          <w:rFonts w:ascii="Times New Roman" w:hAnsi="Times New Roman" w:eastAsia="Times New Roman" w:cs="Times New Roman"/>
          <w:color w:val="000000" w:themeColor="text1"/>
        </w:rPr>
        <w:t xml:space="preserve">ctise it effectively (Dang, 2010). Cultural factors such as family expectations, achievement pressure, and career-oriented learning may also shape how Vietnamese students internalize motivation and develop autonomy (Truong, 2025). </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The relationship among motivation, learner autonomy, and academic performance requires further examination in specific institutional contexts such as HUFLIT, where English-major students are expected to develop both academic competence and independent lear</w:t>
      </w:r>
      <w:r>
        <w:rPr>
          <w:rFonts w:ascii="Times New Roman" w:hAnsi="Times New Roman" w:eastAsia="Times New Roman" w:cs="Times New Roman"/>
          <w:color w:val="000000" w:themeColor="text1"/>
        </w:rPr>
        <w:t xml:space="preserve">ning capacity.</w:t>
      </w:r>
      <w:r>
        <w:rPr>
          <w:rFonts w:ascii="Times New Roman" w:hAnsi="Times New Roman" w:cs="Times New Roman"/>
          <w:color w:val="000000" w:themeColor="text1"/>
        </w:rPr>
      </w:r>
      <w:r>
        <w:rPr>
          <w:rFonts w:ascii="Times New Roman" w:hAnsi="Times New Roman" w:cs="Times New Roman"/>
          <w:color w:val="000000" w:themeColor="text1"/>
        </w:rPr>
      </w:r>
    </w:p>
    <w:p w14:paraId="57B5B2D8"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1.2. Problem Statement</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062D1E28">
      <w:pPr>
        <w:pStyle w:val="1061"/>
        <w:pBdr/>
        <w:spacing w:after="120" w:before="120"/>
        <w:ind w:firstLine="720"/>
        <w:jc w:val="both"/>
        <w:rPr>
          <w:bCs/>
          <w:i/>
        </w:rPr>
      </w:pPr>
      <w:r>
        <w:rPr>
          <w:rFonts w:ascii="Times New Roman" w:hAnsi="Times New Roman" w:eastAsia="Times New Roman" w:cs="Times New Roman"/>
          <w:i/>
          <w:iCs/>
          <w:color w:val="000000" w:themeColor="text1"/>
        </w:rPr>
        <w:t xml:space="preserve">1.2.1. Practical Problem</w:t>
      </w:r>
      <w:r>
        <w:rPr>
          <w:bCs/>
          <w:i/>
        </w:rPr>
      </w:r>
      <w:r>
        <w:rPr>
          <w:bCs/>
          <w:i/>
        </w:rPr>
      </w:r>
    </w:p>
    <w:p w14:paraId="464F0407">
      <w:pPr>
        <w:pStyle w:val="1061"/>
        <w:pBdr/>
        <w:spacing w:after="120" w:before="120"/>
        <w:ind w:firstLine="720"/>
        <w:jc w:val="both"/>
        <w:rPr/>
      </w:pPr>
      <w:r>
        <w:rPr>
          <w:rFonts w:ascii="Times New Roman" w:hAnsi="Times New Roman" w:eastAsia="Times New Roman" w:cs="Times New Roman"/>
          <w:color w:val="000000" w:themeColor="text1"/>
        </w:rPr>
        <w:t xml:space="preserve">Third-year English-major students at HUFLIT confront graduation requirements that impose substantial independent learning demands. As an institution that combines foreign language training with information technology education, it imposes graduation requi</w:t>
      </w:r>
      <w:r>
        <w:rPr>
          <w:rFonts w:ascii="Times New Roman" w:hAnsi="Times New Roman" w:eastAsia="Times New Roman" w:cs="Times New Roman"/>
          <w:color w:val="000000" w:themeColor="text1"/>
        </w:rPr>
        <w:t xml:space="preserve">r</w:t>
      </w:r>
      <w:r>
        <w:rPr>
          <w:rFonts w:ascii="Times New Roman" w:hAnsi="Times New Roman" w:eastAsia="Times New Roman" w:cs="Times New Roman"/>
          <w:color w:val="000000" w:themeColor="text1"/>
        </w:rPr>
        <w:t xml:space="preserve">ements that are particularly demanding: English-major students must achieve Microsoft Office Specialist (MOS) certification and a minimum of IELTS 7.0 or TOEIC 780. Beyond these certification thresholds, the university explicitly expects considerable self-</w:t>
      </w:r>
      <w:r>
        <w:rPr>
          <w:rFonts w:ascii="Times New Roman" w:hAnsi="Times New Roman" w:eastAsia="Times New Roman" w:cs="Times New Roman"/>
          <w:color w:val="000000" w:themeColor="text1"/>
        </w:rPr>
        <w:t xml:space="preserve">d</w:t>
      </w:r>
      <w:r>
        <w:rPr>
          <w:rFonts w:ascii="Times New Roman" w:hAnsi="Times New Roman" w:eastAsia="Times New Roman" w:cs="Times New Roman"/>
          <w:color w:val="000000" w:themeColor="text1"/>
        </w:rPr>
        <w:t xml:space="preserve">irected study outside scheduled contact hours. In this setting, independent learning functions as a structural precondition for academic progression. The institution, however, possesses no evidence base delineating which motivational conditions most effect</w:t>
      </w: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vely cultivate the autonomous behaviour that its requirements presuppose. Instructional decisions concerning how best to support self-directed learning are made on institutional intuition, not empirical evidence. The practical problem is twofold: HUFLIT en</w:t>
      </w:r>
      <w:r>
        <w:rPr>
          <w:rFonts w:ascii="Times New Roman" w:hAnsi="Times New Roman" w:eastAsia="Times New Roman" w:cs="Times New Roman"/>
          <w:color w:val="000000" w:themeColor="text1"/>
        </w:rPr>
        <w:t xml:space="preserve">forces rigorous self-directed learning demands on its English majors yet lacks a corresponding framework for understanding the motivational antecedents of the autonomous conduct those demands necessitate.</w:t>
      </w:r>
      <w:r>
        <w:rPr>
          <w:rFonts w:ascii="Times New Roman" w:hAnsi="Times New Roman" w:eastAsia="Times New Roman" w:cs="Times New Roman"/>
          <w:color w:val="000000" w:themeColor="text1"/>
        </w:rPr>
      </w:r>
      <w:r/>
    </w:p>
    <w:p w14:paraId="0E12AB09">
      <w:pPr>
        <w:pStyle w:val="1061"/>
        <w:pBdr/>
        <w:spacing w:after="120" w:before="120"/>
        <w:ind w:firstLine="720"/>
        <w:jc w:val="both"/>
        <w:rPr>
          <w:bCs/>
          <w:i/>
        </w:rPr>
      </w:pPr>
      <w:r>
        <w:rPr>
          <w:rFonts w:ascii="Times New Roman" w:hAnsi="Times New Roman" w:eastAsia="Times New Roman" w:cs="Times New Roman"/>
          <w:i/>
          <w:iCs/>
          <w:color w:val="000000" w:themeColor="text1"/>
          <w:highlight w:val="none"/>
        </w:rPr>
        <w:t xml:space="preserve">1.2.2. Research Gap</w:t>
      </w:r>
      <w:r>
        <w:rPr>
          <w:bCs/>
          <w:i/>
        </w:rPr>
      </w:r>
      <w:r>
        <w:rPr>
          <w:bCs/>
          <w:i/>
        </w:rPr>
      </w:r>
    </w:p>
    <w:p w14:paraId="003F2A01"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literature to date,</w:t>
      </w:r>
      <w:r>
        <w:rPr>
          <w:rFonts w:ascii="Times New Roman" w:hAnsi="Times New Roman" w:eastAsia="Times New Roman" w:cs="Times New Roman"/>
          <w:color w:val="000000" w:themeColor="text1"/>
        </w:rPr>
        <w:t xml:space="preserve"> while extensive, has not addressed these dynamics in the institutional and cultural context that HUFLIT represents. </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0FF62B3A">
      <w:pPr>
        <w:pStyle w:val="1060"/>
        <w:pBdr/>
        <w:spacing w:after="120" w:before="120"/>
        <w:ind w:firstLine="720"/>
        <w:jc w:val="both"/>
        <w:rPr/>
      </w:pPr>
      <w:r>
        <w:rPr>
          <w:rFonts w:ascii="Times New Roman" w:hAnsi="Times New Roman" w:eastAsia="Times New Roman" w:cs="Times New Roman"/>
          <w:color w:val="000000" w:themeColor="text1"/>
        </w:rPr>
        <w:t xml:space="preserve">W</w:t>
      </w:r>
      <w:r>
        <w:rPr>
          <w:rFonts w:ascii="Times New Roman" w:hAnsi="Times New Roman" w:eastAsia="Times New Roman" w:cs="Times New Roman"/>
          <w:color w:val="000000" w:themeColor="text1"/>
        </w:rPr>
        <w:t xml:space="preserve">estern universities have supplied the samples for most published work on motivation and autonomy in language learning (Noels et al., 2000; Garcia &amp; Pintrich, 1996). Assessment practices, pedagogical norms, and the cultural meanings attached to academic suc</w:t>
      </w:r>
      <w:r>
        <w:rPr>
          <w:rFonts w:ascii="Times New Roman" w:hAnsi="Times New Roman" w:eastAsia="Times New Roman" w:cs="Times New Roman"/>
          <w:color w:val="000000" w:themeColor="text1"/>
        </w:rPr>
        <w:t xml:space="preserve">c</w:t>
      </w:r>
      <w:r>
        <w:rPr>
          <w:rFonts w:ascii="Times New Roman" w:hAnsi="Times New Roman" w:eastAsia="Times New Roman" w:cs="Times New Roman"/>
          <w:color w:val="000000" w:themeColor="text1"/>
        </w:rPr>
        <w:t xml:space="preserve">ess in those contexts differ in ways that limit straightforward generalization to Vietnamese higher education. Whether findings obtained with Western undergraduates can illuminate the experiences of English majors at a Vietnamese institution remains an ope</w:t>
      </w:r>
      <w:r>
        <w:rPr>
          <w:rFonts w:ascii="Times New Roman" w:hAnsi="Times New Roman" w:eastAsia="Times New Roman" w:cs="Times New Roman"/>
          <w:color w:val="000000" w:themeColor="text1"/>
        </w:rPr>
        <w:t xml:space="preserve">n empirical question.</w:t>
      </w:r>
      <w:r>
        <w:rPr>
          <w:rFonts w:ascii="Times New Roman" w:hAnsi="Times New Roman" w:eastAsia="Times New Roman" w:cs="Times New Roman"/>
          <w:color w:val="000000" w:themeColor="text1"/>
        </w:rPr>
      </w:r>
      <w:r/>
    </w:p>
    <w:p w14:paraId="6E30E75E">
      <w:pPr>
        <w:pStyle w:val="1060"/>
        <w:pBdr/>
        <w:spacing w:after="120" w:before="120"/>
        <w:ind w:firstLine="720"/>
        <w:jc w:val="both"/>
        <w:rPr/>
      </w:pPr>
      <w:r>
        <w:rPr>
          <w:rFonts w:ascii="Times New Roman" w:hAnsi="Times New Roman" w:eastAsia="Times New Roman" w:cs="Times New Roman"/>
          <w:color w:val="000000" w:themeColor="text1"/>
        </w:rPr>
        <w:t xml:space="preserve">P</w:t>
      </w:r>
      <w:r>
        <w:rPr>
          <w:rFonts w:ascii="Times New Roman" w:hAnsi="Times New Roman" w:eastAsia="Times New Roman" w:cs="Times New Roman"/>
          <w:color w:val="000000" w:themeColor="text1"/>
        </w:rPr>
        <w:t xml:space="preserve">rior studies have treated motivation and autonomy as separate lines of inquiry which lead to a further gap in methodology approach. No investigation has positioned both of these factors simultaneously within a single structural model that estimates direct </w:t>
      </w:r>
      <w:r>
        <w:rPr>
          <w:rFonts w:ascii="Times New Roman" w:hAnsi="Times New Roman" w:eastAsia="Times New Roman" w:cs="Times New Roman"/>
          <w:color w:val="000000" w:themeColor="text1"/>
        </w:rPr>
        <w:t xml:space="preserve">e</w:t>
      </w:r>
      <w:r>
        <w:rPr>
          <w:rFonts w:ascii="Times New Roman" w:hAnsi="Times New Roman" w:eastAsia="Times New Roman" w:cs="Times New Roman"/>
          <w:color w:val="000000" w:themeColor="text1"/>
        </w:rPr>
        <w:t xml:space="preserve">ffects, indirect pathways, and mediated relationships in one analytic framework. The field has also relied predominantly on single-method survey designs, which capture statistical associations but shed little light on the subjective processes through which</w:t>
      </w:r>
      <w:r>
        <w:rPr>
          <w:rFonts w:ascii="Times New Roman" w:hAnsi="Times New Roman" w:eastAsia="Times New Roman" w:cs="Times New Roman"/>
          <w:color w:val="000000" w:themeColor="text1"/>
        </w:rPr>
        <w:t xml:space="preserve"> students navigate motivational change or develop autonomous habits (Chong &amp; Reinders, 2025).</w:t>
      </w:r>
      <w:r>
        <w:rPr>
          <w:rFonts w:ascii="Times New Roman" w:hAnsi="Times New Roman" w:eastAsia="Times New Roman" w:cs="Times New Roman"/>
          <w:color w:val="000000" w:themeColor="text1"/>
        </w:rPr>
      </w:r>
      <w:r/>
    </w:p>
    <w:p w14:paraId="6A855DD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t xml:space="preserve">V</w:t>
      </w:r>
      <w:r>
        <w:rPr>
          <w:rFonts w:ascii="Times New Roman" w:hAnsi="Times New Roman" w:eastAsia="Times New Roman" w:cs="Times New Roman"/>
          <w:color w:val="000000" w:themeColor="text1"/>
        </w:rPr>
        <w:t xml:space="preserve">ietnamese scholarship provides a foundation but not a precedent. Research within the country has confirmed the importance of self-learning in general higher education (Dang, 2010; Dao et al., 2025). None of this work, however, has examined third-year Engli</w:t>
      </w:r>
      <w:r>
        <w:rPr>
          <w:rFonts w:ascii="Times New Roman" w:hAnsi="Times New Roman" w:eastAsia="Times New Roman" w:cs="Times New Roman"/>
          <w:color w:val="000000" w:themeColor="text1"/>
        </w:rPr>
        <w:t xml:space="preserve">sh majors at an institution where self-directed learning is </w:t>
      </w:r>
      <w:r>
        <w:rPr>
          <w:rFonts w:ascii="Times New Roman" w:hAnsi="Times New Roman" w:eastAsia="Times New Roman" w:cs="Times New Roman"/>
          <w:color w:val="000000" w:themeColor="text1"/>
        </w:rPr>
        <w:t xml:space="preserve">structural requirement rather than a pedagogical preference</w:t>
      </w:r>
      <w:r>
        <w:rPr>
          <w:rFonts w:ascii="Times New Roman" w:hAnsi="Times New Roman" w:eastAsia="Times New Roman" w:cs="Times New Roman"/>
          <w:color w:val="000000" w:themeColor="text1"/>
        </w:rPr>
        <w:t xml:space="preserve">. The present study was designed to address these three gaps.</w:t>
      </w:r>
      <w:r>
        <w:rPr>
          <w:rFonts w:ascii="Times New Roman" w:hAnsi="Times New Roman" w:cs="Times New Roman"/>
          <w:color w:val="000000" w:themeColor="text1"/>
        </w:rPr>
      </w:r>
      <w:r>
        <w:rPr>
          <w:rFonts w:ascii="Times New Roman" w:hAnsi="Times New Roman" w:cs="Times New Roman"/>
          <w:color w:val="000000" w:themeColor="text1"/>
        </w:rPr>
      </w:r>
    </w:p>
    <w:p w14:paraId="123B286E"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1.3. Aim and Objectives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028AC30E" w14:textId="77777777">
      <w:pPr>
        <w:pStyle w:val="1061"/>
        <w:pBdr/>
        <w:spacing w:after="120" w:before="120"/>
        <w:ind w:firstLine="720"/>
        <w:jc w:val="both"/>
        <w:rPr/>
      </w:pPr>
      <w:r>
        <w:rPr>
          <w:rFonts w:ascii="Times New Roman" w:hAnsi="Times New Roman" w:eastAsia="Times New Roman" w:cs="Times New Roman"/>
          <w:color w:val="000000" w:themeColor="text1"/>
        </w:rPr>
        <w:t xml:space="preserve">This study aims to investigate the relationships among intrinsic motivation, extrinsic motivation, learner autonomy, and academic performance among third-year English-major students at HUF</w:t>
      </w:r>
      <w:r>
        <w:rPr>
          <w:rFonts w:ascii="Times New Roman" w:hAnsi="Times New Roman" w:eastAsia="Times New Roman" w:cs="Times New Roman"/>
          <w:color w:val="000000" w:themeColor="text1"/>
        </w:rPr>
        <w:t xml:space="preserve">LIT. It also examines whether learner autonomy mediates the relationship between motivation and academic performance and explores how students’ motivational and autonomous learning experiences shape their academic development. The specific objectives are: </w:t>
      </w:r>
      <w:r/>
    </w:p>
    <w:p w14:paraId="2069AFAF" w14:textId="77777777">
      <w:pPr>
        <w:pStyle w:val="1061"/>
        <w:pBdr/>
        <w:spacing w:after="120" w:before="120"/>
        <w:ind w:firstLine="720"/>
        <w:jc w:val="both"/>
        <w:rPr/>
      </w:pPr>
      <w:r>
        <w:rPr>
          <w:rFonts w:ascii="Times New Roman" w:hAnsi="Times New Roman" w:eastAsia="Times New Roman" w:cs="Times New Roman"/>
          <w:color w:val="000000" w:themeColor="text1"/>
        </w:rPr>
        <w:t xml:space="preserve">To identify the reported levels of intrinsic motivation, extrinsic motivation, learner autonomy, and academic performance among third-year English-major students at HUFLIT. </w:t>
      </w:r>
      <w:r/>
    </w:p>
    <w:p w14:paraId="11859012" w14:textId="77777777">
      <w:pPr>
        <w:pStyle w:val="1061"/>
        <w:pBdr/>
        <w:spacing w:after="120" w:before="120"/>
        <w:ind w:firstLine="720"/>
        <w:jc w:val="both"/>
        <w:rPr/>
      </w:pPr>
      <w:r>
        <w:rPr>
          <w:rFonts w:ascii="Times New Roman" w:hAnsi="Times New Roman" w:eastAsia="Times New Roman" w:cs="Times New Roman"/>
          <w:color w:val="000000" w:themeColor="text1"/>
        </w:rPr>
        <w:t xml:space="preserve">To examine the effects of intrinsic and extrinsic motivation on learner autonomy. </w:t>
      </w:r>
      <w:r/>
    </w:p>
    <w:p w14:paraId="4BF4C7BC" w14:textId="77777777">
      <w:pPr>
        <w:pStyle w:val="1061"/>
        <w:pBdr/>
        <w:spacing w:after="120" w:before="120"/>
        <w:ind w:firstLine="720"/>
        <w:jc w:val="both"/>
        <w:rPr/>
      </w:pPr>
      <w:r>
        <w:rPr>
          <w:rFonts w:ascii="Times New Roman" w:hAnsi="Times New Roman" w:eastAsia="Times New Roman" w:cs="Times New Roman"/>
          <w:color w:val="000000" w:themeColor="text1"/>
        </w:rPr>
        <w:t xml:space="preserve">To examine the direct effects of intrinsic motivation, extrinsic motivation, and learner autonomy on academic performance. </w:t>
      </w:r>
      <w:r/>
    </w:p>
    <w:p w14:paraId="089F5A8B" w14:textId="77777777">
      <w:pPr>
        <w:pStyle w:val="1061"/>
        <w:pBdr/>
        <w:spacing w:after="120" w:before="120"/>
        <w:ind w:firstLine="720"/>
        <w:jc w:val="both"/>
        <w:rPr/>
      </w:pPr>
      <w:r>
        <w:rPr>
          <w:rFonts w:ascii="Times New Roman" w:hAnsi="Times New Roman" w:eastAsia="Times New Roman" w:cs="Times New Roman"/>
          <w:color w:val="000000" w:themeColor="text1"/>
        </w:rPr>
        <w:t xml:space="preserve">To test the mediating role of learner autonomy in the relationships between intrinsic motivation, extrinsic motivation, and academic performance. </w:t>
      </w:r>
      <w:r/>
    </w:p>
    <w:p w14:paraId="64613D31"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To explore students’ experiences of motivational change, autonomous learning practices, and responses to academic difficulties. </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01757192"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1.4. Research Questions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1192AFAE"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Three research questions organized the investigation:</w:t>
      </w:r>
      <w:r>
        <w:rPr>
          <w:rFonts w:ascii="Times New Roman" w:hAnsi="Times New Roman" w:cs="Times New Roman"/>
          <w:color w:val="000000" w:themeColor="text1"/>
        </w:rPr>
      </w:r>
      <w:r>
        <w:rPr>
          <w:rFonts w:ascii="Times New Roman" w:hAnsi="Times New Roman" w:cs="Times New Roman"/>
          <w:color w:val="000000" w:themeColor="text1"/>
        </w:rPr>
      </w:r>
    </w:p>
    <w:p w14:paraId="436A5E2F"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RQ1: What are the reported levels of intrinsic motivation, extrinsic motivation, learner autonomy, and academic performance among HUFLIT English-major students?</w:t>
      </w:r>
      <w:r/>
    </w:p>
    <w:p w14:paraId="62AC0A59"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RQ2: How do intrinsic motivation, extrinsic motivation, and learner autonomy relate to academic performance among HUFLIT English-major students?</w:t>
      </w:r>
      <w:r/>
    </w:p>
    <w:p w14:paraId="7D15F59C"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RQ3: To what extent does learner autonomy mediate the relationship between motivation and academic performance?</w:t>
      </w:r>
      <w:r>
        <w:rPr>
          <w:rFonts w:ascii="Times New Roman" w:hAnsi="Times New Roman" w:cs="Times New Roman"/>
          <w:color w:val="000000" w:themeColor="text1"/>
        </w:rPr>
      </w:r>
      <w:r>
        <w:rPr>
          <w:rFonts w:ascii="Times New Roman" w:hAnsi="Times New Roman" w:cs="Times New Roman"/>
          <w:color w:val="000000" w:themeColor="text1"/>
        </w:rPr>
      </w:r>
    </w:p>
    <w:p w14:paraId="4E7C567C"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1.5. Significance</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130EB3C8" w14:textId="77777777">
      <w:pPr>
        <w:pBdr/>
        <w:spacing w:after="120" w:line="240" w:lineRule="auto"/>
        <w:ind/>
        <w:rPr/>
      </w:pPr>
      <w:r>
        <w:rPr>
          <w:rFonts w:cs="Times New Roman"/>
          <w:color w:val="000000" w:themeColor="text1"/>
          <w:sz w:val="24"/>
          <w:szCs w:val="24"/>
        </w:rPr>
        <w:t xml:space="preserve">Theoretically, the study contributes to the literature in two respects: it extends Self-Deter</w:t>
      </w:r>
      <w:r>
        <w:rPr>
          <w:rFonts w:cs="Times New Roman"/>
          <w:color w:val="000000" w:themeColor="text1"/>
          <w:sz w:val="24"/>
          <w:szCs w:val="24"/>
        </w:rPr>
        <w:t xml:space="preserve">mination Theory and Self-Regulated Learning frameworks to a Vietnamese EFL context where they have been widely cited but rarely tested with simultaneous structural modeling and qualitative corroboration, and it responds to a documented methodological gap. </w:t>
      </w:r>
      <w:r/>
    </w:p>
    <w:p w14:paraId="3613C63D" w14:textId="77777777">
      <w:pPr>
        <w:pBdr/>
        <w:spacing w:after="120" w:line="240" w:lineRule="auto"/>
        <w:ind/>
        <w:rPr>
          <w:rFonts w:cs="Times New Roman"/>
          <w:sz w:val="24"/>
          <w:szCs w:val="24"/>
        </w:rPr>
      </w:pPr>
      <w:r>
        <w:rPr>
          <w:rFonts w:cs="Times New Roman"/>
          <w:color w:val="000000" w:themeColor="text1"/>
          <w:sz w:val="24"/>
          <w:szCs w:val="24"/>
        </w:rPr>
        <w:t xml:space="preserve">The practical significance of the study is grounded in a specific institutional need. HUFLIT requires English majors to complete substantial self-directed learning beyond timetabled hours and to meet external certification benchmar</w:t>
      </w:r>
      <w:r>
        <w:rPr>
          <w:rFonts w:cs="Times New Roman"/>
          <w:color w:val="000000" w:themeColor="text1"/>
          <w:sz w:val="24"/>
          <w:szCs w:val="24"/>
        </w:rPr>
        <w:t xml:space="preserve">ks, including IELTS 7.0 or TOEIC 780, for graduation. Despite these structural expectations, the university has lacked an evidence base identifying which motivational conditions most effectively produce autonomous behaviour and improved academic outcomes.</w:t>
      </w:r>
      <w:r>
        <w:rPr>
          <w:rFonts w:cs="Times New Roman"/>
          <w:color w:val="000000" w:themeColor="text1"/>
          <w:sz w:val="24"/>
          <w:szCs w:val="24"/>
        </w:rPr>
        <w:t xml:space="preserve">T</w:t>
      </w:r>
      <w:r>
        <w:rPr>
          <w:rFonts w:cs="Times New Roman"/>
          <w:color w:val="000000" w:themeColor="text1"/>
          <w:sz w:val="24"/>
          <w:szCs w:val="24"/>
        </w:rPr>
        <w:t xml:space="preserve">he findings supply this evidence by establishing that intrinsic motivation drives learner autonomy at more than twice the strength of extrinsic motivation and that autonomy is itself the strongest direct predictor of performance. These results carry action</w:t>
      </w:r>
      <w:r>
        <w:rPr>
          <w:rFonts w:cs="Times New Roman"/>
          <w:color w:val="000000" w:themeColor="text1"/>
          <w:sz w:val="24"/>
          <w:szCs w:val="24"/>
        </w:rPr>
        <w:t xml:space="preserve">able implications for HUFLIT: investment in autonomy-supportive teaching, curriculum structures that scaffold self-directed learning, and institutional acknowledgment of informal digital immersion are empirically warranted, not aspirational.</w:t>
      </w:r>
      <w:r>
        <w:rPr>
          <w:rFonts w:cs="Times New Roman"/>
          <w:sz w:val="24"/>
          <w:szCs w:val="24"/>
        </w:rPr>
      </w:r>
      <w:r>
        <w:rPr>
          <w:rFonts w:cs="Times New Roman"/>
          <w:sz w:val="24"/>
          <w:szCs w:val="24"/>
        </w:rPr>
      </w:r>
    </w:p>
    <w:p w14:paraId="2FA8F00C" w14:textId="77777777">
      <w:pPr>
        <w:pBdr/>
        <w:spacing w:after="120" w:line="240" w:lineRule="auto"/>
        <w:ind/>
        <w:rPr>
          <w:rFonts w:cs="Times New Roman"/>
          <w:sz w:val="24"/>
          <w:szCs w:val="24"/>
        </w:rPr>
      </w:pPr>
      <w:r>
        <w:rPr>
          <w:rFonts w:cs="Times New Roman"/>
          <w:sz w:val="24"/>
          <w:szCs w:val="24"/>
        </w:rPr>
      </w:r>
      <w:r>
        <w:rPr>
          <w:rFonts w:cs="Times New Roman"/>
          <w:sz w:val="24"/>
          <w:szCs w:val="24"/>
        </w:rPr>
      </w:r>
      <w:r>
        <w:rPr>
          <w:rFonts w:cs="Times New Roman"/>
          <w:sz w:val="24"/>
          <w:szCs w:val="24"/>
        </w:rPr>
      </w:r>
    </w:p>
    <w:p w14:paraId="7F0DC6AF" w14:textId="77777777">
      <w:pPr>
        <w:pStyle w:val="1039"/>
        <w:pBdr/>
        <w:spacing w:after="120" w:before="120" w:line="240" w:lineRule="auto"/>
        <w:ind/>
        <w:rPr>
          <w:rFonts w:cs="Times New Roman"/>
          <w:sz w:val="24"/>
          <w:szCs w:val="24"/>
        </w:rPr>
      </w:pPr>
      <w:r>
        <w:rPr>
          <w:rFonts w:cs="Times New Roman"/>
          <w:sz w:val="24"/>
          <w:szCs w:val="24"/>
        </w:rPr>
        <w:t xml:space="preserve">2. Literature Review</w:t>
      </w:r>
      <w:r>
        <w:rPr>
          <w:rFonts w:cs="Times New Roman"/>
          <w:sz w:val="24"/>
          <w:szCs w:val="24"/>
        </w:rPr>
      </w:r>
      <w:r>
        <w:rPr>
          <w:rFonts w:cs="Times New Roman"/>
          <w:sz w:val="24"/>
          <w:szCs w:val="24"/>
        </w:rPr>
      </w:r>
    </w:p>
    <w:p w14:paraId="4E8C2EF8"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2.1. Theoretical Framework</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3866BC48">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t xml:space="preserve">H</w:t>
      </w:r>
      <w:r>
        <w:rPr>
          <w:rFonts w:ascii="Times New Roman" w:hAnsi="Times New Roman" w:eastAsia="Times New Roman" w:cs="Times New Roman"/>
          <w:color w:val="000000" w:themeColor="text1"/>
          <w:highlight w:val="none"/>
        </w:rPr>
        <w:t xml:space="preserve">ow academic outcomes come to be shaped by motivation is a question that cannot be adequately addressed through a simple listing of variables; what is required instead is an account of the psychological mechanisms by which a learner's drive is converted int</w:t>
      </w:r>
      <w:r>
        <w:rPr>
          <w:rFonts w:ascii="Times New Roman" w:hAnsi="Times New Roman" w:eastAsia="Times New Roman" w:cs="Times New Roman"/>
          <w:color w:val="000000" w:themeColor="text1"/>
          <w:highlight w:val="none"/>
        </w:rPr>
        <w:t xml:space="preserve">o</w:t>
      </w:r>
      <w:r>
        <w:rPr>
          <w:rFonts w:ascii="Times New Roman" w:hAnsi="Times New Roman" w:eastAsia="Times New Roman" w:cs="Times New Roman"/>
          <w:color w:val="000000" w:themeColor="text1"/>
          <w:highlight w:val="none"/>
        </w:rPr>
        <w:t xml:space="preserve"> the kind of sustained effort that produces measurable achievement. This investigation has been structured around two principal theoretical traditions. Self-Determination Theory (SDT) has been drawn upon to explain where motivation originates and under wha</w:t>
      </w:r>
      <w:r>
        <w:rPr>
          <w:rFonts w:ascii="Times New Roman" w:hAnsi="Times New Roman" w:eastAsia="Times New Roman" w:cs="Times New Roman"/>
          <w:color w:val="000000" w:themeColor="text1"/>
          <w:highlight w:val="none"/>
        </w:rPr>
        <w:t xml:space="preserve">t</w:t>
      </w:r>
      <w:r>
        <w:rPr>
          <w:rFonts w:ascii="Times New Roman" w:hAnsi="Times New Roman" w:eastAsia="Times New Roman" w:cs="Times New Roman"/>
          <w:color w:val="000000" w:themeColor="text1"/>
          <w:highlight w:val="none"/>
        </w:rPr>
        <w:t xml:space="preserve"> conditions it becomes internalized, while Self-Regulated Learning (SRL) theory has been employed to describe the behavioural processes through which motivation is translated into academic attainment. Where the specific circumstances of Vietnamese EFL educ</w:t>
      </w:r>
      <w:r>
        <w:rPr>
          <w:rFonts w:ascii="Times New Roman" w:hAnsi="Times New Roman" w:eastAsia="Times New Roman" w:cs="Times New Roman"/>
          <w:color w:val="000000" w:themeColor="text1"/>
          <w:highlight w:val="none"/>
        </w:rPr>
        <w:t xml:space="preserve">ation raise questions that are not fully addressed by these two frameworks alone, Expectancy-Value Theory and Goal Orientation Theory have been used to supplement the analysis.</w:t>
      </w:r>
      <w:r>
        <w:rPr>
          <w:rFonts w:ascii="Times New Roman" w:hAnsi="Times New Roman" w:cs="Times New Roman"/>
          <w:color w:val="000000" w:themeColor="text1"/>
        </w:rPr>
      </w:r>
      <w:r>
        <w:rPr>
          <w:rFonts w:ascii="Times New Roman" w:hAnsi="Times New Roman" w:cs="Times New Roman"/>
          <w:color w:val="000000" w:themeColor="text1"/>
        </w:rPr>
      </w:r>
    </w:p>
    <w:p w14:paraId="6621487E" w14:textId="77777777">
      <w:pPr>
        <w:pStyle w:val="1012"/>
        <w:pBdr/>
        <w:spacing w:after="120"/>
        <w:ind/>
        <w:rPr>
          <w:rFonts w:cs="Times New Roman"/>
          <w:b/>
          <w:i w:val="0"/>
          <w:color w:val="000000" w:themeColor="text1"/>
          <w:sz w:val="24"/>
          <w:szCs w:val="24"/>
        </w:rPr>
      </w:pPr>
      <w:r>
        <w:rPr>
          <w:rFonts w:cs="Times New Roman"/>
          <w:b/>
          <w:bCs/>
          <w:i w:val="0"/>
          <w:iCs w:val="0"/>
          <w:color w:val="000000" w:themeColor="text1"/>
          <w:sz w:val="24"/>
          <w:szCs w:val="24"/>
        </w:rPr>
        <w:t xml:space="preserve">Figure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Figure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1</w:t>
      </w:r>
      <w:r>
        <w:rPr>
          <w:rFonts w:cs="Times New Roman"/>
          <w:b/>
          <w:bCs/>
          <w:i w:val="0"/>
          <w:iCs w:val="0"/>
          <w:color w:val="000000" w:themeColor="text1"/>
          <w:sz w:val="24"/>
          <w:szCs w:val="24"/>
        </w:rPr>
        <w:fldChar w:fldCharType="end"/>
      </w:r>
      <w:r>
        <w:rPr>
          <w:rFonts w:cs="Times New Roman"/>
          <w:b/>
          <w:bCs/>
          <w:i w:val="0"/>
          <w:iCs w:val="0"/>
          <w:color w:val="000000" w:themeColor="text1"/>
          <w:sz w:val="24"/>
          <w:szCs w:val="24"/>
        </w:rPr>
        <w:t xml:space="preserve"> </w:t>
      </w:r>
      <w:r>
        <w:rPr>
          <w:rFonts w:cs="Times New Roman"/>
          <w:b/>
          <w:i w:val="0"/>
          <w:color w:val="000000" w:themeColor="text1"/>
          <w:sz w:val="24"/>
          <w:szCs w:val="24"/>
        </w:rPr>
      </w:r>
      <w:r>
        <w:rPr>
          <w:rFonts w:cs="Times New Roman"/>
          <w:b/>
          <w:i w:val="0"/>
          <w:color w:val="000000" w:themeColor="text1"/>
          <w:sz w:val="24"/>
          <w:szCs w:val="24"/>
        </w:rPr>
      </w:r>
    </w:p>
    <w:p w14:paraId="25E6F7FF" w14:textId="77777777">
      <w:pPr>
        <w:pStyle w:val="1012"/>
        <w:pBdr/>
        <w:spacing w:after="120"/>
        <w:ind/>
        <w:rPr>
          <w:rFonts w:cs="Times New Roman"/>
          <w:b/>
          <w:i w:val="0"/>
          <w:color w:val="000000" w:themeColor="text1"/>
          <w:sz w:val="24"/>
          <w:szCs w:val="24"/>
        </w:rPr>
      </w:pPr>
      <w:r>
        <w:rPr>
          <w:rFonts w:cs="Times New Roman"/>
          <w:color w:val="000000" w:themeColor="text1"/>
          <w:sz w:val="24"/>
          <w:szCs w:val="24"/>
        </w:rPr>
        <w:t xml:space="preserve">Cyclic Phase Model of SRL (Zimmerman, 2002) </w:t>
      </w:r>
      <w:r>
        <w:rPr>
          <w:rFonts w:cs="Times New Roman"/>
          <w:b/>
          <w:i w:val="0"/>
          <w:color w:val="000000" w:themeColor="text1"/>
          <w:sz w:val="24"/>
          <w:szCs w:val="24"/>
        </w:rPr>
      </w:r>
      <w:r>
        <w:rPr>
          <w:rFonts w:cs="Times New Roman"/>
          <w:b/>
          <w:i w:val="0"/>
          <w:color w:val="000000" w:themeColor="text1"/>
          <w:sz w:val="24"/>
          <w:szCs w:val="24"/>
        </w:rPr>
      </w:r>
    </w:p>
    <w:p w14:paraId="28C4AC88" w14:textId="77777777">
      <w:pPr>
        <w:pStyle w:val="1062"/>
        <w:pBdr/>
        <w:spacing w:before="120"/>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224124" cy="2156070"/>
                <wp:effectExtent l="4762" t="4762" r="4762" b="4762"/>
                <wp:docPr id="1" name="Pictur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00878" name="Picture" descr="/home/chilly/Work/DoAn2/TESOL/Image/Picture.png"/>
                        <pic:cNvPicPr>
                          <a:picLocks noChangeAspect="1"/>
                        </pic:cNvPicPr>
                        <pic:nvPr/>
                      </pic:nvPicPr>
                      <pic:blipFill rotWithShape="1">
                        <a:blip r:embed="rId11"/>
                        <a:stretch/>
                      </pic:blipFill>
                      <pic:spPr bwMode="auto">
                        <a:xfrm flipH="0" flipV="0">
                          <a:off x="0" y="0"/>
                          <a:ext cx="3224124" cy="2156069"/>
                        </a:xfrm>
                        <a:prstGeom prst="rect">
                          <a:avLst/>
                        </a:prstGeom>
                        <a:noFill/>
                        <a:ln w="9525">
                          <a:noFill/>
                          <a:headEnd/>
                          <a:tailE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53.87pt;height:169.77pt;mso-wrap-distance-left:0.00pt;mso-wrap-distance-top:0.00pt;mso-wrap-distance-right:0.00pt;mso-wrap-distance-bottom:0.00pt;z-index:1;" stroked="f" strokeweight="0.75pt">
                <v:imagedata r:id="rId1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55CF70A9">
      <w:pPr>
        <w:pStyle w:val="1060"/>
        <w:pBdr/>
        <w:spacing w:after="120" w:before="120"/>
        <w:ind w:firstLine="720"/>
        <w:jc w:val="both"/>
        <w:rPr/>
      </w:pPr>
      <w:r>
        <w:rPr>
          <w:rFonts w:ascii="Times New Roman" w:hAnsi="Times New Roman" w:cs="Times New Roman"/>
          <w:color w:val="000000" w:themeColor="text1"/>
        </w:rPr>
        <w:t xml:space="preserve">T</w:t>
      </w:r>
      <w:r>
        <w:rPr>
          <w:rFonts w:ascii="Times New Roman" w:hAnsi="Times New Roman" w:cs="Times New Roman"/>
          <w:color w:val="000000" w:themeColor="text1"/>
        </w:rPr>
        <w:t xml:space="preserve">he self-regulatory process was characterized by Zimmerman (2002) as a cycle composed of three distinct phases, each of which feeds into the next and is characterized by its own set of cognitive activities. During the forethought phase, goals are establishe</w:t>
      </w:r>
      <w:r>
        <w:rPr>
          <w:rFonts w:ascii="Times New Roman" w:hAnsi="Times New Roman" w:cs="Times New Roman"/>
          <w:color w:val="000000" w:themeColor="text1"/>
        </w:rPr>
        <w:t xml:space="preserve">d</w:t>
      </w:r>
      <w:r>
        <w:rPr>
          <w:rFonts w:ascii="Times New Roman" w:hAnsi="Times New Roman" w:cs="Times New Roman"/>
          <w:color w:val="000000" w:themeColor="text1"/>
        </w:rPr>
        <w:t xml:space="preserve"> by learners and strategies are selected on the basis of what is judged to be most appropriate for the task at hand. In the performance phase, the execution of those strategies is monitored against the goals that were set, and cognitive and metacognitive t</w:t>
      </w:r>
      <w:r>
        <w:rPr>
          <w:rFonts w:ascii="Times New Roman" w:hAnsi="Times New Roman" w:cs="Times New Roman"/>
          <w:color w:val="000000" w:themeColor="text1"/>
        </w:rPr>
        <w:t xml:space="preserve">e</w:t>
      </w:r>
      <w:r>
        <w:rPr>
          <w:rFonts w:ascii="Times New Roman" w:hAnsi="Times New Roman" w:cs="Times New Roman"/>
          <w:color w:val="000000" w:themeColor="text1"/>
        </w:rPr>
        <w:t xml:space="preserve">chniques are deployed as circumstances require. The self-reflection phase is where outcomes are evaluated and inefficiencies are identified, after which the cycle is repeated. What is emphasized by this model, in contrast to more passive conceptions of lea</w:t>
      </w:r>
      <w:r>
        <w:rPr>
          <w:rFonts w:ascii="Times New Roman" w:hAnsi="Times New Roman" w:cs="Times New Roman"/>
          <w:color w:val="000000" w:themeColor="text1"/>
        </w:rPr>
        <w:t xml:space="preserve">r</w:t>
      </w:r>
      <w:r>
        <w:rPr>
          <w:rFonts w:ascii="Times New Roman" w:hAnsi="Times New Roman" w:cs="Times New Roman"/>
          <w:color w:val="000000" w:themeColor="text1"/>
        </w:rPr>
        <w:t xml:space="preserve">ning, is the position of the learner as an active agent who continuously calibrates their effort in response to the feedback generated by their own monitoring activities. It has been confirmed by Sinkkonen and Tapani (2024) that this cyclical framework con</w:t>
      </w:r>
      <w:r>
        <w:rPr>
          <w:rFonts w:ascii="Times New Roman" w:hAnsi="Times New Roman" w:cs="Times New Roman"/>
          <w:color w:val="000000" w:themeColor="text1"/>
        </w:rPr>
        <w:t xml:space="preserve">t</w:t>
      </w:r>
      <w:r>
        <w:rPr>
          <w:rFonts w:ascii="Times New Roman" w:hAnsi="Times New Roman" w:cs="Times New Roman"/>
          <w:color w:val="000000" w:themeColor="text1"/>
        </w:rPr>
        <w:t xml:space="preserve">inues to occupy a central position in SRL research conducted within higher education settings. It was also noted by these authors that digital learning environments have introduced challenges for which the original model was not designed, including the nee</w:t>
      </w:r>
      <w:r>
        <w:rPr>
          <w:rFonts w:ascii="Times New Roman" w:hAnsi="Times New Roman" w:cs="Times New Roman"/>
          <w:color w:val="000000" w:themeColor="text1"/>
        </w:rPr>
        <w:t xml:space="preserve">d to manage online resources, navigate content that is shaped by algorithmic curation, and maintain concentration in contexts that have been engineered to compete for attention.</w:t>
      </w:r>
      <w:r>
        <w:rPr>
          <w:rFonts w:ascii="Times New Roman" w:hAnsi="Times New Roman" w:cs="Times New Roman"/>
          <w:color w:val="000000" w:themeColor="text1"/>
        </w:rPr>
      </w:r>
      <w:r/>
    </w:p>
    <w:p w14:paraId="5720A2E5">
      <w:pPr>
        <w:pStyle w:val="1060"/>
        <w:pBdr/>
        <w:spacing w:after="120" w:before="120"/>
        <w:ind w:firstLine="720"/>
        <w:jc w:val="both"/>
        <w:rPr>
          <w:rFonts w:ascii="Times New Roman" w:hAnsi="Times New Roman" w:cs="Times New Roman"/>
          <w:color w:val="000000" w:themeColor="text1"/>
          <w:highlight w:val="none"/>
        </w:rPr>
      </w:pPr>
      <w:r>
        <w:rPr>
          <w:rFonts w:ascii="Times New Roman" w:hAnsi="Times New Roman" w:cs="Times New Roman"/>
          <w:color w:val="000000" w:themeColor="text1"/>
        </w:rPr>
        <w:t xml:space="preserve">T</w:t>
      </w:r>
      <w:r>
        <w:rPr>
          <w:rFonts w:ascii="Times New Roman" w:hAnsi="Times New Roman" w:cs="Times New Roman"/>
          <w:color w:val="000000" w:themeColor="text1"/>
        </w:rPr>
        <w:t xml:space="preserve">he relevance of self-regulation to language learning has been difficult to overstate in the literature, given the manner in which proficiency tends to accumulate. Because language development proceeds slowly and unevenly, and because the demands of differe</w:t>
      </w:r>
      <w:r>
        <w:rPr>
          <w:rFonts w:ascii="Times New Roman" w:hAnsi="Times New Roman" w:cs="Times New Roman"/>
          <w:color w:val="000000" w:themeColor="text1"/>
        </w:rPr>
        <w:t xml:space="preserve">n</w:t>
      </w:r>
      <w:r>
        <w:rPr>
          <w:rFonts w:ascii="Times New Roman" w:hAnsi="Times New Roman" w:cs="Times New Roman"/>
          <w:color w:val="000000" w:themeColor="text1"/>
        </w:rPr>
        <w:t xml:space="preserve">t tasks can vary considerably, sustained engagement over extended periods is required of learners, along with a capacity to adjust their strategies as those demands shift (Wenden, 1998). Students who make habitual use of metacognitive strategies, maintain </w:t>
      </w:r>
      <w:r>
        <w:rPr>
          <w:rFonts w:ascii="Times New Roman" w:hAnsi="Times New Roman" w:cs="Times New Roman"/>
          <w:color w:val="000000" w:themeColor="text1"/>
        </w:rPr>
        <w:t xml:space="preserve">a</w:t>
      </w:r>
      <w:r>
        <w:rPr>
          <w:rFonts w:ascii="Times New Roman" w:hAnsi="Times New Roman" w:cs="Times New Roman"/>
          <w:color w:val="000000" w:themeColor="text1"/>
        </w:rPr>
        <w:t xml:space="preserve"> robust sense of efficacy, and engage in the systematic tracking of their own progress have been found to outperform those who depend on surface-level study routines (Pintrich &amp; De Groot, 1990; Zimmerman &amp; Kitsantas, 2014). Within formal education, self-re</w:t>
      </w:r>
      <w:r>
        <w:rPr>
          <w:rFonts w:ascii="Times New Roman" w:hAnsi="Times New Roman" w:cs="Times New Roman"/>
          <w:color w:val="000000" w:themeColor="text1"/>
        </w:rPr>
        <w:t xml:space="preserve">g</w:t>
      </w:r>
      <w:r>
        <w:rPr>
          <w:rFonts w:ascii="Times New Roman" w:hAnsi="Times New Roman" w:cs="Times New Roman"/>
          <w:color w:val="000000" w:themeColor="text1"/>
        </w:rPr>
        <w:t xml:space="preserve">ulation has been conceptualized as something more than a study skill; it has been positioned as a foundational mechanism through which autonomous capacity is developed, by which learners are furnished with the metacognitive infrastructure needed to direct </w:t>
      </w:r>
      <w:r>
        <w:rPr>
          <w:rFonts w:ascii="Times New Roman" w:hAnsi="Times New Roman" w:cs="Times New Roman"/>
          <w:color w:val="000000" w:themeColor="text1"/>
        </w:rPr>
        <w:t xml:space="preserve">their own progress without ongoing teacher supervision (Nakata, 2014).</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0A1C867A">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Figure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Figure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2</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7086C028">
      <w:pPr>
        <w:pStyle w:val="1012"/>
        <w:pBdr/>
        <w:spacing w:after="120"/>
        <w:ind/>
        <w:rPr>
          <w:rFonts w:cs="Times New Roman"/>
          <w:color w:val="000000" w:themeColor="text1"/>
          <w:sz w:val="24"/>
          <w:szCs w:val="24"/>
        </w:rPr>
      </w:pPr>
      <w:r>
        <w:rPr>
          <w:rFonts w:cs="Times New Roman"/>
          <w:color w:val="000000" w:themeColor="text1"/>
          <w:sz w:val="24"/>
          <w:szCs w:val="24"/>
        </w:rPr>
        <w:t xml:space="preserve">Motivation types, regulatory styles, and perceived locus of causality </w:t>
      </w:r>
      <w:r>
        <w:rPr>
          <w:rFonts w:cs="Times New Roman"/>
          <w:color w:val="000000" w:themeColor="text1"/>
          <w:sz w:val="24"/>
          <w:szCs w:val="24"/>
        </w:rPr>
      </w:r>
      <w:r>
        <w:rPr>
          <w:rFonts w:cs="Times New Roman"/>
          <w:color w:val="000000" w:themeColor="text1"/>
          <w:sz w:val="24"/>
          <w:szCs w:val="24"/>
        </w:rPr>
      </w:r>
    </w:p>
    <w:p w14:paraId="7B78A803">
      <w:pPr>
        <w:pStyle w:val="1060"/>
        <w:pBdr/>
        <w:spacing w:after="120" w:before="120"/>
        <w:ind/>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120E9333">
      <w:pPr>
        <w:pStyle w:val="1060"/>
        <w:pBdr/>
        <w:spacing w:after="120" w:before="120"/>
        <w:ind/>
        <w:jc w:val="center"/>
        <w:rPr/>
      </w:pPr>
      <w:r>
        <mc:AlternateContent>
          <mc:Choice Requires="wpg">
            <w:drawing>
              <wp:inline xmlns:wp="http://schemas.openxmlformats.org/drawingml/2006/wordprocessingDrawing" distT="0" distB="0" distL="0" distR="0">
                <wp:extent cx="5310652" cy="21562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79486" name=""/>
                        <pic:cNvPicPr>
                          <a:picLocks noChangeAspect="1"/>
                        </pic:cNvPicPr>
                        <pic:nvPr/>
                      </pic:nvPicPr>
                      <pic:blipFill rotWithShape="1">
                        <a:blip r:embed="rId12"/>
                        <a:srcRect l="0" t="16966" r="0" b="26158"/>
                        <a:stretch/>
                      </pic:blipFill>
                      <pic:spPr bwMode="auto">
                        <a:xfrm>
                          <a:off x="0" y="0"/>
                          <a:ext cx="5310651" cy="21562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18.16pt;height:169.78pt;mso-wrap-distance-left:0.00pt;mso-wrap-distance-top:0.00pt;mso-wrap-distance-right:0.00pt;mso-wrap-distance-bottom:0.00pt;z-index:1;" stroked="false">
                <v:imagedata r:id="rId12" o:title="" croptop="11119f" cropleft="0f" cropbottom="17143f" cropright="0f"/>
                <o:lock v:ext="edit" rotation="t"/>
              </v:shape>
            </w:pict>
          </mc:Fallback>
        </mc:AlternateContent>
      </w:r>
      <w:r>
        <w:rPr>
          <w:rFonts w:ascii="Times New Roman" w:hAnsi="Times New Roman" w:cs="Times New Roman"/>
          <w:color w:val="000000" w:themeColor="text1"/>
          <w:highlight w:val="none"/>
        </w:rPr>
      </w:r>
      <w:r/>
    </w:p>
    <w:p w14:paraId="048311AD">
      <w:pPr>
        <w:pStyle w:val="1060"/>
        <w:pBdr/>
        <w:spacing w:after="120" w:before="120"/>
        <w:ind w:firstLine="720"/>
        <w:jc w:val="both"/>
        <w:rPr/>
      </w:pPr>
      <w:r>
        <w:rPr>
          <w:rFonts w:ascii="Times New Roman" w:hAnsi="Times New Roman" w:eastAsia="Times New Roman" w:cs="Times New Roman"/>
          <w:color w:val="000000" w:themeColor="text1"/>
        </w:rPr>
        <w:t xml:space="preserve">A</w:t>
      </w:r>
      <w:r>
        <w:rPr>
          <w:rFonts w:ascii="Times New Roman" w:hAnsi="Times New Roman" w:eastAsia="Times New Roman" w:cs="Times New Roman"/>
          <w:color w:val="000000" w:themeColor="text1"/>
        </w:rPr>
        <w:t xml:space="preserve"> distinction that has become central to the study of academic motivation was drawn by Deci and Ryan (2000) between behaviour that is undertaken for the inherent satisfaction it provides, which was classified as intrinsically motivated, and behaviour that i</w:t>
      </w:r>
      <w:r>
        <w:rPr>
          <w:rFonts w:ascii="Times New Roman" w:hAnsi="Times New Roman" w:eastAsia="Times New Roman" w:cs="Times New Roman"/>
          <w:color w:val="000000" w:themeColor="text1"/>
        </w:rPr>
        <w:t xml:space="preserve">s</w:t>
      </w:r>
      <w:r>
        <w:rPr>
          <w:rFonts w:ascii="Times New Roman" w:hAnsi="Times New Roman" w:eastAsia="Times New Roman" w:cs="Times New Roman"/>
          <w:color w:val="000000" w:themeColor="text1"/>
        </w:rPr>
        <w:t xml:space="preserve"> driven by outcomes separable from the activity itself, such as grades, credentials, or social recognition, which was classified as extrinsically motivated. The value of SDT for the present investigation, however, lies less in this binary distinction than </w:t>
      </w: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n how externally regulated behaviour has been mapped by the theory along a continuum of internalization. At one end of this continuum, external regulation refers to behaviour that is maintained through the administration of rewards or the avoidance of puni</w:t>
      </w:r>
      <w:r>
        <w:rPr>
          <w:rFonts w:ascii="Times New Roman" w:hAnsi="Times New Roman" w:eastAsia="Times New Roman" w:cs="Times New Roman"/>
          <w:color w:val="000000" w:themeColor="text1"/>
        </w:rPr>
        <w:t xml:space="preserve">s</w:t>
      </w:r>
      <w:r>
        <w:rPr>
          <w:rFonts w:ascii="Times New Roman" w:hAnsi="Times New Roman" w:eastAsia="Times New Roman" w:cs="Times New Roman"/>
          <w:color w:val="000000" w:themeColor="text1"/>
        </w:rPr>
        <w:t xml:space="preserve">hment. Further along, introjected regulation has been characterized as involving internal pressure that is rooted in guilt or self-esteem. Identified regulation is said to emerge when a person has come to consciously value an activity as personally importa</w:t>
      </w:r>
      <w:r>
        <w:rPr>
          <w:rFonts w:ascii="Times New Roman" w:hAnsi="Times New Roman" w:eastAsia="Times New Roman" w:cs="Times New Roman"/>
          <w:color w:val="000000" w:themeColor="text1"/>
        </w:rPr>
        <w:t xml:space="preserve">n</w:t>
      </w:r>
      <w:r>
        <w:rPr>
          <w:rFonts w:ascii="Times New Roman" w:hAnsi="Times New Roman" w:eastAsia="Times New Roman" w:cs="Times New Roman"/>
          <w:color w:val="000000" w:themeColor="text1"/>
        </w:rPr>
        <w:t xml:space="preserve">t, and integrated regulation — positioned as the most autonomous form of extrinsic motivation — is understood to occur when externally originating values have been fully assimilated into the self, so that the behaviour in question is experienced as self-de</w:t>
      </w:r>
      <w:r>
        <w:rPr>
          <w:rFonts w:ascii="Times New Roman" w:hAnsi="Times New Roman" w:eastAsia="Times New Roman" w:cs="Times New Roman"/>
          <w:color w:val="000000" w:themeColor="text1"/>
        </w:rPr>
        <w:t xml:space="preserve">t</w:t>
      </w:r>
      <w:r>
        <w:rPr>
          <w:rFonts w:ascii="Times New Roman" w:hAnsi="Times New Roman" w:eastAsia="Times New Roman" w:cs="Times New Roman"/>
          <w:color w:val="000000" w:themeColor="text1"/>
        </w:rPr>
        <w:t xml:space="preserve">ermined rather than externally imposed. The same activity, whether it involves preparing for an examination or completing a course assignment, can be powered by any of these regulatory processes, and the psychological outcomes associated with each have bee</w:t>
      </w:r>
      <w:r>
        <w:rPr>
          <w:rFonts w:ascii="Times New Roman" w:hAnsi="Times New Roman" w:eastAsia="Times New Roman" w:cs="Times New Roman"/>
          <w:color w:val="000000" w:themeColor="text1"/>
        </w:rPr>
        <w:t xml:space="preserve">n shown to differ considerably.</w:t>
      </w:r>
      <w:r/>
    </w:p>
    <w:p w14:paraId="0AB6D13C">
      <w:pPr>
        <w:pStyle w:val="1060"/>
        <w:pBdr/>
        <w:spacing w:after="120" w:before="120"/>
        <w:ind w:firstLine="720"/>
        <w:jc w:val="both"/>
        <w:rPr/>
      </w:pPr>
      <w:r>
        <w:rPr>
          <w:rFonts w:ascii="Times New Roman" w:hAnsi="Times New Roman" w:eastAsia="Times New Roman" w:cs="Times New Roman"/>
          <w:color w:val="000000" w:themeColor="text1"/>
        </w:rPr>
      </w:r>
      <w:r/>
    </w:p>
    <w:p w14:paraId="7924C6EE">
      <w:pPr>
        <w:pStyle w:val="1060"/>
        <w:pBdr/>
        <w:spacing w:after="120" w:before="120"/>
        <w:ind w:firstLine="720"/>
        <w:jc w:val="both"/>
        <w:rPr/>
      </w:pPr>
      <w:r>
        <w:rPr>
          <w:rFonts w:ascii="Times New Roman" w:hAnsi="Times New Roman" w:eastAsia="Times New Roman" w:cs="Times New Roman"/>
          <w:color w:val="000000" w:themeColor="text1"/>
        </w:rPr>
        <w:t xml:space="preserve">The co</w:t>
      </w:r>
      <w:r>
        <w:rPr>
          <w:rFonts w:ascii="Times New Roman" w:hAnsi="Times New Roman" w:eastAsia="Times New Roman" w:cs="Times New Roman"/>
          <w:color w:val="000000" w:themeColor="text1"/>
        </w:rPr>
        <w:t xml:space="preserve">nditions under which internalization occurs have been specified by SDT with reference to three basic psychological needs such as autonomy, competence, and relatedness, which are understood to function as catalysts when they are satisfied (Deci &amp; Ryan, 2000</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t xml:space="preserve">. The available evidence has been broadly consistent with this proposition. Among L2 learners, intrinsic motivation and identified regulation have been found to be predictive of effort, persistence, and actual achievement (Noels et al., 2000). Sustained ga</w:t>
      </w: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ns in both engagement and academic performance have been observed when autonomy-supportive teaching practices are implemented (Reeve &amp; Jang, 2006). Similar findings have been reported across a range of foreign language contexts (Dornyei &amp; Csizer, 2012), an</w:t>
      </w:r>
      <w:r>
        <w:rPr>
          <w:rFonts w:ascii="Times New Roman" w:hAnsi="Times New Roman" w:eastAsia="Times New Roman" w:cs="Times New Roman"/>
          <w:color w:val="000000" w:themeColor="text1"/>
        </w:rPr>
        <w:t xml:space="preserve">d positive associations between perceived classroom autonomy and intrinsic goal orientation, task value, and self-efficacy have been identified among college students (Garcia &amp; Pintrich, 1996).</w:t>
      </w:r>
      <w:r>
        <w:rPr>
          <w:rFonts w:ascii="Times New Roman" w:hAnsi="Times New Roman" w:eastAsia="Times New Roman" w:cs="Times New Roman"/>
          <w:color w:val="000000" w:themeColor="text1"/>
        </w:rPr>
      </w:r>
      <w:r/>
    </w:p>
    <w:p w14:paraId="0D2850C5"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w:t>
      </w:r>
      <w:r>
        <w:rPr>
          <w:rFonts w:ascii="Times New Roman" w:hAnsi="Times New Roman" w:eastAsia="Times New Roman" w:cs="Times New Roman"/>
          <w:color w:val="000000" w:themeColor="text1"/>
        </w:rPr>
        <w:t xml:space="preserve">wo additional theoretical perspectives have been used to connect these frameworks to the Vietnamese higher education context within which the present study was conducted. According to Expectancy-Value Theory (EVT), academic behaviour is shaped by students'</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expectations regarding their likelihood of success and the value that is attached by them to the task in question (Eccles &amp; Wigfield, 2020). This has been considered particularly relevant in settings where English proficiency has come to function as a gate</w:t>
      </w:r>
      <w:r>
        <w:rPr>
          <w:rFonts w:ascii="Times New Roman" w:hAnsi="Times New Roman" w:eastAsia="Times New Roman" w:cs="Times New Roman"/>
          <w:color w:val="000000" w:themeColor="text1"/>
        </w:rPr>
        <w:t xml:space="preserve">w</w:t>
      </w:r>
      <w:r>
        <w:rPr>
          <w:rFonts w:ascii="Times New Roman" w:hAnsi="Times New Roman" w:eastAsia="Times New Roman" w:cs="Times New Roman"/>
          <w:color w:val="000000" w:themeColor="text1"/>
        </w:rPr>
        <w:t xml:space="preserve">ay to employment, family approval, and academic advancement (Truong, 2025). Goal Orientation Theory (GOT) has been used to distinguish between a mastery orientation, in which the development of competence is the primary objective, and a performance orienta</w:t>
      </w:r>
      <w:r>
        <w:rPr>
          <w:rFonts w:ascii="Times New Roman" w:hAnsi="Times New Roman" w:eastAsia="Times New Roman" w:cs="Times New Roman"/>
          <w:color w:val="000000" w:themeColor="text1"/>
        </w:rPr>
        <w:t xml:space="preserve">t</w:t>
      </w:r>
      <w:r>
        <w:rPr>
          <w:rFonts w:ascii="Times New Roman" w:hAnsi="Times New Roman" w:eastAsia="Times New Roman" w:cs="Times New Roman"/>
          <w:color w:val="000000" w:themeColor="text1"/>
        </w:rPr>
        <w:t xml:space="preserve">ion, in which the demonstration of ability relative to others is prioritized (Pintrich &amp; Schunk, 2002). Both perspectives have contributed to the interpretation of the data collected for this study, though neither has been assigned the central explanatory </w:t>
      </w:r>
      <w:r>
        <w:rPr>
          <w:rFonts w:ascii="Times New Roman" w:hAnsi="Times New Roman" w:eastAsia="Times New Roman" w:cs="Times New Roman"/>
          <w:color w:val="000000" w:themeColor="text1"/>
        </w:rPr>
        <w:t xml:space="preserve">role that SDT and SRL occupy.</w:t>
      </w:r>
      <w:r>
        <w:rPr>
          <w:rFonts w:ascii="Times New Roman" w:hAnsi="Times New Roman" w:eastAsia="Times New Roman" w:cs="Times New Roman"/>
          <w:color w:val="000000" w:themeColor="text1"/>
        </w:rPr>
      </w:r>
      <w:r/>
    </w:p>
    <w:p w14:paraId="5EAF5567"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2.2. Prior Studies and Hypothesis Development</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076C4755" w14:textId="77777777">
      <w:pPr>
        <w:pStyle w:val="1061"/>
        <w:pBdr/>
        <w:spacing w:after="120" w:before="120"/>
        <w:ind w:firstLine="720"/>
        <w:jc w:val="both"/>
        <w:rPr/>
      </w:pPr>
      <w:r>
        <w:rPr>
          <w:rFonts w:ascii="Times New Roman" w:hAnsi="Times New Roman" w:eastAsia="Times New Roman" w:cs="Times New Roman"/>
          <w:color w:val="000000" w:themeColor="text1"/>
        </w:rPr>
        <w:t xml:space="preserve">The theoretical traditions reviewed in Section 2.1 converge on a central proposition: motivated learners who take ownership of their learning tend to achieve more. Yet transl</w:t>
      </w:r>
      <w:r>
        <w:rPr>
          <w:rFonts w:ascii="Times New Roman" w:hAnsi="Times New Roman" w:eastAsia="Times New Roman" w:cs="Times New Roman"/>
          <w:color w:val="000000" w:themeColor="text1"/>
        </w:rPr>
        <w:t xml:space="preserve">ating this general insight into a set of testable, directional predictions requires a closer look at what the empirical record actually says about each link in the chain. The evidence is not uniformly strong across all pathways, and some relationships rest</w:t>
      </w:r>
      <w:r>
        <w:rPr>
          <w:rFonts w:ascii="Times New Roman" w:hAnsi="Times New Roman" w:eastAsia="Times New Roman" w:cs="Times New Roman"/>
          <w:color w:val="000000" w:themeColor="text1"/>
        </w:rPr>
        <w:t xml:space="preserve"> on firmer ground than others. The pages that follow examine the seven relationships that together form the conceptual model tested in this study, moving from the most established connections to those for which the literature offers more qualified support.</w:t>
      </w:r>
      <w:r/>
    </w:p>
    <w:p w14:paraId="5FF94578" w14:textId="77777777">
      <w:pPr>
        <w:pStyle w:val="851"/>
        <w:pBdr/>
        <w:spacing w:after="120" w:before="120" w:line="240" w:lineRule="auto"/>
        <w:ind w:firstLine="0"/>
        <w:rPr>
          <w:bCs/>
          <w:i/>
          <w:sz w:val="24"/>
          <w:szCs w:val="24"/>
        </w:rPr>
      </w:pPr>
      <w:r>
        <w:rPr>
          <w:rFonts w:ascii="Times New Roman" w:hAnsi="Times New Roman" w:eastAsia="Times New Roman" w:cs="Times New Roman"/>
          <w:i/>
          <w:iCs/>
          <w:color w:val="000000" w:themeColor="text1"/>
          <w:sz w:val="24"/>
          <w:szCs w:val="24"/>
        </w:rPr>
        <w:t xml:space="preserve">2.2.1. Intrinsic Motivation and Academic Performance</w:t>
      </w:r>
      <w:r>
        <w:rPr>
          <w:bCs/>
          <w:i/>
          <w:sz w:val="24"/>
          <w:szCs w:val="24"/>
        </w:rPr>
      </w:r>
      <w:r>
        <w:rPr>
          <w:bCs/>
          <w:i/>
          <w:sz w:val="24"/>
          <w:szCs w:val="24"/>
        </w:rPr>
      </w:r>
    </w:p>
    <w:p w14:paraId="02AA9D07">
      <w:pPr>
        <w:pStyle w:val="1061"/>
        <w:pBdr/>
        <w:spacing w:after="120" w:before="120"/>
        <w:ind w:firstLine="720"/>
        <w:jc w:val="both"/>
        <w:rPr/>
      </w:pPr>
      <w:r>
        <w:rPr>
          <w:rFonts w:ascii="Times New Roman" w:hAnsi="Times New Roman" w:eastAsia="Times New Roman" w:cs="Times New Roman"/>
          <w:color w:val="000000" w:themeColor="text1"/>
          <w:highlight w:val="none"/>
        </w:rPr>
        <w:t xml:space="preserve">Documentation of the </w:t>
      </w:r>
      <w:r>
        <w:rPr>
          <w:rFonts w:ascii="Times New Roman" w:hAnsi="Times New Roman" w:eastAsia="Times New Roman" w:cs="Times New Roman"/>
          <w:color w:val="000000" w:themeColor="text1"/>
        </w:rPr>
        <w:t xml:space="preserve">positive effects of intrinsic motivation on educational outcomes </w:t>
      </w:r>
      <w:r>
        <w:rPr>
          <w:rFonts w:ascii="Times New Roman" w:hAnsi="Times New Roman" w:eastAsia="Times New Roman" w:cs="Times New Roman"/>
          <w:color w:val="000000" w:themeColor="text1"/>
          <w:highlight w:val="none"/>
        </w:rPr>
        <w:t xml:space="preserve">existed </w:t>
      </w:r>
      <w:r>
        <w:rPr>
          <w:rFonts w:ascii="Times New Roman" w:hAnsi="Times New Roman" w:eastAsia="Times New Roman" w:cs="Times New Roman"/>
          <w:color w:val="000000" w:themeColor="text1"/>
        </w:rPr>
        <w:t xml:space="preserve">across a wide range of settings and age groups. Students who engage with lea</w:t>
      </w:r>
      <w:r>
        <w:rPr>
          <w:rFonts w:ascii="Times New Roman" w:hAnsi="Times New Roman" w:eastAsia="Times New Roman" w:cs="Times New Roman"/>
          <w:color w:val="000000" w:themeColor="text1"/>
        </w:rPr>
        <w:t xml:space="preserve">rning material (in the context of English material) out of genuine interest, curiosity, and enjoyment tend to grasp the concept at greater depth, show </w:t>
      </w:r>
      <w:r>
        <w:rPr>
          <w:rFonts w:ascii="Times New Roman" w:hAnsi="Times New Roman" w:eastAsia="Times New Roman" w:cs="Times New Roman"/>
          <w:color w:val="000000" w:themeColor="text1"/>
        </w:rPr>
        <w:t xml:space="preserve">persistence</w:t>
      </w:r>
      <w:r>
        <w:rPr>
          <w:rFonts w:ascii="Times New Roman" w:hAnsi="Times New Roman" w:eastAsia="Times New Roman" w:cs="Times New Roman"/>
          <w:color w:val="000000" w:themeColor="text1"/>
        </w:rPr>
        <w:t xml:space="preserve"> when faced difficulty, and deploy more sophisticated cognitive and metacognitive strategies than those whose efforts are</w:t>
      </w:r>
      <w:r>
        <w:rPr>
          <w:rFonts w:ascii="Times New Roman" w:hAnsi="Times New Roman" w:eastAsia="Times New Roman" w:cs="Times New Roman"/>
          <w:color w:val="000000" w:themeColor="text1"/>
        </w:rPr>
        <w:t xml:space="preserve"> primari</w:t>
      </w:r>
      <w:r>
        <w:rPr>
          <w:rFonts w:ascii="Times New Roman" w:hAnsi="Times New Roman" w:eastAsia="Times New Roman" w:cs="Times New Roman"/>
          <w:color w:val="000000" w:themeColor="text1"/>
        </w:rPr>
        <w:t xml:space="preserve">ly for external goals (Deci &amp; Ryan, 2000). Early research in the classroom environment by Pintrich and De Groot (1990) showed that intrinsic value was among the strongest motivational predictors of achievement, operating partly through its influence on sel</w:t>
      </w:r>
      <w:r>
        <w:rPr>
          <w:rFonts w:ascii="Times New Roman" w:hAnsi="Times New Roman" w:eastAsia="Times New Roman" w:cs="Times New Roman"/>
          <w:color w:val="000000" w:themeColor="text1"/>
        </w:rPr>
        <w:t xml:space="preserve">f-regulated strategy use. </w:t>
      </w:r>
      <w:r>
        <w:rPr>
          <w:rFonts w:ascii="Times New Roman" w:hAnsi="Times New Roman" w:eastAsia="Times New Roman" w:cs="Times New Roman"/>
          <w:color w:val="000000" w:themeColor="text1"/>
        </w:rPr>
        <w:t xml:space="preserve">A similar pattern has been reported in the domain of second language acquisition</w:t>
      </w:r>
      <w:r>
        <w:rPr>
          <w:rFonts w:ascii="Times New Roman" w:hAnsi="Times New Roman" w:eastAsia="Times New Roman" w:cs="Times New Roman"/>
          <w:color w:val="000000" w:themeColor="text1"/>
        </w:rPr>
        <w:t xml:space="preserve">, where intrinsically motivated learners consistently demonstrate superior effort, persistence, and attainment. Noels et al. (2000</w:t>
      </w:r>
      <w:r>
        <w:rPr>
          <w:rFonts w:ascii="Times New Roman" w:hAnsi="Times New Roman" w:eastAsia="Times New Roman" w:cs="Times New Roman"/>
          <w:color w:val="000000" w:themeColor="text1"/>
        </w:rPr>
        <w:t xml:space="preserve">) discovered that intrinsic motivation and more self-determined forms of regulation predicted both subjective engagement and objective language outcomes. More recently, </w:t>
      </w:r>
      <w:r>
        <w:rPr>
          <w:rFonts w:ascii="Times New Roman" w:hAnsi="Times New Roman" w:eastAsia="Times New Roman" w:cs="Times New Roman"/>
          <w:color w:val="000000" w:themeColor="text1"/>
        </w:rPr>
        <w:t xml:space="preserve">Zhou and Ahmad (2025) confirmed that learning motivation exerted a positive and significant impact on academic outcomes</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At th</w:t>
      </w:r>
      <w:r>
        <w:rPr>
          <w:rFonts w:ascii="Times New Roman" w:hAnsi="Times New Roman" w:eastAsia="Times New Roman" w:cs="Times New Roman"/>
          <w:color w:val="000000" w:themeColor="text1"/>
        </w:rPr>
        <w:t xml:space="preserve">e meta-analytic level, evidence across multiple studies was </w:t>
      </w:r>
      <w:r>
        <w:rPr>
          <w:rFonts w:ascii="Times New Roman" w:hAnsi="Times New Roman" w:eastAsia="Times New Roman" w:cs="Times New Roman"/>
          <w:color w:val="000000" w:themeColor="text1"/>
        </w:rPr>
        <w:t xml:space="preserve">synthesised </w:t>
      </w:r>
      <w:r>
        <w:rPr>
          <w:rFonts w:ascii="Times New Roman" w:hAnsi="Times New Roman" w:eastAsia="Times New Roman" w:cs="Times New Roman"/>
          <w:color w:val="000000" w:themeColor="text1"/>
        </w:rPr>
        <w:t xml:space="preserve"> by Alamer et al. (2025) </w:t>
      </w:r>
      <w:r>
        <w:rPr>
          <w:rFonts w:ascii="Times New Roman" w:hAnsi="Times New Roman" w:eastAsia="Times New Roman" w:cs="Times New Roman"/>
          <w:color w:val="000000" w:themeColor="text1"/>
        </w:rPr>
        <w:t xml:space="preserve">and concluded that autonomous forms of motivation (intrinsic motivation and identified regulation) correlated consistently with L2 achievement, whereas controlled moti</w:t>
      </w:r>
      <w:r>
        <w:rPr>
          <w:rFonts w:ascii="Times New Roman" w:hAnsi="Times New Roman" w:eastAsia="Times New Roman" w:cs="Times New Roman"/>
          <w:color w:val="000000" w:themeColor="text1"/>
        </w:rPr>
        <w:t xml:space="preserve">vation did not. </w:t>
      </w:r>
      <w:r>
        <w:rPr>
          <w:rFonts w:ascii="Times New Roman" w:hAnsi="Times New Roman" w:eastAsia="Times New Roman" w:cs="Times New Roman"/>
          <w:color w:val="000000" w:themeColor="text1"/>
        </w:rPr>
        <w:t xml:space="preserve">When these findings are considered alongside Zimmerman and Kitsantas's (2014) evidence that self-motivated students outperform peers who</w:t>
      </w:r>
      <w:r>
        <w:rPr>
          <w:rFonts w:ascii="Times New Roman" w:hAnsi="Times New Roman" w:eastAsia="Times New Roman" w:cs="Times New Roman"/>
          <w:color w:val="000000" w:themeColor="text1"/>
        </w:rPr>
        <w:t xml:space="preserve"> rely on external incentives, a clear empirical trend emerges: the more a student's engagement is sourced from pure interest in the subject, the stronger the academic results tend to be. </w:t>
      </w:r>
      <w:r>
        <w:rPr>
          <w:rFonts w:ascii="Times New Roman" w:hAnsi="Times New Roman" w:eastAsia="Times New Roman" w:cs="Times New Roman"/>
          <w:color w:val="000000" w:themeColor="text1"/>
        </w:rPr>
        <w:t xml:space="preserve">Based on this evidence, the first hypothesis is proposed</w:t>
      </w:r>
      <w:r>
        <w:rPr>
          <w:rFonts w:ascii="Times New Roman" w:hAnsi="Times New Roman" w:eastAsia="Times New Roman" w:cs="Times New Roman"/>
          <w:color w:val="000000" w:themeColor="text1"/>
        </w:rPr>
        <w:t xml:space="preserve">:</w:t>
      </w:r>
      <w:r/>
    </w:p>
    <w:p w14:paraId="685D2D8F" w14:textId="77777777">
      <w:pPr>
        <w:pStyle w:val="1061"/>
        <w:pBdr/>
        <w:spacing w:after="120" w:before="120"/>
        <w:ind w:firstLine="720"/>
        <w:jc w:val="both"/>
        <w:rPr/>
      </w:pPr>
      <w:r>
        <w:rPr>
          <w:rFonts w:ascii="Times New Roman" w:hAnsi="Times New Roman" w:eastAsia="Times New Roman" w:cs="Times New Roman"/>
          <w:b/>
          <w:bCs/>
          <w:color w:val="000000" w:themeColor="text1"/>
        </w:rPr>
        <w:t xml:space="preserve">H1</w:t>
      </w:r>
      <w:r>
        <w:rPr>
          <w:rFonts w:ascii="Times New Roman" w:hAnsi="Times New Roman" w:eastAsia="Times New Roman" w:cs="Times New Roman"/>
          <w:color w:val="000000" w:themeColor="text1"/>
        </w:rPr>
        <w:t xml:space="preserve">: Intrinsic motivation has a positive direct effect on academic performance.</w:t>
      </w:r>
      <w:r/>
    </w:p>
    <w:p w14:paraId="59A9C7C0" w14:textId="77777777">
      <w:pPr>
        <w:pStyle w:val="1061"/>
        <w:pBdr/>
        <w:spacing w:after="120" w:before="120"/>
        <w:ind/>
        <w:jc w:val="both"/>
        <w:rPr>
          <w:bCs/>
          <w:i/>
        </w:rPr>
      </w:pPr>
      <w:r>
        <w:rPr>
          <w:rFonts w:ascii="Times New Roman" w:hAnsi="Times New Roman" w:eastAsia="Times New Roman" w:cs="Times New Roman"/>
          <w:i/>
          <w:iCs/>
          <w:color w:val="000000" w:themeColor="text1"/>
        </w:rPr>
        <w:t xml:space="preserve">2.2.2. Extrinsic Motivation and Academic Performance</w:t>
      </w:r>
      <w:r>
        <w:rPr>
          <w:bCs/>
          <w:i/>
        </w:rPr>
      </w:r>
      <w:r>
        <w:rPr>
          <w:bCs/>
          <w:i/>
        </w:rPr>
      </w:r>
    </w:p>
    <w:p w14:paraId="6160F3CE"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Motivation that originates outside the learner’s interest demonstrates a more complicated mechanism. Extrinsically regulated behaviour is directed by outcomes that are separable from the activity itself such as gra</w:t>
      </w:r>
      <w:r>
        <w:rPr>
          <w:rFonts w:ascii="Times New Roman" w:hAnsi="Times New Roman" w:eastAsia="Times New Roman" w:cs="Times New Roman"/>
          <w:color w:val="000000" w:themeColor="text1"/>
        </w:rPr>
        <w:t xml:space="preserve">des, career credentials, social approval, or the avoidance of negative consequences. </w:t>
      </w:r>
      <w:r>
        <w:rPr>
          <w:rFonts w:ascii="Times New Roman" w:hAnsi="Times New Roman" w:eastAsia="Times New Roman" w:cs="Times New Roman"/>
          <w:color w:val="000000" w:themeColor="text1"/>
        </w:rPr>
        <w:t xml:space="preserve">SDT does not dismiss extrinsic motivation as inherently detrimental; rather, it maps</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extrinsic regulation onto a continuum that ranges from fully controlle</w:t>
      </w:r>
      <w:r>
        <w:rPr>
          <w:rFonts w:ascii="Times New Roman" w:hAnsi="Times New Roman" w:eastAsia="Times New Roman" w:cs="Times New Roman"/>
          <w:color w:val="000000" w:themeColor="text1"/>
        </w:rPr>
        <w:t xml:space="preserve">d compliance to fully integrated self-endorsement (Deci &amp; Ryan, 2000). Where a student falls on this continuum matters considerably for outcomes. At the controlled end, learning tends to be shallow and engagement fragile. Vallerand and Bissonnette (1992) d</w:t>
      </w:r>
      <w:r>
        <w:rPr>
          <w:rFonts w:ascii="Times New Roman" w:hAnsi="Times New Roman" w:eastAsia="Times New Roman" w:cs="Times New Roman"/>
          <w:color w:val="000000" w:themeColor="text1"/>
        </w:rPr>
        <w:t xml:space="preserve">emonstrated that less self-determined motivational styles predicted weaker persistence and lower academic performance in a prospective study of college students. </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0E1BCF8A">
      <w:pPr>
        <w:pStyle w:val="1061"/>
        <w:pBdr/>
        <w:spacing w:after="120" w:before="120"/>
        <w:ind w:firstLine="720"/>
        <w:jc w:val="both"/>
        <w:rPr/>
      </w:pP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nternalization, however, alters the dynamic considerably. </w:t>
      </w:r>
      <w:r>
        <w:rPr>
          <w:rFonts w:ascii="Times New Roman" w:hAnsi="Times New Roman" w:eastAsia="Times New Roman" w:cs="Times New Roman"/>
          <w:color w:val="000000" w:themeColor="text1"/>
        </w:rPr>
        <w:t xml:space="preserve">When a student encounters a graduation requirement (a minimum of IELTS 7.0 or TOEIC 780 and MOS certificates) or perceives a career credential as personally meaningful</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t xml:space="preserve"> extrinsic motivation can support achievement in ways that resemble intrinsic motivation, albeit with smaller effect sizes. Nagle (2021), applying EVT to university-level Spa</w:t>
      </w:r>
      <w:r>
        <w:rPr>
          <w:rFonts w:ascii="Times New Roman" w:hAnsi="Times New Roman" w:eastAsia="Times New Roman" w:cs="Times New Roman"/>
          <w:color w:val="000000" w:themeColor="text1"/>
        </w:rPr>
        <w:t xml:space="preserve">ni</w:t>
      </w:r>
      <w:r>
        <w:rPr>
          <w:rFonts w:ascii="Times New Roman" w:hAnsi="Times New Roman" w:eastAsia="Times New Roman" w:cs="Times New Roman"/>
          <w:color w:val="000000" w:themeColor="text1"/>
        </w:rPr>
        <w:t xml:space="preserve">sh learners, found that utility value, an inherently extrinsic orientation, significantly predicted both course persistence and final grades. </w:t>
      </w:r>
      <w:r>
        <w:rPr>
          <w:rFonts w:ascii="Times New Roman" w:hAnsi="Times New Roman" w:eastAsia="Times New Roman" w:cs="Times New Roman"/>
          <w:color w:val="000000" w:themeColor="text1"/>
        </w:rPr>
        <w:t xml:space="preserve">Zhou and Ahmad (2025) reported a similar pattern: extrinsic motivation made a positive contribution to academic performance, despite having a substantially smaller coefficient than intrinsic motivation.</w:t>
      </w:r>
      <w:r>
        <w:rPr>
          <w:rFonts w:ascii="Times New Roman" w:hAnsi="Times New Roman" w:eastAsia="Times New Roman" w:cs="Times New Roman"/>
          <w:color w:val="000000" w:themeColor="text1"/>
        </w:rPr>
        <w:t xml:space="preserve"> The weight of evidence therefore suggests a direct pathway from extrinsic motivation to performance, but one that is narrower than the intrinsic route:</w:t>
      </w:r>
      <w:r/>
    </w:p>
    <w:p w14:paraId="5F76049E" w14:textId="77777777">
      <w:pPr>
        <w:pStyle w:val="1061"/>
        <w:pBdr/>
        <w:spacing w:after="120" w:before="120"/>
        <w:ind w:firstLine="720"/>
        <w:jc w:val="both"/>
        <w:rPr/>
      </w:pPr>
      <w:r>
        <w:rPr>
          <w:rFonts w:ascii="Times New Roman" w:hAnsi="Times New Roman" w:eastAsia="Times New Roman" w:cs="Times New Roman"/>
          <w:b/>
          <w:bCs/>
          <w:color w:val="000000" w:themeColor="text1"/>
        </w:rPr>
        <w:t xml:space="preserve">H2</w:t>
      </w:r>
      <w:r>
        <w:rPr>
          <w:rFonts w:ascii="Times New Roman" w:hAnsi="Times New Roman" w:eastAsia="Times New Roman" w:cs="Times New Roman"/>
          <w:color w:val="000000" w:themeColor="text1"/>
        </w:rPr>
        <w:t xml:space="preserve">: Extrinsic motivation has a positive direct effect on academic performance.</w:t>
      </w:r>
      <w:r/>
    </w:p>
    <w:p w14:paraId="4D9C18FC" w14:textId="77777777">
      <w:pPr>
        <w:pStyle w:val="1061"/>
        <w:pBdr/>
        <w:spacing w:after="120" w:before="120"/>
        <w:ind/>
        <w:jc w:val="both"/>
        <w:rPr>
          <w:bCs/>
          <w:i/>
        </w:rPr>
      </w:pPr>
      <w:r>
        <w:rPr>
          <w:rFonts w:ascii="Times New Roman" w:hAnsi="Times New Roman" w:eastAsia="Times New Roman" w:cs="Times New Roman"/>
          <w:i/>
          <w:iCs/>
          <w:color w:val="000000" w:themeColor="text1"/>
        </w:rPr>
        <w:t xml:space="preserve">2.2.3. Intrinsic Motivation and Learner Autonomy</w:t>
      </w:r>
      <w:r>
        <w:rPr>
          <w:bCs/>
          <w:i/>
        </w:rPr>
      </w:r>
      <w:r>
        <w:rPr>
          <w:bCs/>
          <w:i/>
        </w:rPr>
      </w:r>
    </w:p>
    <w:p w14:paraId="7877517D"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Among the four constructs in the present model, the bond between intrinsic motivation and learner autonomy has attracted perhaps the most sustained theoretical attention. </w:t>
      </w:r>
      <w:r>
        <w:rPr>
          <w:rFonts w:ascii="Times New Roman" w:hAnsi="Times New Roman" w:eastAsia="Times New Roman" w:cs="Times New Roman"/>
          <w:color w:val="000000" w:themeColor="text1"/>
        </w:rPr>
        <w:t xml:space="preserve">SDT conceptualizes autonomy as a fundamental psychological need. Activities pursued for their inherent satisfaction should, by the theory's own logic, orient learners toward greater self-direction</w:t>
      </w:r>
      <w:r>
        <w:rPr>
          <w:rFonts w:ascii="Times New Roman" w:hAnsi="Times New Roman" w:eastAsia="Times New Roman" w:cs="Times New Roman"/>
          <w:color w:val="000000" w:themeColor="text1"/>
        </w:rPr>
        <w:t xml:space="preserve"> (Deci &amp; Ryan, 2000). In classroom settings, this </w:t>
      </w:r>
      <w:r>
        <w:rPr>
          <w:rFonts w:ascii="Times New Roman" w:hAnsi="Times New Roman" w:eastAsia="Times New Roman" w:cs="Times New Roman"/>
          <w:color w:val="000000" w:themeColor="text1"/>
        </w:rPr>
        <w:t xml:space="preserve">bidirectional </w:t>
      </w:r>
      <w:r>
        <w:rPr>
          <w:rFonts w:ascii="Times New Roman" w:hAnsi="Times New Roman" w:eastAsia="Times New Roman" w:cs="Times New Roman"/>
          <w:color w:val="000000" w:themeColor="text1"/>
        </w:rPr>
        <w:t xml:space="preserve">dynamic operates when students perceive genuin</w:t>
      </w:r>
      <w:r>
        <w:rPr>
          <w:rFonts w:ascii="Times New Roman" w:hAnsi="Times New Roman" w:eastAsia="Times New Roman" w:cs="Times New Roman"/>
          <w:color w:val="000000" w:themeColor="text1"/>
        </w:rPr>
        <w:t xml:space="preserve">e choice in their academic work, they report stronger intrinsic motivation, and students who are intrinsically motivated actively seek out opportunities for independent learning. Garcia and Pintrich (1996) provided early evidence for this </w:t>
      </w:r>
      <w:r>
        <w:rPr>
          <w:rFonts w:ascii="Times New Roman" w:hAnsi="Times New Roman" w:eastAsia="Times New Roman" w:cs="Times New Roman"/>
          <w:color w:val="000000" w:themeColor="text1"/>
        </w:rPr>
        <w:t xml:space="preserve">reciprocal pattern </w:t>
      </w:r>
      <w:r>
        <w:rPr>
          <w:rFonts w:ascii="Times New Roman" w:hAnsi="Times New Roman" w:eastAsia="Times New Roman" w:cs="Times New Roman"/>
          <w:color w:val="000000" w:themeColor="text1"/>
        </w:rPr>
        <w:t xml:space="preserve">among college students, showing positive </w:t>
      </w:r>
      <w:r>
        <w:rPr>
          <w:rFonts w:ascii="Times New Roman" w:hAnsi="Times New Roman" w:eastAsia="Times New Roman" w:cs="Times New Roman"/>
          <w:color w:val="000000" w:themeColor="text1"/>
        </w:rPr>
        <w:t xml:space="preserve">associations between perceived classroom autonomy and intrinsic goal orientation, task value, and self-efficacy.</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E5E6B52">
      <w:pPr>
        <w:pStyle w:val="1061"/>
        <w:pBdr/>
        <w:spacing w:after="120" w:before="120"/>
        <w:ind w:firstLine="720"/>
        <w:jc w:val="both"/>
        <w:rPr>
          <w:rFonts w:ascii="Times New Roman" w:hAnsi="Times New Roman" w:eastAsia="Times New Roman" w:cs="Times New Roman"/>
          <w:color w:val="000000" w:themeColor="text1"/>
          <w:highlight w:val="none"/>
        </w:rPr>
      </w:pPr>
      <w:r>
        <w:rPr>
          <w:rFonts w:ascii="Times New Roman" w:hAnsi="Times New Roman" w:eastAsia="Times New Roman" w:cs="Times New Roman"/>
          <w:color w:val="000000" w:themeColor="text1"/>
        </w:rPr>
        <w:t xml:space="preserve">More recent work has sharpened the picture considerably. Ceylan (2021) reported a significant positive </w:t>
      </w:r>
      <w:r>
        <w:rPr>
          <w:rFonts w:ascii="Times New Roman" w:hAnsi="Times New Roman" w:eastAsia="Times New Roman" w:cs="Times New Roman"/>
          <w:color w:val="000000" w:themeColor="text1"/>
        </w:rPr>
        <w:t xml:space="preserve">correlation between learner autonomy and motivation in a sample of Turkish EFL students, with the relationship holding across multiple dimensions of autonomous learning. The argument was taken a step further through experimental ma</w:t>
      </w:r>
      <w:r>
        <w:rPr>
          <w:rFonts w:ascii="Times New Roman" w:hAnsi="Times New Roman" w:eastAsia="Times New Roman" w:cs="Times New Roman"/>
          <w:color w:val="000000" w:themeColor="text1"/>
        </w:rPr>
        <w:t xml:space="preserve">nipulation: when students were given the freedom to choose whether their attendance counted toward their grade, they attended more reliably and performed </w:t>
      </w:r>
      <w:r>
        <w:rPr>
          <w:rFonts w:ascii="Times New Roman" w:hAnsi="Times New Roman" w:eastAsia="Times New Roman" w:cs="Times New Roman"/>
          <w:color w:val="000000" w:themeColor="text1"/>
        </w:rPr>
        <w:t xml:space="preserve">better than students for whom attendance had been mandated, showing that genuine choice operates as the mechanism</w:t>
      </w:r>
      <w:r>
        <w:rPr>
          <w:rFonts w:ascii="Times New Roman" w:hAnsi="Times New Roman" w:eastAsia="Times New Roman" w:cs="Times New Roman"/>
          <w:color w:val="000000" w:themeColor="text1"/>
        </w:rPr>
        <w:t xml:space="preserve"> driving autonomous engagement </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t xml:space="preserve">Cullen &amp; Oppenheimer, 2024).</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Wang et al. (2024) extended this reasoning by demonstrating that teacher autonomy support enhanced Chinese EFL undergraduates' speaking performance indirectly, operating through satisfaction of basic psychological needs and increased classroom engagement.</w:t>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p>
    <w:p w14:paraId="79D48321">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t xml:space="preserve">Evidence from prior studies in Vietnam points in the same direction.</w:t>
      </w:r>
      <w:r>
        <w:rPr>
          <w:rFonts w:ascii="Times New Roman" w:hAnsi="Times New Roman" w:eastAsia="Times New Roman" w:cs="Times New Roman"/>
          <w:color w:val="000000" w:themeColor="text1"/>
          <w:highlight w:val="none"/>
        </w:rPr>
        <w:t xml:space="preserve"> </w:t>
      </w:r>
      <w:r>
        <w:rPr>
          <w:rFonts w:ascii="Times New Roman" w:hAnsi="Times New Roman" w:eastAsia="Times New Roman" w:cs="Times New Roman"/>
          <w:color w:val="000000" w:themeColor="text1"/>
        </w:rPr>
        <w:t xml:space="preserve">Dang (2010) observed that English-major students who valued the language for its intrinsic pr</w:t>
      </w:r>
      <w:r>
        <w:rPr>
          <w:rFonts w:ascii="Times New Roman" w:hAnsi="Times New Roman" w:eastAsia="Times New Roman" w:cs="Times New Roman"/>
          <w:color w:val="000000" w:themeColor="text1"/>
        </w:rPr>
        <w:t xml:space="preserve">operties were far more likely to engage in self-directed study than those driven solely by examination pressures or family expectations</w:t>
      </w:r>
      <w:r>
        <w:rPr>
          <w:rFonts w:ascii="Times New Roman" w:hAnsi="Times New Roman" w:eastAsia="Times New Roman" w:cs="Times New Roman"/>
          <w:color w:val="000000" w:themeColor="text1"/>
        </w:rPr>
        <w:t xml:space="preserve">. Thi et al. (2022) surveyed EFL students across Vietnam and reached a similar conclusion that the strongest predictor of autonomous learning was whether students studied by choice, not whether they were chasing a grade. In addition, </w:t>
      </w:r>
      <w:r>
        <w:rPr>
          <w:rFonts w:ascii="Times New Roman" w:hAnsi="Times New Roman" w:eastAsia="Times New Roman" w:cs="Times New Roman"/>
          <w:color w:val="000000" w:themeColor="text1"/>
        </w:rPr>
        <w:t xml:space="preserve">collectivist values cut both ways when students have internalized them, autonomy grows and when students comply without personal endorsement, autonomy suffers (</w:t>
      </w:r>
      <w:r>
        <w:rPr>
          <w:rFonts w:ascii="Times New Roman" w:hAnsi="Times New Roman" w:eastAsia="Times New Roman" w:cs="Times New Roman"/>
          <w:color w:val="000000" w:themeColor="text1"/>
        </w:rPr>
        <w:t xml:space="preserve">Linh &amp; Loi</w:t>
      </w:r>
      <w:r>
        <w:rPr>
          <w:rFonts w:ascii="Times New Roman" w:hAnsi="Times New Roman" w:eastAsia="Times New Roman" w:cs="Times New Roman"/>
          <w:color w:val="000000" w:themeColor="text1"/>
        </w:rPr>
        <w:t xml:space="preserve">, 2024). </w:t>
      </w:r>
      <w:r>
        <w:rPr>
          <w:rFonts w:ascii="Times New Roman" w:hAnsi="Times New Roman" w:eastAsia="Times New Roman" w:cs="Times New Roman"/>
          <w:color w:val="000000" w:themeColor="text1"/>
        </w:rPr>
        <w:t xml:space="preserve">Taken together, these findings support a strong, positive pathway from intrinsic motivation to learner autonomy. Hence: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47E0F5D" w14:textId="77777777">
      <w:pPr>
        <w:pStyle w:val="1061"/>
        <w:pBdr/>
        <w:spacing w:after="120" w:before="120"/>
        <w:ind w:firstLine="720"/>
        <w:jc w:val="both"/>
        <w:rPr/>
      </w:pPr>
      <w:r>
        <w:rPr>
          <w:rFonts w:ascii="Times New Roman" w:hAnsi="Times New Roman" w:eastAsia="Times New Roman" w:cs="Times New Roman"/>
          <w:b/>
          <w:bCs/>
          <w:color w:val="000000" w:themeColor="text1"/>
        </w:rPr>
        <w:t xml:space="preserve">H3</w:t>
      </w:r>
      <w:r>
        <w:rPr>
          <w:rFonts w:ascii="Times New Roman" w:hAnsi="Times New Roman" w:eastAsia="Times New Roman" w:cs="Times New Roman"/>
          <w:color w:val="000000" w:themeColor="text1"/>
        </w:rPr>
        <w:t xml:space="preserve">: Intrinsic motivation has a positive direct effect on learner autonomy.</w:t>
      </w:r>
      <w:r/>
    </w:p>
    <w:p w14:paraId="43202C71" w14:textId="77777777">
      <w:pPr>
        <w:pStyle w:val="1061"/>
        <w:pBdr/>
        <w:spacing w:after="120" w:before="120"/>
        <w:ind/>
        <w:jc w:val="both"/>
        <w:rPr>
          <w:bCs/>
          <w:i/>
        </w:rPr>
      </w:pPr>
      <w:r>
        <w:rPr>
          <w:rFonts w:ascii="Times New Roman" w:hAnsi="Times New Roman" w:eastAsia="Times New Roman" w:cs="Times New Roman"/>
          <w:i/>
          <w:iCs/>
          <w:color w:val="000000" w:themeColor="text1"/>
        </w:rPr>
        <w:t xml:space="preserve">2.2.4. Extrinsic Motivation and Learner Autonomy</w:t>
      </w:r>
      <w:r>
        <w:rPr>
          <w:bCs/>
          <w:i/>
        </w:rPr>
      </w:r>
      <w:r>
        <w:rPr>
          <w:bCs/>
          <w:i/>
        </w:rPr>
      </w:r>
    </w:p>
    <w:p w14:paraId="0FAE242F">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t xml:space="preserve">At first glance, the notion that externally driven motivation might enhance autonomous learning seems less plausible than the intrinsic case</w:t>
      </w:r>
      <w:r>
        <w:rPr>
          <w:rFonts w:ascii="Times New Roman" w:hAnsi="Times New Roman" w:eastAsia="Times New Roman" w:cs="Times New Roman"/>
          <w:color w:val="000000" w:themeColor="text1"/>
          <w:highlight w:val="none"/>
        </w:rPr>
        <w:t xml:space="preserve">. </w:t>
      </w:r>
      <w:r>
        <w:rPr>
          <w:rFonts w:ascii="Times New Roman" w:hAnsi="Times New Roman" w:eastAsia="Times New Roman" w:cs="Times New Roman"/>
          <w:color w:val="000000" w:themeColor="text1"/>
          <w:highlight w:val="none"/>
        </w:rPr>
        <w:t xml:space="preserve">Nevertheless, it follows </w:t>
      </w:r>
      <w:r>
        <w:rPr>
          <w:rFonts w:ascii="Times New Roman" w:hAnsi="Times New Roman" w:eastAsia="Times New Roman" w:cs="Times New Roman"/>
          <w:color w:val="000000" w:themeColor="text1"/>
        </w:rPr>
        <w:t xml:space="preserve">logically from the internalization continuum described in SDT. When students operate under external pressures such as </w:t>
      </w:r>
      <w:r>
        <w:rPr>
          <w:rFonts w:ascii="Times New Roman" w:hAnsi="Times New Roman" w:eastAsia="Times New Roman" w:cs="Times New Roman"/>
          <w:color w:val="000000" w:themeColor="text1"/>
        </w:rPr>
        <w:t xml:space="preserve">demands of a competitive job market, certification threshold, or even strong family expectations, they are not simply passive. These conditions can elicit behaviours that autonomy scales measure: systematic goal-setting, strategic resource use, and pers</w:t>
      </w:r>
      <w:r>
        <w:rPr>
          <w:rFonts w:ascii="Times New Roman" w:hAnsi="Times New Roman" w:eastAsia="Times New Roman" w:cs="Times New Roman"/>
          <w:color w:val="000000" w:themeColor="text1"/>
        </w:rPr>
        <w:t xml:space="preserve">istent self-monitoring. Deci and Ryan (2000) argued that satisfaction of the needs for competence and relatedness, alongside autonomy, facilitates the gradual transformation of externally regulated behaviour into personally endorsed action. Empirical suppo</w:t>
      </w:r>
      <w:r>
        <w:rPr>
          <w:rFonts w:ascii="Times New Roman" w:hAnsi="Times New Roman" w:eastAsia="Times New Roman" w:cs="Times New Roman"/>
          <w:color w:val="000000" w:themeColor="text1"/>
        </w:rPr>
        <w:t xml:space="preserve">rt for this proposition, though less voluminous than for the intrinsic pathway, has accumulated steadily. Tao and Jing (2023) found that autonomous motivation served as a significant mediator between self-discipline and reduced academic procrastination, su</w:t>
      </w:r>
      <w:r>
        <w:rPr>
          <w:rFonts w:ascii="Times New Roman" w:hAnsi="Times New Roman" w:eastAsia="Times New Roman" w:cs="Times New Roman"/>
          <w:color w:val="000000" w:themeColor="text1"/>
        </w:rPr>
        <w:t xml:space="preserve">ggesting that behaviours initially sustained by external discipline can, over time, become internalized and self-regulated. Danilenko et al. (2018) contended that the structural features of contemporary higher education, such as modular curricula, independ</w:t>
      </w:r>
      <w:r>
        <w:rPr>
          <w:rFonts w:ascii="Times New Roman" w:hAnsi="Times New Roman" w:eastAsia="Times New Roman" w:cs="Times New Roman"/>
          <w:color w:val="000000" w:themeColor="text1"/>
        </w:rPr>
        <w:t xml:space="preserve">ent project work, and digital learning platforms, create conditions under which externally prompted study gradually evolves into autonomous practice. </w:t>
      </w:r>
      <w:r>
        <w:rPr>
          <w:rFonts w:ascii="Times New Roman" w:hAnsi="Times New Roman" w:eastAsia="Times New Roman" w:cs="Times New Roman"/>
          <w:color w:val="000000" w:themeColor="text1"/>
        </w:rPr>
        <w:t xml:space="preserve">The Vietnamese data offer a parallel </w:t>
      </w:r>
      <w:r>
        <w:rPr>
          <w:rFonts w:ascii="Times New Roman" w:hAnsi="Times New Roman" w:eastAsia="Times New Roman" w:cs="Times New Roman"/>
          <w:color w:val="000000" w:themeColor="text1"/>
        </w:rPr>
        <w:t xml:space="preserve">trajectory.</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Several studies have documented that although undergraduates initially study for instrumental reasons</w:t>
      </w:r>
      <w:r>
        <w:rPr>
          <w:rFonts w:ascii="Times New Roman" w:hAnsi="Times New Roman" w:eastAsia="Times New Roman" w:cs="Times New Roman"/>
          <w:color w:val="000000" w:themeColor="text1"/>
        </w:rPr>
        <w:t xml:space="preserve">, many develop genuine autonomous learning routines as they progress through their degree programmes (Dang, 2010; Dao et al., 2025). </w:t>
      </w:r>
      <w:r>
        <w:rPr>
          <w:rFonts w:ascii="Times New Roman" w:hAnsi="Times New Roman" w:eastAsia="Times New Roman" w:cs="Times New Roman"/>
          <w:color w:val="000000" w:themeColor="text1"/>
        </w:rPr>
        <w:t xml:space="preserve">N</w:t>
      </w:r>
      <w:r>
        <w:rPr>
          <w:rFonts w:ascii="Times New Roman" w:hAnsi="Times New Roman" w:eastAsia="Times New Roman" w:cs="Times New Roman"/>
          <w:color w:val="000000" w:themeColor="text1"/>
        </w:rPr>
        <w:t xml:space="preserve">one of this implies that the extrinsic pathway rivals the intrinsic one in magnitude; motivation that remains contingent on external rewards without adequate internalisation tends to yield compliance rather than authentic self-regulation. The fourth hypoth</w:t>
      </w:r>
      <w:r>
        <w:rPr>
          <w:rFonts w:ascii="Times New Roman" w:hAnsi="Times New Roman" w:eastAsia="Times New Roman" w:cs="Times New Roman"/>
          <w:color w:val="000000" w:themeColor="text1"/>
        </w:rPr>
        <w:t xml:space="preserve">esis therefore captures the more qualified prediction:</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26DCEE1E" w14:textId="77777777">
      <w:pPr>
        <w:pStyle w:val="1061"/>
        <w:pBdr/>
        <w:spacing w:after="120" w:before="120"/>
        <w:ind w:firstLine="720"/>
        <w:jc w:val="both"/>
        <w:rPr/>
      </w:pPr>
      <w:r>
        <w:rPr>
          <w:rFonts w:ascii="Times New Roman" w:hAnsi="Times New Roman" w:eastAsia="Times New Roman" w:cs="Times New Roman"/>
          <w:b/>
          <w:bCs/>
          <w:color w:val="000000" w:themeColor="text1"/>
        </w:rPr>
        <w:t xml:space="preserve">H4</w:t>
      </w:r>
      <w:r>
        <w:rPr>
          <w:rFonts w:ascii="Times New Roman" w:hAnsi="Times New Roman" w:eastAsia="Times New Roman" w:cs="Times New Roman"/>
          <w:color w:val="000000" w:themeColor="text1"/>
        </w:rPr>
        <w:t xml:space="preserve">: Extrinsic motivation has a positive direct effect on learner autonomy.</w:t>
      </w:r>
      <w:r/>
    </w:p>
    <w:p w14:paraId="04A7BEEE" w14:textId="77777777">
      <w:pPr>
        <w:pStyle w:val="1061"/>
        <w:pBdr/>
        <w:spacing w:after="120" w:before="120"/>
        <w:ind/>
        <w:jc w:val="both"/>
        <w:rPr>
          <w:bCs/>
          <w:i/>
        </w:rPr>
      </w:pPr>
      <w:r>
        <w:rPr>
          <w:rFonts w:ascii="Times New Roman" w:hAnsi="Times New Roman" w:eastAsia="Times New Roman" w:cs="Times New Roman"/>
          <w:i/>
          <w:iCs/>
          <w:color w:val="000000" w:themeColor="text1"/>
        </w:rPr>
        <w:t xml:space="preserve">2.2.5. Learner Autonomy and Academic Performance</w:t>
      </w:r>
      <w:r>
        <w:rPr>
          <w:bCs/>
          <w:i/>
        </w:rPr>
      </w:r>
      <w:r>
        <w:rPr>
          <w:bCs/>
          <w:i/>
        </w:rPr>
      </w:r>
    </w:p>
    <w:p w14:paraId="3254759F"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SRL framework describes the process of converting energy from motivation into measurable achievement through the mechanism provided by autonomy. In detail, </w:t>
      </w:r>
      <w:r>
        <w:rPr>
          <w:rFonts w:ascii="Times New Roman" w:hAnsi="Times New Roman" w:eastAsia="Times New Roman" w:cs="Times New Roman"/>
          <w:color w:val="000000" w:themeColor="text1"/>
        </w:rPr>
        <w:t xml:space="preserve"> autonomous learners move through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phases of forethought, performance, and self-reflection </w:t>
      </w:r>
      <w:r>
        <w:rPr>
          <w:rFonts w:ascii="Times New Roman" w:hAnsi="Times New Roman" w:eastAsia="Times New Roman" w:cs="Times New Roman"/>
          <w:color w:val="000000" w:themeColor="text1"/>
        </w:rPr>
        <w:t xml:space="preserve">(Zimmerman &amp; Kitsantas, 2014). </w:t>
      </w:r>
      <w:r>
        <w:rPr>
          <w:rFonts w:ascii="Times New Roman" w:hAnsi="Times New Roman" w:eastAsia="Times New Roman" w:cs="Times New Roman"/>
          <w:color w:val="000000" w:themeColor="text1"/>
        </w:rPr>
        <w:t xml:space="preserve">Language learning follows a protracted and uneven developmental trajectory</w:t>
      </w:r>
      <w:r>
        <w:rPr>
          <w:rFonts w:ascii="Times New Roman" w:hAnsi="Times New Roman" w:eastAsia="Times New Roman" w:cs="Times New Roman"/>
          <w:color w:val="000000" w:themeColor="text1"/>
        </w:rPr>
        <w:t xml:space="preserve">; it </w:t>
      </w:r>
      <w:r>
        <w:rPr>
          <w:rFonts w:ascii="Times New Roman" w:hAnsi="Times New Roman" w:eastAsia="Times New Roman" w:cs="Times New Roman"/>
          <w:color w:val="000000" w:themeColor="text1"/>
        </w:rPr>
        <w:t xml:space="preserve">places particularly heavy demands on this cycle, making self-regulatory competence a near-necessity for sus</w:t>
      </w:r>
      <w:r>
        <w:rPr>
          <w:rFonts w:ascii="Times New Roman" w:hAnsi="Times New Roman" w:eastAsia="Times New Roman" w:cs="Times New Roman"/>
          <w:color w:val="000000" w:themeColor="text1"/>
        </w:rPr>
        <w:t xml:space="preserve">tained improvement. </w:t>
      </w:r>
      <w:r>
        <w:rPr>
          <w:rFonts w:ascii="Times New Roman" w:hAnsi="Times New Roman" w:eastAsia="Times New Roman" w:cs="Times New Roman"/>
          <w:color w:val="000000" w:themeColor="text1"/>
        </w:rPr>
        <w:t xml:space="preserve">The empirical case for a direct autonomy-to-performance link has been built across multiple EFL contexts. Cao and Pho (2025) documented a significant positive relationship between learner autonomy and academic performance in a tertiary </w:t>
      </w:r>
      <w:r>
        <w:rPr>
          <w:rFonts w:ascii="Times New Roman" w:hAnsi="Times New Roman" w:eastAsia="Times New Roman" w:cs="Times New Roman"/>
          <w:color w:val="000000" w:themeColor="text1"/>
        </w:rPr>
        <w:t xml:space="preserve">EFL sample, with autonomous learners registering notably higher grades than their less self-directed peers. Nakata (2014) argued that self-regulation constitutes a foundational mechanism for developing autonomous capacity in formal schooling, precisely bec</w:t>
      </w:r>
      <w:r>
        <w:rPr>
          <w:rFonts w:ascii="Times New Roman" w:hAnsi="Times New Roman" w:eastAsia="Times New Roman" w:cs="Times New Roman"/>
          <w:color w:val="000000" w:themeColor="text1"/>
        </w:rPr>
        <w:t xml:space="preserve">ause it equips learners with the metacognitive tools to manage their own progress independent of teacher direction.</w:t>
      </w:r>
      <w:r>
        <w:rPr>
          <w:rFonts w:ascii="Times New Roman" w:hAnsi="Times New Roman" w:eastAsia="Times New Roman" w:cs="Times New Roman"/>
          <w:color w:val="000000" w:themeColor="text1"/>
        </w:rPr>
        <w:t xml:space="preserve"> Intervention-based studies have strengthened this case further.</w:t>
      </w:r>
      <w:r>
        <w:rPr>
          <w:rFonts w:ascii="Times New Roman" w:hAnsi="Times New Roman" w:eastAsia="Times New Roman" w:cs="Times New Roman"/>
          <w:color w:val="000000" w:themeColor="text1"/>
        </w:rPr>
        <w:t xml:space="preserve"> Ismail et al. (2023) showed that emb</w:t>
      </w:r>
      <w:r>
        <w:rPr>
          <w:rFonts w:ascii="Times New Roman" w:hAnsi="Times New Roman" w:eastAsia="Times New Roman" w:cs="Times New Roman"/>
          <w:color w:val="000000" w:themeColor="text1"/>
        </w:rPr>
        <w:t xml:space="preserve">edding self-regulated learning practices into EFL assessment design boosted both learner autonomy and self-efficacy, with downstream gains in achievement. Hsieh and Hsieh (2019) observed a similar pattern at the behavioural level: students who independentl</w:t>
      </w:r>
      <w:r>
        <w:rPr>
          <w:rFonts w:ascii="Times New Roman" w:hAnsi="Times New Roman" w:eastAsia="Times New Roman" w:cs="Times New Roman"/>
          <w:color w:val="000000" w:themeColor="text1"/>
        </w:rPr>
        <w:t xml:space="preserve">y curated resources and managed out-of-class study outperformed those who relied exclusively on instructor-provided materials. In a setting such as HUFLIT, where students are expected to complete substantial self-directed work outside timetabled hours and </w:t>
      </w:r>
      <w:r>
        <w:rPr>
          <w:rFonts w:ascii="Times New Roman" w:hAnsi="Times New Roman" w:eastAsia="Times New Roman" w:cs="Times New Roman"/>
          <w:color w:val="000000" w:themeColor="text1"/>
        </w:rPr>
        <w:t xml:space="preserve">where graduation hinges on externally benchmarked proficiency thresholds, autonomy is unlikely to be merely helpful; it is plausibly the single most important behavioural determinant of academic outcomes. The following hypothesis captures this expectation:</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6D312156" w14:textId="77777777">
      <w:pPr>
        <w:pStyle w:val="1061"/>
        <w:pBdr/>
        <w:spacing w:after="120" w:before="120"/>
        <w:ind w:firstLine="720"/>
        <w:jc w:val="both"/>
        <w:rPr/>
      </w:pPr>
      <w:r>
        <w:rPr>
          <w:rFonts w:ascii="Times New Roman" w:hAnsi="Times New Roman" w:eastAsia="Times New Roman" w:cs="Times New Roman"/>
          <w:b/>
          <w:bCs/>
          <w:color w:val="000000" w:themeColor="text1"/>
        </w:rPr>
        <w:t xml:space="preserve">H5</w:t>
      </w:r>
      <w:r>
        <w:rPr>
          <w:rFonts w:ascii="Times New Roman" w:hAnsi="Times New Roman" w:eastAsia="Times New Roman" w:cs="Times New Roman"/>
          <w:color w:val="000000" w:themeColor="text1"/>
        </w:rPr>
        <w:t xml:space="preserve">: Learner autonomy has a positive direct effect on academic performance.</w:t>
      </w:r>
      <w:r/>
    </w:p>
    <w:p w14:paraId="10D8D283" w14:textId="77777777">
      <w:pPr>
        <w:pStyle w:val="1061"/>
        <w:pBdr/>
        <w:spacing w:after="120" w:before="120"/>
        <w:ind/>
        <w:jc w:val="both"/>
        <w:rPr>
          <w:bCs/>
          <w:i/>
        </w:rPr>
      </w:pPr>
      <w:r>
        <w:rPr>
          <w:rFonts w:ascii="Times New Roman" w:hAnsi="Times New Roman" w:eastAsia="Times New Roman" w:cs="Times New Roman"/>
          <w:i/>
          <w:iCs/>
          <w:color w:val="000000" w:themeColor="text1"/>
        </w:rPr>
        <w:t xml:space="preserve">2.2.6. Learner Autonomy as a Mediator of Intrinsic Motivation</w:t>
      </w:r>
      <w:r>
        <w:rPr>
          <w:bCs/>
          <w:i/>
        </w:rPr>
      </w:r>
      <w:r>
        <w:rPr>
          <w:bCs/>
          <w:i/>
        </w:rPr>
      </w:r>
    </w:p>
    <w:p w14:paraId="144D2A18">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t xml:space="preserve">The five direct relationships reviewed above, taken together, point toward a more complex structure than a simple additive model would suggest. Intrinsic motivation does not appear to influence academic performance through a single, unbroken channel.</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Part of its effect travels through the autonomous behaviours that intrinsic interest tends to generate.</w:t>
      </w:r>
      <w:r>
        <w:rPr>
          <w:rFonts w:ascii="Times New Roman" w:hAnsi="Times New Roman" w:eastAsia="Times New Roman" w:cs="Times New Roman"/>
          <w:color w:val="000000" w:themeColor="text1"/>
        </w:rPr>
        <w:t xml:space="preserve"> A student who genuinely enjoys English does not merely pay closer attention in lectures; they also set personal learning goals, seek out supplementary materials, practice outside the classroom, and evaluate their own development</w:t>
      </w:r>
      <w:r>
        <w:rPr>
          <w:rFonts w:ascii="Times New Roman" w:hAnsi="Times New Roman" w:eastAsia="Times New Roman" w:cs="Times New Roman"/>
          <w:color w:val="000000" w:themeColor="text1"/>
        </w:rPr>
        <w:t xml:space="preserve">, each of which independently strengthens academic outcomes. The logic is straightforward: intrinsic interest fuels self-directed action, and self-directed action produces achievement. </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699214CF">
      <w:pPr>
        <w:pStyle w:val="1061"/>
        <w:pBdr/>
        <w:spacing w:after="120" w:before="120"/>
        <w:ind w:firstLine="720"/>
        <w:jc w:val="both"/>
        <w:rPr/>
      </w:pPr>
      <w:r>
        <w:rPr>
          <w:rFonts w:ascii="Times New Roman" w:hAnsi="Times New Roman" w:eastAsia="Times New Roman" w:cs="Times New Roman"/>
          <w:color w:val="000000" w:themeColor="text1"/>
        </w:rPr>
        <w:t xml:space="preserve">Support for this mediated pathway comes from the pattern of e</w:t>
      </w:r>
      <w:r>
        <w:rPr>
          <w:rFonts w:ascii="Times New Roman" w:hAnsi="Times New Roman" w:eastAsia="Times New Roman" w:cs="Times New Roman"/>
          <w:color w:val="000000" w:themeColor="text1"/>
        </w:rPr>
        <w:t xml:space="preserve">vidence already assembled. Section 2.2.3 established that intrinsic motivation robustly predicts learner autonomy; Section 2.2.5 established that learner autonomy robustly predicts academic performance; and Section 2.2.1 confirmed that a direct route from </w:t>
      </w:r>
      <w:r>
        <w:rPr>
          <w:rFonts w:ascii="Times New Roman" w:hAnsi="Times New Roman" w:eastAsia="Times New Roman" w:cs="Times New Roman"/>
          <w:color w:val="000000" w:themeColor="text1"/>
        </w:rPr>
        <w:t xml:space="preserve">intrinsic motivation to performance also exists. The mediation hypothesis simply formalises what these three findings jointly entail, namely, that autonomy carries a meaningful share of intrinsic motivation's total effect. Accordingly:</w:t>
      </w:r>
      <w:r/>
    </w:p>
    <w:p w14:paraId="3DB8E097" w14:textId="77777777">
      <w:pPr>
        <w:pStyle w:val="1061"/>
        <w:pBdr/>
        <w:spacing w:after="120" w:before="120"/>
        <w:ind w:firstLine="720"/>
        <w:jc w:val="both"/>
        <w:rPr/>
      </w:pPr>
      <w:r>
        <w:rPr>
          <w:rFonts w:ascii="Times New Roman" w:hAnsi="Times New Roman" w:eastAsia="Times New Roman" w:cs="Times New Roman"/>
          <w:b/>
          <w:bCs/>
          <w:color w:val="000000" w:themeColor="text1"/>
        </w:rPr>
        <w:t xml:space="preserve">H6</w:t>
      </w:r>
      <w:r>
        <w:rPr>
          <w:rFonts w:ascii="Times New Roman" w:hAnsi="Times New Roman" w:eastAsia="Times New Roman" w:cs="Times New Roman"/>
          <w:color w:val="000000" w:themeColor="text1"/>
        </w:rPr>
        <w:t xml:space="preserve">: Learner autonomy mediates the relationship between intrinsic motivation and academic performance.</w:t>
      </w:r>
      <w:r/>
    </w:p>
    <w:p w14:paraId="788CD200" w14:textId="77777777">
      <w:pPr>
        <w:pStyle w:val="1061"/>
        <w:pBdr/>
        <w:spacing w:after="120" w:before="120"/>
        <w:ind/>
        <w:jc w:val="both"/>
        <w:rPr>
          <w:bCs/>
          <w:i/>
        </w:rPr>
      </w:pPr>
      <w:r>
        <w:rPr>
          <w:rFonts w:ascii="Times New Roman" w:hAnsi="Times New Roman" w:eastAsia="Times New Roman" w:cs="Times New Roman"/>
          <w:i/>
          <w:iCs/>
          <w:color w:val="000000" w:themeColor="text1"/>
        </w:rPr>
        <w:t xml:space="preserve">2.2.7. Learner Autonomy as a Mediator of Extrinsic Motivation</w:t>
      </w:r>
      <w:r>
        <w:rPr>
          <w:bCs/>
          <w:i/>
        </w:rPr>
      </w:r>
      <w:r>
        <w:rPr>
          <w:bCs/>
          <w:i/>
        </w:rPr>
      </w:r>
    </w:p>
    <w:p w14:paraId="4D613F56"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t xml:space="preserve">A parallel mediating logic extends to extrinsic motivation, though the mechanism differs in a theoretically important manner</w:t>
      </w:r>
      <w:r>
        <w:rPr>
          <w:rFonts w:ascii="Times New Roman" w:hAnsi="Times New Roman" w:eastAsia="Times New Roman" w:cs="Times New Roman"/>
          <w:color w:val="000000" w:themeColor="text1"/>
        </w:rPr>
        <w:t xml:space="preserve">. When a student's primary drive is instrument</w:t>
      </w:r>
      <w:r>
        <w:rPr>
          <w:rFonts w:ascii="Times New Roman" w:hAnsi="Times New Roman" w:eastAsia="Times New Roman" w:cs="Times New Roman"/>
          <w:color w:val="000000" w:themeColor="text1"/>
        </w:rPr>
        <w:t xml:space="preserve">al, </w:t>
      </w:r>
      <w:r>
        <w:rPr>
          <w:rFonts w:ascii="Times New Roman" w:hAnsi="Times New Roman" w:eastAsia="Times New Roman" w:cs="Times New Roman"/>
          <w:color w:val="000000" w:themeColor="text1"/>
        </w:rPr>
        <w:t xml:space="preserve">whether a required certification, a desired career path, or a family expectation, that drive alone cannot elevate academic performance unless it translates into concrete, self-regulated activity.</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A student who needs IELTS 7.0 to graduate</w:t>
      </w:r>
      <w:r>
        <w:rPr>
          <w:rFonts w:ascii="Times New Roman" w:hAnsi="Times New Roman" w:eastAsia="Times New Roman" w:cs="Times New Roman"/>
          <w:color w:val="000000" w:themeColor="text1"/>
        </w:rPr>
        <w:t xml:space="preserve"> does not a</w:t>
      </w:r>
      <w:r>
        <w:rPr>
          <w:rFonts w:ascii="Times New Roman" w:hAnsi="Times New Roman" w:eastAsia="Times New Roman" w:cs="Times New Roman"/>
          <w:color w:val="000000" w:themeColor="text1"/>
        </w:rPr>
        <w:t xml:space="preserve">chieve </w:t>
      </w:r>
      <w:r>
        <w:rPr>
          <w:rFonts w:ascii="Times New Roman" w:hAnsi="Times New Roman" w:eastAsia="Times New Roman" w:cs="Times New Roman"/>
          <w:color w:val="000000" w:themeColor="text1"/>
        </w:rPr>
        <w:t xml:space="preserve">that score simply because the requirement exists; they achieve it because the requirement prompts them to build a study schedule, seek feedback on their writing, track their listening comprehension over time, and adjust their strategies when practice test </w:t>
      </w:r>
      <w:r>
        <w:rPr>
          <w:rFonts w:ascii="Times New Roman" w:hAnsi="Times New Roman" w:eastAsia="Times New Roman" w:cs="Times New Roman"/>
          <w:color w:val="000000" w:themeColor="text1"/>
        </w:rPr>
        <w:t xml:space="preserve">results disappoint. If they fail to develop these autonomous behaviours, the external pressure remains inert. The empirical basis for this expectation follows the same logic that underpins </w:t>
      </w:r>
      <w:r>
        <w:rPr>
          <w:rFonts w:ascii="Times New Roman" w:hAnsi="Times New Roman" w:eastAsia="Times New Roman" w:cs="Times New Roman"/>
          <w:b/>
          <w:bCs/>
          <w:color w:val="000000" w:themeColor="text1"/>
        </w:rPr>
        <w:t xml:space="preserve">H6</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5C0A406C">
      <w:pPr>
        <w:pStyle w:val="1061"/>
        <w:pBdr/>
        <w:spacing w:after="120" w:before="120"/>
        <w:ind w:firstLine="720"/>
        <w:jc w:val="both"/>
        <w:rPr/>
      </w:pPr>
      <w:r>
        <w:rPr>
          <w:rFonts w:ascii="Times New Roman" w:hAnsi="Times New Roman" w:eastAsia="Times New Roman" w:cs="Times New Roman"/>
          <w:color w:val="000000" w:themeColor="text1"/>
        </w:rPr>
        <w:t xml:space="preserve">Extrinsic motivation positively predicts learner autonomy (Sect</w:t>
      </w:r>
      <w:r>
        <w:rPr>
          <w:rFonts w:ascii="Times New Roman" w:hAnsi="Times New Roman" w:eastAsia="Times New Roman" w:cs="Times New Roman"/>
          <w:color w:val="000000" w:themeColor="text1"/>
        </w:rPr>
        <w:t xml:space="preserve">ion 2.2.4), learner autonomy positively predicts academic performance (Section 2.2.5), and the direct, unmediated effect of extrinsic motivation on performance is comparatively weak (Section 2.2.2). </w:t>
      </w:r>
      <w:r>
        <w:rPr>
          <w:rFonts w:ascii="Times New Roman" w:hAnsi="Times New Roman" w:eastAsia="Times New Roman" w:cs="Times New Roman"/>
          <w:color w:val="000000" w:themeColor="text1"/>
        </w:rPr>
        <w:t xml:space="preserve">Because externally sourced motivation relies more heavily on behavioural implementation than the intrinsic variety does, and no inherent enjoyment carries the learner through difficulty</w:t>
      </w:r>
      <w:r>
        <w:rPr>
          <w:rFonts w:ascii="Times New Roman" w:hAnsi="Times New Roman" w:eastAsia="Times New Roman" w:cs="Times New Roman"/>
          <w:color w:val="000000" w:themeColor="text1"/>
        </w:rPr>
        <w:t xml:space="preserve">,  a larger share of its total effect should pass through the autonomy pathway. The final hypothesis is therefore:</w:t>
      </w:r>
      <w:r/>
    </w:p>
    <w:p w14:paraId="26C7B177" w14:textId="77777777">
      <w:pPr>
        <w:pStyle w:val="1061"/>
        <w:pBdr/>
        <w:spacing w:after="120" w:before="120"/>
        <w:ind w:firstLine="720"/>
        <w:jc w:val="both"/>
        <w:rPr>
          <w:rFonts w:ascii="Times New Roman" w:hAnsi="Times New Roman" w:eastAsia="Times New Roman" w:cs="Times New Roman"/>
          <w:color w:val="000000" w:themeColor="text1"/>
          <w:highlight w:val="none"/>
        </w:rPr>
      </w:pPr>
      <w:r>
        <w:rPr>
          <w:rFonts w:ascii="Times New Roman" w:hAnsi="Times New Roman" w:eastAsia="Times New Roman" w:cs="Times New Roman"/>
          <w:b/>
          <w:bCs/>
          <w:color w:val="000000" w:themeColor="text1"/>
        </w:rPr>
        <w:t xml:space="preserve">H7</w:t>
      </w:r>
      <w:r>
        <w:rPr>
          <w:rFonts w:ascii="Times New Roman" w:hAnsi="Times New Roman" w:eastAsia="Times New Roman" w:cs="Times New Roman"/>
          <w:color w:val="000000" w:themeColor="text1"/>
        </w:rPr>
        <w:t xml:space="preserve">: Learner autonomy mediates the relationship between extrinsic motivation and academic performance.</w:t>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p>
    <w:p w14:paraId="5AF23481">
      <w:pPr>
        <w:pStyle w:val="850"/>
        <w:pBdr/>
        <w:spacing w:after="120" w:before="120" w:line="240" w:lineRule="auto"/>
        <w:ind/>
        <w:rPr>
          <w:rFonts w:ascii="Times New Roman" w:hAnsi="Times New Roman" w:eastAsia="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2.3. Hypotheses</w:t>
      </w:r>
      <w:r>
        <w:rPr>
          <w:rFonts w:ascii="Times New Roman" w:hAnsi="Times New Roman" w:eastAsia="Times New Roman" w:cs="Times New Roman"/>
          <w:b/>
          <w:bCs/>
          <w:i/>
          <w:color w:val="000000" w:themeColor="text1"/>
          <w:sz w:val="24"/>
          <w:szCs w:val="24"/>
        </w:rPr>
      </w:r>
      <w:r>
        <w:rPr>
          <w:rFonts w:ascii="Times New Roman" w:hAnsi="Times New Roman" w:eastAsia="Times New Roman" w:cs="Times New Roman"/>
          <w:b/>
          <w:bCs/>
          <w:i/>
          <w:color w:val="000000" w:themeColor="text1"/>
          <w:sz w:val="24"/>
          <w:szCs w:val="24"/>
        </w:rPr>
      </w:r>
    </w:p>
    <w:p w14:paraId="6D09DDB2">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r>
      <w:r>
        <w:rPr>
          <w:rFonts w:ascii="Times New Roman" w:hAnsi="Times New Roman" w:eastAsia="Times New Roman" w:cs="Times New Roman"/>
          <w:color w:val="263241"/>
          <w:sz w:val="24"/>
        </w:rPr>
        <w:t xml:space="preserve">Based on the theory and evidence reviewed in Sections 2.1 and 2.2, seven hypotheses were formulated. </w:t>
      </w:r>
      <w:r>
        <w:rPr>
          <w:rFonts w:ascii="Times New Roman" w:hAnsi="Times New Roman" w:eastAsia="Times New Roman" w:cs="Times New Roman"/>
          <w:color w:val="263241"/>
          <w:sz w:val="24"/>
        </w:rPr>
        <w:t xml:space="preserve">Figure 3 presents the conceptual framework with these hypothesized relationships: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1908925B">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H1</w:t>
      </w:r>
      <w:r>
        <w:rPr>
          <w:rFonts w:ascii="Times New Roman" w:hAnsi="Times New Roman" w:eastAsia="Times New Roman" w:cs="Times New Roman"/>
          <w:color w:val="263241"/>
          <w:sz w:val="24"/>
        </w:rPr>
        <w:t xml:space="preserve">: Intrinsic motivation has a positive direct effect on academic performance.</w:t>
      </w:r>
      <w:r/>
    </w:p>
    <w:p w14:paraId="5B300B7D">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H2</w:t>
      </w:r>
      <w:r>
        <w:rPr>
          <w:rFonts w:ascii="Times New Roman" w:hAnsi="Times New Roman" w:eastAsia="Times New Roman" w:cs="Times New Roman"/>
          <w:color w:val="263241"/>
          <w:sz w:val="24"/>
        </w:rPr>
        <w:t xml:space="preserve">: Extrinsic motivation has a positive direct effect on academic performance.</w:t>
      </w:r>
      <w:r/>
    </w:p>
    <w:p w14:paraId="6B3ABE52">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H3</w:t>
      </w:r>
      <w:r>
        <w:rPr>
          <w:rFonts w:ascii="Times New Roman" w:hAnsi="Times New Roman" w:eastAsia="Times New Roman" w:cs="Times New Roman"/>
          <w:color w:val="263241"/>
          <w:sz w:val="24"/>
        </w:rPr>
        <w:t xml:space="preserve">: Intrinsic motivation has a positive direct effect on learner autonomy.</w:t>
      </w:r>
      <w:r/>
    </w:p>
    <w:p w14:paraId="25A2832B">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H4</w:t>
      </w:r>
      <w:r>
        <w:rPr>
          <w:rFonts w:ascii="Times New Roman" w:hAnsi="Times New Roman" w:eastAsia="Times New Roman" w:cs="Times New Roman"/>
          <w:color w:val="263241"/>
          <w:sz w:val="24"/>
        </w:rPr>
        <w:t xml:space="preserve">: Extrinsic motivation has a positive direct effect on learner autonomy.</w:t>
      </w:r>
      <w:r/>
    </w:p>
    <w:p w14:paraId="42ADE518">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H5</w:t>
      </w:r>
      <w:r>
        <w:rPr>
          <w:rFonts w:ascii="Times New Roman" w:hAnsi="Times New Roman" w:eastAsia="Times New Roman" w:cs="Times New Roman"/>
          <w:color w:val="263241"/>
          <w:sz w:val="24"/>
        </w:rPr>
        <w:t xml:space="preserve">: Learner autonomy has a positive direct effect on academic performance.</w:t>
      </w:r>
      <w:r/>
    </w:p>
    <w:p w14:paraId="6815D11E">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H6</w:t>
      </w:r>
      <w:r>
        <w:rPr>
          <w:rFonts w:ascii="Times New Roman" w:hAnsi="Times New Roman" w:eastAsia="Times New Roman" w:cs="Times New Roman"/>
          <w:color w:val="263241"/>
          <w:sz w:val="24"/>
        </w:rPr>
        <w:t xml:space="preserve">: Learner autonomy mediates the relationship between intrinsic motivation and academic performance.</w:t>
      </w:r>
      <w:r/>
    </w:p>
    <w:p w14:paraId="4D3070CF">
      <w:pPr>
        <w:pBdr>
          <w:top w:val="none" w:color="000000" w:sz="4" w:space="0"/>
          <w:left w:val="none" w:color="000000" w:sz="4" w:space="0"/>
          <w:bottom w:val="none" w:color="000000" w:sz="4" w:space="0"/>
          <w:right w:val="none" w:color="000000" w:sz="4" w:space="0"/>
        </w:pBdr>
        <w:spacing w:after="172" w:before="172"/>
        <w:ind w:right="0" w:firstLine="0" w:left="709"/>
        <w:rPr/>
      </w:pPr>
      <w:r>
        <w:rPr>
          <w:rFonts w:ascii="Times New Roman" w:hAnsi="Times New Roman" w:eastAsia="Times New Roman" w:cs="Times New Roman"/>
          <w:b/>
          <w:color w:val="1e2a38"/>
          <w:sz w:val="24"/>
        </w:rPr>
        <w:t xml:space="preserve">H7</w:t>
      </w:r>
      <w:r>
        <w:rPr>
          <w:rFonts w:ascii="Times New Roman" w:hAnsi="Times New Roman" w:eastAsia="Times New Roman" w:cs="Times New Roman"/>
          <w:color w:val="263241"/>
          <w:sz w:val="24"/>
        </w:rPr>
        <w:t xml:space="preserve">: Learner autonomy mediates the relationship between extrinsic motivation and academic performance.</w:t>
      </w:r>
      <w:r/>
    </w:p>
    <w:p w14:paraId="55EFF94C"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Figure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Figure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3</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723BB4FE"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Conceptual Framework of Motivation, Learner Autonomy, and Academic Performance</w:t>
      </w:r>
      <w:r>
        <w:rPr>
          <w:rFonts w:cs="Times New Roman"/>
          <w:color w:val="000000" w:themeColor="text1"/>
          <w:sz w:val="24"/>
          <w:szCs w:val="24"/>
        </w:rPr>
      </w:r>
      <w:r>
        <w:rPr>
          <w:rFonts w:cs="Times New Roman"/>
          <w:color w:val="000000" w:themeColor="text1"/>
          <w:sz w:val="24"/>
          <w:szCs w:val="24"/>
        </w:rPr>
      </w:r>
    </w:p>
    <w:p w14:paraId="779B730D" w14:textId="77777777">
      <w:pPr>
        <w:pStyle w:val="1062"/>
        <w:pBdr/>
        <w:spacing w:before="120"/>
        <w:ind/>
        <w:jc w:val="center"/>
        <w:rPr/>
      </w:pPr>
      <w:r>
        <mc:AlternateContent>
          <mc:Choice Requires="wpg">
            <w:drawing>
              <wp:inline xmlns:wp="http://schemas.openxmlformats.org/drawingml/2006/wordprocessingDrawing" distT="0" distB="0" distL="0" distR="0">
                <wp:extent cx="5275293"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39729" name=""/>
                        <pic:cNvPicPr>
                          <a:picLocks noChangeAspect="1"/>
                        </pic:cNvPicPr>
                        <pic:nvPr/>
                      </pic:nvPicPr>
                      <pic:blipFill rotWithShape="1">
                        <a:blip r:embed="rId13"/>
                        <a:srcRect l="0" t="11579" r="0" b="26126"/>
                        <a:stretch/>
                      </pic:blipFill>
                      <pic:spPr bwMode="auto">
                        <a:xfrm>
                          <a:off x="0" y="0"/>
                          <a:ext cx="5275292" cy="2190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15.38pt;height:172.50pt;mso-wrap-distance-left:0.00pt;mso-wrap-distance-top:0.00pt;mso-wrap-distance-right:0.00pt;mso-wrap-distance-bottom:0.00pt;z-index:1;" stroked="false">
                <v:imagedata r:id="rId13" o:title="" croptop="7588f" cropleft="0f" cropbottom="17122f" cropright="0f"/>
                <o:lock v:ext="edit" rotation="t"/>
              </v:shape>
            </w:pict>
          </mc:Fallback>
        </mc:AlternateContent>
      </w:r>
      <w:r/>
    </w:p>
    <w:p w14:paraId="2199A074" w14:textId="77777777">
      <w:pPr>
        <w:pStyle w:val="1062"/>
        <w:pBdr/>
        <w:spacing w:before="120"/>
        <w:ind/>
        <w:jc w:val="center"/>
        <w:rPr/>
      </w:pPr>
      <w:r/>
      <w:r/>
    </w:p>
    <w:p w14:paraId="1DAD36D1" w14:textId="77777777">
      <w:pPr>
        <w:pStyle w:val="1039"/>
        <w:pBdr/>
        <w:spacing w:after="120" w:before="120" w:line="240" w:lineRule="auto"/>
        <w:ind/>
        <w:rPr>
          <w:rFonts w:cs="Times New Roman"/>
          <w:sz w:val="24"/>
          <w:szCs w:val="24"/>
        </w:rPr>
      </w:pPr>
      <w:r>
        <w:rPr>
          <w:rFonts w:cs="Times New Roman"/>
          <w:sz w:val="24"/>
          <w:szCs w:val="24"/>
        </w:rPr>
        <w:t xml:space="preserve">3. Methodology</w:t>
      </w:r>
      <w:r>
        <w:rPr>
          <w:rFonts w:cs="Times New Roman"/>
          <w:sz w:val="24"/>
          <w:szCs w:val="24"/>
        </w:rPr>
      </w:r>
      <w:r>
        <w:rPr>
          <w:rFonts w:cs="Times New Roman"/>
          <w:sz w:val="24"/>
          <w:szCs w:val="24"/>
        </w:rPr>
      </w:r>
    </w:p>
    <w:p w14:paraId="191CBE01"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3.1. </w:t>
      </w:r>
      <w:bookmarkStart w:id="1" w:name="research-design"/>
      <w:r>
        <w:rPr>
          <w:rFonts w:ascii="Times New Roman" w:hAnsi="Times New Roman" w:eastAsia="Times New Roman" w:cs="Times New Roman"/>
          <w:b/>
          <w:bCs/>
          <w:i/>
          <w:iCs/>
          <w:color w:val="000000" w:themeColor="text1"/>
          <w:sz w:val="24"/>
          <w:szCs w:val="24"/>
        </w:rPr>
        <w:t xml:space="preserve">Research Design</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7EB1EA2D"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study employed a mixed-methods explanatory sequential design (Creswell &amp; Plano Clark, 2018). Quantitative data </w:t>
      </w:r>
      <w:r>
        <w:rPr>
          <w:rFonts w:ascii="Times New Roman" w:hAnsi="Times New Roman" w:eastAsia="Times New Roman" w:cs="Times New Roman"/>
          <w:color w:val="000000" w:themeColor="text1"/>
        </w:rPr>
        <w:t xml:space="preserve">were collected and analyzed first, followed by qualitative data to elaborate and contextualise the quantitative results. The rationale is twofold: quantitative methods identify patterns, test structural relationships, and estimate effect magnitudes, while </w:t>
      </w:r>
      <w:r>
        <w:rPr>
          <w:rFonts w:ascii="Times New Roman" w:hAnsi="Times New Roman" w:eastAsia="Times New Roman" w:cs="Times New Roman"/>
          <w:color w:val="000000" w:themeColor="text1"/>
        </w:rPr>
        <w:t xml:space="preserve">qualitative methods reveal the subjective experiences and contextual nuances underlying statistical associations.</w:t>
      </w:r>
      <w:bookmarkEnd w:id="1"/>
      <w:r>
        <w:rPr>
          <w:rFonts w:ascii="Times New Roman" w:hAnsi="Times New Roman" w:cs="Times New Roman"/>
          <w:color w:val="000000" w:themeColor="text1"/>
        </w:rPr>
      </w:r>
      <w:r>
        <w:rPr>
          <w:rFonts w:ascii="Times New Roman" w:hAnsi="Times New Roman" w:cs="Times New Roman"/>
          <w:color w:val="000000" w:themeColor="text1"/>
        </w:rPr>
      </w:r>
    </w:p>
    <w:p w14:paraId="0A71BAEF"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3.2. </w:t>
      </w:r>
      <w:bookmarkStart w:id="2" w:name="research-setting-and-participants"/>
      <w:r>
        <w:rPr>
          <w:rFonts w:ascii="Times New Roman" w:hAnsi="Times New Roman" w:eastAsia="Times New Roman" w:cs="Times New Roman"/>
          <w:b/>
          <w:bCs/>
          <w:i/>
          <w:iCs/>
          <w:color w:val="000000" w:themeColor="text1"/>
          <w:sz w:val="24"/>
          <w:szCs w:val="24"/>
        </w:rPr>
        <w:t xml:space="preserve">Research Setting and Participants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481D1C98"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rPr>
        <w:t xml:space="preserve">The study was conducted at HUFLIT during the second semester of the 2025 academic year. A convenience sampling method was used to recruit participan</w:t>
      </w:r>
      <w:r>
        <w:rPr>
          <w:rFonts w:ascii="Times New Roman" w:hAnsi="Times New Roman" w:eastAsia="Times New Roman" w:cs="Times New Roman"/>
        </w:rPr>
        <w:t xml:space="preserve">ts from the population of third-year students enrolled in English-major programmes within the Faculty of Foreign Languages. Third-year students were targeted because they had completed sufficient exposure to the university's English-language curriculum to </w:t>
      </w:r>
      <w:r>
        <w:rPr>
          <w:rFonts w:ascii="Times New Roman" w:hAnsi="Times New Roman" w:eastAsia="Times New Roman" w:cs="Times New Roman"/>
        </w:rPr>
        <w:t xml:space="preserve">have formed relatively stable motivational orientations and autonomous learning patterns, while still remaining actively engaged in major coursework. Within this target group, participants were recruited on a voluntary basis from accessible class sections.</w:t>
      </w:r>
      <w:r>
        <w:rPr>
          <w:rFonts w:ascii="Times New Roman" w:hAnsi="Times New Roman" w:cs="Times New Roman"/>
          <w:color w:val="000000" w:themeColor="text1"/>
        </w:rPr>
      </w:r>
      <w:r>
        <w:rPr>
          <w:rFonts w:ascii="Times New Roman" w:hAnsi="Times New Roman" w:cs="Times New Roman"/>
          <w:color w:val="000000" w:themeColor="text1"/>
        </w:rPr>
      </w:r>
    </w:p>
    <w:p w14:paraId="1FDECEC9"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rPr>
        <w:t xml:space="preserve">As shown in Table 1, most participants were female (n = 95, 65.5%). English Language Teaching repr</w:t>
      </w:r>
      <w:r>
        <w:rPr>
          <w:rFonts w:ascii="Times New Roman" w:hAnsi="Times New Roman" w:eastAsia="Times New Roman" w:cs="Times New Roman"/>
        </w:rPr>
        <w:t xml:space="preserve">esented the largest major group (n = 60, 41.4%), followed by Business English (n = 40, 27.6%). Most students reported a GPA of 2.5 or above (n = 140, 96.6%), indicating that higher-performing students may have been more likely to participate in the survey.</w:t>
      </w:r>
      <w:r>
        <w:rPr>
          <w:rFonts w:ascii="Times New Roman" w:hAnsi="Times New Roman" w:cs="Times New Roman"/>
          <w:color w:val="000000" w:themeColor="text1"/>
        </w:rPr>
      </w:r>
      <w:r>
        <w:rPr>
          <w:rFonts w:ascii="Times New Roman" w:hAnsi="Times New Roman" w:cs="Times New Roman"/>
          <w:color w:val="000000" w:themeColor="text1"/>
        </w:rPr>
      </w:r>
    </w:p>
    <w:p w14:paraId="41AFA726"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0AAC2424"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1</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08F3298F"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Demographic Characteristics of Participants (N = 145) </w:t>
      </w:r>
      <w:r>
        <w:rPr>
          <w:rFonts w:cs="Times New Roman"/>
          <w:color w:val="000000" w:themeColor="text1"/>
          <w:sz w:val="24"/>
          <w:szCs w:val="24"/>
        </w:rPr>
      </w:r>
      <w:r>
        <w:rPr>
          <w:rFonts w:cs="Times New Roman"/>
          <w:color w:val="000000" w:themeColor="text1"/>
          <w:sz w:val="24"/>
          <w:szCs w:val="24"/>
        </w:rPr>
      </w:r>
    </w:p>
    <w:tbl>
      <w:tblPr>
        <w:tblStyle w:val="1063"/>
        <w:tblInd w:w="170" w:type="dxa"/>
        <w:tblW w:w="0" w:type="auto"/>
        <w:tblBorders/>
        <w:tblLayout w:type="fixed"/>
        <w:tblLook w:val="0020" w:firstRow="1" w:lastRow="0" w:firstColumn="0" w:lastColumn="0" w:noHBand="0" w:noVBand="0"/>
      </w:tblPr>
      <w:tblGrid>
        <w:gridCol w:w="2031"/>
        <w:gridCol w:w="3202"/>
        <w:gridCol w:w="1460"/>
        <w:gridCol w:w="2000"/>
      </w:tblGrid>
      <w:tr>
        <w:trPr>
          <w:trHeight w:val="314"/>
          <w:tblHeader/>
        </w:trPr>
        <w:tc>
          <w:tcPr>
            <w:tcBorders>
              <w:top w:val="single" w:color="000000" w:sz="4" w:space="0"/>
            </w:tcBorders>
            <w:tcW w:w="2031" w:type="dxa"/>
            <w:vAlign w:val="center"/>
          </w:tcPr>
          <w:p w14:paraId="738E1A6E"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Demographic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3202" w:type="dxa"/>
            <w:vAlign w:val="center"/>
          </w:tcPr>
          <w:p w14:paraId="2D98D2BE"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Variable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460" w:type="dxa"/>
            <w:vAlign w:val="center"/>
          </w:tcPr>
          <w:p w14:paraId="5AD98256"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Frequency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2000" w:type="dxa"/>
            <w:vAlign w:val="center"/>
          </w:tcPr>
          <w:p w14:paraId="656A09BD"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Percentage (%)</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4"/>
        </w:trPr>
        <w:tc>
          <w:tcPr>
            <w:tcBorders/>
            <w:tcW w:w="2031" w:type="dxa"/>
            <w:vAlign w:val="center"/>
            <w:vMerge w:val="restart"/>
          </w:tcPr>
          <w:p w14:paraId="359A0C23"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Gender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202" w:type="dxa"/>
          </w:tcPr>
          <w:p w14:paraId="71D0797F"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Male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65D1F4B8"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50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42A63326"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34.5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48A01EFB" w14:textId="77777777">
            <w:pPr>
              <w:pBdr/>
              <w:spacing w:after="0" w:before="0" w:line="240" w:lineRule="auto"/>
              <w:ind/>
              <w:rPr/>
            </w:pPr>
            <w:r/>
            <w:r/>
          </w:p>
        </w:tc>
        <w:tc>
          <w:tcPr>
            <w:tcBorders/>
            <w:tcW w:w="3202" w:type="dxa"/>
          </w:tcPr>
          <w:p w14:paraId="41D1645E"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Female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1904342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95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51528DD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65.5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Align w:val="center"/>
            <w:vMerge w:val="restart"/>
          </w:tcPr>
          <w:p w14:paraId="56011CC2"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Major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202" w:type="dxa"/>
          </w:tcPr>
          <w:p w14:paraId="03B91865"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 Language Teaching</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6EE98CF7"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60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10D1DB5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41.4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748056EF" w14:textId="77777777">
            <w:pPr>
              <w:pBdr/>
              <w:spacing w:after="0" w:before="0" w:line="240" w:lineRule="auto"/>
              <w:ind/>
              <w:rPr/>
            </w:pPr>
            <w:r/>
            <w:r/>
          </w:p>
        </w:tc>
        <w:tc>
          <w:tcPr>
            <w:tcBorders/>
            <w:tcW w:w="3202" w:type="dxa"/>
          </w:tcPr>
          <w:p w14:paraId="7A940AAD"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Business English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1C6A98CB"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407466A8"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27.6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42C2531B" w14:textId="77777777">
            <w:pPr>
              <w:pBdr/>
              <w:spacing w:after="0" w:before="0" w:line="240" w:lineRule="auto"/>
              <w:ind/>
              <w:rPr/>
            </w:pPr>
            <w:r/>
            <w:r/>
          </w:p>
        </w:tc>
        <w:tc>
          <w:tcPr>
            <w:tcBorders/>
            <w:tcW w:w="3202" w:type="dxa"/>
          </w:tcPr>
          <w:p w14:paraId="33FB017C"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Translation &amp; Interpretation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3F74C13F"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7D26677F"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10.3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2E831251" w14:textId="77777777">
            <w:pPr>
              <w:pBdr/>
              <w:spacing w:after="0" w:before="0" w:line="240" w:lineRule="auto"/>
              <w:ind/>
              <w:rPr/>
            </w:pPr>
            <w:r/>
            <w:r/>
          </w:p>
        </w:tc>
        <w:tc>
          <w:tcPr>
            <w:tcBorders/>
            <w:tcW w:w="3202" w:type="dxa"/>
          </w:tcPr>
          <w:p w14:paraId="7562817E"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English-Chinese Bilingual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5F0EB755"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529C1BC2"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10.3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7496BBB0" w14:textId="77777777">
            <w:pPr>
              <w:pBdr/>
              <w:spacing w:after="0" w:before="0" w:line="240" w:lineRule="auto"/>
              <w:ind/>
              <w:rPr/>
            </w:pPr>
            <w:r/>
            <w:r/>
          </w:p>
        </w:tc>
        <w:tc>
          <w:tcPr>
            <w:tcBorders/>
            <w:tcW w:w="3202" w:type="dxa"/>
          </w:tcPr>
          <w:p w14:paraId="55AB4F5D"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Office Administration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28108983"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1D78418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6.9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6F028D99" w14:textId="77777777">
            <w:pPr>
              <w:pBdr/>
              <w:spacing w:after="0" w:before="0" w:line="240" w:lineRule="auto"/>
              <w:ind/>
              <w:rPr/>
            </w:pPr>
            <w:r/>
            <w:r/>
          </w:p>
        </w:tc>
        <w:tc>
          <w:tcPr>
            <w:tcBorders/>
            <w:tcW w:w="3202" w:type="dxa"/>
          </w:tcPr>
          <w:p w14:paraId="4FFF20CA"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Logistics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0999C91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6BC52E4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Align w:val="center"/>
            <w:vMerge w:val="restart"/>
          </w:tcPr>
          <w:p w14:paraId="1EE6DA8E"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GPA (Self-reported)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202" w:type="dxa"/>
          </w:tcPr>
          <w:p w14:paraId="195B47D0" w14:textId="77777777">
            <w:pPr>
              <w:pStyle w:val="1064"/>
              <w:pBdr/>
              <w:spacing w:after="0" w:before="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2.5</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5DDEC250"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45D16967"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8"/>
        </w:trPr>
        <w:tc>
          <w:tcPr>
            <w:tcBorders/>
            <w:tcW w:w="2031" w:type="dxa"/>
            <w:vMerge w:val="continue"/>
          </w:tcPr>
          <w:p w14:paraId="6B31DF7D" w14:textId="77777777">
            <w:pPr>
              <w:pBdr/>
              <w:spacing w:after="0" w:before="0" w:line="240" w:lineRule="auto"/>
              <w:ind/>
              <w:rPr/>
            </w:pPr>
            <w:r/>
            <w:r/>
          </w:p>
        </w:tc>
        <w:tc>
          <w:tcPr>
            <w:tcBorders/>
            <w:tcW w:w="3202" w:type="dxa"/>
          </w:tcPr>
          <w:p w14:paraId="7357BA6A"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2.5–3.0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07976607"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58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5631D536"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4"/>
        </w:trPr>
        <w:tc>
          <w:tcPr>
            <w:tcBorders/>
            <w:tcW w:w="2031" w:type="dxa"/>
            <w:vMerge w:val="continue"/>
          </w:tcPr>
          <w:p w14:paraId="712BB54D" w14:textId="77777777">
            <w:pPr>
              <w:pBdr/>
              <w:spacing w:after="0" w:before="0" w:line="240" w:lineRule="auto"/>
              <w:ind/>
              <w:rPr/>
            </w:pPr>
            <w:r/>
            <w:r/>
          </w:p>
        </w:tc>
        <w:tc>
          <w:tcPr>
            <w:tcBorders/>
            <w:tcW w:w="3202" w:type="dxa"/>
          </w:tcPr>
          <w:p w14:paraId="34D73D2A"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3.0–3.2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60" w:type="dxa"/>
          </w:tcPr>
          <w:p w14:paraId="40524734"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000" w:type="dxa"/>
          </w:tcPr>
          <w:p w14:paraId="2F8272A7"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29.0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314"/>
        </w:trPr>
        <w:tc>
          <w:tcPr>
            <w:tcBorders>
              <w:bottom w:val="single" w:color="000000" w:sz="4" w:space="0"/>
            </w:tcBorders>
            <w:tcW w:w="2031" w:type="dxa"/>
            <w:vMerge w:val="continue"/>
          </w:tcPr>
          <w:p w14:paraId="3FFA776F" w14:textId="77777777">
            <w:pPr>
              <w:pBdr/>
              <w:spacing w:after="0" w:before="0" w:line="240" w:lineRule="auto"/>
              <w:ind/>
              <w:rPr/>
            </w:pPr>
            <w:r/>
            <w:r/>
          </w:p>
        </w:tc>
        <w:tc>
          <w:tcPr>
            <w:tcBorders>
              <w:bottom w:val="single" w:color="000000" w:sz="4" w:space="0"/>
            </w:tcBorders>
            <w:tcW w:w="3202" w:type="dxa"/>
          </w:tcPr>
          <w:p w14:paraId="06C4BA2A" w14:textId="77777777">
            <w:pPr>
              <w:pStyle w:val="1064"/>
              <w:pBdr/>
              <w:spacing w:after="0" w:before="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3.2–4.0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460" w:type="dxa"/>
          </w:tcPr>
          <w:p w14:paraId="442692C2"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2000" w:type="dxa"/>
          </w:tcPr>
          <w:p w14:paraId="16D8EA7B" w14:textId="77777777">
            <w:pPr>
              <w:pStyle w:val="1064"/>
              <w:pBdr/>
              <w:spacing w:after="0" w:before="0"/>
              <w:ind/>
              <w:jc w:val="center"/>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27.6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400164BF"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082D326"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qualitative sample consisted of twelve participants selected through purposive maximum-variation sampling to ensure representat</w:t>
      </w:r>
      <w:r>
        <w:rPr>
          <w:rFonts w:ascii="Times New Roman" w:hAnsi="Times New Roman" w:eastAsia="Times New Roman" w:cs="Times New Roman"/>
          <w:color w:val="000000" w:themeColor="text1"/>
        </w:rPr>
        <w:t xml:space="preserve">ion across the range of motivational profiles (high intrinsic, high extrinsic, mixed, low-moderate, and transition from extrinsic to intrinsic) and GPA levels (2.5–3.0, 3.0–3.5, and 3.5–4.0). Pseudonyms were assigned to protect participant confidentiality.</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05EB1187" w14:textId="77777777">
      <w:pPr>
        <w:pStyle w:val="1012"/>
        <w:pBdr/>
        <w:spacing w:after="120"/>
        <w:ind/>
        <w:rPr>
          <w:rFonts w:cs="Times New Roman"/>
          <w:b/>
          <w:bCs/>
          <w:i w:val="0"/>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2</w:t>
      </w:r>
      <w:r>
        <w:rPr>
          <w:rFonts w:cs="Times New Roman"/>
          <w:b/>
          <w:bCs/>
          <w:i w:val="0"/>
          <w:iCs w:val="0"/>
          <w:color w:val="000000" w:themeColor="text1"/>
          <w:sz w:val="24"/>
          <w:szCs w:val="24"/>
        </w:rPr>
        <w:fldChar w:fldCharType="end"/>
      </w:r>
      <w:r>
        <w:rPr>
          <w:rFonts w:cs="Times New Roman"/>
          <w:b/>
          <w:bCs/>
          <w:i w:val="0"/>
          <w:iCs w:val="0"/>
          <w:color w:val="000000" w:themeColor="text1"/>
          <w:sz w:val="24"/>
          <w:szCs w:val="24"/>
        </w:rPr>
        <w:t xml:space="preserve"> </w:t>
      </w:r>
      <w:r>
        <w:rPr>
          <w:rFonts w:cs="Times New Roman"/>
          <w:b/>
          <w:bCs/>
          <w:i w:val="0"/>
          <w:color w:val="000000" w:themeColor="text1"/>
          <w:sz w:val="24"/>
          <w:szCs w:val="24"/>
        </w:rPr>
      </w:r>
      <w:r>
        <w:rPr>
          <w:rFonts w:cs="Times New Roman"/>
          <w:b/>
          <w:bCs/>
          <w:i w:val="0"/>
          <w:color w:val="000000" w:themeColor="text1"/>
          <w:sz w:val="24"/>
          <w:szCs w:val="24"/>
        </w:rPr>
      </w:r>
    </w:p>
    <w:p w14:paraId="260C2EC7"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Interview Participant Characteristics </w:t>
      </w:r>
      <w:r>
        <w:rPr>
          <w:rFonts w:cs="Times New Roman"/>
          <w:color w:val="000000" w:themeColor="text1"/>
          <w:sz w:val="24"/>
          <w:szCs w:val="24"/>
        </w:rPr>
      </w:r>
      <w:r>
        <w:rPr>
          <w:rFonts w:cs="Times New Roman"/>
          <w:color w:val="000000" w:themeColor="text1"/>
          <w:sz w:val="24"/>
          <w:szCs w:val="24"/>
        </w:rPr>
      </w:r>
    </w:p>
    <w:tbl>
      <w:tblPr>
        <w:tblStyle w:val="1063"/>
        <w:tblW w:w="0" w:type="auto"/>
        <w:tblBorders/>
        <w:tblLayout w:type="fixed"/>
        <w:tblLook w:val="0020" w:firstRow="1" w:lastRow="0" w:firstColumn="0" w:lastColumn="0" w:noHBand="0" w:noVBand="0"/>
      </w:tblPr>
      <w:tblGrid>
        <w:gridCol w:w="1345"/>
        <w:gridCol w:w="2757"/>
        <w:gridCol w:w="1375"/>
        <w:gridCol w:w="3196"/>
      </w:tblGrid>
      <w:tr>
        <w:trPr>
          <w:trHeight w:val="557"/>
          <w:tblHeader/>
        </w:trPr>
        <w:tc>
          <w:tcPr>
            <w:tcBorders>
              <w:top w:val="single" w:color="000000" w:sz="4" w:space="0"/>
            </w:tcBorders>
            <w:tcW w:w="1345" w:type="dxa"/>
          </w:tcPr>
          <w:p w14:paraId="3C6B4DC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Pseudonym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2757" w:type="dxa"/>
          </w:tcPr>
          <w:p w14:paraId="7B92A73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Major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375" w:type="dxa"/>
          </w:tcPr>
          <w:p w14:paraId="4425314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GPA Range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3196" w:type="dxa"/>
          </w:tcPr>
          <w:p w14:paraId="61E17F2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Motivation Profile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7"/>
        </w:trPr>
        <w:tc>
          <w:tcPr>
            <w:tcBorders/>
            <w:tcW w:w="1345" w:type="dxa"/>
          </w:tcPr>
          <w:p w14:paraId="7F9219D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January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22F563C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Business English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3B00D4A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3.5–4.0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29EA057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501E8C7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February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3EFE968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 Language Teaching</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47E0A95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3.5–4.0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10CCECE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786F21F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March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5A77DE0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Translation &amp; Interpretation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438E450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3.0–3.5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43FA1E9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Mixed (Internalizing)</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48E77D2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April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73B845E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English-Chinese Bilingual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7F5EDD3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3.0–3.5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7558DA8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Extrinsic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5F483FA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May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71BE0E2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Business English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2332DCD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2.5–3.0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715008B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Low-Moderate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531424C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June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46D452E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 Language Teaching</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5A7DCCA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3.5–4.0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2721D16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2391EC5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July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3023CA3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Office Administration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6810DA2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3.0–3.5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698DB28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Moderate Extrinsic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51870C9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August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44FB79E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Business English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7E7FE2A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3.5–4.0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0B276E8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212A659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September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728713E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Translation &amp; Interpretation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4313D73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3.0–3.5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6B353A4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Mixed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83"/>
        </w:trPr>
        <w:tc>
          <w:tcPr>
            <w:tcBorders/>
            <w:tcW w:w="1345" w:type="dxa"/>
          </w:tcPr>
          <w:p w14:paraId="1F19D57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October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3D1F927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 Language Teaching</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7F41F32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3.5–4.0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201B2EC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Transition (Extrinsic</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tcW w:w="1345" w:type="dxa"/>
          </w:tcPr>
          <w:p w14:paraId="4EA2615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November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757" w:type="dxa"/>
          </w:tcPr>
          <w:p w14:paraId="467C38C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Business English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75" w:type="dxa"/>
          </w:tcPr>
          <w:p w14:paraId="269A96F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3.0–3.5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3196" w:type="dxa"/>
          </w:tcPr>
          <w:p w14:paraId="139E3A7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58"/>
        </w:trPr>
        <w:tc>
          <w:tcPr>
            <w:tcBorders>
              <w:bottom w:val="single" w:color="000000" w:sz="4" w:space="0"/>
            </w:tcBorders>
            <w:tcW w:w="1345" w:type="dxa"/>
          </w:tcPr>
          <w:p w14:paraId="6D2068D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December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2757" w:type="dxa"/>
          </w:tcPr>
          <w:p w14:paraId="0F629BD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English-Chinese Bilingual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375" w:type="dxa"/>
          </w:tcPr>
          <w:p w14:paraId="5500F5F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3.5–4.0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3196" w:type="dxa"/>
          </w:tcPr>
          <w:p w14:paraId="20E82E4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High Intrinsic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6CB7CEC6"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Pseudonyms are used to protect participant confidentiality.</w:t>
      </w:r>
      <w:bookmarkEnd w:id="2"/>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5CFE0880">
      <w:pPr>
        <w:pStyle w:val="850"/>
        <w:pBdr/>
        <w:spacing w:after="120" w:before="120" w:line="240" w:lineRule="auto"/>
        <w:ind w:firstLine="0"/>
        <w:rPr>
          <w:rFonts w:ascii="Times New Roman" w:hAnsi="Times New Roman" w:eastAsia="Times New Roman" w:cs="Times New Roman"/>
          <w:b/>
          <w:bCs/>
          <w:i/>
          <w:color w:val="000000" w:themeColor="text1"/>
          <w:sz w:val="24"/>
          <w:szCs w:val="24"/>
          <w:highlight w:val="none"/>
        </w:rPr>
      </w:pPr>
      <w:r>
        <w:rPr>
          <w:rFonts w:ascii="Times New Roman" w:hAnsi="Times New Roman" w:eastAsia="Times New Roman" w:cs="Times New Roman"/>
          <w:b/>
          <w:bCs/>
          <w:i/>
          <w:color w:val="000000" w:themeColor="text1"/>
          <w:sz w:val="24"/>
          <w:szCs w:val="24"/>
          <w:highlight w:val="none"/>
        </w:rPr>
      </w:r>
      <w:r>
        <w:rPr>
          <w:rFonts w:ascii="Times New Roman" w:hAnsi="Times New Roman" w:eastAsia="Times New Roman" w:cs="Times New Roman"/>
          <w:b/>
          <w:bCs/>
          <w:i/>
          <w:color w:val="000000" w:themeColor="text1"/>
          <w:sz w:val="24"/>
          <w:szCs w:val="24"/>
          <w:highlight w:val="none"/>
        </w:rPr>
      </w:r>
      <w:r>
        <w:rPr>
          <w:rFonts w:ascii="Times New Roman" w:hAnsi="Times New Roman" w:eastAsia="Times New Roman" w:cs="Times New Roman"/>
          <w:b/>
          <w:bCs/>
          <w:i/>
          <w:color w:val="000000" w:themeColor="text1"/>
          <w:sz w:val="24"/>
          <w:szCs w:val="24"/>
          <w:highlight w:val="none"/>
        </w:rPr>
      </w:r>
    </w:p>
    <w:p w14:paraId="6D8BC9BF">
      <w:pPr>
        <w:pStyle w:val="850"/>
        <w:pBdr/>
        <w:spacing w:after="120" w:before="120" w:line="240" w:lineRule="auto"/>
        <w:ind w:firstLine="0"/>
        <w:rPr>
          <w:rFonts w:ascii="Times New Roman" w:hAnsi="Times New Roman" w:eastAsia="Times New Roman" w:cs="Times New Roman"/>
          <w:b/>
          <w:bCs/>
          <w:i/>
          <w:color w:val="000000" w:themeColor="text1"/>
          <w:sz w:val="24"/>
          <w:szCs w:val="24"/>
          <w:highlight w:val="none"/>
        </w:rPr>
      </w:pPr>
      <w:r>
        <w:rPr>
          <w:rFonts w:ascii="Times New Roman" w:hAnsi="Times New Roman" w:eastAsia="Times New Roman" w:cs="Times New Roman"/>
          <w:b/>
          <w:bCs/>
          <w:i/>
          <w:iCs/>
          <w:color w:val="000000" w:themeColor="text1"/>
          <w:sz w:val="24"/>
          <w:szCs w:val="24"/>
          <w:highlight w:val="none"/>
        </w:rPr>
      </w:r>
      <w:r>
        <w:rPr>
          <w:rFonts w:ascii="Times New Roman" w:hAnsi="Times New Roman" w:eastAsia="Times New Roman" w:cs="Times New Roman"/>
          <w:b/>
          <w:bCs/>
          <w:i/>
          <w:color w:val="000000" w:themeColor="text1"/>
          <w:sz w:val="24"/>
          <w:szCs w:val="24"/>
          <w:highlight w:val="none"/>
        </w:rPr>
      </w:r>
      <w:r>
        <w:rPr>
          <w:rFonts w:ascii="Times New Roman" w:hAnsi="Times New Roman" w:eastAsia="Times New Roman" w:cs="Times New Roman"/>
          <w:b/>
          <w:bCs/>
          <w:i/>
          <w:color w:val="000000" w:themeColor="text1"/>
          <w:sz w:val="24"/>
          <w:szCs w:val="24"/>
          <w:highlight w:val="none"/>
        </w:rPr>
      </w:r>
    </w:p>
    <w:p w14:paraId="62847757" w14:textId="77777777">
      <w:pPr>
        <w:pStyle w:val="850"/>
        <w:pBdr/>
        <w:spacing w:after="120" w:before="120" w:line="240" w:lineRule="auto"/>
        <w:ind/>
        <w:rPr>
          <w:rFonts w:ascii="Times New Roman" w:hAnsi="Times New Roman" w:eastAsia="Times New Roman" w:cs="Times New Roman"/>
          <w:b/>
          <w:bCs/>
          <w:i/>
          <w:color w:val="000000" w:themeColor="text1"/>
          <w:sz w:val="24"/>
          <w:szCs w:val="24"/>
          <w:highlight w:val="none"/>
        </w:rPr>
      </w:pPr>
      <w:r>
        <w:rPr>
          <w:rFonts w:ascii="Times New Roman" w:hAnsi="Times New Roman" w:eastAsia="Times New Roman" w:cs="Times New Roman"/>
          <w:b/>
          <w:bCs/>
          <w:i/>
          <w:iCs/>
          <w:color w:val="000000" w:themeColor="text1"/>
          <w:sz w:val="24"/>
          <w:szCs w:val="24"/>
        </w:rPr>
        <w:t xml:space="preserve">3.3. </w:t>
      </w:r>
      <w:bookmarkStart w:id="3" w:name="research-instruments"/>
      <w:r>
        <w:rPr>
          <w:rFonts w:ascii="Times New Roman" w:hAnsi="Times New Roman" w:eastAsia="Times New Roman" w:cs="Times New Roman"/>
          <w:b/>
          <w:bCs/>
          <w:i/>
          <w:iCs/>
          <w:color w:val="000000" w:themeColor="text1"/>
          <w:sz w:val="24"/>
          <w:szCs w:val="24"/>
        </w:rPr>
        <w:t xml:space="preserve">Research Instruments</w:t>
      </w:r>
      <w:r>
        <w:rPr>
          <w:rFonts w:ascii="Times New Roman" w:hAnsi="Times New Roman" w:eastAsia="Times New Roman" w:cs="Times New Roman"/>
          <w:b/>
          <w:bCs/>
          <w:i/>
          <w:color w:val="000000" w:themeColor="text1"/>
          <w:sz w:val="24"/>
          <w:szCs w:val="24"/>
          <w:highlight w:val="none"/>
        </w:rPr>
      </w:r>
      <w:r>
        <w:rPr>
          <w:rFonts w:ascii="Times New Roman" w:hAnsi="Times New Roman" w:eastAsia="Times New Roman" w:cs="Times New Roman"/>
          <w:b/>
          <w:bCs/>
          <w:i/>
          <w:color w:val="000000" w:themeColor="text1"/>
          <w:sz w:val="24"/>
          <w:szCs w:val="24"/>
          <w:highlight w:val="none"/>
        </w:rPr>
      </w:r>
    </w:p>
    <w:p w14:paraId="0EE336B9"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A structured questionnaire comprising 24 items was d</w:t>
      </w:r>
      <w:r>
        <w:rPr>
          <w:rFonts w:ascii="Times New Roman" w:hAnsi="Times New Roman" w:eastAsia="Times New Roman" w:cs="Times New Roman"/>
          <w:color w:val="000000" w:themeColor="text1"/>
        </w:rPr>
        <w:t xml:space="preserve">eveloped to measure Intrinsic Motivation, Extrinsic Motivation, Learner Autonomy, and Academic Performance, with six items for each construct. The motivation items were adapted from Self-Determination Theory and L2 motivation research (Deci &amp; Ryan, 2000; N</w:t>
      </w:r>
      <w:r>
        <w:rPr>
          <w:rFonts w:ascii="Times New Roman" w:hAnsi="Times New Roman" w:eastAsia="Times New Roman" w:cs="Times New Roman"/>
          <w:color w:val="000000" w:themeColor="text1"/>
        </w:rPr>
        <w:t xml:space="preserve">oels et al., 2000; Vallerand &amp; Bissonnette, 1992; Afzal et al., 2010). Learner autonomy items were informed by learner autonomy and self-regulated learning studies (Dang, 2010; Gardner, 2007; Nakata, 2014; Zimmerman &amp; Kitsantas, 2014), while academic perfo</w:t>
      </w:r>
      <w:r>
        <w:rPr>
          <w:rFonts w:ascii="Times New Roman" w:hAnsi="Times New Roman" w:eastAsia="Times New Roman" w:cs="Times New Roman"/>
          <w:color w:val="000000" w:themeColor="text1"/>
        </w:rPr>
        <w:t xml:space="preserve">rmance items were adapted from studies on motivation, self-regulation, and achievement (Pintrich &amp; De Groot, 1990; Alhadabi &amp; Karpinski, 2020; Cao &amp; Pho, 2025). All items were contextualized for Vietnamese tertiary EFL students and rated on a 5-point Liker</w:t>
      </w:r>
      <w:r>
        <w:rPr>
          <w:rFonts w:ascii="Times New Roman" w:hAnsi="Times New Roman" w:eastAsia="Times New Roman" w:cs="Times New Roman"/>
          <w:color w:val="000000" w:themeColor="text1"/>
        </w:rPr>
        <w:t xml:space="preserve">t scale. The questionnaire was piloted with 10 HUFLIT English-major students excluded from the primary sample. Cronbach’s alpha values from the pilot confirmed satisfactory internal consistency for all four scales. Experts in Applied Linguistics and TESOL </w:t>
      </w:r>
      <w:r>
        <w:rPr>
          <w:rFonts w:ascii="Times New Roman" w:hAnsi="Times New Roman" w:eastAsia="Times New Roman" w:cs="Times New Roman"/>
          <w:color w:val="000000" w:themeColor="text1"/>
        </w:rPr>
        <w:t xml:space="preserve">reviewed the items for content validity, and their feedback informed refinements to item wording for the target population.</w:t>
      </w:r>
      <w:r>
        <w:rPr>
          <w:rFonts w:ascii="Times New Roman" w:hAnsi="Times New Roman" w:cs="Times New Roman"/>
          <w:color w:val="000000" w:themeColor="text1"/>
        </w:rPr>
      </w:r>
      <w:r>
        <w:rPr>
          <w:rFonts w:ascii="Times New Roman" w:hAnsi="Times New Roman" w:cs="Times New Roman"/>
          <w:color w:val="000000" w:themeColor="text1"/>
        </w:rPr>
      </w:r>
    </w:p>
    <w:p w14:paraId="3DB7232F"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Semi-structured interviews lasting 8 to 15 minutes were conducted w</w:t>
      </w:r>
      <w:r>
        <w:rPr>
          <w:rFonts w:ascii="Times New Roman" w:hAnsi="Times New Roman" w:eastAsia="Times New Roman" w:cs="Times New Roman"/>
          <w:color w:val="000000" w:themeColor="text1"/>
        </w:rPr>
        <w:t xml:space="preserve">ith the twelve qualitative participants, either in person or via digital conferencing platforms, and were audio-recorded with participants’ consent. The semi-structured interview protocol was developed based on the study’s conceptual framework and prior re</w:t>
      </w:r>
      <w:r>
        <w:rPr>
          <w:rFonts w:ascii="Times New Roman" w:hAnsi="Times New Roman" w:eastAsia="Times New Roman" w:cs="Times New Roman"/>
          <w:color w:val="000000" w:themeColor="text1"/>
        </w:rPr>
        <w:t xml:space="preserve">search (Deci &amp; Ryan, 2000; Noels et al., 2000; Dang, 2010; Gardner, 2007; Zimmerman, 2002). It focused on four areas: students’ initial motivation for choosing English, factors sustaining or weakening motivation, autonomous learning beh</w:t>
      </w:r>
      <w:r>
        <w:rPr>
          <w:rFonts w:ascii="Times New Roman" w:hAnsi="Times New Roman" w:eastAsia="Times New Roman" w:cs="Times New Roman"/>
          <w:color w:val="000000" w:themeColor="text1"/>
        </w:rPr>
        <w:t xml:space="preserve">aviours, and strategies for overcoming motivational difficulties. Credibility was supported through member-checking, in which three participants reviewed summaries of their interview responses and confirmed the accuracy of the researchers’ interpretations.</w:t>
      </w:r>
      <w:bookmarkEnd w:id="3"/>
      <w:r>
        <w:rPr>
          <w:rFonts w:ascii="Times New Roman" w:hAnsi="Times New Roman" w:cs="Times New Roman"/>
          <w:color w:val="000000" w:themeColor="text1"/>
        </w:rPr>
      </w:r>
      <w:r>
        <w:rPr>
          <w:rFonts w:ascii="Times New Roman" w:hAnsi="Times New Roman" w:cs="Times New Roman"/>
          <w:color w:val="000000" w:themeColor="text1"/>
        </w:rPr>
      </w:r>
    </w:p>
    <w:p w14:paraId="35CDA2F5"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3.4. </w:t>
      </w:r>
      <w:bookmarkStart w:id="4" w:name="data-collection-procedures"/>
      <w:r>
        <w:rPr>
          <w:rFonts w:ascii="Times New Roman" w:hAnsi="Times New Roman" w:eastAsia="Times New Roman" w:cs="Times New Roman"/>
          <w:b/>
          <w:bCs/>
          <w:i/>
          <w:iCs/>
          <w:color w:val="000000" w:themeColor="text1"/>
          <w:sz w:val="24"/>
          <w:szCs w:val="24"/>
        </w:rPr>
        <w:t xml:space="preserve">Data Collection Procedures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2CF16586"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Data collection proceeded in three phases: distributing the Google Forms survey to eligible third-year English</w:t>
      </w:r>
      <w:r>
        <w:rPr>
          <w:rFonts w:ascii="Times New Roman" w:hAnsi="Times New Roman" w:eastAsia="Times New Roman" w:cs="Times New Roman"/>
          <w:color w:val="000000" w:themeColor="text1"/>
        </w:rPr>
        <w:t xml:space="preserve"> majors via Zalo groups and QR codes (open for two weeks with one reminder); inviting survey respondents to volunteer for interviews; and selecting twelve participants via maximum-variation sampling for individual interviews. All responses were anonymized.</w:t>
      </w:r>
      <w:bookmarkEnd w:id="4"/>
      <w:r>
        <w:rPr>
          <w:rFonts w:ascii="Times New Roman" w:hAnsi="Times New Roman" w:cs="Times New Roman"/>
          <w:color w:val="000000" w:themeColor="text1"/>
        </w:rPr>
      </w:r>
      <w:r>
        <w:rPr>
          <w:rFonts w:ascii="Times New Roman" w:hAnsi="Times New Roman" w:cs="Times New Roman"/>
          <w:color w:val="000000" w:themeColor="text1"/>
        </w:rPr>
      </w:r>
    </w:p>
    <w:p w14:paraId="43D09B53"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3.5. Data Analysis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34E38A3B"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Quantitative data were analyzed in two s</w:t>
      </w:r>
      <w:r>
        <w:rPr>
          <w:rFonts w:ascii="Times New Roman" w:hAnsi="Times New Roman" w:eastAsia="Times New Roman" w:cs="Times New Roman"/>
          <w:color w:val="000000" w:themeColor="text1"/>
        </w:rPr>
        <w:t xml:space="preserve">tages. Descriptive statistics, including means, standard deviations, and frequency distributions, were computed using SPSS to characterize the sample’s motivational and autonomy profiles. Partial Least Squares Structural Equation Modeling was then conducte</w:t>
      </w:r>
      <w:r>
        <w:rPr>
          <w:rFonts w:ascii="Times New Roman" w:hAnsi="Times New Roman" w:eastAsia="Times New Roman" w:cs="Times New Roman"/>
          <w:color w:val="000000" w:themeColor="text1"/>
        </w:rPr>
        <w:t xml:space="preserve">d using SmartPLS 4.0. PLS-SEM was selected over covariance-based SEM because of its suitability for predictive and exploratory research, its robustness with smaller samples, and its capacity to accommodate non-normal data distributions (Hair et al., 2019).</w:t>
      </w:r>
      <w:r>
        <w:rPr>
          <w:rFonts w:ascii="Times New Roman" w:hAnsi="Times New Roman" w:cs="Times New Roman"/>
          <w:color w:val="000000" w:themeColor="text1"/>
        </w:rPr>
      </w:r>
      <w:r>
        <w:rPr>
          <w:rFonts w:ascii="Times New Roman" w:hAnsi="Times New Roman" w:cs="Times New Roman"/>
          <w:color w:val="000000" w:themeColor="text1"/>
        </w:rPr>
      </w:r>
    </w:p>
    <w:p w14:paraId="183AD36D"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PLS-SEM analysis followed the two-stage procedure recommended by Hair et al. (2019). In the first stage, the measurement model was evaluated through indicator reliability (outer loadings </w:t>
      </w:r>
      <m:oMath>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.7</m:t>
        </m:r>
      </m:oMath>
      <w:r>
        <w:rPr>
          <w:rFonts w:ascii="Times New Roman" w:hAnsi="Times New Roman" w:eastAsia="Times New Roman" w:cs="Times New Roman"/>
          <w:color w:val="000000" w:themeColor="text1"/>
        </w:rPr>
        <w:t xml:space="preserve">), internal consistency reliability (Cronbach’s alpha and composite reliability </w:t>
      </w:r>
      <m:oMath>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.7</m:t>
        </m:r>
      </m:oMath>
      <w:r>
        <w:rPr>
          <w:rFonts w:ascii="Times New Roman" w:hAnsi="Times New Roman" w:eastAsia="Times New Roman" w:cs="Times New Roman"/>
          <w:color w:val="000000" w:themeColor="text1"/>
        </w:rPr>
        <w:t xml:space="preserve">), convergent validity (AVE </w:t>
      </w:r>
      <m:oMath>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.5</m:t>
        </m:r>
      </m:oMath>
      <w:r>
        <w:rPr>
          <w:rFonts w:ascii="Times New Roman" w:hAnsi="Times New Roman" w:eastAsia="Times New Roman" w:cs="Times New Roman"/>
          <w:color w:val="000000" w:themeColor="text1"/>
        </w:rPr>
        <w:t xml:space="preserve">), and discriminant validity (HTMT </w:t>
      </w:r>
      <m:oMath>
        <m:r>
          <w:rPr>
            <w:rFonts w:ascii="Cambria Math" w:hAnsi="Cambria Math" w:eastAsia="Cambria Math" w:cs="Cambria Math"/>
            <w:color w:val="000000" w:themeColor="text1"/>
          </w:rPr>
          <m:rPr>
            <m:sty m:val="p"/>
          </m:rPr>
          <m:t>&lt;</m:t>
        </m:r>
        <m:r>
          <w:rPr>
            <w:rFonts w:ascii="Cambria Math" w:hAnsi="Cambria Math" w:eastAsia="Cambria Math" w:cs="Cambria Math"/>
            <w:color w:val="000000" w:themeColor="text1"/>
          </w:rPr>
          <m:rPr/>
          <m:t>.9</m:t>
        </m:r>
      </m:oMath>
      <w:r>
        <w:rPr>
          <w:rFonts w:ascii="Times New Roman" w:hAnsi="Times New Roman" w:eastAsia="Times New Roman" w:cs="Times New Roman"/>
          <w:color w:val="000000" w:themeColor="text1"/>
        </w:rPr>
        <w:t xml:space="preserve">). In the second stage, the structural model was assessed through collinearity diagnostics (VIF </w:t>
      </w:r>
      <m:oMath>
        <m:r>
          <w:rPr>
            <w:rFonts w:ascii="Cambria Math" w:hAnsi="Cambria Math" w:eastAsia="Cambria Math" w:cs="Cambria Math"/>
            <w:color w:val="000000" w:themeColor="text1"/>
          </w:rPr>
          <m:rPr>
            <m:sty m:val="p"/>
          </m:rPr>
          <m:t>&lt;</m:t>
        </m:r>
        <m:r>
          <w:rPr>
            <w:rFonts w:ascii="Cambria Math" w:hAnsi="Cambria Math" w:eastAsia="Cambria Math" w:cs="Cambria Math"/>
            <w:color w:val="000000" w:themeColor="text1"/>
          </w:rPr>
          <m:rPr/>
          <m:t>3</m:t>
        </m:r>
      </m:oMath>
      <w:r>
        <w:rPr>
          <w:rFonts w:ascii="Times New Roman" w:hAnsi="Times New Roman" w:eastAsia="Times New Roman" w:cs="Times New Roman"/>
          <w:color w:val="000000" w:themeColor="text1"/>
        </w:rPr>
        <w:t xml:space="preserve">), path coefficients and significance testing (bootstrapping with 5,000 subsamples), explanatory power (</w:t>
      </w:r>
      <m:oMath>
        <m:sSup>
          <m:sSupPr>
            <m:ctrlPr>
              <w:rPr>
                <w:rFonts w:ascii="Cambria Math" w:hAnsi="Cambria Math" w:eastAsia="Cambria Math" w:cs="Cambria Math"/>
                <w:color w:val="000000" w:themeColor="text1"/>
              </w:rPr>
            </m:ctrlPr>
          </m:sSupPr>
          <m:e>
            <m:r>
              <w:rPr>
                <w:rFonts w:ascii="Cambria Math" w:hAnsi="Cambria Math" w:eastAsia="Cambria Math" w:cs="Cambria Math"/>
                <w:color w:val="000000" w:themeColor="text1"/>
              </w:rPr>
              <m:rPr/>
              <m:t>R</m:t>
            </m:r>
          </m:e>
          <m:sup>
            <m:r>
              <w:rPr>
                <w:rFonts w:ascii="Cambria Math" w:hAnsi="Cambria Math" w:eastAsia="Cambria Math" w:cs="Cambria Math"/>
                <w:color w:val="000000" w:themeColor="text1"/>
              </w:rPr>
              <m:rPr/>
              <m:t>2</m:t>
            </m:r>
          </m:sup>
        </m:sSup>
      </m:oMath>
      <w:r>
        <w:rPr>
          <w:rFonts w:ascii="Times New Roman" w:hAnsi="Times New Roman" w:eastAsia="Times New Roman" w:cs="Times New Roman"/>
          <w:color w:val="000000" w:themeColor="text1"/>
        </w:rPr>
        <w:t xml:space="preserve">), effect sizes (</w:t>
      </w:r>
      <m:oMath>
        <m:sSup>
          <m:sSupPr>
            <m:ctrlPr>
              <w:rPr>
                <w:rFonts w:ascii="Cambria Math" w:hAnsi="Cambria Math" w:eastAsia="Cambria Math" w:cs="Cambria Math"/>
                <w:color w:val="000000" w:themeColor="text1"/>
              </w:rPr>
            </m:ctrlPr>
          </m:sSupPr>
          <m:e>
            <m:r>
              <w:rPr>
                <w:rFonts w:ascii="Cambria Math" w:hAnsi="Cambria Math" w:eastAsia="Cambria Math" w:cs="Cambria Math"/>
                <w:color w:val="000000" w:themeColor="text1"/>
              </w:rPr>
              <m:rPr/>
              <m:t>f</m:t>
            </m:r>
          </m:e>
          <m:sup>
            <m:r>
              <w:rPr>
                <w:rFonts w:ascii="Cambria Math" w:hAnsi="Cambria Math" w:eastAsia="Cambria Math" w:cs="Cambria Math"/>
                <w:color w:val="000000" w:themeColor="text1"/>
              </w:rPr>
              <m:rPr/>
              <m:t>2</m:t>
            </m:r>
          </m:sup>
        </m:sSup>
      </m:oMath>
      <w:r>
        <w:rPr>
          <w:rFonts w:ascii="Times New Roman" w:hAnsi="Times New Roman" w:eastAsia="Times New Roman" w:cs="Times New Roman"/>
          <w:color w:val="000000" w:themeColor="text1"/>
        </w:rPr>
        <w:t xml:space="preserve">), and mediation analysis using the bootstrapped indirect effects procedure.</w:t>
      </w:r>
      <w:r>
        <w:rPr>
          <w:rFonts w:ascii="Times New Roman" w:hAnsi="Times New Roman" w:cs="Times New Roman"/>
          <w:color w:val="000000" w:themeColor="text1"/>
        </w:rPr>
      </w:r>
      <w:r>
        <w:rPr>
          <w:rFonts w:ascii="Times New Roman" w:hAnsi="Times New Roman" w:cs="Times New Roman"/>
          <w:color w:val="000000" w:themeColor="text1"/>
        </w:rPr>
      </w:r>
    </w:p>
    <w:p w14:paraId="23CDB5D8" w14:textId="77777777">
      <w:pPr>
        <w:pStyle w:val="1060"/>
        <w:pBdr/>
        <w:spacing w:after="120" w:before="120"/>
        <w:ind w:firstLine="720"/>
        <w:jc w:val="both"/>
        <w:rPr>
          <w:rFonts w:ascii="Times New Roman" w:hAnsi="Times New Roman" w:eastAsia="Times New Roman" w:cs="Times New Roman"/>
        </w:rPr>
      </w:pPr>
      <w:r>
        <w:rPr>
          <w:rFonts w:ascii="Times New Roman" w:hAnsi="Times New Roman" w:eastAsia="Times New Roman" w:cs="Times New Roman"/>
        </w:rPr>
        <w:t xml:space="preserve">Qualitative </w:t>
      </w:r>
      <w:r>
        <w:rPr>
          <w:rFonts w:ascii="Times New Roman" w:hAnsi="Times New Roman" w:eastAsia="Times New Roman" w:cs="Times New Roman"/>
        </w:rPr>
        <w:t xml:space="preserve">data were analyzed following Braun and Clarke’s (2006) thematic analysis procedures. Interview recordings were transcribed and read repeatedly to ensure familiarization with the data. Initial codes were generated inductively from participants’ responses, t</w:t>
      </w:r>
      <w:r>
        <w:rPr>
          <w:rFonts w:ascii="Times New Roman" w:hAnsi="Times New Roman" w:eastAsia="Times New Roman" w:cs="Times New Roman"/>
        </w:rPr>
        <w:t xml:space="preserve">hen grouped into candidate themes that reflected recurring patterns in students’ motivational changes, autonomous learning behaviours, and coping strategies. These themes were reviewed, refined, and confirmed through member-checking to enhance credibility.</w:t>
      </w:r>
      <w:r>
        <w:rPr>
          <w:rFonts w:ascii="Times New Roman" w:hAnsi="Times New Roman" w:eastAsia="Times New Roman" w:cs="Times New Roman"/>
        </w:rPr>
      </w:r>
      <w:r>
        <w:rPr>
          <w:rFonts w:ascii="Times New Roman" w:hAnsi="Times New Roman" w:eastAsia="Times New Roman" w:cs="Times New Roman"/>
        </w:rPr>
      </w:r>
    </w:p>
    <w:p w14:paraId="25C5F09E" w14:textId="77777777">
      <w:pPr>
        <w:pStyle w:val="1060"/>
        <w:pBdr/>
        <w:spacing w:after="120" w:before="120"/>
        <w:ind w:firstLine="720"/>
        <w:jc w:val="both"/>
        <w:rPr>
          <w:b/>
          <w:bCs/>
          <w:i/>
        </w:rPr>
      </w:pPr>
      <w:r>
        <w:rPr>
          <w:rFonts w:ascii="Times New Roman" w:hAnsi="Times New Roman" w:eastAsia="Times New Roman" w:cs="Times New Roman"/>
          <w:b/>
          <w:bCs/>
          <w:i/>
          <w:iCs/>
        </w:rPr>
        <w:t xml:space="preserve">3.6. Reliability and Validity </w:t>
      </w:r>
      <w:r>
        <w:rPr>
          <w:b/>
          <w:bCs/>
          <w:i/>
        </w:rPr>
      </w:r>
      <w:r>
        <w:rPr>
          <w:b/>
          <w:bCs/>
          <w:i/>
        </w:rPr>
      </w:r>
    </w:p>
    <w:p w14:paraId="35ACAC60"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rPr>
        <w:t xml:space="preserve">Reliability and validity were addressed through multiple procedures. The questionnaire items were adapted from established studies on motivation, learner autonomy, self-regulated learning, and academic </w:t>
      </w:r>
      <w:r>
        <w:rPr>
          <w:rFonts w:ascii="Times New Roman" w:hAnsi="Times New Roman" w:eastAsia="Times New Roman" w:cs="Times New Roman"/>
        </w:rPr>
        <w:t xml:space="preserve">performance, then contextualized for Vietnamese tertiary EFL students. Content validity was strengthened through expert review in Applied Linguistics and TESOL, and wording was refined after a pilot test with 10 students. Internal consistency was assessed </w:t>
      </w:r>
      <w:r>
        <w:rPr>
          <w:rFonts w:ascii="Times New Roman" w:hAnsi="Times New Roman" w:eastAsia="Times New Roman" w:cs="Times New Roman"/>
        </w:rPr>
        <w:t xml:space="preserve">using Cronbach’s alpha, composite reliability, and rho_A, while convergent validity</w:t>
      </w:r>
      <w:r>
        <w:rPr>
          <w:rFonts w:ascii="Times New Roman" w:hAnsi="Times New Roman" w:eastAsia="Times New Roman" w:cs="Times New Roman"/>
        </w:rPr>
        <w:t xml:space="preserve"> was examined through outer loadings and Average Variance Extracted (AVE). Discriminant validity was evaluated using the HTMT criterion. For the qualitative phase, credibility was enhanced through repeated reading, thematic refinement, and member-checking.</w:t>
      </w:r>
      <w:r>
        <w:rPr>
          <w:rFonts w:ascii="Times New Roman" w:hAnsi="Times New Roman" w:cs="Times New Roman"/>
          <w:color w:val="000000" w:themeColor="text1"/>
        </w:rPr>
      </w:r>
      <w:r>
        <w:rPr>
          <w:rFonts w:ascii="Times New Roman" w:hAnsi="Times New Roman" w:cs="Times New Roman"/>
          <w:color w:val="000000" w:themeColor="text1"/>
        </w:rPr>
      </w:r>
    </w:p>
    <w:p w14:paraId="3C5DA396" w14:textId="77777777">
      <w:pPr>
        <w:pBdr/>
        <w:spacing w:after="120" w:line="240" w:lineRule="auto"/>
        <w:ind w:firstLine="0"/>
        <w:rPr>
          <w:rFonts w:cs="Times New Roman"/>
          <w:sz w:val="24"/>
          <w:szCs w:val="24"/>
        </w:rPr>
      </w:pPr>
      <w:r>
        <w:rPr>
          <w:rFonts w:cs="Times New Roman"/>
          <w:sz w:val="24"/>
          <w:szCs w:val="24"/>
        </w:rPr>
      </w:r>
      <w:r>
        <w:rPr>
          <w:rFonts w:cs="Times New Roman"/>
          <w:sz w:val="24"/>
          <w:szCs w:val="24"/>
        </w:rPr>
      </w:r>
      <w:r>
        <w:rPr>
          <w:rFonts w:cs="Times New Roman"/>
          <w:sz w:val="24"/>
          <w:szCs w:val="24"/>
        </w:rPr>
      </w:r>
    </w:p>
    <w:p w14:paraId="6F597A9F" w14:textId="77777777">
      <w:pPr>
        <w:pStyle w:val="1039"/>
        <w:pBdr/>
        <w:spacing w:after="120" w:before="120" w:line="240" w:lineRule="auto"/>
        <w:ind/>
        <w:rPr>
          <w:rFonts w:cs="Times New Roman"/>
          <w:sz w:val="24"/>
          <w:szCs w:val="24"/>
        </w:rPr>
      </w:pPr>
      <w:r>
        <w:rPr>
          <w:rFonts w:cs="Times New Roman"/>
          <w:sz w:val="24"/>
          <w:szCs w:val="24"/>
        </w:rPr>
        <w:t xml:space="preserve"> 4. Results</w:t>
      </w:r>
      <w:r>
        <w:rPr>
          <w:rFonts w:cs="Times New Roman"/>
          <w:sz w:val="24"/>
          <w:szCs w:val="24"/>
        </w:rPr>
      </w:r>
      <w:r>
        <w:rPr>
          <w:rFonts w:cs="Times New Roman"/>
          <w:sz w:val="24"/>
          <w:szCs w:val="24"/>
        </w:rPr>
      </w:r>
    </w:p>
    <w:p w14:paraId="56C20A64"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4.1. </w:t>
      </w:r>
      <w:bookmarkStart w:id="5" w:name="quantitative-findings"/>
      <w:r>
        <w:rPr>
          <w:rFonts w:ascii="Times New Roman" w:hAnsi="Times New Roman" w:eastAsia="Times New Roman" w:cs="Times New Roman"/>
          <w:b/>
          <w:bCs/>
          <w:i/>
          <w:iCs/>
          <w:color w:val="000000" w:themeColor="text1"/>
          <w:sz w:val="24"/>
          <w:szCs w:val="24"/>
        </w:rPr>
        <w:t xml:space="preserve">Quantitative Findings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6D157611" w14:textId="77777777">
      <w:pPr>
        <w:pStyle w:val="851"/>
        <w:pBdr/>
        <w:spacing w:after="120" w:before="120" w:line="240" w:lineRule="auto"/>
        <w:ind/>
        <w:rPr>
          <w:rFonts w:ascii="Times New Roman" w:hAnsi="Times New Roman" w:cs="Times New Roman"/>
          <w:i/>
          <w:color w:val="000000" w:themeColor="text1"/>
          <w:sz w:val="24"/>
          <w:szCs w:val="24"/>
        </w:rPr>
      </w:pPr>
      <w:r>
        <w:rPr>
          <w:rFonts w:ascii="Times New Roman" w:hAnsi="Times New Roman" w:eastAsia="Times New Roman" w:cs="Times New Roman"/>
          <w:i/>
          <w:iCs/>
          <w:color w:val="000000" w:themeColor="text1"/>
          <w:sz w:val="24"/>
          <w:szCs w:val="24"/>
        </w:rPr>
        <w:t xml:space="preserve">4.1.1. Descriptive Statistics</w:t>
      </w:r>
      <w:r>
        <w:rPr>
          <w:rFonts w:ascii="Times New Roman" w:hAnsi="Times New Roman" w:cs="Times New Roman"/>
          <w:i/>
          <w:color w:val="000000" w:themeColor="text1"/>
          <w:sz w:val="24"/>
          <w:szCs w:val="24"/>
        </w:rPr>
      </w:r>
      <w:r>
        <w:rPr>
          <w:rFonts w:ascii="Times New Roman" w:hAnsi="Times New Roman" w:cs="Times New Roman"/>
          <w:i/>
          <w:color w:val="000000" w:themeColor="text1"/>
          <w:sz w:val="24"/>
          <w:szCs w:val="24"/>
        </w:rPr>
      </w:r>
    </w:p>
    <w:p w14:paraId="6B5F5EE9" w14:textId="77777777">
      <w:pPr>
        <w:pStyle w:val="1061"/>
        <w:pBdr/>
        <w:spacing w:after="120" w:before="120"/>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All four variables demonstrated high mean scores, indicating that HUFLIT English-major students generally reported positive levels of motivation, learner autonomy, and perceived academic performance. Table </w:t>
      </w:r>
      <w:r>
        <w:rPr>
          <w:rFonts w:ascii="Times New Roman" w:hAnsi="Times New Roman" w:eastAsia="Times New Roman" w:cs="Times New Roman"/>
          <w:color w:val="000000" w:themeColor="text1"/>
        </w:rPr>
        <w:t xml:space="preserve">3  presents</w:t>
      </w:r>
      <w:r>
        <w:rPr>
          <w:rFonts w:ascii="Times New Roman" w:hAnsi="Times New Roman" w:eastAsia="Times New Roman" w:cs="Times New Roman"/>
          <w:color w:val="000000" w:themeColor="text1"/>
        </w:rPr>
        <w:t xml:space="preserve"> the descriptive statistics for all constructs.</w:t>
      </w:r>
      <w:r>
        <w:rPr>
          <w:rFonts w:ascii="Times New Roman" w:hAnsi="Times New Roman" w:cs="Times New Roman"/>
          <w:color w:val="000000" w:themeColor="text1"/>
        </w:rPr>
      </w:r>
      <w:r>
        <w:rPr>
          <w:rFonts w:ascii="Times New Roman" w:hAnsi="Times New Roman" w:cs="Times New Roman"/>
          <w:color w:val="000000" w:themeColor="text1"/>
        </w:rPr>
      </w:r>
    </w:p>
    <w:p w14:paraId="44C910D9" w14:textId="77777777">
      <w:pPr>
        <w:pStyle w:val="1012"/>
        <w:pBdr/>
        <w:spacing w:after="120"/>
        <w:ind/>
        <w:rPr>
          <w:rFonts w:cs="Times New Roman"/>
          <w:b/>
          <w:bCs/>
          <w:i w:val="0"/>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3</w:t>
      </w:r>
      <w:r>
        <w:rPr>
          <w:rFonts w:cs="Times New Roman"/>
          <w:b/>
          <w:bCs/>
          <w:i w:val="0"/>
          <w:iCs w:val="0"/>
          <w:color w:val="000000" w:themeColor="text1"/>
          <w:sz w:val="24"/>
          <w:szCs w:val="24"/>
        </w:rPr>
        <w:fldChar w:fldCharType="end"/>
      </w:r>
      <w:r>
        <w:rPr>
          <w:rFonts w:cs="Times New Roman"/>
          <w:b/>
          <w:bCs/>
          <w:i w:val="0"/>
          <w:iCs w:val="0"/>
          <w:color w:val="000000" w:themeColor="text1"/>
          <w:sz w:val="24"/>
          <w:szCs w:val="24"/>
        </w:rPr>
        <w:t xml:space="preserve"> </w:t>
      </w:r>
      <w:r>
        <w:rPr>
          <w:rFonts w:cs="Times New Roman"/>
          <w:b/>
          <w:bCs/>
          <w:i w:val="0"/>
          <w:color w:val="000000" w:themeColor="text1"/>
          <w:sz w:val="24"/>
          <w:szCs w:val="24"/>
        </w:rPr>
      </w:r>
      <w:r>
        <w:rPr>
          <w:rFonts w:cs="Times New Roman"/>
          <w:b/>
          <w:bCs/>
          <w:i w:val="0"/>
          <w:color w:val="000000" w:themeColor="text1"/>
          <w:sz w:val="24"/>
          <w:szCs w:val="24"/>
        </w:rPr>
      </w:r>
    </w:p>
    <w:p w14:paraId="70982693"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Descriptive Statistics for All Variables (N = 145) </w:t>
      </w:r>
      <w:r>
        <w:rPr>
          <w:rFonts w:cs="Times New Roman"/>
          <w:color w:val="000000" w:themeColor="text1"/>
          <w:sz w:val="24"/>
          <w:szCs w:val="24"/>
        </w:rPr>
      </w:r>
      <w:r>
        <w:rPr>
          <w:rFonts w:cs="Times New Roman"/>
          <w:color w:val="000000" w:themeColor="text1"/>
          <w:sz w:val="24"/>
          <w:szCs w:val="24"/>
        </w:rPr>
      </w:r>
    </w:p>
    <w:tbl>
      <w:tblPr>
        <w:tblStyle w:val="1063"/>
        <w:tblInd w:w="-23" w:type="dxa"/>
        <w:tblW w:w="0" w:type="auto"/>
        <w:tblBorders/>
        <w:tblLayout w:type="fixed"/>
        <w:tblLook w:val="0020" w:firstRow="1" w:lastRow="0" w:firstColumn="0" w:lastColumn="0" w:noHBand="0" w:noVBand="0"/>
      </w:tblPr>
      <w:tblGrid>
        <w:gridCol w:w="4535"/>
        <w:gridCol w:w="1984"/>
        <w:gridCol w:w="2476"/>
      </w:tblGrid>
      <w:tr>
        <w:trPr>
          <w:trHeight w:val="450"/>
          <w:tblHeader/>
        </w:trPr>
        <w:tc>
          <w:tcPr>
            <w:tcBorders>
              <w:top w:val="single" w:color="000000" w:sz="4" w:space="0"/>
            </w:tcBorders>
            <w:tcW w:w="4535" w:type="dxa"/>
          </w:tcPr>
          <w:p w14:paraId="180CDC2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Variables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984" w:type="dxa"/>
          </w:tcPr>
          <w:p w14:paraId="406581E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2476" w:type="dxa"/>
          </w:tcPr>
          <w:p w14:paraId="11346EC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SD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0"/>
        </w:trPr>
        <w:tc>
          <w:tcPr>
            <w:tcBorders/>
            <w:tcW w:w="4535" w:type="dxa"/>
          </w:tcPr>
          <w:p w14:paraId="3CE1E0C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Intrinsic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984" w:type="dxa"/>
          </w:tcPr>
          <w:p w14:paraId="4077F51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3.95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476" w:type="dxa"/>
          </w:tcPr>
          <w:p w14:paraId="5502A7A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0"/>
        </w:trPr>
        <w:tc>
          <w:tcPr>
            <w:tcBorders/>
            <w:tcW w:w="4535" w:type="dxa"/>
          </w:tcPr>
          <w:p w14:paraId="47EC552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Extrinsic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984" w:type="dxa"/>
          </w:tcPr>
          <w:p w14:paraId="508BF25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3.85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476" w:type="dxa"/>
          </w:tcPr>
          <w:p w14:paraId="23DBE0E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0"/>
        </w:trPr>
        <w:tc>
          <w:tcPr>
            <w:tcBorders/>
            <w:tcW w:w="4535" w:type="dxa"/>
          </w:tcPr>
          <w:p w14:paraId="19952C9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984" w:type="dxa"/>
          </w:tcPr>
          <w:p w14:paraId="0ADB3EB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3.97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476" w:type="dxa"/>
          </w:tcPr>
          <w:p w14:paraId="1800F6D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0"/>
        </w:trPr>
        <w:tc>
          <w:tcPr>
            <w:tcBorders>
              <w:bottom w:val="single" w:color="000000" w:sz="4" w:space="0"/>
            </w:tcBorders>
            <w:tcW w:w="4535" w:type="dxa"/>
          </w:tcPr>
          <w:p w14:paraId="50A410C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984" w:type="dxa"/>
          </w:tcPr>
          <w:p w14:paraId="4123B78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3.95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2476" w:type="dxa"/>
          </w:tcPr>
          <w:p w14:paraId="1244496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36AE2435"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w:t>
      </w:r>
      <w:r>
        <w:rPr>
          <w:rFonts w:ascii="Times New Roman" w:hAnsi="Times New Roman" w:eastAsia="Times New Roman" w:cs="Times New Roman"/>
          <w:i/>
          <w:iCs/>
          <w:color w:val="000000" w:themeColor="text1"/>
          <w:sz w:val="20"/>
          <w:szCs w:val="20"/>
        </w:rPr>
        <w:t xml:space="preserve">M </w:t>
      </w:r>
      <w:r>
        <w:rPr>
          <w:rFonts w:ascii="Times New Roman" w:hAnsi="Times New Roman" w:eastAsia="Times New Roman" w:cs="Times New Roman"/>
          <w:color w:val="000000" w:themeColor="text1"/>
          <w:sz w:val="20"/>
          <w:szCs w:val="20"/>
        </w:rPr>
        <w:t xml:space="preserve">= Mean; </w:t>
      </w:r>
      <w:r>
        <w:rPr>
          <w:rFonts w:ascii="Times New Roman" w:hAnsi="Times New Roman" w:eastAsia="Times New Roman" w:cs="Times New Roman"/>
          <w:i/>
          <w:iCs/>
          <w:color w:val="000000" w:themeColor="text1"/>
          <w:sz w:val="20"/>
          <w:szCs w:val="20"/>
        </w:rPr>
        <w:t xml:space="preserve">SD </w:t>
      </w:r>
      <w:r>
        <w:rPr>
          <w:rFonts w:ascii="Times New Roman" w:hAnsi="Times New Roman" w:eastAsia="Times New Roman" w:cs="Times New Roman"/>
          <w:color w:val="000000" w:themeColor="text1"/>
          <w:sz w:val="20"/>
          <w:szCs w:val="20"/>
        </w:rPr>
        <w:t xml:space="preserve">= Standard Deviation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0EAC003E">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highlight w:val="none"/>
        </w:rPr>
      </w:r>
      <w:r>
        <w:rPr>
          <w:rFonts w:ascii="Times New Roman" w:hAnsi="Times New Roman" w:cs="Times New Roman"/>
          <w:color w:val="000000" w:themeColor="text1"/>
        </w:rPr>
      </w:r>
      <w:r>
        <w:rPr>
          <w:rFonts w:ascii="Times New Roman" w:hAnsi="Times New Roman" w:cs="Times New Roman"/>
          <w:color w:val="000000" w:themeColor="text1"/>
        </w:rPr>
      </w:r>
    </w:p>
    <w:p w14:paraId="51AFCC36" w14:textId="77777777">
      <w:pPr>
        <w:pStyle w:val="1060"/>
        <w:pBdr/>
        <w:spacing w:after="120" w:before="120"/>
        <w:ind w:firstLine="720"/>
        <w:jc w:val="both"/>
        <w:rPr>
          <w:rFonts w:ascii="Times New Roman" w:hAnsi="Times New Roman" w:eastAsia="Times New Roman" w:cs="Times New Roman"/>
          <w:color w:val="000000" w:themeColor="text1"/>
          <w:highlight w:val="none"/>
        </w:rPr>
      </w:pPr>
      <w:r>
        <w:rPr>
          <w:rFonts w:ascii="Times New Roman" w:hAnsi="Times New Roman" w:eastAsia="Times New Roman" w:cs="Times New Roman"/>
          <w:color w:val="000000" w:themeColor="text1"/>
        </w:rPr>
        <w:t xml:space="preserve">As shown in Table 3, Learner Autonomy had the highest mean score (M = 3.97, SD = 0.76), follo</w:t>
      </w:r>
      <w:r>
        <w:rPr>
          <w:rFonts w:ascii="Times New Roman" w:hAnsi="Times New Roman" w:eastAsia="Times New Roman" w:cs="Times New Roman"/>
          <w:color w:val="000000" w:themeColor="text1"/>
        </w:rPr>
        <w:t xml:space="preserve">wed closely by Intrinsic Motivation and Academic Performance, both at M = 3.95. Extrinsic Motivation was slightly lower but still above the midpoint of the 5-point scale (M = 3.85, SD = 0.79). At the item level, several responses help clarify these constru</w:t>
      </w:r>
      <w:r>
        <w:rPr>
          <w:rFonts w:ascii="Times New Roman" w:hAnsi="Times New Roman" w:eastAsia="Times New Roman" w:cs="Times New Roman"/>
          <w:color w:val="000000" w:themeColor="text1"/>
        </w:rPr>
        <w:t xml:space="preserve">ct-level patterns. For intrinsic motivation, the strongest item was IM4: “I genuinely love learning the English language” (M = 4.16, SD = 0.856), indicating strong personal interest in English. For extrinsic motivation, EM2: “I learn English because it wil</w:t>
      </w:r>
      <w:r>
        <w:rPr>
          <w:rFonts w:ascii="Times New Roman" w:hAnsi="Times New Roman" w:eastAsia="Times New Roman" w:cs="Times New Roman"/>
          <w:color w:val="000000" w:themeColor="text1"/>
        </w:rPr>
        <w:t xml:space="preserve">l help me get a better job in the future” received the highest rating (M = 4.14, SD = 0.933), showing that career value was the most salient external driver. Within learner autonomy, LA5: “I take responsibility for my English learning because it matters to</w:t>
      </w:r>
      <w:r>
        <w:rPr>
          <w:rFonts w:ascii="Times New Roman" w:hAnsi="Times New Roman" w:eastAsia="Times New Roman" w:cs="Times New Roman"/>
          <w:color w:val="000000" w:themeColor="text1"/>
        </w:rPr>
        <w:t xml:space="preserve"> me” had the highest score (M = 4.09, SD = 0.83), suggesting that students generally perceived themselves as responsible for their own learning. For academic performance, AP1: “My English course grades reflect my learning progress” was the highest-rated it</w:t>
      </w:r>
      <w:r>
        <w:rPr>
          <w:rFonts w:ascii="Times New Roman" w:hAnsi="Times New Roman" w:eastAsia="Times New Roman" w:cs="Times New Roman"/>
          <w:color w:val="000000" w:themeColor="text1"/>
        </w:rPr>
        <w:t xml:space="preserve">em (M = 3.99, SD = 0.901). Overall, the descriptive findings indicate that students showed strong intrinsic interest, clear career-oriented motivation, a high sense of learning responsibility, and generally positive perceptions of their academic progress. </w:t>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p>
    <w:p w14:paraId="603A0DFB" w14:textId="77777777">
      <w:pPr>
        <w:pStyle w:val="851"/>
        <w:pBdr/>
        <w:spacing w:after="120" w:before="120" w:line="240" w:lineRule="auto"/>
        <w:ind/>
        <w:rPr>
          <w:rFonts w:ascii="Times New Roman" w:hAnsi="Times New Roman" w:cs="Times New Roman"/>
          <w:bCs/>
          <w:i/>
          <w:color w:val="000000" w:themeColor="text1"/>
          <w:sz w:val="24"/>
          <w:szCs w:val="24"/>
        </w:rPr>
      </w:pPr>
      <w:r>
        <w:rPr>
          <w:rFonts w:ascii="Times New Roman" w:hAnsi="Times New Roman" w:eastAsia="Times New Roman" w:cs="Times New Roman"/>
          <w:i/>
          <w:iCs/>
          <w:color w:val="000000" w:themeColor="text1"/>
          <w:sz w:val="24"/>
          <w:szCs w:val="24"/>
        </w:rPr>
        <w:t xml:space="preserve">4.1.2. </w:t>
      </w:r>
      <w:bookmarkStart w:id="6" w:name="measurement-model-assessment"/>
      <w:r>
        <w:rPr>
          <w:rFonts w:ascii="Times New Roman" w:hAnsi="Times New Roman" w:eastAsia="Times New Roman" w:cs="Times New Roman"/>
          <w:i/>
          <w:iCs/>
          <w:color w:val="000000" w:themeColor="text1"/>
          <w:sz w:val="24"/>
          <w:szCs w:val="24"/>
        </w:rPr>
        <w:t xml:space="preserve">Measurement Model Assessment</w:t>
      </w:r>
      <w:r>
        <w:rPr>
          <w:rFonts w:ascii="Times New Roman" w:hAnsi="Times New Roman" w:cs="Times New Roman"/>
          <w:bCs/>
          <w:i/>
          <w:color w:val="000000" w:themeColor="text1"/>
          <w:sz w:val="24"/>
          <w:szCs w:val="24"/>
        </w:rPr>
      </w:r>
      <w:r>
        <w:rPr>
          <w:rFonts w:ascii="Times New Roman" w:hAnsi="Times New Roman" w:cs="Times New Roman"/>
          <w:bCs/>
          <w:i/>
          <w:color w:val="000000" w:themeColor="text1"/>
          <w:sz w:val="24"/>
          <w:szCs w:val="24"/>
        </w:rPr>
      </w:r>
    </w:p>
    <w:p w14:paraId="2E373246"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Prior to testing the structural hypotheses, the measurement model was evaluated against four criteria established by Hair et al. (2019): indicator reliability, internal consistency reliability, convergent validity, and discriminant validity.</w:t>
      </w:r>
      <w:r>
        <w:rPr>
          <w:rFonts w:ascii="Times New Roman" w:hAnsi="Times New Roman" w:cs="Times New Roman"/>
          <w:color w:val="000000" w:themeColor="text1"/>
        </w:rPr>
      </w:r>
      <w:r>
        <w:rPr>
          <w:rFonts w:ascii="Times New Roman" w:hAnsi="Times New Roman" w:cs="Times New Roman"/>
          <w:color w:val="000000" w:themeColor="text1"/>
        </w:rPr>
      </w:r>
    </w:p>
    <w:p w14:paraId="169063F9"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Overall, th</w:t>
      </w:r>
      <w:r>
        <w:rPr>
          <w:rFonts w:ascii="Times New Roman" w:hAnsi="Times New Roman" w:cs="Times New Roman"/>
          <w:color w:val="000000" w:themeColor="text1"/>
        </w:rPr>
        <w:t xml:space="preserve">e measurement model demonstrated satisfactory reliability and validity. All indicators loaded strongly on their intended constructs, internal consistency was confirmed through Cronbach’s alpha, rho_A, and composite reliability, and convergent validity was </w:t>
      </w:r>
      <w:r>
        <w:rPr>
          <w:rFonts w:ascii="Times New Roman" w:hAnsi="Times New Roman" w:cs="Times New Roman"/>
          <w:color w:val="000000" w:themeColor="text1"/>
        </w:rPr>
        <w:t xml:space="preserve">supported by AVE values above the recommended threshold. Discriminant validity was also established, as all HTMT valu</w:t>
      </w:r>
      <w:r>
        <w:rPr>
          <w:rFonts w:ascii="Times New Roman" w:hAnsi="Times New Roman" w:cs="Times New Roman"/>
          <w:color w:val="000000" w:themeColor="text1"/>
        </w:rPr>
        <w:t xml:space="preserve">es remained below 0.90. These results indicate that the four constructs: Intrinsic Motivation, Extrinsic Motivation, Learner Autonomy, and Academic Performance were measured reliably and distinctly, providing a sound basis for testing the structural model.</w:t>
      </w:r>
      <w:r>
        <w:rPr>
          <w:rFonts w:ascii="Times New Roman" w:hAnsi="Times New Roman" w:cs="Times New Roman"/>
          <w:color w:val="000000" w:themeColor="text1"/>
        </w:rPr>
      </w:r>
      <w:r>
        <w:rPr>
          <w:rFonts w:ascii="Times New Roman" w:hAnsi="Times New Roman" w:cs="Times New Roman"/>
          <w:color w:val="000000" w:themeColor="text1"/>
        </w:rPr>
      </w:r>
    </w:p>
    <w:p w14:paraId="3C58184E" w14:textId="77777777">
      <w:pPr>
        <w:pStyle w:val="1060"/>
        <w:pBdr/>
        <w:spacing w:after="120" w:before="120"/>
        <w:ind w:firstLine="720"/>
        <w:jc w:val="both"/>
        <w:rPr>
          <w:rFonts w:ascii="Times New Roman" w:hAnsi="Times New Roman" w:eastAsia="Times New Roman" w:cs="Times New Roman"/>
          <w:color w:val="000000" w:themeColor="text1"/>
          <w:highlight w:val="none"/>
        </w:rPr>
      </w:pPr>
      <w:r>
        <w:rPr>
          <w:rFonts w:ascii="Times New Roman" w:hAnsi="Times New Roman" w:eastAsia="Times New Roman" w:cs="Times New Roman"/>
          <w:b/>
          <w:bCs/>
          <w:i/>
          <w:iCs/>
          <w:color w:val="000000" w:themeColor="text1"/>
        </w:rPr>
        <w:t xml:space="preserve">Indicator reliability.</w:t>
      </w:r>
      <w:r>
        <w:rPr>
          <w:rFonts w:ascii="Times New Roman" w:hAnsi="Times New Roman" w:eastAsia="Times New Roman" w:cs="Times New Roman"/>
          <w:color w:val="000000" w:themeColor="text1"/>
        </w:rPr>
        <w:t xml:space="preserve"> All 24 indicators produced outer loadings exceeding the 0.7 threshold.  Loadings ranged from 0.731 for EM6 to 0.907 for IM2. Table 4 displays the complete loading matrix.</w:t>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eastAsia="Times New Roman" w:cs="Times New Roman"/>
          <w:color w:val="000000" w:themeColor="text1"/>
          <w:highlight w:val="none"/>
        </w:rPr>
      </w:r>
    </w:p>
    <w:p w14:paraId="1AA941CE"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4</w:t>
      </w:r>
      <w:r>
        <w:rPr>
          <w:rFonts w:cs="Times New Roman"/>
          <w:b/>
          <w:bCs/>
          <w:i w:val="0"/>
          <w:iCs w:val="0"/>
          <w:color w:val="000000" w:themeColor="text1"/>
          <w:sz w:val="24"/>
          <w:szCs w:val="24"/>
        </w:rPr>
        <w:fldChar w:fldCharType="end"/>
      </w:r>
      <w:r>
        <w:rPr>
          <w:rFonts w:cs="Times New Roman"/>
          <w:color w:val="000000" w:themeColor="text1"/>
          <w:sz w:val="24"/>
          <w:szCs w:val="24"/>
        </w:rPr>
      </w:r>
      <w:r>
        <w:rPr>
          <w:rFonts w:cs="Times New Roman"/>
          <w:color w:val="000000" w:themeColor="text1"/>
          <w:sz w:val="24"/>
          <w:szCs w:val="24"/>
        </w:rPr>
      </w:r>
    </w:p>
    <w:p w14:paraId="6A4E2AAA" w14:textId="77777777">
      <w:pPr>
        <w:pStyle w:val="1012"/>
        <w:pBdr/>
        <w:spacing w:after="120"/>
        <w:ind/>
        <w:rPr>
          <w:color w:val="000000" w:themeColor="text1"/>
          <w:sz w:val="24"/>
          <w:szCs w:val="24"/>
        </w:rPr>
      </w:pPr>
      <w:r>
        <w:rPr>
          <w:rFonts w:cs="Times New Roman"/>
          <w:color w:val="000000" w:themeColor="text1"/>
          <w:sz w:val="24"/>
          <w:szCs w:val="24"/>
        </w:rPr>
        <w:t xml:space="preserve">Outer Loadings for All Indicators </w:t>
      </w:r>
      <w:r>
        <w:rPr>
          <w:color w:val="000000" w:themeColor="text1"/>
          <w:sz w:val="24"/>
          <w:szCs w:val="24"/>
        </w:rPr>
      </w:r>
      <w:r>
        <w:rPr>
          <w:color w:val="000000" w:themeColor="text1"/>
          <w:sz w:val="24"/>
          <w:szCs w:val="24"/>
        </w:rPr>
      </w:r>
    </w:p>
    <w:tbl>
      <w:tblPr>
        <w:tblStyle w:val="1063"/>
        <w:tblW w:w="0" w:type="auto"/>
        <w:tblBorders/>
        <w:tblLayout w:type="fixed"/>
        <w:tblLook w:val="0020" w:firstRow="1" w:lastRow="0" w:firstColumn="0" w:lastColumn="0" w:noHBand="0" w:noVBand="0"/>
      </w:tblPr>
      <w:tblGrid>
        <w:gridCol w:w="2357"/>
        <w:gridCol w:w="1551"/>
        <w:gridCol w:w="1551"/>
        <w:gridCol w:w="1551"/>
        <w:gridCol w:w="1551"/>
      </w:tblGrid>
      <w:tr>
        <w:trPr>
          <w:trHeight w:val="455"/>
        </w:trPr>
        <w:tc>
          <w:tcPr>
            <w:tcBorders>
              <w:top w:val="single" w:color="000000" w:sz="4" w:space="0"/>
            </w:tcBorders>
            <w:tcW w:w="2357" w:type="dxa"/>
          </w:tcPr>
          <w:p w14:paraId="53C7A9C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551" w:type="dxa"/>
          </w:tcPr>
          <w:p w14:paraId="2DC81D7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551" w:type="dxa"/>
          </w:tcPr>
          <w:p w14:paraId="711F3B9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EM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551" w:type="dxa"/>
          </w:tcPr>
          <w:p w14:paraId="563DF62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IM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551" w:type="dxa"/>
          </w:tcPr>
          <w:p w14:paraId="22184DF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5"/>
        </w:trPr>
        <w:tc>
          <w:tcPr>
            <w:tcBorders/>
            <w:tcW w:w="2357" w:type="dxa"/>
          </w:tcPr>
          <w:p w14:paraId="6B6E47A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0BEAE7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0.767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E3840C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F1A16E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6EE07A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04A03A3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1E5703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0.802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A0F0F4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ECAD99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70A167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2F6D852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79A7F2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D0D3F1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03AC84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A21FAA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C6945D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DA8B36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0.894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BF6504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3737F8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0EF302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2F20485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483D90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1295D1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AE652F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109AC5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68A8618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AP6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EB19E6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0.848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F17B28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B28092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9F50F6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17EAA4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3563F2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EC1963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0.733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3AC3D5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1B9A3B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AA0393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FC08E5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4922381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0.775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40CD932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9933B1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456DDDB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2DED4E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99A503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0.823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0047E4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76D9FB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6D759CB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40926F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E28A48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0.752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83C9DD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48812AC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8C3EA1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EF7DBD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5BA2B4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0.805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21A86D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EB4270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5FB3156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44A225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B13FD0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0.731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8DDFF6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79B1B4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6CC25A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0CCA36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5A4668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EFE1BE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0.890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581B5C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61F1572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2A979F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AB8C9C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E22ABD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0.907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3275D4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01F844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423781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FC380A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A2B15C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0.834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1F04DD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175D53F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26BA3F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67D33A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C32BB0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13DA19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1BF89E6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BE07A6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DC49DB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AE3E06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323D41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5C4A60D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C71A8E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F6900A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A4BE27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0.824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C3C8FA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5789D84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E3A724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33F1C3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72AE8B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42F645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0.853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3BA2A54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9ABD2B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FC061B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1272A20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52BD83B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2E5FEDE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313594A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F93875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9BB8D1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B21651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0.849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7CDCFC9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44D2C32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6496C10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67748E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2933FA2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0.812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tcW w:w="2357" w:type="dxa"/>
          </w:tcPr>
          <w:p w14:paraId="09F813D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D1D8A4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414E8C9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7D74BC5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551" w:type="dxa"/>
          </w:tcPr>
          <w:p w14:paraId="026B6CD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0.803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53"/>
        </w:trPr>
        <w:tc>
          <w:tcPr>
            <w:tcBorders>
              <w:bottom w:val="single" w:color="000000" w:sz="4" w:space="0"/>
            </w:tcBorders>
            <w:tcW w:w="2357" w:type="dxa"/>
          </w:tcPr>
          <w:p w14:paraId="756C001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551" w:type="dxa"/>
          </w:tcPr>
          <w:p w14:paraId="4B4CD4B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551" w:type="dxa"/>
          </w:tcPr>
          <w:p w14:paraId="5D89404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551" w:type="dxa"/>
          </w:tcPr>
          <w:p w14:paraId="7573CEC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551" w:type="dxa"/>
          </w:tcPr>
          <w:p w14:paraId="76D103E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0.810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65631E24" w14:textId="77777777">
      <w:pPr>
        <w:pStyle w:val="1060"/>
        <w:pBdr/>
        <w:spacing w:after="120" w:before="120"/>
        <w:ind/>
        <w:jc w:val="both"/>
        <w:rPr>
          <w:rFonts w:ascii="Times New Roman" w:hAnsi="Times New Roman" w:eastAsia="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All outer loadings exceed the recommended threshold of 0.7 Hair et al. (2019).</w:t>
      </w:r>
      <w:r>
        <w:rPr>
          <w:rFonts w:ascii="Times New Roman" w:hAnsi="Times New Roman" w:eastAsia="Times New Roman" w:cs="Times New Roman"/>
          <w:color w:val="000000" w:themeColor="text1"/>
          <w:sz w:val="20"/>
          <w:szCs w:val="20"/>
        </w:rPr>
      </w:r>
      <w:r>
        <w:rPr>
          <w:rFonts w:ascii="Times New Roman" w:hAnsi="Times New Roman" w:eastAsia="Times New Roman" w:cs="Times New Roman"/>
          <w:color w:val="000000" w:themeColor="text1"/>
          <w:sz w:val="20"/>
          <w:szCs w:val="20"/>
        </w:rPr>
      </w:r>
    </w:p>
    <w:p w14:paraId="0EF0B396">
      <w:pPr>
        <w:pStyle w:val="1060"/>
        <w:pBdr/>
        <w:spacing w:after="120" w:before="120"/>
        <w:ind w:firstLine="720"/>
        <w:jc w:val="both"/>
        <w:rPr>
          <w:rFonts w:ascii="Times New Roman" w:hAnsi="Times New Roman" w:eastAsia="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p>
    <w:p w14:paraId="53EE0FA6" w14:textId="77777777">
      <w:pPr>
        <w:pStyle w:val="1060"/>
        <w:pBdr/>
        <w:spacing w:after="120" w:before="120"/>
        <w:ind w:firstLine="720"/>
        <w:jc w:val="both"/>
        <w:rPr>
          <w:rFonts w:ascii="Times New Roman" w:hAnsi="Times New Roman" w:eastAsia="Times New Roman" w:cs="Times New Roman"/>
          <w:color w:val="000000" w:themeColor="text1"/>
          <w:highlight w:val="none"/>
        </w:rPr>
      </w:pPr>
      <w:r>
        <w:rPr>
          <w:rFonts w:ascii="Times New Roman" w:hAnsi="Times New Roman" w:eastAsia="Times New Roman" w:cs="Times New Roman"/>
          <w:color w:val="000000" w:themeColor="text1"/>
        </w:rPr>
        <w:t xml:space="preserve">The consistently high loadings confirm that each observed variable adequately represents its respective latent construct.</w:t>
      </w: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highlight w:val="none"/>
        </w:rPr>
      </w:r>
    </w:p>
    <w:p w14:paraId="6EDB3801"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b/>
          <w:bCs/>
          <w:i/>
          <w:iCs/>
          <w:color w:val="000000" w:themeColor="text1"/>
        </w:rPr>
        <w:t xml:space="preserve">Internal consistency and convergent validity.</w:t>
      </w:r>
      <w:r>
        <w:rPr>
          <w:rFonts w:ascii="Times New Roman" w:hAnsi="Times New Roman" w:eastAsia="Times New Roman" w:cs="Times New Roman"/>
          <w:color w:val="000000" w:themeColor="text1"/>
        </w:rPr>
        <w:t xml:space="preserve"> Table 5 presents Cronbach’s alpha (</w:t>
      </w:r>
      <m:oMath>
        <m:r>
          <w:rPr>
            <w:rFonts w:ascii="Cambria Math" w:hAnsi="Cambria Math" w:eastAsia="Cambria Math" w:cs="Cambria Math"/>
            <w:color w:val="000000" w:themeColor="text1"/>
          </w:rPr>
          <m:rPr/>
          <m:t>α</m:t>
        </m:r>
      </m:oMath>
      <w:r>
        <w:rPr>
          <w:rFonts w:ascii="Times New Roman" w:hAnsi="Times New Roman" w:eastAsia="Times New Roman" w:cs="Times New Roman"/>
          <w:color w:val="000000" w:themeColor="text1"/>
        </w:rPr>
        <w:t xml:space="preserve">), composite reliability (rho_a and rho_c), and Average Variance Extracted (AVE) for all four constructs.</w:t>
      </w:r>
      <w:r>
        <w:rPr>
          <w:rFonts w:ascii="Times New Roman" w:hAnsi="Times New Roman" w:cs="Times New Roman"/>
          <w:color w:val="000000" w:themeColor="text1"/>
        </w:rPr>
      </w:r>
      <w:r>
        <w:rPr>
          <w:rFonts w:ascii="Times New Roman" w:hAnsi="Times New Roman" w:cs="Times New Roman"/>
          <w:color w:val="000000" w:themeColor="text1"/>
        </w:rPr>
      </w:r>
    </w:p>
    <w:p w14:paraId="6B00835C"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5</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0DBC4A26"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Measurement Model Summary </w:t>
      </w:r>
      <w:r>
        <w:rPr>
          <w:rFonts w:cs="Times New Roman"/>
          <w:color w:val="000000" w:themeColor="text1"/>
          <w:sz w:val="24"/>
          <w:szCs w:val="24"/>
        </w:rPr>
      </w:r>
      <w:r>
        <w:rPr>
          <w:rFonts w:cs="Times New Roman"/>
          <w:color w:val="000000" w:themeColor="text1"/>
          <w:sz w:val="24"/>
          <w:szCs w:val="24"/>
        </w:rPr>
      </w:r>
    </w:p>
    <w:tbl>
      <w:tblPr>
        <w:tblStyle w:val="1063"/>
        <w:tblW w:w="0" w:type="auto"/>
        <w:tblBorders/>
        <w:tblLook w:val="0020" w:firstRow="1" w:lastRow="0" w:firstColumn="0" w:lastColumn="0" w:noHBand="0" w:noVBand="0"/>
      </w:tblPr>
      <w:tblGrid>
        <w:gridCol w:w="2099"/>
        <w:gridCol w:w="666"/>
        <w:gridCol w:w="716"/>
        <w:gridCol w:w="705"/>
        <w:gridCol w:w="666"/>
      </w:tblGrid>
      <w:tr>
        <w:trPr>
          <w:tblHeader/>
        </w:trPr>
        <w:tc>
          <w:tcPr>
            <w:tcBorders>
              <w:top w:val="single" w:color="000000" w:sz="4" w:space="0"/>
            </w:tcBorders>
            <w:tcW w:w="0" w:type="auto"/>
          </w:tcPr>
          <w:p w14:paraId="0B7552A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Construct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2EF1532C"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t>α</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7B108BC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rho_a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44CF7ED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rho_c</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6741589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AVE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10EB95C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Intrinsic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38DCEAA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0.933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0E21C9F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0.935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414E4B1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0.948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3A3B84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0.754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04E3C35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Extrinsic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30C89DB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0.865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1B57648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02B849D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0.897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2F66D5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0.594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2A943B1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13AB0AD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0.912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23CAAF4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0.916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31B2BE8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0.932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3143764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0.695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bottom w:val="single" w:color="000000" w:sz="4" w:space="0"/>
            </w:tcBorders>
            <w:tcW w:w="0" w:type="auto"/>
          </w:tcPr>
          <w:p w14:paraId="6279C08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73DC048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0.919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5AA6E18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0.922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4F269EE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0.937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17ABF4B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0.713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0878DB23"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w:t>
      </w:r>
      <m:oMath>
        <m:r>
          <w:rPr>
            <w:rFonts w:ascii="Cambria Math" w:hAnsi="Cambria Math" w:eastAsia="Cambria Math" w:cs="Cambria Math"/>
            <w:color w:val="000000" w:themeColor="text1"/>
            <w:sz w:val="20"/>
            <w:szCs w:val="20"/>
          </w:rPr>
          <m:rPr/>
          <m:t>α</m:t>
        </m:r>
      </m:oMath>
      <w:r>
        <w:rPr>
          <w:rFonts w:ascii="Times New Roman" w:hAnsi="Times New Roman" w:eastAsia="Times New Roman" w:cs="Times New Roman"/>
          <w:color w:val="000000" w:themeColor="text1"/>
          <w:sz w:val="20"/>
          <w:szCs w:val="20"/>
        </w:rPr>
        <w:t xml:space="preserve"> = Cronbach’s alpha; rho_c = composite reliability; AVE = average variance extracted.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1F7B834A"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606882DA"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Cronbach’s alpha values ranged from 0.865 (Extrinsic Motivation) to 0.933 (Intrinsic Motivation), all substantially exceeding the 0.7 threshold. Composite reliability (rho_c) values ranged f</w:t>
      </w:r>
      <w:r>
        <w:rPr>
          <w:rFonts w:ascii="Times New Roman" w:hAnsi="Times New Roman" w:eastAsia="Times New Roman" w:cs="Times New Roman"/>
          <w:color w:val="000000" w:themeColor="text1"/>
        </w:rPr>
        <w:t xml:space="preserve">rom 0.897 to 0.948. Three of the four constructs cleared the 0.9 threshold commonly associated with excellent reliability; Extrinsic Motivation landed in the good range, which is not surprising given its broader conceptual umbrella. All AVE values exceeded</w:t>
      </w:r>
      <w:r>
        <w:rPr>
          <w:rFonts w:ascii="Times New Roman" w:hAnsi="Times New Roman" w:eastAsia="Times New Roman" w:cs="Times New Roman"/>
          <w:color w:val="000000" w:themeColor="text1"/>
        </w:rPr>
        <w:t xml:space="preserve"> the 0.5 benchmark established by Fornell and Larcker (1981). Intrinsic Motivation had the highest AVE (0.754), indicating that this latent construct explains 75.4% of the variance in its six indicators. The comparatively lower AVE for Extrinsic Motivation</w:t>
      </w:r>
      <w:r>
        <w:rPr>
          <w:rFonts w:ascii="Times New Roman" w:hAnsi="Times New Roman" w:eastAsia="Times New Roman" w:cs="Times New Roman"/>
          <w:color w:val="000000" w:themeColor="text1"/>
        </w:rPr>
        <w:t xml:space="preserve"> (0.594) is theoretically consistent with the broader conceptual scope of this construct, which spans diverse external influences including grades, career prospects, parental expectations, graduation requirements, social recognition, and family obligation.</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2470BE49"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b/>
          <w:bCs/>
          <w:i/>
          <w:iCs/>
          <w:color w:val="000000" w:themeColor="text1"/>
        </w:rPr>
        <w:t xml:space="preserve">Discriminant validity.</w:t>
      </w:r>
      <w:r>
        <w:rPr>
          <w:rFonts w:ascii="Times New Roman" w:hAnsi="Times New Roman" w:eastAsia="Times New Roman" w:cs="Times New Roman"/>
          <w:color w:val="000000" w:themeColor="text1"/>
        </w:rPr>
        <w:t xml:space="preserve"> The Heterotrait-Monotrait (HTMT) ratio of correlations, presented in </w:t>
      </w:r>
      <w:r>
        <w:rPr>
          <w:rFonts w:ascii="Times New Roman" w:hAnsi="Times New Roman" w:eastAsia="Times New Roman" w:cs="Times New Roman"/>
          <w:b/>
          <w:bCs/>
          <w:color w:val="000000" w:themeColor="text1"/>
        </w:rPr>
        <w:t xml:space="preserve">Table 6</w:t>
      </w:r>
      <w:r>
        <w:rPr>
          <w:rFonts w:ascii="Times New Roman" w:hAnsi="Times New Roman" w:eastAsia="Times New Roman" w:cs="Times New Roman"/>
          <w:color w:val="000000" w:themeColor="text1"/>
        </w:rPr>
        <w:t xml:space="preserve">, confirmed discriminant validity for all construct pairs, with all values falling below the 0.9 threshold recommended by Henseler et al. (2015).</w:t>
      </w:r>
      <w:r>
        <w:rPr>
          <w:rFonts w:ascii="Times New Roman" w:hAnsi="Times New Roman" w:cs="Times New Roman"/>
          <w:color w:val="000000" w:themeColor="text1"/>
        </w:rPr>
      </w:r>
      <w:r>
        <w:rPr>
          <w:rFonts w:ascii="Times New Roman" w:hAnsi="Times New Roman" w:cs="Times New Roman"/>
          <w:color w:val="000000" w:themeColor="text1"/>
        </w:rPr>
      </w:r>
    </w:p>
    <w:p w14:paraId="1440CF3D"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6</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155B0D09"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HTMT Ratio Matrix for Discriminant Validity </w:t>
      </w:r>
      <w:r>
        <w:rPr>
          <w:rFonts w:cs="Times New Roman"/>
          <w:color w:val="000000" w:themeColor="text1"/>
          <w:sz w:val="24"/>
          <w:szCs w:val="24"/>
        </w:rPr>
      </w:r>
      <w:r>
        <w:rPr>
          <w:rFonts w:cs="Times New Roman"/>
          <w:color w:val="000000" w:themeColor="text1"/>
          <w:sz w:val="24"/>
          <w:szCs w:val="24"/>
        </w:rPr>
      </w:r>
    </w:p>
    <w:tbl>
      <w:tblPr>
        <w:tblStyle w:val="1063"/>
        <w:tblW w:w="0" w:type="auto"/>
        <w:tblBorders/>
        <w:tblLook w:val="0020" w:firstRow="1" w:lastRow="0" w:firstColumn="0" w:lastColumn="0" w:noHBand="0" w:noVBand="0"/>
      </w:tblPr>
      <w:tblGrid>
        <w:gridCol w:w="2538"/>
        <w:gridCol w:w="666"/>
        <w:gridCol w:w="666"/>
        <w:gridCol w:w="666"/>
        <w:gridCol w:w="494"/>
      </w:tblGrid>
      <w:tr>
        <w:trPr>
          <w:trHeight w:val="523"/>
          <w:tblHeader/>
        </w:trPr>
        <w:tc>
          <w:tcPr>
            <w:tcBorders>
              <w:top w:val="single" w:color="000000" w:sz="4" w:space="0"/>
            </w:tcBorders>
            <w:tcW w:w="0" w:type="auto"/>
            <w:vAlign w:val="center"/>
          </w:tcPr>
          <w:p w14:paraId="610FDCBF"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Construct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vAlign w:val="center"/>
          </w:tcPr>
          <w:p w14:paraId="38947A5B"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vAlign w:val="center"/>
          </w:tcPr>
          <w:p w14:paraId="3326CF46"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EM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vAlign w:val="center"/>
          </w:tcPr>
          <w:p w14:paraId="72EA7E94"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IM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vAlign w:val="center"/>
          </w:tcPr>
          <w:p w14:paraId="2906DEEA"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23"/>
        </w:trPr>
        <w:tc>
          <w:tcPr>
            <w:tcBorders/>
            <w:tcW w:w="0" w:type="auto"/>
            <w:vAlign w:val="center"/>
          </w:tcPr>
          <w:p w14:paraId="012BB710"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051A8A40"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66367DE2"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53883B1F"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2C51040E"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22"/>
        </w:trPr>
        <w:tc>
          <w:tcPr>
            <w:tcBorders/>
            <w:tcW w:w="0" w:type="auto"/>
            <w:vAlign w:val="center"/>
          </w:tcPr>
          <w:p w14:paraId="3F25E341"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Extrinsic Motivation (EM)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2B8BFD85"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0.612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3489A70B"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1FDA0EAA"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0B71560B"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22"/>
        </w:trPr>
        <w:tc>
          <w:tcPr>
            <w:tcBorders/>
            <w:tcW w:w="0" w:type="auto"/>
            <w:vAlign w:val="center"/>
          </w:tcPr>
          <w:p w14:paraId="6533758A"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Intrinsic Motivation (IM)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02310EAC"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0.847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2F0C804D"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0.598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0DA2DD13"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vAlign w:val="center"/>
          </w:tcPr>
          <w:p w14:paraId="3C07D6E1"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522"/>
        </w:trPr>
        <w:tc>
          <w:tcPr>
            <w:tcBorders>
              <w:bottom w:val="single" w:color="000000" w:sz="4" w:space="0"/>
            </w:tcBorders>
            <w:tcW w:w="0" w:type="auto"/>
            <w:vAlign w:val="center"/>
          </w:tcPr>
          <w:p w14:paraId="7662F8D8"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 (LA)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vAlign w:val="center"/>
          </w:tcPr>
          <w:p w14:paraId="4DF1728D"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0.875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vAlign w:val="center"/>
          </w:tcPr>
          <w:p w14:paraId="42C45D45"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0.601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vAlign w:val="center"/>
          </w:tcPr>
          <w:p w14:paraId="023AF5F0"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0.823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vAlign w:val="center"/>
          </w:tcPr>
          <w:p w14:paraId="2AF9B1CF"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1FFCD964"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All HTMT values </w:t>
      </w: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0.9</m:t>
        </m:r>
      </m:oMath>
      <w:r>
        <w:rPr>
          <w:rFonts w:ascii="Times New Roman" w:hAnsi="Times New Roman" w:eastAsia="Times New Roman" w:cs="Times New Roman"/>
          <w:color w:val="000000" w:themeColor="text1"/>
          <w:sz w:val="20"/>
          <w:szCs w:val="20"/>
        </w:rPr>
        <w:t xml:space="preserve"> Henseler et al. (2015).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422C8ED8"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4270D32E"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highest HTMT was between Academic Performance and Learner Autonomy (0.875), expected given their structural relationship, and the lowest between Extrinsic and Intrinsic Motivation (0.598), confirming their empirical distinction.</w:t>
      </w:r>
      <w:bookmarkEnd w:id="6"/>
      <w:r>
        <w:rPr>
          <w:rFonts w:ascii="Times New Roman" w:hAnsi="Times New Roman" w:cs="Times New Roman"/>
          <w:color w:val="000000" w:themeColor="text1"/>
        </w:rPr>
      </w:r>
      <w:r>
        <w:rPr>
          <w:rFonts w:ascii="Times New Roman" w:hAnsi="Times New Roman" w:cs="Times New Roman"/>
          <w:color w:val="000000" w:themeColor="text1"/>
        </w:rPr>
      </w:r>
    </w:p>
    <w:p w14:paraId="7D6255F6" w14:textId="77777777">
      <w:pPr>
        <w:pStyle w:val="851"/>
        <w:pBdr/>
        <w:spacing w:after="120" w:before="120" w:line="240" w:lineRule="auto"/>
        <w:ind/>
        <w:rPr>
          <w:rFonts w:ascii="Times New Roman" w:hAnsi="Times New Roman" w:cs="Times New Roman"/>
          <w:bCs/>
          <w:i/>
          <w:color w:val="000000" w:themeColor="text1"/>
          <w:sz w:val="24"/>
          <w:szCs w:val="24"/>
        </w:rPr>
      </w:pPr>
      <w:r>
        <w:rPr>
          <w:rFonts w:ascii="Times New Roman" w:hAnsi="Times New Roman" w:eastAsia="Times New Roman" w:cs="Times New Roman"/>
          <w:i/>
          <w:iCs/>
          <w:color w:val="000000" w:themeColor="text1"/>
          <w:sz w:val="24"/>
          <w:szCs w:val="24"/>
        </w:rPr>
        <w:t xml:space="preserve">4.1.3. </w:t>
      </w:r>
      <w:bookmarkStart w:id="7" w:name="structural-model-assessment"/>
      <w:r>
        <w:rPr>
          <w:rFonts w:ascii="Times New Roman" w:hAnsi="Times New Roman" w:eastAsia="Times New Roman" w:cs="Times New Roman"/>
          <w:i/>
          <w:iCs/>
          <w:color w:val="000000" w:themeColor="text1"/>
          <w:sz w:val="24"/>
          <w:szCs w:val="24"/>
        </w:rPr>
        <w:t xml:space="preserve">Structural Model Assessment</w:t>
      </w:r>
      <w:r>
        <w:rPr>
          <w:rFonts w:ascii="Times New Roman" w:hAnsi="Times New Roman" w:cs="Times New Roman"/>
          <w:bCs/>
          <w:i/>
          <w:color w:val="000000" w:themeColor="text1"/>
          <w:sz w:val="24"/>
          <w:szCs w:val="24"/>
        </w:rPr>
      </w:r>
      <w:r>
        <w:rPr>
          <w:rFonts w:ascii="Times New Roman" w:hAnsi="Times New Roman" w:cs="Times New Roman"/>
          <w:bCs/>
          <w:i/>
          <w:color w:val="000000" w:themeColor="text1"/>
          <w:sz w:val="24"/>
          <w:szCs w:val="24"/>
        </w:rPr>
      </w:r>
    </w:p>
    <w:p w14:paraId="4088BECB"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Collinearity among predictor constructs was evaluated; all inner VIF values fell well below the threshold of 3, confirming that multicollinearity does not bias the regression estimates (Table 7).</w:t>
      </w:r>
      <w:r>
        <w:rPr>
          <w:rFonts w:ascii="Times New Roman" w:hAnsi="Times New Roman" w:cs="Times New Roman"/>
          <w:color w:val="000000" w:themeColor="text1"/>
        </w:rPr>
      </w:r>
      <w:r>
        <w:rPr>
          <w:rFonts w:ascii="Times New Roman" w:hAnsi="Times New Roman" w:cs="Times New Roman"/>
          <w:color w:val="000000" w:themeColor="text1"/>
        </w:rPr>
      </w:r>
    </w:p>
    <w:p w14:paraId="590C5879"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7</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49AAF4EB" w14:textId="77777777">
      <w:pPr>
        <w:pStyle w:val="1012"/>
        <w:pBdr/>
        <w:spacing w:after="120"/>
        <w:ind/>
        <w:rPr>
          <w:rFonts w:cs="Times New Roman"/>
          <w:color w:val="000000" w:themeColor="text1"/>
          <w:sz w:val="24"/>
          <w:szCs w:val="24"/>
        </w:rPr>
      </w:pPr>
      <w:r>
        <w:rPr>
          <w:rFonts w:cs="Times New Roman"/>
          <w:color w:val="000000" w:themeColor="text1"/>
          <w:sz w:val="24"/>
          <w:szCs w:val="24"/>
        </w:rPr>
        <w:t xml:space="preserve">Inner VIF Values for Predictor Constructs </w:t>
      </w:r>
      <w:r>
        <w:rPr>
          <w:rFonts w:cs="Times New Roman"/>
          <w:color w:val="000000" w:themeColor="text1"/>
          <w:sz w:val="24"/>
          <w:szCs w:val="24"/>
        </w:rPr>
      </w:r>
      <w:r>
        <w:rPr>
          <w:rFonts w:cs="Times New Roman"/>
          <w:color w:val="000000" w:themeColor="text1"/>
          <w:sz w:val="24"/>
          <w:szCs w:val="24"/>
        </w:rPr>
      </w:r>
    </w:p>
    <w:tbl>
      <w:tblPr>
        <w:tblStyle w:val="1063"/>
        <w:tblW w:w="0" w:type="auto"/>
        <w:tblBorders/>
        <w:tblLook w:val="0020" w:firstRow="1" w:lastRow="0" w:firstColumn="0" w:lastColumn="0" w:noHBand="0" w:noVBand="0"/>
      </w:tblPr>
      <w:tblGrid>
        <w:gridCol w:w="2167"/>
        <w:gridCol w:w="1877"/>
        <w:gridCol w:w="666"/>
        <w:gridCol w:w="1422"/>
      </w:tblGrid>
      <w:tr>
        <w:trPr>
          <w:tblHeader/>
        </w:trPr>
        <w:tc>
          <w:tcPr>
            <w:tcBorders>
              <w:top w:val="single" w:color="000000" w:sz="4" w:space="0"/>
            </w:tcBorders>
            <w:tcW w:w="0" w:type="auto"/>
          </w:tcPr>
          <w:p w14:paraId="3E82C8D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Endogenous Construct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3A5FC86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Predictor</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079811A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VIF</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6FE90AC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Status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32CDD98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1E2022D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Intrinsic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51E6189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1.456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0349CAA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No collinearity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2B453A8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19E2367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Extrinsic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164F3CC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1.456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8DB932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No collinearity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0E804C2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6AF71D5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Intrinsic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252D2E8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1.523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515FCDF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No collinearity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0" w:type="auto"/>
          </w:tcPr>
          <w:p w14:paraId="10CB0C3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58A11F2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Extrinsic Motivation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3836093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1.489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0C0B82B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No collinearity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bottom w:val="single" w:color="000000" w:sz="4" w:space="0"/>
            </w:tcBorders>
            <w:tcW w:w="0" w:type="auto"/>
          </w:tcPr>
          <w:p w14:paraId="5410600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13411D7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441398F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1.612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3EE14EC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No collinearity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2B59457B"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VIF </w:t>
      </w: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3</m:t>
        </m:r>
      </m:oMath>
      <w:r>
        <w:rPr>
          <w:rFonts w:ascii="Times New Roman" w:hAnsi="Times New Roman" w:eastAsia="Times New Roman" w:cs="Times New Roman"/>
          <w:color w:val="000000" w:themeColor="text1"/>
          <w:sz w:val="20"/>
          <w:szCs w:val="20"/>
        </w:rPr>
        <w:t xml:space="preserve"> indicates no problematic multicollinearity Hair et al. (2019).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1ACB4705" w14:textId="77777777">
      <w:pPr>
        <w:pStyle w:val="1060"/>
        <w:pBdr/>
        <w:spacing w:after="120" w:before="120"/>
        <w:ind/>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03703B4D"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structural model was tested using bootstrapping with 5,000 subsamples. Table 8 presents the standardised path coefficients, standard errors, </w:t>
      </w:r>
      <w:r>
        <w:rPr>
          <w:rFonts w:ascii="Times New Roman" w:hAnsi="Times New Roman" w:eastAsia="Times New Roman" w:cs="Times New Roman"/>
          <w:i/>
          <w:iCs/>
          <w:color w:val="000000" w:themeColor="text1"/>
        </w:rPr>
        <w:t xml:space="preserve">t</w:t>
      </w:r>
      <w:r>
        <w:rPr>
          <w:rFonts w:ascii="Times New Roman" w:hAnsi="Times New Roman" w:eastAsia="Times New Roman" w:cs="Times New Roman"/>
          <w:color w:val="000000" w:themeColor="text1"/>
        </w:rPr>
        <w:t xml:space="preserve">-values, </w:t>
      </w:r>
      <w:r>
        <w:rPr>
          <w:rFonts w:ascii="Times New Roman" w:hAnsi="Times New Roman" w:eastAsia="Times New Roman" w:cs="Times New Roman"/>
          <w:i/>
          <w:iCs/>
          <w:color w:val="000000" w:themeColor="text1"/>
        </w:rPr>
        <w:t xml:space="preserve">p</w:t>
      </w:r>
      <w:r>
        <w:rPr>
          <w:rFonts w:ascii="Times New Roman" w:hAnsi="Times New Roman" w:eastAsia="Times New Roman" w:cs="Times New Roman"/>
          <w:color w:val="000000" w:themeColor="text1"/>
        </w:rPr>
        <w:t xml:space="preserve">-values, and 95% confidence intervals for all five direct-effect hypotheses.</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r>
        <w:rPr>
          <w:rFonts w:cs="Times New Roman"/>
          <w:color w:val="000000" w:themeColor="text1"/>
          <w:sz w:val="24"/>
          <w:szCs w:val="24"/>
        </w:rPr>
      </w:r>
      <w:r>
        <w:rPr>
          <w:rFonts w:cs="Times New Roman"/>
          <w:color w:val="000000" w:themeColor="text1"/>
          <w:sz w:val="24"/>
          <w:szCs w:val="24"/>
        </w:rPr>
      </w:r>
      <w:r>
        <w:rPr>
          <w:rFonts w:cs="Times New Roman"/>
          <w:color w:val="000000" w:themeColor="text1"/>
          <w:sz w:val="24"/>
          <w:szCs w:val="24"/>
        </w:rPr>
      </w:r>
      <w:r>
        <w:rPr>
          <w:rFonts w:ascii="Times New Roman" w:hAnsi="Times New Roman" w:eastAsia="Times New Roman" w:cs="Times New Roman"/>
          <w:color w:val="000000" w:themeColor="text1"/>
        </w:rPr>
      </w:r>
    </w:p>
    <w:p w14:paraId="6FED82F4" w14:textId="77777777">
      <w:pPr>
        <w:pStyle w:val="1012"/>
        <w:pBdr/>
        <w:spacing w:after="120"/>
        <w:ind/>
        <w:rPr>
          <w:rFonts w:cs="Times New Roman"/>
          <w:color w:val="000000" w:themeColor="text1"/>
          <w:sz w:val="24"/>
          <w:szCs w:val="24"/>
        </w:rPr>
      </w:pPr>
      <w:r>
        <w:rPr>
          <w:rFonts w:cs="Times New Roman"/>
          <w:b/>
          <w:bCs/>
          <w:i w:val="0"/>
          <w:iCs w:val="0"/>
          <w:color w:val="000000" w:themeColor="text1"/>
          <w:sz w:val="24"/>
          <w:szCs w:val="24"/>
        </w:rPr>
        <w:t xml:space="preserve">Table </w:t>
      </w:r>
      <w:r>
        <w:rPr>
          <w:rFonts w:cs="Times New Roman"/>
          <w:b/>
          <w:bCs/>
          <w:i w:val="0"/>
          <w:iCs w:val="0"/>
          <w:color w:val="000000" w:themeColor="text1"/>
          <w:sz w:val="24"/>
          <w:szCs w:val="24"/>
        </w:rPr>
        <w:fldChar w:fldCharType="begin"/>
      </w:r>
      <w:r>
        <w:rPr>
          <w:rFonts w:cs="Times New Roman"/>
          <w:b/>
          <w:bCs/>
          <w:i w:val="0"/>
          <w:iCs w:val="0"/>
          <w:color w:val="000000" w:themeColor="text1"/>
          <w:sz w:val="24"/>
          <w:szCs w:val="24"/>
        </w:rPr>
        <w:instrText xml:space="preserve"> SEQ Table \* Arabic </w:instrText>
      </w:r>
      <w:r>
        <w:rPr>
          <w:rFonts w:cs="Times New Roman"/>
          <w:b/>
          <w:bCs/>
          <w:i w:val="0"/>
          <w:iCs w:val="0"/>
          <w:color w:val="000000" w:themeColor="text1"/>
          <w:sz w:val="24"/>
          <w:szCs w:val="24"/>
        </w:rPr>
        <w:fldChar w:fldCharType="separate"/>
      </w:r>
      <w:r>
        <w:rPr>
          <w:rFonts w:cs="Times New Roman"/>
          <w:b/>
          <w:bCs/>
          <w:i w:val="0"/>
          <w:iCs w:val="0"/>
          <w:color w:val="000000" w:themeColor="text1"/>
          <w:sz w:val="24"/>
          <w:szCs w:val="24"/>
        </w:rPr>
        <w:t xml:space="preserve">8</w:t>
      </w:r>
      <w:r>
        <w:rPr>
          <w:rFonts w:cs="Times New Roman"/>
          <w:b/>
          <w:bCs/>
          <w:i w:val="0"/>
          <w:iCs w:val="0"/>
          <w:color w:val="000000" w:themeColor="text1"/>
          <w:sz w:val="24"/>
          <w:szCs w:val="24"/>
        </w:rPr>
        <w:fldChar w:fldCharType="end"/>
      </w:r>
      <w:r>
        <w:rPr>
          <w:rFonts w:cs="Times New Roman"/>
          <w:color w:val="000000" w:themeColor="text1"/>
          <w:sz w:val="24"/>
          <w:szCs w:val="24"/>
        </w:rPr>
        <w:t xml:space="preserve"> </w:t>
      </w:r>
      <w:r>
        <w:rPr>
          <w:rFonts w:cs="Times New Roman"/>
          <w:color w:val="000000" w:themeColor="text1"/>
          <w:sz w:val="24"/>
          <w:szCs w:val="24"/>
        </w:rPr>
      </w:r>
      <w:r>
        <w:rPr>
          <w:rFonts w:cs="Times New Roman"/>
          <w:color w:val="000000" w:themeColor="text1"/>
          <w:sz w:val="24"/>
          <w:szCs w:val="24"/>
        </w:rPr>
      </w:r>
    </w:p>
    <w:p w14:paraId="05C5B02C" w14:textId="77777777">
      <w:pPr>
        <w:pStyle w:val="1012"/>
        <w:pBdr/>
        <w:spacing w:after="120"/>
        <w:ind/>
        <w:rPr>
          <w:color w:val="000000" w:themeColor="text1"/>
          <w:sz w:val="24"/>
          <w:szCs w:val="24"/>
        </w:rPr>
      </w:pPr>
      <w:r>
        <w:rPr>
          <w:rFonts w:cs="Times New Roman"/>
          <w:color w:val="000000" w:themeColor="text1"/>
          <w:sz w:val="24"/>
          <w:szCs w:val="24"/>
        </w:rPr>
        <w:t xml:space="preserve">Structural Model Path Coefficients and Hypothesis Testing </w:t>
      </w:r>
      <w:r>
        <w:rPr>
          <w:color w:val="000000" w:themeColor="text1"/>
          <w:sz w:val="24"/>
          <w:szCs w:val="24"/>
        </w:rPr>
      </w:r>
      <w:r>
        <w:rPr>
          <w:color w:val="000000" w:themeColor="text1"/>
          <w:sz w:val="24"/>
          <w:szCs w:val="24"/>
        </w:rPr>
      </w:r>
    </w:p>
    <w:tbl>
      <w:tblPr>
        <w:tblStyle w:val="1063"/>
        <w:tblInd w:w="253" w:type="dxa"/>
        <w:tblW w:w="0" w:type="auto"/>
        <w:tblBorders/>
        <w:tblLayout w:type="fixed"/>
        <w:tblLook w:val="0020" w:firstRow="1" w:lastRow="0" w:firstColumn="0" w:lastColumn="0" w:noHBand="0" w:noVBand="0"/>
      </w:tblPr>
      <w:tblGrid>
        <w:gridCol w:w="575"/>
        <w:gridCol w:w="1134"/>
        <w:gridCol w:w="709"/>
        <w:gridCol w:w="709"/>
        <w:gridCol w:w="992"/>
        <w:gridCol w:w="709"/>
        <w:gridCol w:w="1417"/>
        <w:gridCol w:w="1417"/>
      </w:tblGrid>
      <w:tr>
        <w:trPr>
          <w:tblHeader/>
        </w:trPr>
        <w:tc>
          <w:tcPr>
            <w:tcBorders>
              <w:top w:val="single" w:color="000000" w:sz="4" w:space="0"/>
            </w:tcBorders>
            <w:tcW w:w="575" w:type="dxa"/>
          </w:tcPr>
          <w:p w14:paraId="0C04404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134" w:type="dxa"/>
          </w:tcPr>
          <w:p w14:paraId="1A21E74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Path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709" w:type="dxa"/>
          </w:tcPr>
          <w:p w14:paraId="21B1D387"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t>β</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709" w:type="dxa"/>
          </w:tcPr>
          <w:p w14:paraId="3E0CA1E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SE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992" w:type="dxa"/>
          </w:tcPr>
          <w:p w14:paraId="05AB2BA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709" w:type="dxa"/>
          </w:tcPr>
          <w:p w14:paraId="12B6634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417" w:type="dxa"/>
          </w:tcPr>
          <w:p w14:paraId="7A0AC0A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95% CI</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417" w:type="dxa"/>
          </w:tcPr>
          <w:p w14:paraId="098DB32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Status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575" w:type="dxa"/>
          </w:tcPr>
          <w:p w14:paraId="73028BB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34" w:type="dxa"/>
          </w:tcPr>
          <w:p w14:paraId="43B6F0A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5C3A21C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0.395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3D2EF8E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0.068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992" w:type="dxa"/>
          </w:tcPr>
          <w:p w14:paraId="4E10A54A"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5.809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6FA1F81F"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.001</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33B8C13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[0.262, 0.528]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51D9098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575" w:type="dxa"/>
          </w:tcPr>
          <w:p w14:paraId="7D10FAF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34" w:type="dxa"/>
          </w:tcPr>
          <w:p w14:paraId="0F783E8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1302A90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0.123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681AC33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0.059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992" w:type="dxa"/>
          </w:tcPr>
          <w:p w14:paraId="65C0CB4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2.085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3042837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.040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02BB041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[0.007, 0.239]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5B98AA3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575" w:type="dxa"/>
          </w:tcPr>
          <w:p w14:paraId="2F5F432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34" w:type="dxa"/>
          </w:tcPr>
          <w:p w14:paraId="74A0B97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54F7D2D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0.618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4260360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0.051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992" w:type="dxa"/>
          </w:tcPr>
          <w:p w14:paraId="0005A60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12.118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73BF1B34"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.001</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058390B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[0.518, 0.718]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23541A7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575" w:type="dxa"/>
          </w:tcPr>
          <w:p w14:paraId="66CFC46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34" w:type="dxa"/>
          </w:tcPr>
          <w:p w14:paraId="4BADE0F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689BEC6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0.244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40C9C7C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0.073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992" w:type="dxa"/>
          </w:tcPr>
          <w:p w14:paraId="1801B6E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3.342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9" w:type="dxa"/>
          </w:tcPr>
          <w:p w14:paraId="14D333D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0579344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[0.101, 0.387]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417" w:type="dxa"/>
          </w:tcPr>
          <w:p w14:paraId="15D7217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bottom w:val="single" w:color="000000" w:sz="4" w:space="0"/>
            </w:tcBorders>
            <w:tcW w:w="575" w:type="dxa"/>
          </w:tcPr>
          <w:p w14:paraId="4570BCA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134" w:type="dxa"/>
          </w:tcPr>
          <w:p w14:paraId="1102864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709" w:type="dxa"/>
          </w:tcPr>
          <w:p w14:paraId="28E5EDF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0.436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709" w:type="dxa"/>
          </w:tcPr>
          <w:p w14:paraId="17E701F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0.071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992" w:type="dxa"/>
          </w:tcPr>
          <w:p w14:paraId="1442FD0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6.141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709" w:type="dxa"/>
          </w:tcPr>
          <w:p w14:paraId="68F2CEE3"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.001</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417" w:type="dxa"/>
          </w:tcPr>
          <w:p w14:paraId="45F7BB4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[0.297, 0.575]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417" w:type="dxa"/>
          </w:tcPr>
          <w:p w14:paraId="4BD839F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2FE3D3FB"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IM = Intrinsic Motivation; EM = Extrinsic Motivation; LA = Learner Autonomy; AP = Academic Performance; Bootstrapping = 5,000 subsamples.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524821B1"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34417784"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All five direct-effect hypotheses were supported (Table 8). The IM </w:t>
      </w:r>
      <m:oMath>
        <m:r>
          <w:rPr>
            <w:rFonts w:ascii="Cambria Math" w:hAnsi="Cambria Math" w:eastAsia="Cambria Math" w:cs="Cambria Math"/>
            <w:color w:val="000000" w:themeColor="text1"/>
          </w:rPr>
          <m:rPr>
            <m:sty m:val="p"/>
          </m:rPr>
          <m:t>→</m:t>
        </m:r>
      </m:oMath>
      <w:r>
        <w:rPr>
          <w:rFonts w:ascii="Times New Roman" w:hAnsi="Times New Roman" w:eastAsia="Times New Roman" w:cs="Times New Roman"/>
          <w:color w:val="000000" w:themeColor="text1"/>
        </w:rPr>
        <w:t xml:space="preserve"> LA path was the largest coefficient in the model (</w:t>
      </w:r>
      <m:oMath>
        <m:r>
          <w:rPr>
            <w:rFonts w:ascii="Cambria Math" w:hAnsi="Cambria Math" w:eastAsia="Cambria Math" w:cs="Cambria Math"/>
            <w:color w:val="000000" w:themeColor="text1"/>
          </w:rPr>
          <m:rPr/>
          <m:t>β</m:t>
        </m:r>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0.618</m:t>
        </m:r>
      </m:oMath>
      <w:r>
        <w:rPr>
          <w:rFonts w:ascii="Times New Roman" w:hAnsi="Times New Roman" w:eastAsia="Times New Roman" w:cs="Times New Roman"/>
          <w:color w:val="000000" w:themeColor="text1"/>
        </w:rPr>
        <w:t xml:space="preserve">), approximately 2.5 times the size of EM </w:t>
      </w:r>
      <m:oMath>
        <m:r>
          <w:rPr>
            <w:rFonts w:ascii="Cambria Math" w:hAnsi="Cambria Math" w:eastAsia="Cambria Math" w:cs="Cambria Math"/>
            <w:color w:val="000000" w:themeColor="text1"/>
          </w:rPr>
          <m:rPr>
            <m:sty m:val="p"/>
          </m:rPr>
          <m:t>→</m:t>
        </m:r>
      </m:oMath>
      <w:r>
        <w:rPr>
          <w:rFonts w:ascii="Times New Roman" w:hAnsi="Times New Roman" w:eastAsia="Times New Roman" w:cs="Times New Roman"/>
          <w:color w:val="000000" w:themeColor="text1"/>
        </w:rPr>
        <w:t xml:space="preserve"> LA (</w:t>
      </w:r>
      <m:oMath>
        <m:r>
          <w:rPr>
            <w:rFonts w:ascii="Cambria Math" w:hAnsi="Cambria Math" w:eastAsia="Cambria Math" w:cs="Cambria Math"/>
            <w:color w:val="000000" w:themeColor="text1"/>
          </w:rPr>
          <m:rPr/>
          <m:t>β</m:t>
        </m:r>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0.244</m:t>
        </m:r>
      </m:oMath>
      <w:r>
        <w:rPr>
          <w:rFonts w:ascii="Times New Roman" w:hAnsi="Times New Roman" w:eastAsia="Times New Roman" w:cs="Times New Roman"/>
          <w:color w:val="000000" w:themeColor="text1"/>
        </w:rPr>
        <w:t xml:space="preserve">). Learner Autonomy was the strongest direct predictor of performance (</w:t>
      </w:r>
      <m:oMath>
        <m:r>
          <w:rPr>
            <w:rFonts w:ascii="Cambria Math" w:hAnsi="Cambria Math" w:eastAsia="Cambria Math" w:cs="Cambria Math"/>
            <w:color w:val="000000" w:themeColor="text1"/>
          </w:rPr>
          <m:rPr/>
          <m:t>β</m:t>
        </m:r>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0.436</m:t>
        </m:r>
      </m:oMath>
      <w:r>
        <w:rPr>
          <w:rFonts w:ascii="Times New Roman" w:hAnsi="Times New Roman" w:eastAsia="Times New Roman" w:cs="Times New Roman"/>
          <w:color w:val="000000" w:themeColor="text1"/>
        </w:rPr>
        <w:t xml:space="preserve">), exceeding the direct effect of Intrinsic Motivation (</w:t>
      </w:r>
      <m:oMath>
        <m:r>
          <w:rPr>
            <w:rFonts w:ascii="Cambria Math" w:hAnsi="Cambria Math" w:eastAsia="Cambria Math" w:cs="Cambria Math"/>
            <w:color w:val="000000" w:themeColor="text1"/>
          </w:rPr>
          <m:rPr/>
          <m:t>β</m:t>
        </m:r>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0.395</m:t>
        </m:r>
      </m:oMath>
      <w:r>
        <w:rPr>
          <w:rFonts w:ascii="Times New Roman" w:hAnsi="Times New Roman" w:eastAsia="Times New Roman" w:cs="Times New Roman"/>
          <w:color w:val="000000" w:themeColor="text1"/>
        </w:rPr>
        <w:t xml:space="preserve">). Extrinsic Motivation’s direct contribution was modest (</w:t>
      </w:r>
      <m:oMath>
        <m:r>
          <w:rPr>
            <w:rFonts w:ascii="Cambria Math" w:hAnsi="Cambria Math" w:eastAsia="Cambria Math" w:cs="Cambria Math"/>
            <w:color w:val="000000" w:themeColor="text1"/>
          </w:rPr>
          <m:rPr/>
          <m:t>β</m:t>
        </m:r>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0.123</m:t>
        </m:r>
      </m:oMath>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7197DBA6" w14:textId="77777777">
      <w:pPr>
        <w:pStyle w:val="1012"/>
        <w:pBdr/>
        <w:spacing/>
        <w:ind/>
        <w:rPr>
          <w:color w:val="000000" w:themeColor="text1"/>
          <w:sz w:val="24"/>
          <w:szCs w:val="24"/>
        </w:rPr>
      </w:pPr>
      <w:r>
        <w:rPr>
          <w:b/>
          <w:bCs/>
          <w:i w:val="0"/>
          <w:iCs w:val="0"/>
          <w:color w:val="000000" w:themeColor="text1"/>
          <w:sz w:val="24"/>
          <w:szCs w:val="24"/>
        </w:rPr>
        <w:t xml:space="preserve">Figure </w:t>
      </w:r>
      <w:r>
        <w:rPr>
          <w:b/>
          <w:bCs/>
          <w:i w:val="0"/>
          <w:iCs w:val="0"/>
          <w:color w:val="000000" w:themeColor="text1"/>
          <w:sz w:val="24"/>
          <w:szCs w:val="24"/>
        </w:rPr>
        <w:fldChar w:fldCharType="begin"/>
      </w:r>
      <w:r>
        <w:rPr>
          <w:b/>
          <w:bCs/>
          <w:i w:val="0"/>
          <w:iCs w:val="0"/>
          <w:color w:val="000000" w:themeColor="text1"/>
          <w:sz w:val="24"/>
          <w:szCs w:val="24"/>
        </w:rPr>
        <w:instrText xml:space="preserve"> SEQ Figure \* Arabic </w:instrText>
      </w:r>
      <w:r>
        <w:rPr>
          <w:b/>
          <w:bCs/>
          <w:i w:val="0"/>
          <w:iCs w:val="0"/>
          <w:color w:val="000000" w:themeColor="text1"/>
          <w:sz w:val="24"/>
          <w:szCs w:val="24"/>
        </w:rPr>
        <w:fldChar w:fldCharType="separate"/>
      </w:r>
      <w:r>
        <w:rPr>
          <w:b/>
          <w:bCs/>
          <w:i w:val="0"/>
          <w:iCs w:val="0"/>
          <w:color w:val="000000" w:themeColor="text1"/>
          <w:sz w:val="24"/>
          <w:szCs w:val="24"/>
        </w:rPr>
        <w:t xml:space="preserve">4</w:t>
      </w:r>
      <w:r>
        <w:rPr>
          <w:b/>
          <w:bCs/>
          <w:i w:val="0"/>
          <w:iCs w:val="0"/>
          <w:color w:val="000000" w:themeColor="text1"/>
          <w:sz w:val="24"/>
          <w:szCs w:val="24"/>
        </w:rPr>
        <w:fldChar w:fldCharType="end"/>
      </w:r>
      <w:r>
        <w:rPr>
          <w:color w:val="000000" w:themeColor="text1"/>
          <w:sz w:val="24"/>
          <w:szCs w:val="24"/>
        </w:rPr>
        <w:t xml:space="preserve"> </w:t>
      </w:r>
      <w:r>
        <w:rPr>
          <w:color w:val="000000" w:themeColor="text1"/>
          <w:sz w:val="24"/>
          <w:szCs w:val="24"/>
        </w:rPr>
      </w:r>
      <w:r>
        <w:rPr>
          <w:color w:val="000000" w:themeColor="text1"/>
          <w:sz w:val="24"/>
          <w:szCs w:val="24"/>
        </w:rPr>
      </w:r>
    </w:p>
    <w:p w14:paraId="69D274AD" w14:textId="77777777">
      <w:pPr>
        <w:pStyle w:val="1012"/>
        <w:pBdr/>
        <w:spacing w:after="120"/>
        <w:ind/>
        <w:rPr>
          <w:color w:val="000000" w:themeColor="text1"/>
          <w:sz w:val="24"/>
          <w:szCs w:val="24"/>
        </w:rPr>
      </w:pPr>
      <w:r>
        <w:rPr>
          <w:rFonts w:cs="Times New Roman"/>
          <w:color w:val="000000" w:themeColor="text1"/>
          <w:sz w:val="24"/>
          <w:szCs w:val="24"/>
        </w:rPr>
        <w:t xml:space="preserve">Structural Model Path Coefficients </w:t>
      </w:r>
      <w:r>
        <w:rPr>
          <w:color w:val="000000" w:themeColor="text1"/>
          <w:sz w:val="24"/>
          <w:szCs w:val="24"/>
        </w:rPr>
      </w:r>
      <w:r>
        <w:rPr>
          <w:color w:val="000000" w:themeColor="text1"/>
          <w:sz w:val="24"/>
          <w:szCs w:val="24"/>
        </w:rPr>
      </w:r>
    </w:p>
    <w:p w14:paraId="49D2F6FA" w14:textId="77777777">
      <w:pPr>
        <w:pStyle w:val="1060"/>
        <w:pBdr/>
        <w:spacing w:after="120" w:before="120"/>
        <w:ind/>
        <w:rPr/>
      </w:pPr>
      <w:r>
        <mc:AlternateContent>
          <mc:Choice Requires="wpg">
            <w:drawing>
              <wp:inline xmlns:wp="http://schemas.openxmlformats.org/drawingml/2006/wordprocessingDrawing" distT="0" distB="0" distL="0" distR="0">
                <wp:extent cx="5731510" cy="3585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92660" name=""/>
                        <pic:cNvPicPr>
                          <a:picLocks noChangeAspect="1"/>
                        </pic:cNvPicPr>
                        <pic:nvPr/>
                      </pic:nvPicPr>
                      <pic:blipFill rotWithShape="1">
                        <a:blip r:embed="rId14"/>
                        <a:stretch/>
                      </pic:blipFill>
                      <pic:spPr bwMode="auto">
                        <a:xfrm>
                          <a:off x="0" y="0"/>
                          <a:ext cx="5731509" cy="35854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51.30pt;height:282.32pt;mso-wrap-distance-left:0.00pt;mso-wrap-distance-top:0.00pt;mso-wrap-distance-right:0.00pt;mso-wrap-distance-bottom:0.00pt;z-index:1;" stroked="false">
                <v:imagedata r:id="rId14" o:title=""/>
                <o:lock v:ext="edit" rotation="t"/>
              </v:shape>
            </w:pict>
          </mc:Fallback>
        </mc:AlternateContent>
        <w:br/>
      </w:r>
      <w:r/>
    </w:p>
    <w:p w14:paraId="321E9722" w14:textId="77777777">
      <w:pPr>
        <w:pStyle w:val="1060"/>
        <w:pBdr/>
        <w:spacing w:after="120" w:before="120"/>
        <w:ind/>
        <w:rPr>
          <w:rFonts w:ascii="Times New Roman" w:hAnsi="Times New Roman" w:cs="Times New Roman"/>
        </w:rPr>
      </w:pPr>
      <w:r>
        <w:rPr>
          <w:szCs w:val="26"/>
        </w:rPr>
        <w:tab/>
      </w:r>
      <w:r>
        <w:rPr>
          <w:rFonts w:ascii="Times New Roman" w:hAnsi="Times New Roman" w:eastAsia="Times New Roman" w:cs="Times New Roman"/>
          <w:szCs w:val="26"/>
        </w:rPr>
        <w:t xml:space="preserve">Figure 4 shows the </w:t>
      </w:r>
      <w:r>
        <w:rPr>
          <w:rFonts w:ascii="Times New Roman" w:hAnsi="Times New Roman" w:eastAsia="Times New Roman" w:cs="Times New Roman"/>
          <w:szCs w:val="26"/>
        </w:rPr>
        <w:t xml:space="preserve">standardized path coefficients and R² values for the endogenous constructs. The model explained 73.4% of the variance in Academic Performance (R² = 0.734; adjusted R² = 0.728) and 60.5% of the variance in Learner Autonomy (R² = 0.605; adjusted R² = 0.600).</w:t>
      </w:r>
      <w:r>
        <w:rPr>
          <w:rFonts w:ascii="Times New Roman" w:hAnsi="Times New Roman" w:cs="Times New Roman"/>
        </w:rPr>
      </w:r>
      <w:r>
        <w:rPr>
          <w:rFonts w:ascii="Times New Roman" w:hAnsi="Times New Roman" w:cs="Times New Roman"/>
        </w:rPr>
      </w:r>
    </w:p>
    <w:p w14:paraId="0F2A3F31">
      <w:pPr>
        <w:pStyle w:val="1012"/>
        <w:pBdr/>
        <w:spacing w:after="120"/>
        <w:ind/>
        <w:rPr>
          <w:color w:val="000000" w:themeColor="text1"/>
          <w:sz w:val="24"/>
          <w:szCs w:val="24"/>
        </w:rPr>
      </w:pPr>
      <w:r>
        <w:rPr>
          <w:color w:val="000000" w:themeColor="text1"/>
          <w:sz w:val="24"/>
          <w:szCs w:val="24"/>
          <w:highlight w:val="none"/>
        </w:rPr>
      </w:r>
      <w:r>
        <w:rPr>
          <w:color w:val="000000" w:themeColor="text1"/>
          <w:sz w:val="24"/>
          <w:szCs w:val="24"/>
          <w:highlight w:val="none"/>
        </w:rPr>
      </w:r>
      <w:r>
        <w:rPr>
          <w:color w:val="000000" w:themeColor="text1"/>
          <w:sz w:val="24"/>
          <w:szCs w:val="24"/>
          <w:highlight w:val="none"/>
        </w:rPr>
      </w:r>
    </w:p>
    <w:p w14:paraId="63B46F65">
      <w:pPr>
        <w:pStyle w:val="1012"/>
        <w:pBdr/>
        <w:spacing w:after="120"/>
        <w:ind/>
        <w:rPr>
          <w:color w:val="000000" w:themeColor="text1"/>
          <w:sz w:val="24"/>
          <w:szCs w:val="24"/>
          <w:highlight w:val="none"/>
        </w:rPr>
      </w:pPr>
      <w:r>
        <w:rPr>
          <w:color w:val="000000" w:themeColor="text1"/>
          <w:sz w:val="24"/>
          <w:szCs w:val="24"/>
          <w:highlight w:val="none"/>
        </w:rPr>
      </w:r>
      <w:r>
        <w:rPr>
          <w:color w:val="000000" w:themeColor="text1"/>
          <w:sz w:val="24"/>
          <w:szCs w:val="24"/>
          <w:highlight w:val="none"/>
        </w:rPr>
      </w:r>
      <w:r>
        <w:rPr>
          <w:color w:val="000000" w:themeColor="text1"/>
          <w:sz w:val="24"/>
          <w:szCs w:val="24"/>
          <w:highlight w:val="none"/>
        </w:rPr>
      </w:r>
    </w:p>
    <w:p w14:paraId="31F1004C">
      <w:pPr>
        <w:pStyle w:val="1012"/>
        <w:pBdr/>
        <w:spacing w:after="120"/>
        <w:ind/>
        <w:rPr>
          <w:color w:val="000000" w:themeColor="text1"/>
          <w:sz w:val="24"/>
          <w:szCs w:val="24"/>
          <w:highlight w:val="none"/>
        </w:rPr>
      </w:pPr>
      <w:r>
        <w:rPr>
          <w:color w:val="000000" w:themeColor="text1"/>
          <w:sz w:val="24"/>
          <w:szCs w:val="24"/>
          <w:highlight w:val="none"/>
        </w:rPr>
      </w:r>
      <w:r>
        <w:rPr>
          <w:color w:val="000000" w:themeColor="text1"/>
          <w:sz w:val="24"/>
          <w:szCs w:val="24"/>
          <w:highlight w:val="none"/>
        </w:rPr>
      </w:r>
      <w:r>
        <w:rPr>
          <w:color w:val="000000" w:themeColor="text1"/>
          <w:sz w:val="24"/>
          <w:szCs w:val="24"/>
          <w:highlight w:val="none"/>
        </w:rPr>
      </w:r>
    </w:p>
    <w:p w14:paraId="1A9ED8A9">
      <w:pPr>
        <w:pStyle w:val="1012"/>
        <w:pBdr/>
        <w:spacing w:after="120"/>
        <w:ind/>
        <w:rPr>
          <w:color w:val="000000" w:themeColor="text1"/>
          <w:sz w:val="24"/>
          <w:szCs w:val="24"/>
          <w:highlight w:val="none"/>
        </w:rPr>
      </w:pPr>
      <w:r>
        <w:rPr>
          <w:color w:val="000000" w:themeColor="text1"/>
          <w:sz w:val="24"/>
          <w:szCs w:val="24"/>
          <w:highlight w:val="none"/>
        </w:rPr>
      </w:r>
      <w:r>
        <w:rPr>
          <w:color w:val="000000" w:themeColor="text1"/>
          <w:sz w:val="24"/>
          <w:szCs w:val="24"/>
          <w:highlight w:val="none"/>
        </w:rPr>
      </w:r>
      <w:r>
        <w:rPr>
          <w:color w:val="000000" w:themeColor="text1"/>
          <w:sz w:val="24"/>
          <w:szCs w:val="24"/>
          <w:highlight w:val="none"/>
        </w:rPr>
      </w:r>
    </w:p>
    <w:p w14:paraId="5A98B24A" w14:textId="77777777">
      <w:pPr>
        <w:pStyle w:val="1012"/>
        <w:pBdr/>
        <w:spacing w:after="120"/>
        <w:ind/>
        <w:rPr>
          <w:color w:val="000000" w:themeColor="text1"/>
          <w:sz w:val="24"/>
          <w:szCs w:val="24"/>
          <w:highlight w:val="none"/>
        </w:rPr>
      </w:pPr>
      <w:r>
        <w:rPr>
          <w:b/>
          <w:bCs/>
          <w:i w:val="0"/>
          <w:iCs w:val="0"/>
          <w:color w:val="000000" w:themeColor="text1"/>
          <w:sz w:val="24"/>
          <w:szCs w:val="24"/>
        </w:rPr>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Pr>
          <w:b/>
          <w:bCs/>
          <w:i w:val="0"/>
          <w:iCs w:val="0"/>
          <w:color w:val="000000" w:themeColor="text1"/>
          <w:sz w:val="24"/>
          <w:szCs w:val="24"/>
        </w:rPr>
        <w:t xml:space="preserve">9</w:t>
      </w:r>
      <w:r>
        <w:rPr>
          <w:b/>
          <w:bCs/>
          <w:i w:val="0"/>
          <w:iCs w:val="0"/>
          <w:color w:val="000000" w:themeColor="text1"/>
          <w:sz w:val="24"/>
          <w:szCs w:val="24"/>
        </w:rPr>
        <w:fldChar w:fldCharType="end"/>
      </w:r>
      <w:r>
        <w:rPr>
          <w:color w:val="000000" w:themeColor="text1"/>
          <w:sz w:val="24"/>
          <w:szCs w:val="24"/>
        </w:rPr>
        <w:t xml:space="preserve"> </w:t>
      </w:r>
      <w:r>
        <w:rPr>
          <w:color w:val="000000" w:themeColor="text1"/>
          <w:sz w:val="24"/>
          <w:szCs w:val="24"/>
        </w:rPr>
      </w:r>
      <w:r>
        <w:rPr>
          <w:color w:val="000000" w:themeColor="text1"/>
          <w:sz w:val="24"/>
          <w:szCs w:val="24"/>
        </w:rPr>
      </w:r>
    </w:p>
    <w:p w14:paraId="2EFCB0E7" w14:textId="77777777">
      <w:pPr>
        <w:pStyle w:val="1012"/>
        <w:pBdr/>
        <w:spacing w:after="120"/>
        <w:ind/>
        <w:rPr/>
      </w:pPr>
      <w:r>
        <w:rPr>
          <w:color w:val="000000" w:themeColor="text1"/>
          <w:sz w:val="24"/>
          <w:szCs w:val="24"/>
        </w:rPr>
        <w:t xml:space="preserve">Effect Sizes (f</w:t>
      </w:r>
      <w:r>
        <w:rPr>
          <w:color w:val="000000" w:themeColor="text1"/>
          <w:sz w:val="24"/>
          <w:szCs w:val="24"/>
          <w:vertAlign w:val="superscript"/>
        </w:rPr>
        <w:t xml:space="preserve">2</w:t>
      </w:r>
      <w:r>
        <w:rPr>
          <w:color w:val="000000" w:themeColor="text1"/>
          <w:sz w:val="24"/>
          <w:szCs w:val="24"/>
        </w:rPr>
        <w:t xml:space="preserve"> )</w:t>
      </w:r>
      <w:r>
        <w:rPr>
          <w:color w:val="000000" w:themeColor="text1"/>
          <w:sz w:val="24"/>
          <w:szCs w:val="24"/>
        </w:rPr>
        <w:t xml:space="preserve"> for Path Relationships </w:t>
      </w:r>
      <w:r/>
    </w:p>
    <w:tbl>
      <w:tblPr>
        <w:tblStyle w:val="1063"/>
        <w:tblW w:w="0" w:type="auto"/>
        <w:tblBorders/>
        <w:tblLook w:val="0020" w:firstRow="1" w:lastRow="0" w:firstColumn="0" w:lastColumn="0" w:noHBand="0" w:noVBand="0"/>
      </w:tblPr>
      <w:tblGrid>
        <w:gridCol w:w="2115"/>
        <w:gridCol w:w="1298"/>
        <w:gridCol w:w="2185"/>
        <w:gridCol w:w="3398"/>
      </w:tblGrid>
      <w:tr>
        <w:trPr>
          <w:trHeight w:val="504"/>
          <w:tblHeader/>
        </w:trPr>
        <w:tc>
          <w:tcPr>
            <w:tcBorders>
              <w:top w:val="single" w:color="000000" w:sz="4" w:space="0"/>
            </w:tcBorders>
            <w:tcW w:w="0" w:type="auto"/>
          </w:tcPr>
          <w:p w14:paraId="2F1B569A"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Path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46D60CC4" w14:textId="77777777">
            <w:pPr>
              <w:pStyle w:val="1064"/>
              <w:pBdr/>
              <w:spacing w:after="120" w:before="120"/>
              <w:ind/>
              <w:rPr>
                <w:rFonts w:ascii="Times New Roman" w:hAnsi="Times New Roman" w:cs="Times New Roman"/>
                <w:color w:val="000000" w:themeColor="text1"/>
                <w:sz w:val="20"/>
                <w:szCs w:val="20"/>
              </w:rPr>
            </w:pPr>
            <w:r/>
            <m:oMathPara>
              <m:oMathParaPr>
                <m:jc m:val="left"/>
              </m:oMathParaPr>
              <m:oMath>
                <m:sSup>
                  <m:sSupPr>
                    <m:ctrlPr>
                      <w:rPr>
                        <w:rFonts w:ascii="Cambria Math" w:hAnsi="Cambria Math" w:eastAsia="Cambria Math" w:cs="Cambria Math"/>
                        <w:color w:val="000000" w:themeColor="text1"/>
                        <w:sz w:val="20"/>
                      </w:rPr>
                    </m:ctrlPr>
                  </m:sSupPr>
                  <m:e>
                    <m:r>
                      <w:rPr>
                        <w:rFonts w:ascii="Cambria Math" w:hAnsi="Cambria Math" w:eastAsia="Cambria Math" w:cs="Cambria Math"/>
                        <w:color w:val="000000" w:themeColor="text1"/>
                        <w:sz w:val="20"/>
                        <w:szCs w:val="20"/>
                      </w:rPr>
                      <m:rPr/>
                      <m:t>f</m:t>
                    </m:r>
                  </m:e>
                  <m:sup>
                    <m:r>
                      <w:rPr>
                        <w:rFonts w:ascii="Cambria Math" w:hAnsi="Cambria Math" w:eastAsia="Cambria Math" w:cs="Cambria Math"/>
                        <w:color w:val="000000" w:themeColor="text1"/>
                        <w:sz w:val="20"/>
                        <w:szCs w:val="20"/>
                      </w:rPr>
                      <m:rPr/>
                      <m:t>2</m:t>
                    </m:r>
                  </m:sup>
                </m:sSup>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1CB4853C"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Effect Size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0" w:type="auto"/>
          </w:tcPr>
          <w:p w14:paraId="546813F4"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Interpretation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90"/>
        </w:trPr>
        <w:tc>
          <w:tcPr>
            <w:tcBorders/>
            <w:tcW w:w="0" w:type="auto"/>
          </w:tcPr>
          <w:p w14:paraId="1E4FA209"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007E6D1"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0.684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A2EDEED"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Large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32B25CD"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Substantial impact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90"/>
        </w:trPr>
        <w:tc>
          <w:tcPr>
            <w:tcBorders/>
            <w:tcW w:w="0" w:type="auto"/>
          </w:tcPr>
          <w:p w14:paraId="58E8AAD6"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0EEB4B2"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0.282</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10971285"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Medium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0EAE238E"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Meaningful impact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90"/>
        </w:trPr>
        <w:tc>
          <w:tcPr>
            <w:tcBorders/>
            <w:tcW w:w="0" w:type="auto"/>
          </w:tcPr>
          <w:p w14:paraId="341D4E4A"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63513842"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0.245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3DE831D7"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Medium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0FCCD43C"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Meaningful impact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90"/>
        </w:trPr>
        <w:tc>
          <w:tcPr>
            <w:tcBorders/>
            <w:tcW w:w="0" w:type="auto"/>
          </w:tcPr>
          <w:p w14:paraId="75811C84"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LA</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52FD954"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0.106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47B16294"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Small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0" w:type="auto"/>
          </w:tcPr>
          <w:p w14:paraId="7B1F935D"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Limited impact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490"/>
        </w:trPr>
        <w:tc>
          <w:tcPr>
            <w:tcBorders>
              <w:bottom w:val="single" w:color="000000" w:sz="4" w:space="0"/>
            </w:tcBorders>
            <w:tcW w:w="0" w:type="auto"/>
          </w:tcPr>
          <w:p w14:paraId="1D5C4759"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7829F519"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0.036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7CACC321"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Small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0" w:type="auto"/>
          </w:tcPr>
          <w:p w14:paraId="0AC6BD5B" w14:textId="77777777">
            <w:pPr>
              <w:pStyle w:val="1064"/>
              <w:pBdr/>
              <w:spacing w:after="120" w:before="120"/>
              <w:ind/>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Limited impact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0F8E367F"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w:t>
      </w:r>
      <m:oMath>
        <m:sSup>
          <m:sSupPr>
            <m:ctrlPr>
              <w:rPr>
                <w:rFonts w:ascii="Cambria Math" w:hAnsi="Cambria Math" w:eastAsia="Cambria Math" w:cs="Cambria Math"/>
                <w:color w:val="000000" w:themeColor="text1"/>
                <w:sz w:val="20"/>
              </w:rPr>
            </m:ctrlPr>
          </m:sSupPr>
          <m:e>
            <m:r>
              <w:rPr>
                <w:rFonts w:ascii="Cambria Math" w:hAnsi="Cambria Math" w:eastAsia="Cambria Math" w:cs="Cambria Math"/>
                <w:color w:val="000000" w:themeColor="text1"/>
                <w:sz w:val="20"/>
                <w:szCs w:val="20"/>
              </w:rPr>
              <m:rPr/>
              <m:t>f</m:t>
            </m:r>
          </m:e>
          <m:sup>
            <m:r>
              <w:rPr>
                <w:rFonts w:ascii="Cambria Math" w:hAnsi="Cambria Math" w:eastAsia="Cambria Math" w:cs="Cambria Math"/>
                <w:color w:val="000000" w:themeColor="text1"/>
                <w:sz w:val="20"/>
                <w:szCs w:val="20"/>
              </w:rPr>
              <m:rPr/>
              <m:t>2</m:t>
            </m:r>
          </m:sup>
        </m:sSup>
      </m:oMath>
      <w:r>
        <w:rPr>
          <w:rFonts w:ascii="Times New Roman" w:hAnsi="Times New Roman" w:eastAsia="Times New Roman" w:cs="Times New Roman"/>
          <w:color w:val="000000" w:themeColor="text1"/>
          <w:sz w:val="20"/>
          <w:szCs w:val="20"/>
        </w:rPr>
        <w:t xml:space="preserve"> = Effect Size; thresholds: 0.02 = small, 0.15 = medium, 0.35 = large Cohen (1988).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5DCD5B69"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2A38AA9B"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effect size for IM → LA (f² = 0.684) considerably exceeded Cohen's (1988) threshold for a large effect, and this effect size was approximately 6.5 times larger than that of EM → LA (f² = 0.106).</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5AF5BF85" w14:textId="77777777">
      <w:pPr>
        <w:pStyle w:val="1012"/>
        <w:pBdr/>
        <w:spacing w:after="120"/>
        <w:ind/>
        <w:rPr>
          <w:b/>
          <w:bCs/>
          <w:i w:val="0"/>
          <w:color w:val="000000" w:themeColor="text1"/>
          <w:sz w:val="24"/>
          <w:szCs w:val="24"/>
        </w:rPr>
      </w:pPr>
      <w:r>
        <w:rPr>
          <w:b/>
          <w:bCs/>
          <w:i w:val="0"/>
          <w:iCs w:val="0"/>
          <w:color w:val="000000" w:themeColor="text1"/>
          <w:sz w:val="24"/>
          <w:szCs w:val="24"/>
        </w:rPr>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Pr>
          <w:b/>
          <w:bCs/>
          <w:i w:val="0"/>
          <w:iCs w:val="0"/>
          <w:color w:val="000000" w:themeColor="text1"/>
          <w:sz w:val="24"/>
          <w:szCs w:val="24"/>
        </w:rPr>
        <w:t xml:space="preserve">10</w:t>
      </w:r>
      <w:r>
        <w:rPr>
          <w:b/>
          <w:bCs/>
          <w:i w:val="0"/>
          <w:iCs w:val="0"/>
          <w:color w:val="000000" w:themeColor="text1"/>
          <w:sz w:val="24"/>
          <w:szCs w:val="24"/>
        </w:rPr>
        <w:fldChar w:fldCharType="end"/>
      </w:r>
      <w:r>
        <w:rPr>
          <w:b/>
          <w:bCs/>
          <w:i w:val="0"/>
          <w:iCs w:val="0"/>
          <w:color w:val="000000" w:themeColor="text1"/>
          <w:sz w:val="24"/>
          <w:szCs w:val="24"/>
        </w:rPr>
        <w:t xml:space="preserve"> </w:t>
      </w:r>
      <w:r>
        <w:rPr>
          <w:b/>
          <w:bCs/>
          <w:i w:val="0"/>
          <w:color w:val="000000" w:themeColor="text1"/>
          <w:sz w:val="24"/>
          <w:szCs w:val="24"/>
        </w:rPr>
      </w:r>
      <w:r>
        <w:rPr>
          <w:b/>
          <w:bCs/>
          <w:i w:val="0"/>
          <w:color w:val="000000" w:themeColor="text1"/>
          <w:sz w:val="24"/>
          <w:szCs w:val="24"/>
        </w:rPr>
      </w:r>
    </w:p>
    <w:p w14:paraId="20C12889" w14:textId="77777777">
      <w:pPr>
        <w:pStyle w:val="1012"/>
        <w:pBdr/>
        <w:spacing w:after="120"/>
        <w:ind/>
        <w:rPr/>
      </w:pPr>
      <w:r>
        <w:rPr>
          <w:color w:val="000000" w:themeColor="text1"/>
          <w:sz w:val="24"/>
          <w:szCs w:val="24"/>
        </w:rPr>
        <w:t xml:space="preserve">R</w:t>
      </w:r>
      <w:r>
        <w:rPr>
          <w:color w:val="000000" w:themeColor="text1"/>
          <w:sz w:val="24"/>
          <w:szCs w:val="24"/>
          <w:vertAlign w:val="superscript"/>
        </w:rPr>
        <w:t xml:space="preserve">2</w:t>
      </w:r>
      <w:r>
        <w:rPr>
          <w:color w:val="000000" w:themeColor="text1"/>
          <w:sz w:val="24"/>
          <w:szCs w:val="24"/>
        </w:rPr>
        <w:t xml:space="preserve"> Values for Endogenous Constructs </w:t>
      </w:r>
      <w:r/>
    </w:p>
    <w:tbl>
      <w:tblPr>
        <w:tblStyle w:val="1063"/>
        <w:tblW w:w="0" w:type="auto"/>
        <w:tblBorders/>
        <w:tblLayout w:type="fixed"/>
        <w:tblLook w:val="0020" w:firstRow="1" w:lastRow="0" w:firstColumn="0" w:lastColumn="0" w:noHBand="0" w:noVBand="0"/>
      </w:tblPr>
      <w:tblGrid>
        <w:gridCol w:w="2098"/>
        <w:gridCol w:w="666"/>
        <w:gridCol w:w="1192"/>
        <w:gridCol w:w="1278"/>
        <w:gridCol w:w="2538"/>
      </w:tblGrid>
      <w:tr>
        <w:trPr>
          <w:tblHeader/>
        </w:trPr>
        <w:tc>
          <w:tcPr>
            <w:tcBorders>
              <w:top w:val="single" w:color="000000" w:sz="4" w:space="0"/>
            </w:tcBorders>
            <w:tcW w:w="2098" w:type="dxa"/>
          </w:tcPr>
          <w:p w14:paraId="2D3CD3B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Construct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666" w:type="dxa"/>
          </w:tcPr>
          <w:p w14:paraId="11937D1C"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sSup>
                  <m:sSupPr>
                    <m:ctrlPr>
                      <w:rPr>
                        <w:rFonts w:ascii="Cambria Math" w:hAnsi="Cambria Math" w:eastAsia="Cambria Math" w:cs="Cambria Math"/>
                        <w:color w:val="000000" w:themeColor="text1"/>
                        <w:sz w:val="20"/>
                      </w:rPr>
                    </m:ctrlPr>
                  </m:sSupPr>
                  <m:e>
                    <m:r>
                      <w:rPr>
                        <w:rFonts w:ascii="Cambria Math" w:hAnsi="Cambria Math" w:eastAsia="Cambria Math" w:cs="Cambria Math"/>
                        <w:color w:val="000000" w:themeColor="text1"/>
                        <w:sz w:val="20"/>
                        <w:szCs w:val="20"/>
                      </w:rPr>
                      <m:rPr/>
                      <m:t>R</m:t>
                    </m:r>
                  </m:e>
                  <m:sup>
                    <m:r>
                      <w:rPr>
                        <w:rFonts w:ascii="Cambria Math" w:hAnsi="Cambria Math" w:eastAsia="Cambria Math" w:cs="Cambria Math"/>
                        <w:color w:val="000000" w:themeColor="text1"/>
                        <w:sz w:val="20"/>
                        <w:szCs w:val="20"/>
                      </w:rPr>
                      <m:rPr/>
                      <m:t>2</m:t>
                    </m:r>
                  </m:sup>
                </m:sSup>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192" w:type="dxa"/>
          </w:tcPr>
          <w:p w14:paraId="62335C4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Adj.</w:t>
            </w:r>
            <w:r>
              <w:rPr>
                <w:rFonts w:ascii="Times New Roman" w:hAnsi="Times New Roman" w:eastAsia="Times New Roman" w:cs="Times New Roman"/>
                <w:color w:val="000000" w:themeColor="text1"/>
                <w:sz w:val="20"/>
                <w:szCs w:val="20"/>
              </w:rPr>
              <w:t xml:space="preserve"> </w:t>
            </w:r>
            <m:oMath>
              <m:sSup>
                <m:sSupPr>
                  <m:ctrlPr>
                    <w:rPr>
                      <w:rFonts w:ascii="Cambria Math" w:hAnsi="Cambria Math" w:eastAsia="Cambria Math" w:cs="Cambria Math"/>
                      <w:color w:val="000000" w:themeColor="text1"/>
                      <w:sz w:val="20"/>
                    </w:rPr>
                  </m:ctrlPr>
                </m:sSupPr>
                <m:e>
                  <m:r>
                    <w:rPr>
                      <w:rFonts w:ascii="Cambria Math" w:hAnsi="Cambria Math" w:eastAsia="Cambria Math" w:cs="Cambria Math"/>
                      <w:color w:val="000000" w:themeColor="text1"/>
                      <w:sz w:val="20"/>
                      <w:szCs w:val="20"/>
                    </w:rPr>
                    <m:rPr/>
                    <m:t>R</m:t>
                  </m:r>
                </m:e>
                <m:sup>
                  <m:r>
                    <w:rPr>
                      <w:rFonts w:ascii="Cambria Math" w:hAnsi="Cambria Math" w:eastAsia="Cambria Math" w:cs="Cambria Math"/>
                      <w:color w:val="000000" w:themeColor="text1"/>
                      <w:sz w:val="20"/>
                      <w:szCs w:val="20"/>
                    </w:rPr>
                    <m:rPr/>
                    <m:t>2</m:t>
                  </m:r>
                </m:sup>
              </m:sSup>
            </m:oMath>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278" w:type="dxa"/>
          </w:tcPr>
          <w:p w14:paraId="6768307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Predictors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2538" w:type="dxa"/>
          </w:tcPr>
          <w:p w14:paraId="2317235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Interpretation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tcW w:w="2098" w:type="dxa"/>
          </w:tcPr>
          <w:p w14:paraId="5EF56B6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Academic Performance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666" w:type="dxa"/>
          </w:tcPr>
          <w:p w14:paraId="08253DA9"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0.734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92" w:type="dxa"/>
          </w:tcPr>
          <w:p w14:paraId="17BB329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0.728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278" w:type="dxa"/>
          </w:tcPr>
          <w:p w14:paraId="038FCB0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LA, IM, EM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2538" w:type="dxa"/>
          </w:tcPr>
          <w:p w14:paraId="3E6CAA0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Substantial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c>
          <w:tcPr>
            <w:tcBorders>
              <w:bottom w:val="single" w:color="000000" w:sz="4" w:space="0"/>
            </w:tcBorders>
            <w:tcW w:w="2098" w:type="dxa"/>
          </w:tcPr>
          <w:p w14:paraId="1267660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Learner Autonomy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666" w:type="dxa"/>
          </w:tcPr>
          <w:p w14:paraId="23C2731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0.605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192" w:type="dxa"/>
          </w:tcPr>
          <w:p w14:paraId="75C5EA9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0.600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278" w:type="dxa"/>
          </w:tcPr>
          <w:p w14:paraId="44C53CE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 EM</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2538" w:type="dxa"/>
          </w:tcPr>
          <w:p w14:paraId="5DBF586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Moderate to Substantial</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1F7B1E86"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w:t>
      </w:r>
      <m:oMath>
        <m:sSup>
          <m:sSupPr>
            <m:ctrlPr>
              <w:rPr>
                <w:rFonts w:ascii="Cambria Math" w:hAnsi="Cambria Math" w:eastAsia="Cambria Math" w:cs="Cambria Math"/>
                <w:color w:val="000000" w:themeColor="text1"/>
                <w:sz w:val="20"/>
              </w:rPr>
            </m:ctrlPr>
          </m:sSupPr>
          <m:e>
            <m:r>
              <w:rPr>
                <w:rFonts w:ascii="Cambria Math" w:hAnsi="Cambria Math" w:eastAsia="Cambria Math" w:cs="Cambria Math"/>
                <w:color w:val="000000" w:themeColor="text1"/>
                <w:sz w:val="20"/>
                <w:szCs w:val="20"/>
              </w:rPr>
              <m:rPr/>
              <m:t>R</m:t>
            </m:r>
          </m:e>
          <m:sup>
            <m:r>
              <w:rPr>
                <w:rFonts w:ascii="Cambria Math" w:hAnsi="Cambria Math" w:eastAsia="Cambria Math" w:cs="Cambria Math"/>
                <w:color w:val="000000" w:themeColor="text1"/>
                <w:sz w:val="20"/>
                <w:szCs w:val="20"/>
              </w:rPr>
              <m:rPr/>
              <m:t>2</m:t>
            </m:r>
          </m:sup>
        </m:sSup>
      </m:oMath>
      <w:r>
        <w:rPr>
          <w:rFonts w:ascii="Times New Roman" w:hAnsi="Times New Roman" w:eastAsia="Times New Roman" w:cs="Times New Roman"/>
          <w:color w:val="000000" w:themeColor="text1"/>
          <w:sz w:val="20"/>
          <w:szCs w:val="20"/>
        </w:rPr>
        <w:t xml:space="preserve"> values indicate proportion of variance explained; adjusted </w:t>
      </w:r>
      <m:oMath>
        <m:sSup>
          <m:sSupPr>
            <m:ctrlPr>
              <w:rPr>
                <w:rFonts w:ascii="Cambria Math" w:hAnsi="Cambria Math" w:eastAsia="Cambria Math" w:cs="Cambria Math"/>
                <w:color w:val="000000" w:themeColor="text1"/>
                <w:sz w:val="20"/>
              </w:rPr>
            </m:ctrlPr>
          </m:sSupPr>
          <m:e>
            <m:r>
              <w:rPr>
                <w:rFonts w:ascii="Cambria Math" w:hAnsi="Cambria Math" w:eastAsia="Cambria Math" w:cs="Cambria Math"/>
                <w:color w:val="000000" w:themeColor="text1"/>
                <w:sz w:val="20"/>
                <w:szCs w:val="20"/>
              </w:rPr>
              <m:rPr/>
              <m:t>R</m:t>
            </m:r>
          </m:e>
          <m:sup>
            <m:r>
              <w:rPr>
                <w:rFonts w:ascii="Cambria Math" w:hAnsi="Cambria Math" w:eastAsia="Cambria Math" w:cs="Cambria Math"/>
                <w:color w:val="000000" w:themeColor="text1"/>
                <w:sz w:val="20"/>
                <w:szCs w:val="20"/>
              </w:rPr>
              <m:rPr/>
              <m:t>2</m:t>
            </m:r>
          </m:sup>
        </m:sSup>
      </m:oMath>
      <w:r>
        <w:rPr>
          <w:rFonts w:ascii="Times New Roman" w:hAnsi="Times New Roman" w:eastAsia="Times New Roman" w:cs="Times New Roman"/>
          <w:color w:val="000000" w:themeColor="text1"/>
          <w:sz w:val="20"/>
          <w:szCs w:val="20"/>
        </w:rPr>
        <w:t xml:space="preserve"> accounts for model complexity.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514ECB01"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56CEB469"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combined predictors explained 72.8% of the variance in Academic Performance (adjusted </w:t>
      </w:r>
      <m:oMath>
        <m:sSup>
          <m:sSupPr>
            <m:ctrlPr>
              <w:rPr>
                <w:rFonts w:ascii="Cambria Math" w:hAnsi="Cambria Math" w:eastAsia="Cambria Math" w:cs="Cambria Math"/>
                <w:color w:val="000000" w:themeColor="text1"/>
              </w:rPr>
            </m:ctrlPr>
          </m:sSupPr>
          <m:e>
            <m:r>
              <w:rPr>
                <w:rFonts w:ascii="Cambria Math" w:hAnsi="Cambria Math" w:eastAsia="Cambria Math" w:cs="Cambria Math"/>
                <w:color w:val="000000" w:themeColor="text1"/>
              </w:rPr>
              <m:rPr/>
              <m:t>R</m:t>
            </m:r>
          </m:e>
          <m:sup>
            <m:r>
              <w:rPr>
                <w:rFonts w:ascii="Cambria Math" w:hAnsi="Cambria Math" w:eastAsia="Cambria Math" w:cs="Cambria Math"/>
                <w:color w:val="000000" w:themeColor="text1"/>
              </w:rPr>
              <m:rPr/>
              <m:t>2</m:t>
            </m:r>
          </m:sup>
        </m:sSup>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0.728</m:t>
        </m:r>
      </m:oMath>
      <w:r>
        <w:rPr>
          <w:rFonts w:ascii="Times New Roman" w:hAnsi="Times New Roman" w:eastAsia="Times New Roman" w:cs="Times New Roman"/>
          <w:color w:val="000000" w:themeColor="text1"/>
        </w:rPr>
        <w:t xml:space="preserve">) and 60.0% of the variance in Learner Autonomy (adjusted </w:t>
      </w:r>
      <m:oMath>
        <m:sSup>
          <m:sSupPr>
            <m:ctrlPr>
              <w:rPr>
                <w:rFonts w:ascii="Cambria Math" w:hAnsi="Cambria Math" w:eastAsia="Cambria Math" w:cs="Cambria Math"/>
                <w:color w:val="000000" w:themeColor="text1"/>
              </w:rPr>
            </m:ctrlPr>
          </m:sSupPr>
          <m:e>
            <m:r>
              <w:rPr>
                <w:rFonts w:ascii="Cambria Math" w:hAnsi="Cambria Math" w:eastAsia="Cambria Math" w:cs="Cambria Math"/>
                <w:color w:val="000000" w:themeColor="text1"/>
              </w:rPr>
              <m:rPr/>
              <m:t>R</m:t>
            </m:r>
          </m:e>
          <m:sup>
            <m:r>
              <w:rPr>
                <w:rFonts w:ascii="Cambria Math" w:hAnsi="Cambria Math" w:eastAsia="Cambria Math" w:cs="Cambria Math"/>
                <w:color w:val="000000" w:themeColor="text1"/>
              </w:rPr>
              <m:rPr/>
              <m:t>2</m:t>
            </m:r>
          </m:sup>
        </m:sSup>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0.600</m:t>
        </m:r>
      </m:oMath>
      <w:r>
        <w:rPr>
          <w:rFonts w:ascii="Times New Roman" w:hAnsi="Times New Roman" w:eastAsia="Times New Roman" w:cs="Times New Roman"/>
          <w:color w:val="000000" w:themeColor="text1"/>
        </w:rPr>
        <w:t xml:space="preserve">). Both values exceed benchmarks for substantial explanatory power in social science research Hair et al. (2019).</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52EC122F" w14:textId="77777777">
      <w:pPr>
        <w:pStyle w:val="1012"/>
        <w:pBdr/>
        <w:spacing w:after="120"/>
        <w:ind/>
        <w:rPr>
          <w:b/>
          <w:i w:val="0"/>
          <w:color w:val="000000" w:themeColor="text1"/>
          <w:sz w:val="24"/>
          <w:szCs w:val="24"/>
        </w:rPr>
      </w:pPr>
      <w:r>
        <w:rPr>
          <w:b/>
          <w:bCs/>
          <w:i w:val="0"/>
          <w:iCs w:val="0"/>
          <w:color w:val="000000" w:themeColor="text1"/>
          <w:sz w:val="24"/>
          <w:szCs w:val="24"/>
        </w:rPr>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Pr>
          <w:b/>
          <w:bCs/>
          <w:i w:val="0"/>
          <w:iCs w:val="0"/>
          <w:color w:val="000000" w:themeColor="text1"/>
          <w:sz w:val="24"/>
          <w:szCs w:val="24"/>
        </w:rPr>
        <w:t xml:space="preserve">11</w:t>
      </w:r>
      <w:r>
        <w:rPr>
          <w:b/>
          <w:bCs/>
          <w:i w:val="0"/>
          <w:iCs w:val="0"/>
          <w:color w:val="000000" w:themeColor="text1"/>
          <w:sz w:val="24"/>
          <w:szCs w:val="24"/>
        </w:rPr>
        <w:fldChar w:fldCharType="end"/>
      </w:r>
      <w:r>
        <w:rPr>
          <w:b/>
          <w:i w:val="0"/>
          <w:color w:val="000000" w:themeColor="text1"/>
          <w:sz w:val="24"/>
          <w:szCs w:val="24"/>
        </w:rPr>
      </w:r>
      <w:r>
        <w:rPr>
          <w:b/>
          <w:i w:val="0"/>
          <w:color w:val="000000" w:themeColor="text1"/>
          <w:sz w:val="24"/>
          <w:szCs w:val="24"/>
        </w:rPr>
      </w:r>
    </w:p>
    <w:p w14:paraId="45828072" w14:textId="77777777">
      <w:pPr>
        <w:pStyle w:val="1012"/>
        <w:pBdr/>
        <w:spacing w:after="120"/>
        <w:ind/>
        <w:rPr/>
      </w:pPr>
      <w:r>
        <w:rPr>
          <w:color w:val="000000" w:themeColor="text1"/>
          <w:sz w:val="24"/>
          <w:szCs w:val="24"/>
        </w:rPr>
        <w:t xml:space="preserve">Indirect Effects and Mediation Analysis </w:t>
      </w:r>
      <w:r/>
    </w:p>
    <w:tbl>
      <w:tblPr>
        <w:tblStyle w:val="1063"/>
        <w:tblW w:w="0" w:type="auto"/>
        <w:tblBorders/>
        <w:tblLayout w:type="fixed"/>
        <w:tblLook w:val="0020" w:firstRow="1" w:lastRow="0" w:firstColumn="0" w:lastColumn="0" w:noHBand="0" w:noVBand="0"/>
      </w:tblPr>
      <w:tblGrid>
        <w:gridCol w:w="485"/>
        <w:gridCol w:w="1733"/>
        <w:gridCol w:w="1198"/>
        <w:gridCol w:w="703"/>
        <w:gridCol w:w="703"/>
        <w:gridCol w:w="852"/>
        <w:gridCol w:w="1390"/>
        <w:gridCol w:w="1134"/>
        <w:gridCol w:w="1134"/>
      </w:tblGrid>
      <w:tr>
        <w:trPr>
          <w:trHeight w:val="394"/>
          <w:tblHeader/>
        </w:trPr>
        <w:tc>
          <w:tcPr>
            <w:tcBorders>
              <w:top w:val="single" w:color="000000" w:sz="4" w:space="0"/>
            </w:tcBorders>
            <w:tcW w:w="485" w:type="dxa"/>
          </w:tcPr>
          <w:p w14:paraId="3A867A6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733" w:type="dxa"/>
          </w:tcPr>
          <w:p w14:paraId="54132F0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Mediation Path</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198" w:type="dxa"/>
          </w:tcPr>
          <w:p w14:paraId="7EFF859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Indirect</w:t>
            </w:r>
            <w:r>
              <w:rPr>
                <w:rFonts w:ascii="Times New Roman" w:hAnsi="Times New Roman" w:eastAsia="Times New Roman" w:cs="Times New Roman"/>
                <w:color w:val="000000" w:themeColor="text1"/>
                <w:sz w:val="20"/>
                <w:szCs w:val="20"/>
              </w:rPr>
              <w:t xml:space="preserve"> </w:t>
            </w:r>
            <m:oMath>
              <m:r>
                <w:rPr>
                  <w:rFonts w:ascii="Cambria Math" w:hAnsi="Cambria Math" w:eastAsia="Cambria Math" w:cs="Cambria Math"/>
                  <w:color w:val="000000" w:themeColor="text1"/>
                  <w:sz w:val="20"/>
                  <w:szCs w:val="20"/>
                </w:rPr>
                <m:rPr/>
                <m:t>β</m:t>
              </m:r>
            </m:oMath>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703" w:type="dxa"/>
          </w:tcPr>
          <w:p w14:paraId="2BB5DE1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SE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703" w:type="dxa"/>
          </w:tcPr>
          <w:p w14:paraId="7B15A3D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852" w:type="dxa"/>
          </w:tcPr>
          <w:p w14:paraId="083A811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i/>
                <w:iCs/>
                <w:color w:val="000000" w:themeColor="text1"/>
                <w:sz w:val="20"/>
                <w:szCs w:val="20"/>
              </w:rPr>
              <w:t xml:space="preserve">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390" w:type="dxa"/>
          </w:tcPr>
          <w:p w14:paraId="4777F67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95% CI</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134" w:type="dxa"/>
          </w:tcPr>
          <w:p w14:paraId="6038527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VAF</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134" w:type="dxa"/>
          </w:tcPr>
          <w:p w14:paraId="6BC12B8C"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Status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638"/>
        </w:trPr>
        <w:tc>
          <w:tcPr>
            <w:tcBorders/>
            <w:tcW w:w="485" w:type="dxa"/>
          </w:tcPr>
          <w:p w14:paraId="4AF12D9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733" w:type="dxa"/>
          </w:tcPr>
          <w:p w14:paraId="216DEC0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LA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98" w:type="dxa"/>
          </w:tcPr>
          <w:p w14:paraId="1104353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0.270</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3" w:type="dxa"/>
          </w:tcPr>
          <w:p w14:paraId="697A37B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0.054</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703" w:type="dxa"/>
          </w:tcPr>
          <w:p w14:paraId="10B7BB2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4.981</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852" w:type="dxa"/>
          </w:tcPr>
          <w:p w14:paraId="73928015" w14:textId="77777777">
            <w:pPr>
              <w:pStyle w:val="1064"/>
              <w:pBdr/>
              <w:spacing w:after="120" w:before="120"/>
              <w:ind/>
              <w:jc w:val="both"/>
              <w:rPr>
                <w:rFonts w:ascii="Times New Roman" w:hAnsi="Times New Roman" w:cs="Times New Roman"/>
                <w:color w:val="000000" w:themeColor="text1"/>
                <w:sz w:val="20"/>
                <w:szCs w:val="20"/>
              </w:rPr>
            </w:pPr>
            <w:r/>
            <m:oMathPara>
              <m:oMathParaPr>
                <m:jc m:val="left"/>
              </m:oMathParaPr>
              <m:oMath>
                <m:r>
                  <w:rPr>
                    <w:rFonts w:ascii="Cambria Math" w:hAnsi="Cambria Math" w:eastAsia="Cambria Math" w:cs="Cambria Math"/>
                    <w:color w:val="000000" w:themeColor="text1"/>
                    <w:sz w:val="20"/>
                    <w:szCs w:val="20"/>
                  </w:rPr>
                  <m:rPr>
                    <m:sty m:val="p"/>
                  </m:rPr>
                  <m:t>&lt;</m:t>
                </m:r>
                <m:r>
                  <w:rPr>
                    <w:rFonts w:ascii="Cambria Math" w:hAnsi="Cambria Math" w:eastAsia="Cambria Math" w:cs="Cambria Math"/>
                    <w:color w:val="000000" w:themeColor="text1"/>
                    <w:sz w:val="20"/>
                    <w:szCs w:val="20"/>
                  </w:rPr>
                  <m:rPr/>
                  <m:t>.001</m:t>
                </m:r>
              </m:oMath>
            </m:oMathPara>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390" w:type="dxa"/>
          </w:tcPr>
          <w:p w14:paraId="56488E1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[0.163, 0.375]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34" w:type="dxa"/>
          </w:tcPr>
          <w:p w14:paraId="387F773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40.5%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134" w:type="dxa"/>
          </w:tcPr>
          <w:p w14:paraId="0D0CA28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638"/>
        </w:trPr>
        <w:tc>
          <w:tcPr>
            <w:tcBorders>
              <w:bottom w:val="single" w:color="000000" w:sz="4" w:space="0"/>
            </w:tcBorders>
            <w:tcW w:w="485" w:type="dxa"/>
          </w:tcPr>
          <w:p w14:paraId="3AEA5507"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733" w:type="dxa"/>
          </w:tcPr>
          <w:p w14:paraId="4ACCBC9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EM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LA </w:t>
            </w:r>
            <m:oMath>
              <m:r>
                <w:rPr>
                  <w:rFonts w:ascii="Cambria Math" w:hAnsi="Cambria Math" w:eastAsia="Cambria Math" w:cs="Cambria Math"/>
                  <w:color w:val="000000" w:themeColor="text1"/>
                  <w:sz w:val="20"/>
                  <w:szCs w:val="20"/>
                </w:rPr>
                <m:rPr>
                  <m:sty m:val="p"/>
                </m:rPr>
                <m:t>→</m:t>
              </m:r>
            </m:oMath>
            <w:r>
              <w:rPr>
                <w:rFonts w:ascii="Times New Roman" w:hAnsi="Times New Roman" w:eastAsia="Times New Roman" w:cs="Times New Roman"/>
                <w:color w:val="000000" w:themeColor="text1"/>
                <w:sz w:val="20"/>
                <w:szCs w:val="20"/>
              </w:rPr>
              <w:t xml:space="preserve"> AP</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198" w:type="dxa"/>
          </w:tcPr>
          <w:p w14:paraId="2B6BDEE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0.106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703" w:type="dxa"/>
          </w:tcPr>
          <w:p w14:paraId="6452E29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0.038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703" w:type="dxa"/>
          </w:tcPr>
          <w:p w14:paraId="5ACA935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2.789</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852" w:type="dxa"/>
          </w:tcPr>
          <w:p w14:paraId="28825E9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390" w:type="dxa"/>
          </w:tcPr>
          <w:p w14:paraId="2C72E03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[0.032, 0.188]</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134" w:type="dxa"/>
          </w:tcPr>
          <w:p w14:paraId="4E100A93"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46.3%</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134" w:type="dxa"/>
          </w:tcPr>
          <w:p w14:paraId="58728184"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Supported</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0B90DB12" w14:textId="77777777">
      <w:pPr>
        <w:pStyle w:val="1060"/>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i/>
          <w:iCs/>
          <w:color w:val="000000" w:themeColor="text1"/>
          <w:sz w:val="20"/>
          <w:szCs w:val="20"/>
        </w:rPr>
        <w:t xml:space="preserve">Note.</w:t>
      </w:r>
      <w:r>
        <w:rPr>
          <w:rFonts w:ascii="Times New Roman" w:hAnsi="Times New Roman" w:eastAsia="Times New Roman" w:cs="Times New Roman"/>
          <w:color w:val="000000" w:themeColor="text1"/>
          <w:sz w:val="20"/>
          <w:szCs w:val="20"/>
        </w:rPr>
        <w:t xml:space="preserve"> </w:t>
      </w:r>
      <w:r>
        <w:rPr>
          <w:rFonts w:ascii="Times New Roman" w:hAnsi="Times New Roman" w:eastAsia="Times New Roman" w:cs="Times New Roman"/>
          <w:i/>
          <w:iCs/>
          <w:color w:val="000000" w:themeColor="text1"/>
          <w:sz w:val="20"/>
          <w:szCs w:val="20"/>
        </w:rPr>
        <w:t xml:space="preserve">N</w:t>
      </w:r>
      <w:r>
        <w:rPr>
          <w:rFonts w:ascii="Times New Roman" w:hAnsi="Times New Roman" w:eastAsia="Times New Roman" w:cs="Times New Roman"/>
          <w:color w:val="000000" w:themeColor="text1"/>
          <w:sz w:val="20"/>
          <w:szCs w:val="20"/>
        </w:rPr>
        <w:t xml:space="preserve"> = 145; bootstrapping = 5,000 subsamples; Mediation proportion = Indirect Effect / (Direct Effect + Indirect Effect).</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p w14:paraId="4F310726"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26EC0CD4"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Both mediation hypotheses were supported, indicating partial mediation. Learner Autonomy accounted</w:t>
      </w:r>
      <w:r>
        <w:rPr>
          <w:rFonts w:ascii="Times New Roman" w:hAnsi="Times New Roman" w:eastAsia="Times New Roman" w:cs="Times New Roman"/>
          <w:color w:val="000000" w:themeColor="text1"/>
        </w:rPr>
        <w:t xml:space="preserve"> for 40.5% of intrinsic motivation's total effect on performance (β_indirect = 0.270, p &lt; .001) and 46.3% of extrinsic motivation's total effect (β_indirect = 0.106, p = .006). The higher proportion for extrinsic motivation indicates that external drivers </w:t>
      </w:r>
      <w:r>
        <w:rPr>
          <w:rFonts w:ascii="Times New Roman" w:hAnsi="Times New Roman" w:eastAsia="Times New Roman" w:cs="Times New Roman"/>
          <w:color w:val="000000" w:themeColor="text1"/>
        </w:rPr>
        <w:t xml:space="preserve">depend more heavily on self-regulated learning behaviours to translate into academic outcomes.</w:t>
      </w:r>
      <w:bookmarkEnd w:id="5"/>
      <w:r/>
      <w:bookmarkEnd w:id="7"/>
      <w:r>
        <w:rPr>
          <w:rFonts w:ascii="Times New Roman" w:hAnsi="Times New Roman" w:cs="Times New Roman"/>
          <w:color w:val="000000" w:themeColor="text1"/>
        </w:rPr>
      </w:r>
      <w:r>
        <w:rPr>
          <w:rFonts w:ascii="Times New Roman" w:hAnsi="Times New Roman" w:cs="Times New Roman"/>
          <w:color w:val="000000" w:themeColor="text1"/>
        </w:rPr>
      </w:r>
    </w:p>
    <w:p w14:paraId="48B4FA8E" w14:textId="77777777">
      <w:pPr>
        <w:pStyle w:val="1012"/>
        <w:pBdr/>
        <w:spacing/>
        <w:ind/>
        <w:rPr>
          <w:color w:val="000000" w:themeColor="text1"/>
          <w:sz w:val="24"/>
          <w:szCs w:val="24"/>
        </w:rPr>
      </w:pPr>
      <w:r>
        <w:rPr>
          <w:b/>
          <w:bCs/>
          <w:i w:val="0"/>
          <w:iCs w:val="0"/>
          <w:color w:val="000000" w:themeColor="text1"/>
          <w:sz w:val="24"/>
          <w:szCs w:val="24"/>
        </w:rPr>
        <w:t xml:space="preserve">Figure </w:t>
      </w:r>
      <w:r>
        <w:rPr>
          <w:b/>
          <w:bCs/>
          <w:i w:val="0"/>
          <w:iCs w:val="0"/>
          <w:color w:val="000000" w:themeColor="text1"/>
          <w:sz w:val="24"/>
          <w:szCs w:val="24"/>
        </w:rPr>
        <w:fldChar w:fldCharType="begin"/>
      </w:r>
      <w:r>
        <w:rPr>
          <w:b/>
          <w:bCs/>
          <w:i w:val="0"/>
          <w:iCs w:val="0"/>
          <w:color w:val="000000" w:themeColor="text1"/>
          <w:sz w:val="24"/>
          <w:szCs w:val="24"/>
        </w:rPr>
        <w:instrText xml:space="preserve"> SEQ Figure \* Arabic </w:instrText>
      </w:r>
      <w:r>
        <w:rPr>
          <w:b/>
          <w:bCs/>
          <w:i w:val="0"/>
          <w:iCs w:val="0"/>
          <w:color w:val="000000" w:themeColor="text1"/>
          <w:sz w:val="24"/>
          <w:szCs w:val="24"/>
        </w:rPr>
        <w:fldChar w:fldCharType="separate"/>
      </w:r>
      <w:r>
        <w:rPr>
          <w:b/>
          <w:bCs/>
          <w:i w:val="0"/>
          <w:iCs w:val="0"/>
          <w:color w:val="000000" w:themeColor="text1"/>
          <w:sz w:val="24"/>
          <w:szCs w:val="24"/>
        </w:rPr>
        <w:t xml:space="preserve">5</w:t>
      </w:r>
      <w:r>
        <w:rPr>
          <w:b/>
          <w:bCs/>
          <w:i w:val="0"/>
          <w:iCs w:val="0"/>
          <w:color w:val="000000" w:themeColor="text1"/>
          <w:sz w:val="24"/>
          <w:szCs w:val="24"/>
        </w:rPr>
        <w:fldChar w:fldCharType="end"/>
      </w:r>
      <w:r>
        <w:rPr>
          <w:color w:val="000000" w:themeColor="text1"/>
          <w:sz w:val="24"/>
          <w:szCs w:val="24"/>
        </w:rPr>
        <w:t xml:space="preserve"> </w:t>
      </w:r>
      <w:r>
        <w:rPr>
          <w:color w:val="000000" w:themeColor="text1"/>
          <w:sz w:val="24"/>
          <w:szCs w:val="24"/>
        </w:rPr>
      </w:r>
      <w:r>
        <w:rPr>
          <w:color w:val="000000" w:themeColor="text1"/>
          <w:sz w:val="24"/>
          <w:szCs w:val="24"/>
        </w:rPr>
      </w:r>
    </w:p>
    <w:p w14:paraId="61FCF5BF" w14:textId="77777777">
      <w:pPr>
        <w:pStyle w:val="1012"/>
        <w:pBdr/>
        <w:spacing/>
        <w:ind/>
        <w:rPr>
          <w:color w:val="000000" w:themeColor="text1"/>
          <w:sz w:val="24"/>
          <w:szCs w:val="24"/>
        </w:rPr>
      </w:pPr>
      <w:r>
        <w:rPr>
          <w:color w:val="000000" w:themeColor="text1"/>
          <w:sz w:val="24"/>
          <w:szCs w:val="24"/>
        </w:rPr>
        <w:t xml:space="preserve">Specific Indirect Effects through Learner Autonomy</w:t>
      </w:r>
      <w:r>
        <w:rPr>
          <w:color w:val="000000" w:themeColor="text1"/>
          <w:sz w:val="24"/>
          <w:szCs w:val="24"/>
        </w:rPr>
        <w:t xml:space="preserve"> </w:t>
      </w:r>
      <w:r>
        <w:rPr>
          <w:color w:val="000000" w:themeColor="text1"/>
          <w:sz w:val="24"/>
          <w:szCs w:val="24"/>
        </w:rPr>
      </w:r>
      <w:r>
        <w:rPr>
          <w:color w:val="000000" w:themeColor="text1"/>
          <w:sz w:val="24"/>
          <w:szCs w:val="24"/>
        </w:rPr>
      </w:r>
    </w:p>
    <w:p w14:paraId="406C8A43" w14:textId="77777777">
      <w:pPr>
        <w:pStyle w:val="1060"/>
        <w:pBdr/>
        <w:spacing w:after="120" w:before="120"/>
        <w:ind w:firstLine="720"/>
        <w:jc w:val="both"/>
        <w:rPr>
          <w:rFonts w:ascii="Times New Roman" w:hAnsi="Times New Roman" w:cs="Times New Roman"/>
          <w:color w:val="000000" w:themeColor="text1"/>
        </w:rPr>
      </w:pPr>
      <w:r>
        <mc:AlternateContent>
          <mc:Choice Requires="wpg">
            <w:drawing>
              <wp:inline xmlns:wp="http://schemas.openxmlformats.org/drawingml/2006/wordprocessingDrawing" distT="0" distB="0" distL="0" distR="0">
                <wp:extent cx="5014750" cy="313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24623" name=""/>
                        <pic:cNvPicPr>
                          <a:picLocks noChangeAspect="1"/>
                        </pic:cNvPicPr>
                        <pic:nvPr/>
                      </pic:nvPicPr>
                      <pic:blipFill rotWithShape="1">
                        <a:blip r:embed="rId15"/>
                        <a:stretch/>
                      </pic:blipFill>
                      <pic:spPr bwMode="auto">
                        <a:xfrm>
                          <a:off x="0" y="0"/>
                          <a:ext cx="5014749" cy="313705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4.86pt;height:247.01pt;mso-wrap-distance-left:0.00pt;mso-wrap-distance-top:0.00pt;mso-wrap-distance-right:0.00pt;mso-wrap-distance-bottom:0.00pt;z-index:1;" stroked="false">
                <v:imagedata r:id="rId1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1F00F912"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035FDB05"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Both indirect paths in Figure 5 were significant: intrinsic motivation through learner autonomy (β = 0.269, t = 4.981, p &lt; .001) and extrinsic motivation through learner autonomy (β = 0.106, t = 2.789, p = .006). Although</w:t>
      </w:r>
      <w:r>
        <w:rPr>
          <w:rFonts w:ascii="Times New Roman" w:hAnsi="Times New Roman" w:cs="Times New Roman"/>
          <w:color w:val="000000" w:themeColor="text1"/>
        </w:rPr>
        <w:t xml:space="preserve"> intrinsic motivation produced the larger absolute indirect effect, the mediated proportion was higher for extrinsic motivation (46.3% vs. 40.5%), indicating that external drivers depend more heavily on autonomous learning behaviours to affect performance.</w:t>
      </w:r>
      <w:r>
        <w:rPr>
          <w:rFonts w:ascii="Times New Roman" w:hAnsi="Times New Roman" w:cs="Times New Roman"/>
          <w:color w:val="000000" w:themeColor="text1"/>
        </w:rPr>
      </w:r>
      <w:r>
        <w:rPr>
          <w:rFonts w:ascii="Times New Roman" w:hAnsi="Times New Roman" w:cs="Times New Roman"/>
          <w:color w:val="000000" w:themeColor="text1"/>
        </w:rPr>
      </w:r>
    </w:p>
    <w:p w14:paraId="0F61FA21"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4.2. Qualitative Findings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3CC57704"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Thematic analysis of the twelve semi-structured interviews yielded four overarching themes, summarised in Table 12.</w:t>
      </w:r>
      <w:r>
        <w:rPr>
          <w:rFonts w:ascii="Times New Roman" w:hAnsi="Times New Roman" w:cs="Times New Roman"/>
          <w:color w:val="000000" w:themeColor="text1"/>
        </w:rPr>
      </w:r>
      <w:r>
        <w:rPr>
          <w:rFonts w:ascii="Times New Roman" w:hAnsi="Times New Roman" w:cs="Times New Roman"/>
          <w:color w:val="000000" w:themeColor="text1"/>
        </w:rPr>
      </w:r>
    </w:p>
    <w:p w14:paraId="7E73A2AD" w14:textId="77777777">
      <w:pPr>
        <w:pStyle w:val="1012"/>
        <w:pBdr/>
        <w:spacing w:after="120"/>
        <w:ind/>
        <w:rPr>
          <w:b/>
          <w:bCs/>
          <w:i w:val="0"/>
          <w:color w:val="000000" w:themeColor="text1"/>
          <w:sz w:val="24"/>
          <w:szCs w:val="24"/>
        </w:rPr>
      </w:pPr>
      <w:r>
        <w:rPr>
          <w:b/>
          <w:bCs/>
          <w:i w:val="0"/>
          <w:iCs w:val="0"/>
          <w:color w:val="000000" w:themeColor="text1"/>
          <w:sz w:val="24"/>
          <w:szCs w:val="24"/>
        </w:rPr>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Pr>
          <w:b/>
          <w:bCs/>
          <w:i w:val="0"/>
          <w:iCs w:val="0"/>
          <w:color w:val="000000" w:themeColor="text1"/>
          <w:sz w:val="24"/>
          <w:szCs w:val="24"/>
        </w:rPr>
        <w:t xml:space="preserve">12</w:t>
      </w:r>
      <w:r>
        <w:rPr>
          <w:b/>
          <w:bCs/>
          <w:i w:val="0"/>
          <w:iCs w:val="0"/>
          <w:color w:val="000000" w:themeColor="text1"/>
          <w:sz w:val="24"/>
          <w:szCs w:val="24"/>
        </w:rPr>
        <w:fldChar w:fldCharType="end"/>
      </w:r>
      <w:r>
        <w:rPr>
          <w:b/>
          <w:bCs/>
          <w:i w:val="0"/>
          <w:iCs w:val="0"/>
          <w:color w:val="000000" w:themeColor="text1"/>
          <w:sz w:val="24"/>
          <w:szCs w:val="24"/>
        </w:rPr>
        <w:t xml:space="preserve"> </w:t>
      </w:r>
      <w:r>
        <w:rPr>
          <w:b/>
          <w:bCs/>
          <w:i w:val="0"/>
          <w:color w:val="000000" w:themeColor="text1"/>
          <w:sz w:val="24"/>
          <w:szCs w:val="24"/>
        </w:rPr>
      </w:r>
      <w:r>
        <w:rPr>
          <w:b/>
          <w:bCs/>
          <w:i w:val="0"/>
          <w:color w:val="000000" w:themeColor="text1"/>
          <w:sz w:val="24"/>
          <w:szCs w:val="24"/>
        </w:rPr>
      </w:r>
    </w:p>
    <w:p w14:paraId="3534B8F7" w14:textId="77777777">
      <w:pPr>
        <w:pStyle w:val="1012"/>
        <w:pBdr/>
        <w:spacing w:after="120"/>
        <w:ind/>
        <w:rPr>
          <w:color w:val="000000" w:themeColor="text1"/>
          <w:sz w:val="24"/>
          <w:szCs w:val="24"/>
        </w:rPr>
      </w:pPr>
      <w:r>
        <w:rPr>
          <w:color w:val="000000" w:themeColor="text1"/>
          <w:sz w:val="24"/>
          <w:szCs w:val="24"/>
        </w:rPr>
        <w:t xml:space="preserve">Qualitative Themes and Key Findings </w:t>
      </w:r>
      <w:r>
        <w:rPr>
          <w:color w:val="000000" w:themeColor="text1"/>
          <w:sz w:val="24"/>
          <w:szCs w:val="24"/>
        </w:rPr>
      </w:r>
      <w:r>
        <w:rPr>
          <w:color w:val="000000" w:themeColor="text1"/>
          <w:sz w:val="24"/>
          <w:szCs w:val="24"/>
        </w:rPr>
      </w:r>
    </w:p>
    <w:tbl>
      <w:tblPr>
        <w:tblStyle w:val="1063"/>
        <w:tblW w:w="0" w:type="auto"/>
        <w:tblBorders/>
        <w:tblLayout w:type="fixed"/>
        <w:tblLook w:val="0020" w:firstRow="1" w:lastRow="0" w:firstColumn="0" w:lastColumn="0" w:noHBand="0" w:noVBand="0"/>
      </w:tblPr>
      <w:tblGrid>
        <w:gridCol w:w="2638"/>
        <w:gridCol w:w="4481"/>
        <w:gridCol w:w="1798"/>
      </w:tblGrid>
      <w:tr>
        <w:trPr>
          <w:trHeight w:val="906"/>
          <w:tblHeader/>
        </w:trPr>
        <w:tc>
          <w:tcPr>
            <w:tcBorders>
              <w:top w:val="single" w:color="000000" w:sz="4" w:space="0"/>
            </w:tcBorders>
            <w:tcW w:w="2638" w:type="dxa"/>
            <w:vAlign w:val="center"/>
          </w:tcPr>
          <w:p w14:paraId="42A8A7C8"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Theme</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4481" w:type="dxa"/>
            <w:vAlign w:val="center"/>
          </w:tcPr>
          <w:p w14:paraId="5B398B81"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Core Finding</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op w:val="single" w:color="000000" w:sz="4" w:space="0"/>
            </w:tcBorders>
            <w:tcW w:w="1798" w:type="dxa"/>
            <w:vAlign w:val="center"/>
          </w:tcPr>
          <w:p w14:paraId="49A9CAA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b/>
                <w:bCs/>
                <w:color w:val="000000" w:themeColor="text1"/>
                <w:sz w:val="20"/>
                <w:szCs w:val="20"/>
              </w:rPr>
              <w:t xml:space="preserve">Supporting Hypotheses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906"/>
        </w:trPr>
        <w:tc>
          <w:tcPr>
            <w:tcBorders/>
            <w:tcW w:w="2638" w:type="dxa"/>
            <w:vMerge w:val="restart"/>
          </w:tcPr>
          <w:p w14:paraId="54C37CFF"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Motivational Transition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4481" w:type="dxa"/>
          </w:tcPr>
          <w:p w14:paraId="6A9F2E6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Students evolve from external to internal motivation through internalization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798" w:type="dxa"/>
          </w:tcPr>
          <w:p w14:paraId="77C34715"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H2, H4, H6, H7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903"/>
        </w:trPr>
        <w:tc>
          <w:tcPr>
            <w:tcBorders/>
            <w:tcW w:w="2638" w:type="dxa"/>
            <w:vMerge w:val="restart"/>
          </w:tcPr>
          <w:p w14:paraId="7E54FA71" w14:textId="77777777">
            <w:pPr>
              <w:pBdr/>
              <w:spacing w:after="120" w:line="240" w:lineRule="auto"/>
              <w:ind w:firstLine="0"/>
              <w:rPr/>
            </w:pPr>
            <w:r>
              <w:t xml:space="preserve">Autonomy as Self-Regulation</w:t>
            </w:r>
            <w:r/>
          </w:p>
        </w:tc>
        <w:tc>
          <w:tcPr>
            <w:tcBorders/>
            <w:tcW w:w="4481" w:type="dxa"/>
          </w:tcPr>
          <w:p w14:paraId="1D18B57E"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Autonomy involves strategic help-seeking, metacognitive strategies, and resource curation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798" w:type="dxa"/>
          </w:tcPr>
          <w:p w14:paraId="57F760B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H3, H4, H5</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903"/>
        </w:trPr>
        <w:tc>
          <w:tcPr>
            <w:tcBorders/>
            <w:tcW w:w="2638" w:type="dxa"/>
            <w:vMerge w:val="restart"/>
          </w:tcPr>
          <w:p w14:paraId="69F66DD0"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Informal Immersion</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4481" w:type="dxa"/>
          </w:tcPr>
          <w:p w14:paraId="2DDFC73D"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Daily English media consumption bridges classroom and real-world proficiency</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tcW w:w="1798" w:type="dxa"/>
          </w:tcPr>
          <w:p w14:paraId="7CEB409B"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H1, H3, H6</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r>
        <w:trPr>
          <w:trHeight w:val="903"/>
        </w:trPr>
        <w:tc>
          <w:tcPr>
            <w:tcBorders>
              <w:bottom w:val="single" w:color="000000" w:sz="4" w:space="0"/>
            </w:tcBorders>
            <w:tcW w:w="2638" w:type="dxa"/>
            <w:vMerge w:val="restart"/>
          </w:tcPr>
          <w:p w14:paraId="57A78A45" w14:textId="77777777">
            <w:pPr>
              <w:pBdr/>
              <w:spacing w:after="120" w:line="240" w:lineRule="auto"/>
              <w:ind w:firstLine="0"/>
              <w:rPr/>
            </w:pPr>
            <w:r>
              <w:t xml:space="preserve">Resilience Strategies</w:t>
            </w:r>
            <w:r/>
          </w:p>
        </w:tc>
        <w:tc>
          <w:tcPr>
            <w:tcBorders>
              <w:bottom w:val="single" w:color="000000" w:sz="4" w:space="0"/>
            </w:tcBorders>
            <w:tcW w:w="4481" w:type="dxa"/>
          </w:tcPr>
          <w:p w14:paraId="517051A2"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Students employ diverse coping mechanisms to recover from motivation fluctuations</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c>
          <w:tcPr>
            <w:tcBorders>
              <w:bottom w:val="single" w:color="000000" w:sz="4" w:space="0"/>
            </w:tcBorders>
            <w:tcW w:w="1798" w:type="dxa"/>
          </w:tcPr>
          <w:p w14:paraId="5CF88226" w14:textId="77777777">
            <w:pPr>
              <w:pStyle w:val="1064"/>
              <w:pBdr/>
              <w:spacing w:after="120" w:before="120"/>
              <w:ind/>
              <w:jc w:val="both"/>
              <w:rPr>
                <w:rFonts w:ascii="Times New Roman" w:hAnsi="Times New Roman" w:cs="Times New Roman"/>
                <w:color w:val="000000" w:themeColor="text1"/>
                <w:sz w:val="20"/>
                <w:szCs w:val="20"/>
              </w:rPr>
            </w:pPr>
            <w:r>
              <w:rPr>
                <w:rFonts w:ascii="Times New Roman" w:hAnsi="Times New Roman" w:eastAsia="Times New Roman" w:cs="Times New Roman"/>
                <w:color w:val="000000" w:themeColor="text1"/>
                <w:sz w:val="20"/>
                <w:szCs w:val="20"/>
              </w:rPr>
              <w:t xml:space="preserve">H1, H2, H7</w: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r>
          </w:p>
        </w:tc>
      </w:tr>
    </w:tbl>
    <w:p w14:paraId="2B4AC6B0"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6EB508D4" w14:textId="77777777">
      <w:pPr>
        <w:pStyle w:val="1060"/>
        <w:pBdr/>
        <w:spacing w:after="120" w:before="120"/>
        <w:ind w:firstLine="720"/>
        <w:jc w:val="both"/>
        <w:rPr/>
      </w:pPr>
      <w:r>
        <w:rPr>
          <w:rFonts w:ascii="Times New Roman" w:hAnsi="Times New Roman" w:eastAsia="Times New Roman" w:cs="Times New Roman"/>
          <w:b/>
          <w:bCs/>
          <w:i/>
          <w:iCs/>
          <w:color w:val="000000" w:themeColor="text1"/>
        </w:rPr>
        <w:t xml:space="preserve">Theme 1: Motivational Transition.</w:t>
      </w:r>
      <w:r/>
    </w:p>
    <w:p w14:paraId="3220A461"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first theme concerns students' gradual movement from ext</w:t>
      </w:r>
      <w:r>
        <w:rPr>
          <w:rFonts w:ascii="Times New Roman" w:hAnsi="Times New Roman" w:eastAsia="Times New Roman" w:cs="Times New Roman"/>
          <w:color w:val="000000" w:themeColor="text1"/>
        </w:rPr>
        <w:t xml:space="preserve">ernally driven motivation to more internalized forms of engagement. Many participants reported that their initial reasons for learning English were strongly shaped by grades, family expectations, career plans, or the desire to meet academic requirements. H</w:t>
      </w:r>
      <w:r>
        <w:rPr>
          <w:rFonts w:ascii="Times New Roman" w:hAnsi="Times New Roman" w:eastAsia="Times New Roman" w:cs="Times New Roman"/>
          <w:color w:val="000000" w:themeColor="text1"/>
        </w:rPr>
        <w:t xml:space="preserve">owever, by the third year, these external reasons had often become more personally meaningful. Rather than studying English only to satisfy external demands, students increasingly described learning as part of their own academic growth and future identity.</w:t>
      </w:r>
      <w:r/>
    </w:p>
    <w:p w14:paraId="294EDE5A"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October clearly illustrated this shift: "In my first year, I mostly studied English because I cared about my GPA and did not want to fall behind. La</w:t>
      </w:r>
      <w:r>
        <w:rPr>
          <w:rFonts w:ascii="Times New Roman" w:hAnsi="Times New Roman" w:eastAsia="Times New Roman" w:cs="Times New Roman"/>
          <w:color w:val="000000" w:themeColor="text1"/>
        </w:rPr>
        <w:t xml:space="preserve">ter, I began to feel that improving my English was something I wanted for myself, not only something I had to do for school." Similarly, March explained, "Grades and teacher feedback still motivate me, but they are no longer the only reasons. I want to imp</w:t>
      </w:r>
      <w:r>
        <w:rPr>
          <w:rFonts w:ascii="Times New Roman" w:hAnsi="Times New Roman" w:eastAsia="Times New Roman" w:cs="Times New Roman"/>
          <w:color w:val="000000" w:themeColor="text1"/>
        </w:rPr>
        <w:t xml:space="preserve">rove my English because I can see how it helps me become more confident and prepared for my future work." These accounts suggest that external motivators did not disappear; rather, they were gradually internalized and connected to students' personal goals.</w:t>
      </w:r>
      <w:r/>
    </w:p>
    <w:p w14:paraId="51B4F69D"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Several participants also described motivation as a combination of internal interest and external discipline. For example, August st</w:t>
      </w:r>
      <w:r>
        <w:rPr>
          <w:rFonts w:ascii="Times New Roman" w:hAnsi="Times New Roman" w:eastAsia="Times New Roman" w:cs="Times New Roman"/>
          <w:color w:val="000000" w:themeColor="text1"/>
        </w:rPr>
        <w:t xml:space="preserve">ated, "My interest in English keeps me engaged, but external expectations also remind me to stay disciplined when I feel tired or distracted." This pattern is consistent with Self-Determination Theory, which argues that extrinsic motivation can support lea</w:t>
      </w:r>
      <w:r>
        <w:rPr>
          <w:rFonts w:ascii="Times New Roman" w:hAnsi="Times New Roman" w:eastAsia="Times New Roman" w:cs="Times New Roman"/>
          <w:color w:val="000000" w:themeColor="text1"/>
        </w:rPr>
        <w:t xml:space="preserve">rning when external goals become personally valued. Overall, the theme shows that HUFLIT English-major students' motivation is not fixed but develops over time through the interaction between academic pressure, personal interest, and future-oriented goals.</w:t>
      </w:r>
      <w:r/>
    </w:p>
    <w:p w14:paraId="2665CFA9" w14:textId="77777777">
      <w:pPr>
        <w:pStyle w:val="1060"/>
        <w:pBdr/>
        <w:spacing w:after="120" w:before="120"/>
        <w:ind w:firstLine="720"/>
        <w:jc w:val="both"/>
        <w:rPr>
          <w:rFonts w:ascii="Times New Roman" w:hAnsi="Times New Roman" w:eastAsia="Times New Roman" w:cs="Times New Roman"/>
          <w:b/>
          <w:bCs/>
          <w:i/>
          <w:color w:val="000000" w:themeColor="text1"/>
        </w:rPr>
      </w:pPr>
      <w:r>
        <w:rPr>
          <w:rFonts w:ascii="Times New Roman" w:hAnsi="Times New Roman" w:eastAsia="Times New Roman" w:cs="Times New Roman"/>
          <w:b/>
          <w:bCs/>
          <w:i/>
          <w:iCs/>
          <w:color w:val="000000" w:themeColor="text1"/>
        </w:rPr>
        <w:t xml:space="preserve">Theme 2: Autonomy as Self-Regulation</w:t>
      </w:r>
      <w:r>
        <w:rPr>
          <w:rFonts w:ascii="Times New Roman" w:hAnsi="Times New Roman" w:eastAsia="Times New Roman" w:cs="Times New Roman"/>
          <w:b/>
          <w:bCs/>
          <w:i/>
          <w:color w:val="000000" w:themeColor="text1"/>
        </w:rPr>
      </w:r>
      <w:r>
        <w:rPr>
          <w:rFonts w:ascii="Times New Roman" w:hAnsi="Times New Roman" w:eastAsia="Times New Roman" w:cs="Times New Roman"/>
          <w:b/>
          <w:bCs/>
          <w:i/>
          <w:color w:val="000000" w:themeColor="text1"/>
        </w:rPr>
      </w:r>
    </w:p>
    <w:p w14:paraId="2ADC4C14"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second theme reveals that learner autonomy among HUFLIT English majors was not a solitary or passive trait but an active repertoire of coordinated self-regulatory </w:t>
      </w:r>
      <w:r>
        <w:rPr>
          <w:rFonts w:ascii="Times New Roman" w:hAnsi="Times New Roman" w:eastAsia="Times New Roman" w:cs="Times New Roman"/>
          <w:color w:val="000000" w:themeColor="text1"/>
        </w:rPr>
        <w:t xml:space="preserve">strategies. Students consistently described a structured approach to independent learning: they would first exhaust their own resources before seeking external help, and they deployed a range of metacognitive tools to monitor and direct their own progress.</w:t>
      </w:r>
      <w:r/>
    </w:p>
    <w:p w14:paraId="605F7241"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Technol</w:t>
      </w:r>
      <w:r>
        <w:rPr>
          <w:rFonts w:ascii="Times New Roman" w:hAnsi="Times New Roman" w:eastAsia="Times New Roman" w:cs="Times New Roman"/>
          <w:color w:val="000000" w:themeColor="text1"/>
        </w:rPr>
        <w:t xml:space="preserve">ogy played a central role in this self-regulatory system. February, for instance, was deliberate in choosing which tools to engage: "I use lots of AI tools, but I don't use tools like ELSA, I use ChatGPT because it gives me lots of nuances in the words, in</w:t>
      </w:r>
      <w:r>
        <w:rPr>
          <w:rFonts w:ascii="Times New Roman" w:hAnsi="Times New Roman" w:eastAsia="Times New Roman" w:cs="Times New Roman"/>
          <w:color w:val="000000" w:themeColor="text1"/>
        </w:rPr>
        <w:t xml:space="preserve"> the word choice, word use, the meaning of the word, and also it diversified my structures." His use of artificial intelligence was not indiscriminate but tightly targeted at refining lexical precision and syntactic variety, a pattern that reflects the sel</w:t>
      </w:r>
      <w:r>
        <w:rPr>
          <w:rFonts w:ascii="Times New Roman" w:hAnsi="Times New Roman" w:eastAsia="Times New Roman" w:cs="Times New Roman"/>
          <w:color w:val="000000" w:themeColor="text1"/>
        </w:rPr>
        <w:t xml:space="preserve">ective resource deployment characteristic of self-regulated learners. A different kind of resourcefulness emerged in November's strategy, which he called stage-skipping: "During that intermediate phase where I didn't know what to study, I deliberately soug</w:t>
      </w:r>
      <w:r>
        <w:rPr>
          <w:rFonts w:ascii="Times New Roman" w:hAnsi="Times New Roman" w:eastAsia="Times New Roman" w:cs="Times New Roman"/>
          <w:color w:val="000000" w:themeColor="text1"/>
        </w:rPr>
        <w:t xml:space="preserve">ht out more advanced materials. By doing so, I could identify exactly what foundational knowledge I was lacking before tackling those advanced concepts. From there, I formulated a tailored roadmap to patch up those knowledge gaps." Rather than following a </w:t>
      </w:r>
      <w:r>
        <w:rPr>
          <w:rFonts w:ascii="Times New Roman" w:hAnsi="Times New Roman" w:eastAsia="Times New Roman" w:cs="Times New Roman"/>
          <w:color w:val="000000" w:themeColor="text1"/>
        </w:rPr>
        <w:t xml:space="preserve">linear progression, he repurposed advanced content as a diagnostic instrument to locate his own weaknesses.</w:t>
      </w:r>
      <w:r/>
    </w:p>
    <w:p w14:paraId="48AF2365"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sequential logic of independent work followed by strategic help-seeking appeared consistently across interviews. October captured the principle succinctly: "When encountering difficult vocabulary or confusing grammar structures, my f</w:t>
      </w:r>
      <w:r>
        <w:rPr>
          <w:rFonts w:ascii="Times New Roman" w:hAnsi="Times New Roman" w:eastAsia="Times New Roman" w:cs="Times New Roman"/>
          <w:color w:val="000000" w:themeColor="text1"/>
        </w:rPr>
        <w:t xml:space="preserve">irst reflex is to play 'detective'. I look it up in dictionaries like Oxford or Cambridge, Google it, or search on language forums to solve the problem independently. If it takes too much time and I am still stuck, I will then ask my top-performing classma</w:t>
      </w:r>
      <w:r>
        <w:rPr>
          <w:rFonts w:ascii="Times New Roman" w:hAnsi="Times New Roman" w:eastAsia="Times New Roman" w:cs="Times New Roman"/>
          <w:color w:val="000000" w:themeColor="text1"/>
        </w:rPr>
        <w:t xml:space="preserve">tes or message the lecturer directly for help." This two-stage approach, in which learners maximized their own effort before turning to external sources, aligns closely with the forethought, performance, and self-reflection phases described in Zimmerman's </w:t>
      </w:r>
      <w:r>
        <w:rPr>
          <w:rFonts w:ascii="Times New Roman" w:hAnsi="Times New Roman" w:eastAsia="Times New Roman" w:cs="Times New Roman"/>
          <w:color w:val="000000" w:themeColor="text1"/>
        </w:rPr>
        <w:t xml:space="preserve">(2002) cyclic model of self-regulated learning. The consistent pattern across participants indicates that autonomous learning, as practised by these students, was a deliberate and systematic process rather than an unstructured pursuit of independent study.</w:t>
      </w:r>
      <w:r/>
    </w:p>
    <w:p w14:paraId="01EDB63B" w14:textId="77777777">
      <w:pPr>
        <w:pStyle w:val="1060"/>
        <w:pBdr/>
        <w:spacing w:after="120" w:before="120"/>
        <w:ind w:firstLine="720"/>
        <w:jc w:val="both"/>
        <w:rPr>
          <w:b/>
          <w:bCs/>
          <w:i/>
        </w:rPr>
      </w:pPr>
      <w:r>
        <w:rPr>
          <w:rFonts w:ascii="Times New Roman" w:hAnsi="Times New Roman" w:eastAsia="Times New Roman" w:cs="Times New Roman"/>
          <w:b/>
          <w:bCs/>
          <w:i/>
          <w:iCs/>
          <w:color w:val="000000" w:themeColor="text1"/>
        </w:rPr>
        <w:t xml:space="preserve">Theme 3: Informal Digital Immersion</w:t>
      </w:r>
      <w:r>
        <w:rPr>
          <w:b/>
          <w:bCs/>
          <w:i/>
        </w:rPr>
      </w:r>
      <w:r>
        <w:rPr>
          <w:b/>
          <w:bCs/>
          <w:i/>
        </w:rPr>
      </w:r>
    </w:p>
    <w:p w14:paraId="1774B56D"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third theme captures how English had become embedded in students' daily lives through self-initiated exposure to digital media, functioni</w:t>
      </w:r>
      <w:r>
        <w:rPr>
          <w:rFonts w:ascii="Times New Roman" w:hAnsi="Times New Roman" w:eastAsia="Times New Roman" w:cs="Times New Roman"/>
          <w:color w:val="000000" w:themeColor="text1"/>
        </w:rPr>
        <w:t xml:space="preserve">ng as a deliberate supplement to formal instruction. Participants described a range of informal immersion practices that they pursued independently of coursework, and they articulated clear reasons for separating these activities from academic obligations.</w:t>
      </w:r>
      <w:r/>
    </w:p>
    <w:p w14:paraId="7360CEB8"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For some, informal media consumption doubled as both a learning objective an</w:t>
      </w:r>
      <w:r>
        <w:rPr>
          <w:rFonts w:ascii="Times New Roman" w:hAnsi="Times New Roman" w:eastAsia="Times New Roman" w:cs="Times New Roman"/>
          <w:color w:val="000000" w:themeColor="text1"/>
        </w:rPr>
        <w:t xml:space="preserve">d a motivational anchor. June explained, "One more thing that made me excited is that learning English will help me to understand movies, songs, and videos without subtitles." The prospect of unaided comprehension served as a tangible benchmark of progress</w:t>
      </w:r>
      <w:r>
        <w:rPr>
          <w:rFonts w:ascii="Times New Roman" w:hAnsi="Times New Roman" w:eastAsia="Times New Roman" w:cs="Times New Roman"/>
          <w:color w:val="000000" w:themeColor="text1"/>
        </w:rPr>
        <w:t xml:space="preserve">, pulling her engagement forward. Others embedded English so thoroughly into daily routines that it ceased to feel like study at all. "I always search in English," January reported. "Try to expose yourself to English by searching in English. Try to do ever</w:t>
      </w:r>
      <w:r>
        <w:rPr>
          <w:rFonts w:ascii="Times New Roman" w:hAnsi="Times New Roman" w:eastAsia="Times New Roman" w:cs="Times New Roman"/>
          <w:color w:val="000000" w:themeColor="text1"/>
        </w:rPr>
        <w:t xml:space="preserve">ything in English so you get used to it. You don't feel strange when you encounter new words or like you are in a scenery where you can only speak English." In her account, English had become a default operating medium rather than a subject to be mastered.</w:t>
      </w:r>
      <w:r/>
    </w:p>
    <w:p w14:paraId="63E75B8F"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October went further, arguing that the motivational power of informal immersion depends on keeping it separate from academic demands: "I would advise you to spend 15-20 mi</w:t>
      </w:r>
      <w:r>
        <w:rPr>
          <w:rFonts w:ascii="Times New Roman" w:hAnsi="Times New Roman" w:eastAsia="Times New Roman" w:cs="Times New Roman"/>
          <w:color w:val="000000" w:themeColor="text1"/>
        </w:rPr>
        <w:t xml:space="preserve">nutes every day consuming English content that you genuinely love -- whether that's watching vlogs, reading comics, or listening to podcasts. Just make sure it has absolutely nothing to do with your school textbooks. It will nurture your learning inspirati</w:t>
      </w:r>
      <w:r>
        <w:rPr>
          <w:rFonts w:ascii="Times New Roman" w:hAnsi="Times New Roman" w:eastAsia="Times New Roman" w:cs="Times New Roman"/>
          <w:color w:val="000000" w:themeColor="text1"/>
        </w:rPr>
        <w:t xml:space="preserve">on in the long run." This deliberate partitioning preserved the intrinsic enjoyment of the language and insulated it from the performance pressures of formal coursework. Across all accounts, informal immersion was consistently framed as a conscious pedagog</w:t>
      </w:r>
      <w:r>
        <w:rPr>
          <w:rFonts w:ascii="Times New Roman" w:hAnsi="Times New Roman" w:eastAsia="Times New Roman" w:cs="Times New Roman"/>
          <w:color w:val="000000" w:themeColor="text1"/>
        </w:rPr>
        <w:t xml:space="preserve">ical choice rather than passive entertainment. Students selected content, monitored their comprehension, and adjusted their practices over time, positioning these activities as an extension of, rather than a departure from, their formal language education.</w:t>
      </w:r>
      <w:r/>
    </w:p>
    <w:p w14:paraId="3DB05A63" w14:textId="77777777">
      <w:pPr>
        <w:pStyle w:val="1060"/>
        <w:pBdr/>
        <w:spacing w:after="120" w:before="120"/>
        <w:ind w:firstLine="720"/>
        <w:jc w:val="both"/>
        <w:rPr>
          <w:b/>
          <w:bCs/>
          <w:i/>
        </w:rPr>
      </w:pPr>
      <w:r>
        <w:rPr>
          <w:rFonts w:ascii="Times New Roman" w:hAnsi="Times New Roman" w:eastAsia="Times New Roman" w:cs="Times New Roman"/>
          <w:b/>
          <w:bCs/>
          <w:i/>
          <w:iCs/>
          <w:color w:val="000000" w:themeColor="text1"/>
        </w:rPr>
        <w:t xml:space="preserve">Theme 4: Resilience Strategies</w:t>
      </w:r>
      <w:r>
        <w:rPr>
          <w:b/>
          <w:bCs/>
          <w:i/>
        </w:rPr>
      </w:r>
      <w:r>
        <w:rPr>
          <w:b/>
          <w:bCs/>
          <w:i/>
        </w:rPr>
      </w:r>
    </w:p>
    <w:p w14:paraId="31884ED9"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fourth theme documents the diverse coping strategies that students employed to recover from periods of diminished motivation. Every participant reported experiencing motivational lapses, with </w:t>
      </w:r>
      <w:r>
        <w:rPr>
          <w:rFonts w:ascii="Times New Roman" w:hAnsi="Times New Roman" w:eastAsia="Times New Roman" w:cs="Times New Roman"/>
          <w:color w:val="000000" w:themeColor="text1"/>
        </w:rPr>
        <w:t xml:space="preserve">common triggers including disappointing test results, heavy academic workloads, stalled progress, and competing personal demands. The strategies they described fell into four broad clusters: turning toward the language for relief, reaching forward through </w:t>
      </w:r>
      <w:r>
        <w:rPr>
          <w:rFonts w:ascii="Times New Roman" w:hAnsi="Times New Roman" w:eastAsia="Times New Roman" w:cs="Times New Roman"/>
          <w:color w:val="000000" w:themeColor="text1"/>
        </w:rPr>
        <w:t xml:space="preserve">goal recall, responding structurally through planning, and turning outward toward social support.</w:t>
      </w:r>
      <w:r/>
    </w:p>
    <w:p w14:paraId="5545AE3A"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most vividly articulated strategy involved converting motivational setbacks into a matter</w:t>
      </w:r>
      <w:r>
        <w:rPr>
          <w:rFonts w:ascii="Times New Roman" w:hAnsi="Times New Roman" w:eastAsia="Times New Roman" w:cs="Times New Roman"/>
          <w:color w:val="000000" w:themeColor="text1"/>
        </w:rPr>
        <w:t xml:space="preserve"> of personal identity. July internalized this outlook into a phrase she repeated to herself: "I have a slogan to my mind at that time that you must learn, you must learn for yourself. If you don't eat, you cannot die. But if you don't study, you will die. </w:t>
      </w:r>
      <w:r>
        <w:rPr>
          <w:rFonts w:ascii="Times New Roman" w:hAnsi="Times New Roman" w:eastAsia="Times New Roman" w:cs="Times New Roman"/>
          <w:color w:val="000000" w:themeColor="text1"/>
        </w:rPr>
        <w:t xml:space="preserve">So</w:t>
      </w:r>
      <w:r>
        <w:rPr>
          <w:rFonts w:ascii="Times New Roman" w:hAnsi="Times New Roman" w:eastAsia="Times New Roman" w:cs="Times New Roman"/>
          <w:color w:val="000000" w:themeColor="text1"/>
        </w:rPr>
        <w:t xml:space="preserve"> it becomes my go-to slogan." Framing learning as existential rather than optional transformed it from a task into a self-defining commitment. Others favoured a more pragmat</w:t>
      </w:r>
      <w:r>
        <w:rPr>
          <w:rFonts w:ascii="Times New Roman" w:hAnsi="Times New Roman" w:eastAsia="Times New Roman" w:cs="Times New Roman"/>
          <w:color w:val="000000" w:themeColor="text1"/>
        </w:rPr>
        <w:t xml:space="preserve">ic reset. May explained, "To overcome this, I usually take a short break then I make a simple study plan and start again." Her approach combined regulated rest with small, achievable targets that restored a perceived sense of agency over her circumstances.</w:t>
      </w:r>
      <w:r/>
    </w:p>
    <w:p w14:paraId="6D39C747" w14:textId="77777777">
      <w:pPr>
        <w:pStyle w:val="1060"/>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Temporary disengagement from formal study was another recurrin</w:t>
      </w:r>
      <w:r>
        <w:rPr>
          <w:rFonts w:ascii="Times New Roman" w:hAnsi="Times New Roman" w:eastAsia="Times New Roman" w:cs="Times New Roman"/>
          <w:color w:val="000000" w:themeColor="text1"/>
        </w:rPr>
        <w:t xml:space="preserve">g pattern, though its logic was counterintuitive: recovery came not from working harder but from stepping away. October recalled, "I put the theoretical textbooks aside for a few days. I found my inspiration again by watching English YouTube channels and p</w:t>
      </w:r>
      <w:r>
        <w:rPr>
          <w:rFonts w:ascii="Times New Roman" w:hAnsi="Times New Roman" w:eastAsia="Times New Roman" w:cs="Times New Roman"/>
          <w:color w:val="000000" w:themeColor="text1"/>
        </w:rPr>
        <w:t xml:space="preserve">odcasts about topics I actually enjoy, like psychology or movie reviews. It reminded me of my original reason for loving English, which gave me the momentum to get back on track with my university studies." By reconnecting with the intrinsic pleasure of th</w:t>
      </w:r>
      <w:r>
        <w:rPr>
          <w:rFonts w:ascii="Times New Roman" w:hAnsi="Times New Roman" w:eastAsia="Times New Roman" w:cs="Times New Roman"/>
          <w:color w:val="000000" w:themeColor="text1"/>
        </w:rPr>
        <w:t xml:space="preserve">e language through self-selected content, she replenished the motivational energy that academic routines had depleted. Across the sample, resilience did not appear to be a fixed trait but a set of strategies that students refined through repeated experienc</w:t>
      </w:r>
      <w:r>
        <w:rPr>
          <w:rFonts w:ascii="Times New Roman" w:hAnsi="Times New Roman" w:eastAsia="Times New Roman" w:cs="Times New Roman"/>
          <w:color w:val="000000" w:themeColor="text1"/>
        </w:rPr>
        <w:t xml:space="preserve">e. Several participants noted that recovery from motivational lows became easier over time, suggesting that the capacity to bounce back from difficulty may consolidate into a durable disposition across successive cycles of challenge and recovery. The prese</w:t>
      </w:r>
      <w:r>
        <w:rPr>
          <w:rFonts w:ascii="Times New Roman" w:hAnsi="Times New Roman" w:eastAsia="Times New Roman" w:cs="Times New Roman"/>
          <w:color w:val="000000" w:themeColor="text1"/>
        </w:rPr>
        <w:t xml:space="preserve">nce of multiple strategy types within individual participants further indicates that resilient students did not rely on a single coping mechanism but drew flexibly from a personal repertoire depending on the nature and severity of the motivational setback.</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5C9ED152" w14:textId="77777777">
      <w:pPr>
        <w:pBdr/>
        <w:spacing w:after="120" w:line="240" w:lineRule="auto"/>
        <w:ind w:firstLine="0"/>
        <w:rPr/>
      </w:pPr>
      <w:r/>
      <w:r/>
    </w:p>
    <w:p w14:paraId="53D13198" w14:textId="77777777">
      <w:pPr>
        <w:pStyle w:val="1039"/>
        <w:pBdr/>
        <w:spacing w:after="120" w:before="120" w:line="240" w:lineRule="auto"/>
        <w:ind/>
        <w:rPr>
          <w:rFonts w:cs="Times New Roman"/>
          <w:sz w:val="24"/>
          <w:szCs w:val="24"/>
        </w:rPr>
      </w:pPr>
      <w:r>
        <w:rPr>
          <w:rFonts w:cs="Times New Roman"/>
          <w:sz w:val="24"/>
          <w:szCs w:val="24"/>
        </w:rPr>
        <w:t xml:space="preserve">5. Discussion </w:t>
      </w:r>
      <w:r>
        <w:rPr>
          <w:rFonts w:cs="Times New Roman"/>
          <w:sz w:val="24"/>
          <w:szCs w:val="24"/>
        </w:rPr>
      </w:r>
      <w:r>
        <w:rPr>
          <w:rFonts w:cs="Times New Roman"/>
          <w:sz w:val="24"/>
          <w:szCs w:val="24"/>
        </w:rPr>
      </w:r>
    </w:p>
    <w:p w14:paraId="1B688942"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structural model accounted for 73.4% of the variance in academic performance (R² = 0.734; adjusted R² = 0.728) and 60.5% of the variance in learner autonomy (R² = 0.605; adjusted R² = 0.600), indicating</w:t>
      </w:r>
      <w:r>
        <w:rPr>
          <w:rFonts w:ascii="Times New Roman" w:hAnsi="Times New Roman" w:eastAsia="Times New Roman" w:cs="Times New Roman"/>
          <w:color w:val="000000" w:themeColor="text1"/>
        </w:rPr>
        <w:t xml:space="preserve"> that the motivation-autonomy-performance framework explains a substantial proportion of student outcomes in this context. This section synthesizes the quantitative and qualitative findings along three thematic lines, closing with an integrated assessment.</w:t>
      </w:r>
      <w:r>
        <w:rPr>
          <w:rFonts w:ascii="Times New Roman" w:hAnsi="Times New Roman" w:cs="Times New Roman"/>
          <w:color w:val="000000" w:themeColor="text1"/>
        </w:rPr>
      </w:r>
      <w:r>
        <w:rPr>
          <w:rFonts w:ascii="Times New Roman" w:hAnsi="Times New Roman" w:cs="Times New Roman"/>
          <w:color w:val="000000" w:themeColor="text1"/>
        </w:rPr>
      </w:r>
    </w:p>
    <w:p w14:paraId="1466782E"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5.1. </w:t>
      </w:r>
      <w:bookmarkStart w:id="9" w:name="X2798e9a7dcfdc6fc7b1351f79d230a1a50bf020"/>
      <w:r>
        <w:rPr>
          <w:rFonts w:ascii="Times New Roman" w:hAnsi="Times New Roman" w:eastAsia="Times New Roman" w:cs="Times New Roman"/>
          <w:b/>
          <w:bCs/>
          <w:i/>
          <w:iCs/>
          <w:color w:val="000000" w:themeColor="text1"/>
          <w:sz w:val="24"/>
          <w:szCs w:val="24"/>
        </w:rPr>
        <w:t xml:space="preserve">Intrinsic Motivation as the Primary Driver</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3A1D2FF6"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As the results have shown, </w:t>
      </w:r>
      <w:r>
        <w:rPr>
          <w:rFonts w:ascii="Times New Roman" w:hAnsi="Times New Roman" w:eastAsia="Times New Roman" w:cs="Times New Roman"/>
          <w:color w:val="000000" w:themeColor="text1"/>
        </w:rPr>
        <w:t xml:space="preserve">intrinsic motivation dominated the model by a considerable margin. Its effect on learner autonomy (β = 0.618, t = 12.118, p &lt; .001, f² = 0.684) was more than two and a half times that of extrinsic motivation (β = 0.244, t = 3.342, p = .001, f² =</w:t>
      </w:r>
      <w:r>
        <w:rPr>
          <w:rFonts w:ascii="Times New Roman" w:hAnsi="Times New Roman" w:eastAsia="Times New Roman" w:cs="Times New Roman"/>
          <w:color w:val="000000" w:themeColor="text1"/>
        </w:rPr>
        <w:t xml:space="preserve"> 0.106). The direct pa</w:t>
      </w:r>
      <w:r>
        <w:rPr>
          <w:rFonts w:ascii="Times New Roman" w:hAnsi="Times New Roman" w:eastAsia="Times New Roman" w:cs="Times New Roman"/>
          <w:color w:val="000000" w:themeColor="text1"/>
        </w:rPr>
        <w:t xml:space="preserve">th from intrinsic motivation to performance (β = 0.395, t = 5.809, p &lt; .001, f² = 0.245) reached roughly three times the corresponding extrinsic route. </w:t>
      </w:r>
      <w:r>
        <w:rPr>
          <w:rFonts w:ascii="Times New Roman" w:hAnsi="Times New Roman" w:eastAsia="Times New Roman" w:cs="Times New Roman"/>
          <w:color w:val="000000" w:themeColor="text1"/>
        </w:rPr>
        <w:t xml:space="preserve">This indicates that genuine interest in English functions as the primary driver of academic outcomes in this sample.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CE91C6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Interview data provide insight into the mechanisms underlying these coefficients. August stated that genuine interest in English eliminated the need for external prompting: “When you</w:t>
      </w:r>
      <w:r>
        <w:rPr>
          <w:rFonts w:ascii="Times New Roman" w:hAnsi="Times New Roman" w:eastAsia="Times New Roman" w:cs="Times New Roman"/>
          <w:color w:val="000000" w:themeColor="text1"/>
        </w:rPr>
        <w:t xml:space="preserve"> really like something, you don’t need anyone to tell you to do it. I automatically search for materials, watch videos, and practice without being assigned." This self-initiating quality is consistent with SDT’s </w:t>
      </w:r>
      <w:r>
        <w:rPr>
          <w:rFonts w:ascii="Times New Roman" w:hAnsi="Times New Roman" w:eastAsia="Times New Roman" w:cs="Times New Roman"/>
          <w:color w:val="000000" w:themeColor="text1"/>
        </w:rPr>
        <w:t xml:space="preserve">claim that intrinsically motivated behaviour arises from its own satisfaction</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(Deci &amp; Ryan, 2000). January described a similar mechanism in which long-standing exposure to English-language media established a perception of the language as accessible, generating a positive feedback loop between </w:t>
      </w:r>
      <w:r>
        <w:rPr>
          <w:rFonts w:ascii="Times New Roman" w:hAnsi="Times New Roman" w:eastAsia="Times New Roman" w:cs="Times New Roman"/>
          <w:color w:val="000000" w:themeColor="text1"/>
        </w:rPr>
        <w:t xml:space="preserve">competence and continued engagement. </w:t>
      </w:r>
      <w:r>
        <w:rPr>
          <w:rFonts w:ascii="Times New Roman" w:hAnsi="Times New Roman" w:eastAsia="Times New Roman" w:cs="Times New Roman"/>
          <w:color w:val="000000" w:themeColor="text1"/>
        </w:rPr>
        <w:t xml:space="preserve">October described a different trajectory, in which intrinsic motivation emerged not as an initial disposition but as an acquired orientation through the reorganization of her learning around authentic materials.</w:t>
      </w:r>
      <w:r>
        <w:rPr>
          <w:rFonts w:ascii="Times New Roman" w:hAnsi="Times New Roman" w:cs="Times New Roman"/>
          <w:color w:val="000000" w:themeColor="text1"/>
        </w:rPr>
      </w:r>
      <w:r>
        <w:rPr>
          <w:rFonts w:ascii="Times New Roman" w:hAnsi="Times New Roman" w:cs="Times New Roman"/>
          <w:color w:val="000000" w:themeColor="text1"/>
        </w:rPr>
      </w:r>
    </w:p>
    <w:p w14:paraId="0CC5D380"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w:t>
      </w:r>
      <w:r>
        <w:rPr>
          <w:rFonts w:ascii="Times New Roman" w:hAnsi="Times New Roman" w:eastAsia="Times New Roman" w:cs="Times New Roman"/>
          <w:color w:val="000000" w:themeColor="text1"/>
        </w:rPr>
        <w:t xml:space="preserve">disparity</w:t>
      </w:r>
      <w:r>
        <w:rPr>
          <w:rFonts w:ascii="Times New Roman" w:hAnsi="Times New Roman" w:eastAsia="Times New Roman" w:cs="Times New Roman"/>
          <w:color w:val="000000" w:themeColor="text1"/>
        </w:rPr>
        <w:t xml:space="preserve"> between the </w:t>
      </w:r>
      <w:r>
        <w:rPr>
          <w:rFonts w:ascii="Times New Roman" w:hAnsi="Times New Roman" w:eastAsia="Times New Roman" w:cs="Times New Roman"/>
          <w:color w:val="000000" w:themeColor="text1"/>
        </w:rPr>
        <w:t xml:space="preserve">two coefficients</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ratio exceeding 2.5 to 1) carries a practical implication. If the objective is to develop autonomous learners, instruc</w:t>
      </w:r>
      <w:r>
        <w:rPr>
          <w:rFonts w:ascii="Times New Roman" w:hAnsi="Times New Roman" w:eastAsia="Times New Roman" w:cs="Times New Roman"/>
          <w:color w:val="000000" w:themeColor="text1"/>
        </w:rPr>
        <w:t xml:space="preserve">tional effort concentrated on cultivating genuine interest is likely to yield greater returns than effort directed at strengthening external incentives. The qualitative data suggest that interest cultivation is an environmental condition rather than a sing</w:t>
      </w:r>
      <w:r>
        <w:rPr>
          <w:rFonts w:ascii="Times New Roman" w:hAnsi="Times New Roman" w:eastAsia="Times New Roman" w:cs="Times New Roman"/>
          <w:color w:val="000000" w:themeColor="text1"/>
        </w:rPr>
        <w:t xml:space="preserve">le intervention: participants who reported strong intrinsic motivation described exposure to authentic materials, instructors who modelled enthusiasm, and the gradual recognition that English could serve personal interests beyond the prescribed curriculum.</w:t>
      </w:r>
      <w:bookmarkEnd w:id="9"/>
      <w:r>
        <w:rPr>
          <w:rFonts w:ascii="Times New Roman" w:hAnsi="Times New Roman" w:cs="Times New Roman"/>
          <w:color w:val="000000" w:themeColor="text1"/>
        </w:rPr>
      </w:r>
      <w:r>
        <w:rPr>
          <w:rFonts w:ascii="Times New Roman" w:hAnsi="Times New Roman" w:cs="Times New Roman"/>
          <w:color w:val="000000" w:themeColor="text1"/>
        </w:rPr>
      </w:r>
    </w:p>
    <w:p w14:paraId="1C4F94E4"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5.2. The Conditional Value of Extrinsic Motivation</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340FBBEE"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Extrinsic motivation produced significant but substantivel</w:t>
      </w:r>
      <w:r>
        <w:rPr>
          <w:rFonts w:ascii="Times New Roman" w:hAnsi="Times New Roman" w:eastAsia="Times New Roman" w:cs="Times New Roman"/>
          <w:color w:val="000000" w:themeColor="text1"/>
        </w:rPr>
        <w:t xml:space="preserve">y weaker effects. The EM → AP direct path reached significance (β = 0.123, t = 2.085, p = .040, f² = 0.036), as did the EM → LA path (β = 0.244, t = 3.342, p = .001, f² = 0.106); both were classified as small effects. The mediation results qualify this int</w:t>
      </w:r>
      <w:r>
        <w:rPr>
          <w:rFonts w:ascii="Times New Roman" w:hAnsi="Times New Roman" w:eastAsia="Times New Roman" w:cs="Times New Roman"/>
          <w:color w:val="000000" w:themeColor="text1"/>
        </w:rPr>
        <w:t xml:space="preserve">erpretation. Learner autonomy accounted for 46.3% of extrinsic motivation's total effect on academic performance, a higher proportion than the 40.5% observed for intrinsic motivation. </w:t>
      </w:r>
      <w:r>
        <w:rPr>
          <w:rFonts w:ascii="Times New Roman" w:hAnsi="Times New Roman" w:eastAsia="Times New Roman" w:cs="Times New Roman"/>
          <w:color w:val="000000" w:themeColor="text1"/>
        </w:rPr>
        <w:t xml:space="preserve">The </w:t>
      </w:r>
      <w:r>
        <w:rPr>
          <w:rFonts w:ascii="Times New Roman" w:hAnsi="Times New Roman" w:eastAsia="Times New Roman" w:cs="Times New Roman"/>
          <w:color w:val="000000" w:themeColor="text1"/>
        </w:rPr>
        <w:t xml:space="preserve">observation of  </w:t>
      </w:r>
      <w:r>
        <w:rPr>
          <w:rFonts w:ascii="Times New Roman" w:hAnsi="Times New Roman" w:eastAsia="Times New Roman" w:cs="Times New Roman"/>
          <w:color w:val="000000" w:themeColor="text1"/>
        </w:rPr>
        <w:t xml:space="preserve">higher proportion for extrinsic motivation reflects its smaller total effe</w:t>
      </w:r>
      <w:r>
        <w:rPr>
          <w:rFonts w:ascii="Times New Roman" w:hAnsi="Times New Roman" w:eastAsia="Times New Roman" w:cs="Times New Roman"/>
          <w:color w:val="000000" w:themeColor="text1"/>
        </w:rPr>
        <w:t xml:space="preserve">ct, which tran</w:t>
      </w:r>
      <w:r>
        <w:rPr>
          <w:rFonts w:ascii="Times New Roman" w:hAnsi="Times New Roman" w:eastAsia="Times New Roman" w:cs="Times New Roman"/>
          <w:color w:val="000000" w:themeColor="text1"/>
        </w:rPr>
        <w:t xml:space="preserve">slates to externally driven factors depend more heavily on the self-regulatory behaviours to produce measurable outcomes. When career requirements or institutional deadlines push students to set goals, monitor progress, and self-evaluate, those self-regula</w:t>
      </w:r>
      <w:r>
        <w:rPr>
          <w:rFonts w:ascii="Times New Roman" w:hAnsi="Times New Roman" w:eastAsia="Times New Roman" w:cs="Times New Roman"/>
          <w:color w:val="000000" w:themeColor="text1"/>
        </w:rPr>
        <w:t xml:space="preserve">tory routines become the operative mechanism through which performance improves. The small direct effect of EM on AP further supports this interpretation; absent the behavioural mediation of autonomy, extrinsic motivation carries limited independent force.</w:t>
      </w:r>
      <w:r/>
    </w:p>
    <w:p w14:paraId="5AA96FC7"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qualitative evidence also points to variability in how external motivators function depending on their level of internalization. March off</w:t>
      </w:r>
      <w:r>
        <w:rPr>
          <w:rFonts w:ascii="Times New Roman" w:hAnsi="Times New Roman" w:eastAsia="Times New Roman" w:cs="Times New Roman"/>
          <w:color w:val="000000" w:themeColor="text1"/>
        </w:rPr>
        <w:t xml:space="preserve">ered a measu</w:t>
      </w:r>
      <w:r>
        <w:rPr>
          <w:rFonts w:ascii="Times New Roman" w:hAnsi="Times New Roman" w:eastAsia="Times New Roman" w:cs="Times New Roman"/>
          <w:color w:val="000000" w:themeColor="text1"/>
        </w:rPr>
        <w:t xml:space="preserve">red characterization by acknowledging that "grades and feedback are encouraging" yet emphasized that his primary drive was "to improve my English for myself, not just for school." This duality reflects SDT's internalization continuum in Figure 2. Students </w:t>
      </w:r>
      <w:r>
        <w:rPr>
          <w:rFonts w:ascii="Times New Roman" w:hAnsi="Times New Roman" w:eastAsia="Times New Roman" w:cs="Times New Roman"/>
          <w:color w:val="000000" w:themeColor="text1"/>
        </w:rPr>
        <w:t xml:space="preserve">who remained nearer the controlled end of this continuum derived less benefit, while those who had achieved identified or integrated regulation, who could describe a career ambition as personally meaningful, were more likely to activate the autonomy pathwa</w:t>
      </w:r>
      <w:r>
        <w:rPr>
          <w:rFonts w:ascii="Times New Roman" w:hAnsi="Times New Roman" w:eastAsia="Times New Roman" w:cs="Times New Roman"/>
          <w:color w:val="000000" w:themeColor="text1"/>
        </w:rPr>
        <w:t xml:space="preserve">y. </w:t>
      </w:r>
      <w:r>
        <w:rPr>
          <w:rFonts w:ascii="Times New Roman" w:hAnsi="Times New Roman" w:cs="Times New Roman"/>
          <w:color w:val="000000" w:themeColor="text1"/>
        </w:rPr>
        <w:t xml:space="preserve">This model aligns with Permzadian and Shen (2024), who found that expectancy-value constructs predicted outcomes largely through self-regulatory behaviour. </w:t>
      </w:r>
      <w:r>
        <w:rPr>
          <w:rFonts w:ascii="Times New Roman" w:hAnsi="Times New Roman" w:cs="Times New Roman"/>
          <w:color w:val="000000" w:themeColor="text1"/>
        </w:rPr>
        <w:t xml:space="preserve">In Vietnam, utility value served as the strongest motivational predictor because career-oriented goals, once internalized, drive sustained autonomous effort</w:t>
      </w:r>
      <w:r>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t>
      </w:r>
      <w:r>
        <w:rPr>
          <w:rFonts w:ascii="Times New Roman" w:hAnsi="Times New Roman" w:cs="Times New Roman"/>
          <w:color w:val="000000" w:themeColor="text1"/>
        </w:rPr>
        <w:t xml:space="preserve">Truong, 2025)</w:t>
      </w:r>
      <w:r>
        <w:rPr>
          <w:rFonts w:ascii="Times New Roman" w:hAnsi="Times New Roman" w:cs="Times New Roman"/>
          <w:color w:val="000000" w:themeColor="text1"/>
        </w:rPr>
        <w:t xml:space="preserve">. A practical implication follows: where career pragmatism constitutes a central value, the evidence supports helping students connect external requ</w:t>
      </w:r>
      <w:r>
        <w:rPr>
          <w:rFonts w:ascii="Times New Roman" w:hAnsi="Times New Roman" w:cs="Times New Roman"/>
          <w:color w:val="000000" w:themeColor="text1"/>
        </w:rPr>
        <w:t xml:space="preserve">irements to goals they personally value.</w:t>
      </w:r>
      <w:r>
        <w:rPr>
          <w:rFonts w:ascii="Times New Roman" w:hAnsi="Times New Roman" w:cs="Times New Roman"/>
          <w:color w:val="000000" w:themeColor="text1"/>
        </w:rPr>
      </w:r>
      <w:r>
        <w:rPr>
          <w:rFonts w:ascii="Times New Roman" w:hAnsi="Times New Roman" w:cs="Times New Roman"/>
          <w:color w:val="000000" w:themeColor="text1"/>
        </w:rPr>
      </w:r>
    </w:p>
    <w:p w14:paraId="313208B9"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5.3. </w:t>
      </w:r>
      <w:bookmarkStart w:id="10" w:name="learner-autonomy-as-the-key-mechanism"/>
      <w:r>
        <w:rPr>
          <w:rFonts w:ascii="Times New Roman" w:hAnsi="Times New Roman" w:eastAsia="Times New Roman" w:cs="Times New Roman"/>
          <w:b/>
          <w:bCs/>
          <w:i/>
          <w:iCs/>
          <w:color w:val="000000" w:themeColor="text1"/>
          <w:sz w:val="24"/>
          <w:szCs w:val="24"/>
        </w:rPr>
        <w:t xml:space="preserve">Learner Autonomy as the Key Mechanism</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67857C78"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t xml:space="preserve">Among the three dependent variables</w:t>
      </w:r>
      <w:r>
        <w:rPr>
          <w:rFonts w:ascii="Times New Roman" w:hAnsi="Times New Roman" w:eastAsia="Times New Roman" w:cs="Times New Roman"/>
          <w:color w:val="000000" w:themeColor="text1"/>
        </w:rPr>
        <w:t xml:space="preserve">, learner autonomy was the strongest direct predictor of academic performance (</w:t>
      </w:r>
      <m:oMath>
        <m:r>
          <w:rPr>
            <w:rFonts w:ascii="Cambria Math" w:hAnsi="Cambria Math" w:eastAsia="Cambria Math" w:cs="Cambria Math"/>
            <w:color w:val="000000" w:themeColor="text1"/>
          </w:rPr>
          <m:rPr/>
          <m:t>β</m:t>
        </m:r>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0.436</m:t>
        </m:r>
      </m:oMath>
      <w:r>
        <w:rPr>
          <w:rFonts w:ascii="Times New Roman" w:hAnsi="Times New Roman" w:eastAsia="Times New Roman" w:cs="Times New Roman"/>
          <w:color w:val="000000" w:themeColor="text1"/>
        </w:rPr>
        <w:t xml:space="preserve">, </w:t>
      </w:r>
      <w:r>
        <w:rPr>
          <w:rFonts w:ascii="Times New Roman" w:hAnsi="Times New Roman" w:eastAsia="Times New Roman" w:cs="Times New Roman"/>
          <w:i/>
          <w:iCs/>
          <w:color w:val="000000" w:themeColor="text1"/>
        </w:rPr>
        <w:t xml:space="preserve">t</w:t>
      </w:r>
      <w:r>
        <w:rPr>
          <w:rFonts w:ascii="Times New Roman" w:hAnsi="Times New Roman" w:eastAsia="Times New Roman" w:cs="Times New Roman"/>
          <w:color w:val="000000" w:themeColor="text1"/>
        </w:rPr>
        <w:t xml:space="preserve"> = 6.141, </w:t>
      </w:r>
      <w:r>
        <w:rPr>
          <w:rFonts w:ascii="Times New Roman" w:hAnsi="Times New Roman" w:eastAsia="Times New Roman" w:cs="Times New Roman"/>
          <w:i/>
          <w:iCs/>
          <w:color w:val="000000" w:themeColor="text1"/>
        </w:rPr>
        <w:t xml:space="preserve">p</w:t>
      </w:r>
      <w:r>
        <w:rPr>
          <w:rFonts w:ascii="Times New Roman" w:hAnsi="Times New Roman" w:eastAsia="Times New Roman" w:cs="Times New Roman"/>
          <w:color w:val="000000" w:themeColor="text1"/>
        </w:rPr>
        <w:t xml:space="preserve"> </w:t>
      </w:r>
      <m:oMath>
        <m:r>
          <w:rPr>
            <w:rFonts w:ascii="Cambria Math" w:hAnsi="Cambria Math" w:eastAsia="Cambria Math" w:cs="Cambria Math"/>
            <w:color w:val="000000" w:themeColor="text1"/>
          </w:rPr>
          <m:rPr>
            <m:sty m:val="p"/>
          </m:rPr>
          <m:t>&lt;</m:t>
        </m:r>
        <m:r>
          <w:rPr>
            <w:rFonts w:ascii="Cambria Math" w:hAnsi="Cambria Math" w:eastAsia="Cambria Math" w:cs="Cambria Math"/>
            <w:color w:val="000000" w:themeColor="text1"/>
          </w:rPr>
          <m:rPr/>
          <m:t>.001</m:t>
        </m:r>
      </m:oMath>
      <w:r>
        <w:rPr>
          <w:rFonts w:ascii="Times New Roman" w:hAnsi="Times New Roman" w:eastAsia="Times New Roman" w:cs="Times New Roman"/>
          <w:color w:val="000000" w:themeColor="text1"/>
        </w:rPr>
        <w:t xml:space="preserve">, </w:t>
      </w:r>
      <m:oMath>
        <m:sSup>
          <m:sSupPr>
            <m:ctrlPr>
              <w:rPr>
                <w:rFonts w:ascii="Cambria Math" w:hAnsi="Cambria Math" w:eastAsia="Cambria Math" w:cs="Cambria Math"/>
                <w:color w:val="000000" w:themeColor="text1"/>
              </w:rPr>
            </m:ctrlPr>
          </m:sSupPr>
          <m:e>
            <m:r>
              <w:rPr>
                <w:rFonts w:ascii="Cambria Math" w:hAnsi="Cambria Math" w:eastAsia="Cambria Math" w:cs="Cambria Math"/>
                <w:color w:val="000000" w:themeColor="text1"/>
              </w:rPr>
              <m:rPr/>
              <m:t>f</m:t>
            </m:r>
          </m:e>
          <m:sup>
            <m:r>
              <w:rPr>
                <w:rFonts w:ascii="Cambria Math" w:hAnsi="Cambria Math" w:eastAsia="Cambria Math" w:cs="Cambria Math"/>
                <w:color w:val="000000" w:themeColor="text1"/>
              </w:rPr>
              <m:rPr/>
              <m:t>2</m:t>
            </m:r>
          </m:sup>
        </m:sSup>
        <m:r>
          <w:rPr>
            <w:rFonts w:ascii="Cambria Math" w:hAnsi="Cambria Math" w:eastAsia="Cambria Math" w:cs="Cambria Math"/>
            <w:color w:val="000000" w:themeColor="text1"/>
          </w:rPr>
          <m:rPr>
            <m:sty m:val="p"/>
          </m:rPr>
          <m:t>=</m:t>
        </m:r>
        <m:r>
          <w:rPr>
            <w:rFonts w:ascii="Cambria Math" w:hAnsi="Cambria Math" w:eastAsia="Cambria Math" w:cs="Cambria Math"/>
            <w:color w:val="000000" w:themeColor="text1"/>
          </w:rPr>
          <m:rPr/>
          <m:t>0.282</m:t>
        </m:r>
      </m:oMath>
      <w:r>
        <w:rPr>
          <w:rFonts w:ascii="Times New Roman" w:hAnsi="Times New Roman" w:eastAsia="Times New Roman" w:cs="Times New Roman"/>
          <w:color w:val="000000" w:themeColor="text1"/>
        </w:rPr>
        <w:t xml:space="preserve">), s</w:t>
      </w:r>
      <w:r>
        <w:rPr>
          <w:rFonts w:ascii="Times New Roman" w:hAnsi="Times New Roman" w:eastAsia="Times New Roman" w:cs="Times New Roman"/>
          <w:color w:val="000000" w:themeColor="text1"/>
        </w:rPr>
        <w:t xml:space="preserve">urpassing the direct influence of intrinsic motivation. Autonomy functioned as the mechanism through which both forms of motivation channelled approximately 40 to 46 percent of their total effect, confirming the partial mediation hypothesized in </w:t>
      </w:r>
      <w:r>
        <w:rPr>
          <w:rFonts w:ascii="Times New Roman" w:hAnsi="Times New Roman" w:eastAsia="Times New Roman" w:cs="Times New Roman"/>
          <w:b/>
          <w:bCs/>
          <w:color w:val="000000" w:themeColor="text1"/>
        </w:rPr>
        <w:t xml:space="preserve">H6 </w:t>
      </w:r>
      <w:r>
        <w:rPr>
          <w:rFonts w:ascii="Times New Roman" w:hAnsi="Times New Roman" w:eastAsia="Times New Roman" w:cs="Times New Roman"/>
          <w:color w:val="000000" w:themeColor="text1"/>
        </w:rPr>
        <w:t xml:space="preserve">and </w:t>
      </w:r>
      <w:r>
        <w:rPr>
          <w:rFonts w:ascii="Times New Roman" w:hAnsi="Times New Roman" w:eastAsia="Times New Roman" w:cs="Times New Roman"/>
          <w:b/>
          <w:bCs/>
          <w:color w:val="000000" w:themeColor="text1"/>
        </w:rPr>
        <w:t xml:space="preserve">H7</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0704EA94"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Qualitative data clarify the behaviours through which this mediation operates. October’s systemati</w:t>
      </w:r>
      <w:r>
        <w:rPr>
          <w:rFonts w:ascii="Times New Roman" w:hAnsi="Times New Roman" w:eastAsia="Times New Roman" w:cs="Times New Roman"/>
          <w:color w:val="000000" w:themeColor="text1"/>
        </w:rPr>
        <w:t xml:space="preserve">c process of consulting dictionaries and online searches before approaching classmates or lecturers, February’s use of ChatGPT to refine “nuances in word choice," and November’s “stage-skipping" technique, which used advanced materials diagnostically, all </w:t>
      </w:r>
      <w:r>
        <w:rPr>
          <w:rFonts w:ascii="Times New Roman" w:hAnsi="Times New Roman" w:eastAsia="Times New Roman" w:cs="Times New Roman"/>
          <w:color w:val="000000" w:themeColor="text1"/>
        </w:rPr>
        <w:t xml:space="preserve">exemplify the self-regulatory behaviours that Zimmerman’s cyclic SRL model describes. These findings confirm that the forethought, performance, </w:t>
      </w:r>
      <w:r>
        <w:rPr>
          <w:rFonts w:ascii="Times New Roman" w:hAnsi="Times New Roman" w:eastAsia="Times New Roman" w:cs="Times New Roman"/>
          <w:color w:val="000000" w:themeColor="text1"/>
        </w:rPr>
        <w:t xml:space="preserve">and self-reflection phases theorized as universal are observable among Vietnamese English majors. The data also reveal culturally inflected patterns: students frequently positioned autonomous behaviour as a compensatory response to instructional limitation</w:t>
      </w:r>
      <w:r>
        <w:rPr>
          <w:rFonts w:ascii="Times New Roman" w:hAnsi="Times New Roman" w:eastAsia="Times New Roman" w:cs="Times New Roman"/>
          <w:color w:val="000000" w:themeColor="text1"/>
        </w:rPr>
        <w:t xml:space="preserve">s, and informal immersion functioned as an extension of formal learning. This suggests that SRL in this context operates partly as a culturally adaptive mechanism enabling learners to bridge gaps between institutional resources and personal learning needs.</w:t>
      </w:r>
      <w:r>
        <w:rPr>
          <w:rFonts w:ascii="Times New Roman" w:hAnsi="Times New Roman" w:cs="Times New Roman"/>
          <w:color w:val="000000" w:themeColor="text1"/>
        </w:rPr>
      </w:r>
      <w:r>
        <w:rPr>
          <w:rFonts w:ascii="Times New Roman" w:hAnsi="Times New Roman" w:cs="Times New Roman"/>
          <w:color w:val="000000" w:themeColor="text1"/>
        </w:rPr>
      </w:r>
    </w:p>
    <w:p w14:paraId="62A7E137"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A tension in the autonomy data merits acknowledgement. The quantitative findings returned an LA mean of 3.97, the highest among all four constructs, yet several interview participants described si</w:t>
      </w:r>
      <w:r>
        <w:rPr>
          <w:rFonts w:ascii="Times New Roman" w:hAnsi="Times New Roman" w:eastAsia="Times New Roman" w:cs="Times New Roman"/>
          <w:color w:val="000000" w:themeColor="text1"/>
        </w:rPr>
        <w:t xml:space="preserve">gnificant discrepancies between their intentions and day-to-day execution (April’s gaming distractions, September’s lapses in focus, October’s periods of feeling “overwhelmed, demotivated, and honestly, quite lazy"). These admissions do not invalidate the </w:t>
      </w:r>
      <w:r>
        <w:rPr>
          <w:rFonts w:ascii="Times New Roman" w:hAnsi="Times New Roman" w:eastAsia="Times New Roman" w:cs="Times New Roman"/>
          <w:color w:val="000000" w:themeColor="text1"/>
        </w:rPr>
        <w:t xml:space="preserve">LA scores, as self-report instruments measure perceived autonomy rather than objectively observed behaviour. They do suggest that future research employing behavioural measures would strengthen claims about autonomous learning behaviour in this population.</w:t>
      </w:r>
      <w:bookmarkEnd w:id="10"/>
      <w:r>
        <w:rPr>
          <w:rFonts w:ascii="Times New Roman" w:hAnsi="Times New Roman" w:cs="Times New Roman"/>
          <w:color w:val="000000" w:themeColor="text1"/>
        </w:rPr>
      </w:r>
      <w:r>
        <w:rPr>
          <w:rFonts w:ascii="Times New Roman" w:hAnsi="Times New Roman" w:cs="Times New Roman"/>
          <w:color w:val="000000" w:themeColor="text1"/>
        </w:rPr>
      </w:r>
    </w:p>
    <w:p w14:paraId="5D77F6B0" w14:textId="77777777">
      <w:pPr>
        <w:pStyle w:val="850"/>
        <w:pBdr/>
        <w:spacing w:after="120" w:before="120" w:line="240" w:lineRule="auto"/>
        <w:ind/>
        <w:rPr>
          <w:rFonts w:ascii="Times New Roman" w:hAnsi="Times New Roman" w:cs="Times New Roman"/>
          <w:b/>
          <w:bCs/>
          <w:i/>
          <w:color w:val="000000" w:themeColor="text1"/>
          <w:sz w:val="24"/>
          <w:szCs w:val="24"/>
        </w:rPr>
      </w:pPr>
      <w:r/>
      <w:bookmarkStart w:id="11" w:name="integrated-assessment"/>
      <w:r>
        <w:rPr>
          <w:rFonts w:ascii="Times New Roman" w:hAnsi="Times New Roman" w:eastAsia="Times New Roman" w:cs="Times New Roman"/>
          <w:b/>
          <w:bCs/>
          <w:i/>
          <w:iCs/>
          <w:color w:val="000000" w:themeColor="text1"/>
          <w:sz w:val="24"/>
          <w:szCs w:val="24"/>
        </w:rPr>
        <w:t xml:space="preserve">5.4. Integrated Assessment</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2E624385">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The structural model’s explanatory power provides empirical support for the theoretical integration of SDT and SRL as a fr</w:t>
      </w:r>
      <w:r>
        <w:rPr>
          <w:rFonts w:ascii="Times New Roman" w:hAnsi="Times New Roman" w:eastAsia="Times New Roman" w:cs="Times New Roman"/>
          <w:color w:val="000000" w:themeColor="text1"/>
        </w:rPr>
        <w:t xml:space="preserve">amework for understanding academic outcomes among Vietnamese English majors. One contribution of the present study is the magnitude of the observed effects relative to benchmarks from Western EFL research. The large effect size for the IM → LA path (f² = 0</w:t>
      </w:r>
      <w:r>
        <w:rPr>
          <w:rFonts w:ascii="Times New Roman" w:hAnsi="Times New Roman" w:eastAsia="Times New Roman" w:cs="Times New Roman"/>
          <w:color w:val="000000" w:themeColor="text1"/>
        </w:rPr>
        <w:t xml:space="preserve">.684) </w:t>
      </w:r>
      <w:r>
        <w:rPr>
          <w:rFonts w:ascii="Times New Roman" w:hAnsi="Times New Roman" w:eastAsia="Times New Roman" w:cs="Times New Roman"/>
          <w:color w:val="000000" w:themeColor="text1"/>
        </w:rPr>
        <w:t xml:space="preserve">indicates that intrinsic motivation makes a particularly strong contribution to autonomy</w:t>
      </w:r>
      <w:r>
        <w:rPr>
          <w:rFonts w:ascii="Times New Roman" w:hAnsi="Times New Roman" w:eastAsia="Times New Roman" w:cs="Times New Roman"/>
          <w:color w:val="000000" w:themeColor="text1"/>
        </w:rPr>
        <w:t xml:space="preserve"> in this sample. </w:t>
      </w:r>
      <w:r>
        <w:rPr>
          <w:rFonts w:ascii="Times New Roman" w:hAnsi="Times New Roman" w:eastAsia="Times New Roman" w:cs="Times New Roman"/>
          <w:color w:val="000000" w:themeColor="text1"/>
        </w:rPr>
        <w:t xml:space="preserve">This pattern is consistent with </w:t>
      </w:r>
      <w:r>
        <w:rPr>
          <w:rFonts w:ascii="Times New Roman" w:hAnsi="Times New Roman" w:eastAsia="Times New Roman" w:cs="Times New Roman"/>
          <w:color w:val="000000" w:themeColor="text1"/>
        </w:rPr>
        <w:t xml:space="preserve">prior research linking self-determined motivation</w:t>
      </w:r>
      <w:r>
        <w:rPr>
          <w:rFonts w:ascii="Times New Roman" w:hAnsi="Times New Roman" w:eastAsia="Times New Roman" w:cs="Times New Roman"/>
          <w:color w:val="000000" w:themeColor="text1"/>
        </w:rPr>
        <w:t xml:space="preserve">, self-regulation, and achievement (Noels et al., 2000; Z</w:t>
      </w:r>
      <w:r>
        <w:rPr>
          <w:rFonts w:ascii="Times New Roman" w:hAnsi="Times New Roman" w:eastAsia="Times New Roman" w:cs="Times New Roman"/>
          <w:color w:val="000000" w:themeColor="text1"/>
        </w:rPr>
        <w:t xml:space="preserve">immerman &amp; Kitsantas, 2014). </w:t>
      </w:r>
      <w:r>
        <w:rPr>
          <w:rFonts w:ascii="Times New Roman" w:hAnsi="Times New Roman" w:eastAsia="Times New Roman" w:cs="Times New Roman"/>
          <w:color w:val="000000" w:themeColor="text1"/>
        </w:rPr>
        <w:t xml:space="preserve">I</w:t>
      </w:r>
      <w:r>
        <w:rPr>
          <w:rFonts w:ascii="Times New Roman" w:hAnsi="Times New Roman" w:eastAsia="Times New Roman" w:cs="Times New Roman"/>
          <w:color w:val="000000" w:themeColor="text1"/>
        </w:rPr>
        <w:t xml:space="preserve">n a Vietnamese setting where teacher-centred instruction has historically constrained self-direction, strong intrinsic interest may function as a disproportionately powerful catalyst. SDT predicts that autonomy-supportive conditions amplify intrinsic engag</w:t>
      </w:r>
      <w:r>
        <w:rPr>
          <w:rFonts w:ascii="Times New Roman" w:hAnsi="Times New Roman" w:eastAsia="Times New Roman" w:cs="Times New Roman"/>
          <w:color w:val="000000" w:themeColor="text1"/>
        </w:rPr>
        <w:t xml:space="preserve">ement, and the present data are consistent with this prediction.</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480AA656"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A fur</w:t>
      </w:r>
      <w:r>
        <w:rPr>
          <w:rFonts w:ascii="Times New Roman" w:hAnsi="Times New Roman" w:eastAsia="Times New Roman" w:cs="Times New Roman"/>
          <w:color w:val="000000" w:themeColor="text1"/>
        </w:rPr>
        <w:t xml:space="preserve">ther contribution concerns the mediation analysis. The finding that EM depends more heavily on the autonomy pathway (46.3%) than IM does (40.5%) refines SDT’s internalization continuum by quantifying the differential dependence. Investing in intrinsic inte</w:t>
      </w:r>
      <w:r>
        <w:rPr>
          <w:rFonts w:ascii="Times New Roman" w:hAnsi="Times New Roman" w:eastAsia="Times New Roman" w:cs="Times New Roman"/>
          <w:color w:val="000000" w:themeColor="text1"/>
        </w:rPr>
        <w:t xml:space="preserve">rest development strengthens performance through dual channels, direct cognitive engagement and indirect autonomy-driven learning. Relying predominantly on external incentives places heavier demand on the simultaneous cultivation of self-regulatory skills.</w:t>
      </w:r>
      <w:r>
        <w:rPr>
          <w:rFonts w:ascii="Times New Roman" w:hAnsi="Times New Roman" w:cs="Times New Roman"/>
          <w:color w:val="000000" w:themeColor="text1"/>
        </w:rPr>
      </w:r>
      <w:r>
        <w:rPr>
          <w:rFonts w:ascii="Times New Roman" w:hAnsi="Times New Roman" w:cs="Times New Roman"/>
          <w:color w:val="000000" w:themeColor="text1"/>
        </w:rPr>
      </w:r>
    </w:p>
    <w:p w14:paraId="5B9C0F5A" w14:textId="77777777">
      <w:pPr>
        <w:pStyle w:val="1060"/>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The qualitative data supply a developmental dimension that the structural coefficients alone cannot convey</w:t>
      </w:r>
      <w:r>
        <w:rPr>
          <w:rFonts w:ascii="Times New Roman" w:hAnsi="Times New Roman" w:eastAsia="Times New Roman" w:cs="Times New Roman"/>
          <w:color w:val="000000" w:themeColor="text1"/>
        </w:rPr>
        <w:t xml:space="preserve">. The four interview themes outline a trajectory in which external pressures are progressively internalized, autonomous behaviours undergo iterative refinement, English becomes woven into daily life through self-selected media, and the capacity to recover </w:t>
      </w:r>
      <w:r>
        <w:rPr>
          <w:rFonts w:ascii="Times New Roman" w:hAnsi="Times New Roman" w:eastAsia="Times New Roman" w:cs="Times New Roman"/>
          <w:color w:val="000000" w:themeColor="text1"/>
        </w:rPr>
        <w:t xml:space="preserve">from motivational setbacks consolidates into a durable disposition. This trajectory is not self-executing. The interviews indicate that it depends on exposure to effective teachers, access to authentic materials, opportunities to experience competence, and</w:t>
      </w:r>
      <w:r>
        <w:rPr>
          <w:rFonts w:ascii="Times New Roman" w:hAnsi="Times New Roman" w:eastAsia="Times New Roman" w:cs="Times New Roman"/>
          <w:color w:val="000000" w:themeColor="text1"/>
        </w:rPr>
        <w:t xml:space="preserve"> an institutional culture in which independent learning is treated as a baseline expectation. Where those enabling conditions are present, the statistical chain from motivation through autonomy to performance takes concrete form as a developmental pathway.</w:t>
      </w:r>
      <w:bookmarkEnd w:id="11"/>
      <w:r>
        <w:rPr>
          <w:rFonts w:ascii="Times New Roman" w:hAnsi="Times New Roman" w:cs="Times New Roman"/>
          <w:color w:val="000000" w:themeColor="text1"/>
        </w:rPr>
      </w:r>
      <w:r>
        <w:rPr>
          <w:rFonts w:ascii="Times New Roman" w:hAnsi="Times New Roman" w:cs="Times New Roman"/>
          <w:color w:val="000000" w:themeColor="text1"/>
        </w:rPr>
      </w:r>
    </w:p>
    <w:p w14:paraId="32E05522" w14:textId="77777777">
      <w:pPr>
        <w:pBdr/>
        <w:spacing w:after="120" w:line="240" w:lineRule="auto"/>
        <w:ind w:firstLine="0"/>
        <w:rPr>
          <w:rFonts w:cs="Times New Roman"/>
          <w:sz w:val="24"/>
          <w:szCs w:val="24"/>
        </w:rPr>
      </w:pPr>
      <w:r>
        <w:rPr>
          <w:rFonts w:cs="Times New Roman"/>
          <w:sz w:val="24"/>
          <w:szCs w:val="24"/>
        </w:rPr>
      </w:r>
      <w:r>
        <w:rPr>
          <w:rFonts w:cs="Times New Roman"/>
          <w:sz w:val="24"/>
          <w:szCs w:val="24"/>
        </w:rPr>
      </w:r>
      <w:r>
        <w:rPr>
          <w:rFonts w:cs="Times New Roman"/>
          <w:sz w:val="24"/>
          <w:szCs w:val="24"/>
        </w:rPr>
      </w:r>
    </w:p>
    <w:p w14:paraId="632EB691" w14:textId="77777777">
      <w:pPr>
        <w:pStyle w:val="1039"/>
        <w:pBdr/>
        <w:spacing w:after="120" w:before="120" w:line="240" w:lineRule="auto"/>
        <w:ind/>
        <w:rPr>
          <w:rFonts w:cs="Times New Roman"/>
          <w:sz w:val="24"/>
          <w:szCs w:val="24"/>
        </w:rPr>
      </w:pPr>
      <w:r>
        <w:rPr>
          <w:rFonts w:cs="Times New Roman"/>
          <w:sz w:val="24"/>
          <w:szCs w:val="24"/>
        </w:rPr>
        <w:t xml:space="preserve">6. Conclusion</w:t>
      </w:r>
      <w:r>
        <w:rPr>
          <w:rFonts w:cs="Times New Roman"/>
          <w:sz w:val="24"/>
          <w:szCs w:val="24"/>
        </w:rPr>
      </w:r>
      <w:r>
        <w:rPr>
          <w:rFonts w:cs="Times New Roman"/>
          <w:sz w:val="24"/>
          <w:szCs w:val="24"/>
        </w:rPr>
      </w:r>
    </w:p>
    <w:p w14:paraId="121EC1E1" w14:textId="77777777">
      <w:pPr>
        <w:pStyle w:val="1060"/>
        <w:pBdr/>
        <w:spacing w:after="120" w:before="120"/>
        <w:ind w:firstLine="720"/>
        <w:jc w:val="both"/>
        <w:rPr>
          <w:rFonts w:ascii="Times New Roman" w:hAnsi="Times New Roman" w:eastAsia="Times New Roman" w:cs="Times New Roman"/>
          <w:b/>
          <w:bCs/>
          <w:i/>
          <w:color w:val="000000" w:themeColor="text1"/>
        </w:rPr>
      </w:pPr>
      <w:r>
        <w:rPr>
          <w:rFonts w:ascii="Times New Roman" w:hAnsi="Times New Roman" w:eastAsia="Times New Roman" w:cs="Times New Roman"/>
          <w:b/>
          <w:bCs/>
          <w:i/>
          <w:iCs/>
          <w:color w:val="000000" w:themeColor="text1"/>
        </w:rPr>
        <w:t xml:space="preserve">6.1. Summary of Findings</w:t>
      </w:r>
      <w:r>
        <w:rPr>
          <w:rFonts w:ascii="Times New Roman" w:hAnsi="Times New Roman" w:eastAsia="Times New Roman" w:cs="Times New Roman"/>
          <w:b/>
          <w:bCs/>
          <w:i/>
          <w:color w:val="000000" w:themeColor="text1"/>
        </w:rPr>
      </w:r>
      <w:r>
        <w:rPr>
          <w:rFonts w:ascii="Times New Roman" w:hAnsi="Times New Roman" w:eastAsia="Times New Roman" w:cs="Times New Roman"/>
          <w:b/>
          <w:bCs/>
          <w:i/>
          <w:color w:val="000000" w:themeColor="text1"/>
        </w:rPr>
      </w:r>
    </w:p>
    <w:p w14:paraId="4100891D"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This study examined the interplay of motivation, learner autonomy,</w:t>
      </w:r>
      <w:r>
        <w:rPr>
          <w:rFonts w:ascii="Times New Roman" w:hAnsi="Times New Roman" w:eastAsia="Times New Roman" w:cs="Times New Roman"/>
          <w:color w:val="000000" w:themeColor="text1"/>
        </w:rPr>
        <w:t xml:space="preserve"> and academic performance among third-year English-major students at HUFLIT. Across the sample, students reported moderately high intrinsic motivation, a well-developed sense of ownership over their English learning, and broadly favourable perceptions of t</w:t>
      </w:r>
      <w:r>
        <w:rPr>
          <w:rFonts w:ascii="Times New Roman" w:hAnsi="Times New Roman" w:eastAsia="Times New Roman" w:cs="Times New Roman"/>
          <w:color w:val="000000" w:themeColor="text1"/>
        </w:rPr>
        <w:t xml:space="preserve">heir academic progress. The structural model confirmed that the three predictors together captured the core motivational architecture of achievement in this population, yet beneath the uniformly positive self-reports a clear hierarchy of influence emerged.</w:t>
      </w:r>
      <w:r/>
    </w:p>
    <w:p w14:paraId="4C98F61A"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Lear</w:t>
      </w:r>
      <w:r>
        <w:rPr>
          <w:rFonts w:ascii="Times New Roman" w:hAnsi="Times New Roman" w:eastAsia="Times New Roman" w:cs="Times New Roman"/>
          <w:color w:val="000000" w:themeColor="text1"/>
        </w:rPr>
        <w:t xml:space="preserve">ner autonomy stood at the centre of the system. It was the strongest direct predictor of academic performance and served as the primary conduit through which both forms of motivation flowed toward achievement. Intrinsic motivation proved the more powerful </w:t>
      </w:r>
      <w:r>
        <w:rPr>
          <w:rFonts w:ascii="Times New Roman" w:hAnsi="Times New Roman" w:eastAsia="Times New Roman" w:cs="Times New Roman"/>
          <w:color w:val="000000" w:themeColor="text1"/>
        </w:rPr>
        <w:t xml:space="preserve">of the two motivational sources, driving autonomy at more than double the strength of extrinsic motivation and exerting a meaningful direct effect on performance in its own right. Extrinsic motivation, while significant, depended proportionally more heavil</w:t>
      </w:r>
      <w:r>
        <w:rPr>
          <w:rFonts w:ascii="Times New Roman" w:hAnsi="Times New Roman" w:eastAsia="Times New Roman" w:cs="Times New Roman"/>
          <w:color w:val="000000" w:themeColor="text1"/>
        </w:rPr>
        <w:t xml:space="preserve">y on the autonomy pathway: although its absolute indirect effect was smaller than that of intrinsic motivation, a larger share of its total effect on performance was mediated through learner autonomy. In practical terms, this means that career ambitions an</w:t>
      </w:r>
      <w:r>
        <w:rPr>
          <w:rFonts w:ascii="Times New Roman" w:hAnsi="Times New Roman" w:eastAsia="Times New Roman" w:cs="Times New Roman"/>
          <w:color w:val="000000" w:themeColor="text1"/>
        </w:rPr>
        <w:t xml:space="preserve">d certification pressures at HUFLIT, where graduation requires IELTS 7.0 or TOEIC 780 alongside the Microsoft Office Specialist credential, translate into better grades only when students convert those external demands into concrete, self-regulated action.</w:t>
      </w:r>
      <w:r/>
    </w:p>
    <w:p w14:paraId="232611BF" w14:textId="77777777">
      <w:pPr>
        <w:pStyle w:val="1060"/>
        <w:pBdr/>
        <w:spacing w:after="120" w:before="120"/>
        <w:ind w:firstLine="720"/>
        <w:jc w:val="both"/>
        <w:rPr/>
      </w:pPr>
      <w:r>
        <w:rPr>
          <w:rFonts w:ascii="Times New Roman" w:hAnsi="Times New Roman" w:eastAsia="Times New Roman" w:cs="Times New Roman"/>
          <w:color w:val="000000" w:themeColor="text1"/>
        </w:rPr>
        <w:t xml:space="preserve">The qualitative evidence showed that student</w:t>
      </w:r>
      <w:r>
        <w:rPr>
          <w:rFonts w:ascii="Times New Roman" w:hAnsi="Times New Roman" w:eastAsia="Times New Roman" w:cs="Times New Roman"/>
          <w:color w:val="000000" w:themeColor="text1"/>
        </w:rPr>
        <w:t xml:space="preserve">s did not simply study more; many had constructed systematic repertoires of autonomous practice that included setting specific learning goals, monitoring their own progress, selecting materials matched to their needs, integrating English-language media int</w:t>
      </w:r>
      <w:r>
        <w:rPr>
          <w:rFonts w:ascii="Times New Roman" w:hAnsi="Times New Roman" w:eastAsia="Times New Roman" w:cs="Times New Roman"/>
          <w:color w:val="000000" w:themeColor="text1"/>
        </w:rPr>
        <w:t xml:space="preserve">o daily routines, and deploying adaptive strategies to recover from motivational lulls. A recurrent gap between students' perceived autonomy and their day-to-day discipline suggested that HUFLIT English majors may overestimate their self-directed capacity,</w:t>
      </w:r>
      <w:r>
        <w:rPr>
          <w:rFonts w:ascii="Times New Roman" w:hAnsi="Times New Roman" w:eastAsia="Times New Roman" w:cs="Times New Roman"/>
          <w:color w:val="000000" w:themeColor="text1"/>
        </w:rPr>
        <w:t xml:space="preserve"> while individual lecturers surfaced repeatedly in interviews as pivotal figures whose influence on both motivation and autonomy fell outside the quantitative model. Taken together, the findings indicate that academic success for HUFLIT English majors depe</w:t>
      </w:r>
      <w:r>
        <w:rPr>
          <w:rFonts w:ascii="Times New Roman" w:hAnsi="Times New Roman" w:eastAsia="Times New Roman" w:cs="Times New Roman"/>
          <w:color w:val="000000" w:themeColor="text1"/>
        </w:rPr>
        <w:t xml:space="preserve">nds not on being motivated or autonomous in isolation, but on building a self-reinforcing cycle in which genuine interest in the language fuels self-directed behaviour, and self-directed behaviour, in turn, deepens both competence and motivation over time.</w:t>
      </w:r>
      <w:r/>
    </w:p>
    <w:p w14:paraId="06839F1D"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6.2. </w:t>
      </w:r>
      <w:r>
        <w:rPr>
          <w:rFonts w:ascii="Times New Roman" w:hAnsi="Times New Roman" w:eastAsia="Times New Roman" w:cs="Times New Roman"/>
          <w:b/>
          <w:bCs/>
          <w:i/>
          <w:iCs/>
          <w:color w:val="000000" w:themeColor="text1"/>
          <w:sz w:val="24"/>
          <w:szCs w:val="24"/>
        </w:rPr>
        <w:t xml:space="preserve">Limitations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027BBD08" w14:textId="77777777">
      <w:pPr>
        <w:pStyle w:val="1061"/>
        <w:pBdr/>
        <w:spacing w:after="120" w:before="120"/>
        <w:ind w:firstLine="720"/>
        <w:jc w:val="both"/>
        <w:rPr>
          <w:rFonts w:ascii="Times New Roman" w:hAnsi="Times New Roman" w:eastAsia="Times New Roman" w:cs="Times New Roman"/>
          <w:color w:val="000000" w:themeColor="text1"/>
        </w:rPr>
      </w:pPr>
      <w:r>
        <w:rPr>
          <w:rFonts w:ascii="Times New Roman" w:hAnsi="Times New Roman" w:eastAsia="Times New Roman" w:cs="Times New Roman"/>
          <w:color w:val="000000" w:themeColor="text1"/>
        </w:rPr>
        <w:t xml:space="preserve">Several limitations constrain interpretation. The cross-sectional design prevents causal inference; data collected at a single time point canno</w:t>
      </w:r>
      <w:r>
        <w:rPr>
          <w:rFonts w:ascii="Times New Roman" w:hAnsi="Times New Roman" w:eastAsia="Times New Roman" w:cs="Times New Roman"/>
          <w:color w:val="000000" w:themeColor="text1"/>
        </w:rPr>
        <w:t xml:space="preserve">t establish whether intrinsic motivation precedes autonomy development or whether the relationship is reciprocal. The reliance on self-report instruments introduces potential common-method bias, reflected in uniformly high means and the possibility of ceil</w:t>
      </w:r>
      <w:r>
        <w:rPr>
          <w:rFonts w:ascii="Times New Roman" w:hAnsi="Times New Roman" w:eastAsia="Times New Roman" w:cs="Times New Roman"/>
          <w:color w:val="000000" w:themeColor="text1"/>
        </w:rPr>
        <w:t xml:space="preserve">ing effects. </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64748772">
      <w:pPr>
        <w:pStyle w:val="1061"/>
        <w:pBdr/>
        <w:spacing w:after="120" w:before="120"/>
        <w:ind w:firstLine="720"/>
        <w:jc w:val="both"/>
        <w:rPr>
          <w:rFonts w:ascii="Times New Roman" w:hAnsi="Times New Roman" w:cs="Times New Roman"/>
          <w:color w:val="000000" w:themeColor="text1"/>
        </w:rPr>
      </w:pP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t xml:space="preserve">A</w:t>
      </w:r>
      <w:r>
        <w:rPr>
          <w:rFonts w:ascii="Times New Roman" w:hAnsi="Times New Roman" w:cs="Times New Roman"/>
          <w:color w:val="000000" w:themeColor="text1"/>
          <w:highlight w:val="none"/>
        </w:rPr>
        <w:t xml:space="preserve">cademic performance was operationalised through self-reported perceived GPA and self-assessed proficiency rather than objective institutional records, a choice that reflects the theoretical commitments of the study. Within both SDT and SRL, self-evaluation</w:t>
      </w:r>
      <w:r>
        <w:rPr>
          <w:rFonts w:ascii="Times New Roman" w:hAnsi="Times New Roman" w:cs="Times New Roman"/>
          <w:color w:val="000000" w:themeColor="text1"/>
          <w:highlight w:val="none"/>
        </w:rPr>
        <w:t xml:space="preserve"> </w:t>
      </w:r>
      <w:r>
        <w:rPr>
          <w:rFonts w:ascii="Times New Roman" w:hAnsi="Times New Roman" w:cs="Times New Roman"/>
          <w:color w:val="000000" w:themeColor="text1"/>
          <w:highlight w:val="none"/>
        </w:rPr>
        <w:t xml:space="preserve">and perceived competence function as motivational constructs in their own right rather than mere proxies for objective outcomes. An institutional GPA captures only final results, whereas perceived performance additionally encompasses the learner's sense of</w:t>
      </w:r>
      <w:r>
        <w:rPr>
          <w:rFonts w:ascii="Times New Roman" w:hAnsi="Times New Roman" w:cs="Times New Roman"/>
          <w:color w:val="000000" w:themeColor="text1"/>
          <w:highlight w:val="none"/>
        </w:rPr>
        <w:t xml:space="preserve"> </w:t>
      </w:r>
      <w:r>
        <w:rPr>
          <w:rFonts w:ascii="Times New Roman" w:hAnsi="Times New Roman" w:cs="Times New Roman"/>
          <w:color w:val="000000" w:themeColor="text1"/>
          <w:highlight w:val="none"/>
        </w:rPr>
        <w:t xml:space="preserve">progress, self-appraisal, and academic self-concept, dimensions that are central to the frameworks guiding this research. The resulting limitation is therefore specific: our findings cannot speak to how motivation and autonomy relate to institutionally rec</w:t>
      </w:r>
      <w:r>
        <w:rPr>
          <w:rFonts w:ascii="Times New Roman" w:hAnsi="Times New Roman" w:cs="Times New Roman"/>
          <w:color w:val="000000" w:themeColor="text1"/>
          <w:highlight w:val="none"/>
        </w:rPr>
        <w:t xml:space="preserve">orded grades. Future studies should address this by triangulating self-report measures with objective GPA data and standardized proficiency indicators.</w:t>
      </w:r>
      <w:r>
        <w:rPr>
          <w:rFonts w:ascii="Times New Roman" w:hAnsi="Times New Roman" w:cs="Times New Roman"/>
          <w:color w:val="000000" w:themeColor="text1"/>
        </w:rPr>
      </w:r>
      <w:r>
        <w:rPr>
          <w:rFonts w:ascii="Times New Roman" w:hAnsi="Times New Roman" w:cs="Times New Roman"/>
          <w:color w:val="000000" w:themeColor="text1"/>
        </w:rPr>
      </w:r>
    </w:p>
    <w:p w14:paraId="600F96CC" w14:textId="77777777">
      <w:pPr>
        <w:pStyle w:val="850"/>
        <w:pBdr/>
        <w:spacing w:after="120" w:before="120" w:line="240" w:lineRule="auto"/>
        <w:ind/>
        <w:rPr>
          <w:rFonts w:ascii="Times New Roman" w:hAnsi="Times New Roman" w:cs="Times New Roman"/>
          <w:b/>
          <w:bCs/>
          <w:i/>
          <w:color w:val="000000" w:themeColor="text1"/>
          <w:sz w:val="24"/>
          <w:szCs w:val="24"/>
        </w:rPr>
      </w:pPr>
      <w:r>
        <w:rPr>
          <w:rFonts w:ascii="Times New Roman" w:hAnsi="Times New Roman" w:eastAsia="Times New Roman" w:cs="Times New Roman"/>
          <w:b/>
          <w:bCs/>
          <w:i/>
          <w:iCs/>
          <w:color w:val="000000" w:themeColor="text1"/>
          <w:sz w:val="24"/>
          <w:szCs w:val="24"/>
        </w:rPr>
        <w:t xml:space="preserve">6.3. Future Directions</w:t>
      </w:r>
      <w:r>
        <w:rPr>
          <w:rFonts w:ascii="Times New Roman" w:hAnsi="Times New Roman" w:cs="Times New Roman"/>
          <w:b/>
          <w:bCs/>
          <w:i/>
          <w:color w:val="000000" w:themeColor="text1"/>
          <w:sz w:val="24"/>
          <w:szCs w:val="24"/>
        </w:rPr>
      </w:r>
      <w:r>
        <w:rPr>
          <w:rFonts w:ascii="Times New Roman" w:hAnsi="Times New Roman" w:cs="Times New Roman"/>
          <w:b/>
          <w:bCs/>
          <w:i/>
          <w:color w:val="000000" w:themeColor="text1"/>
          <w:sz w:val="24"/>
          <w:szCs w:val="24"/>
        </w:rPr>
      </w:r>
    </w:p>
    <w:p w14:paraId="51190779" w14:textId="77777777">
      <w:pPr>
        <w:pStyle w:val="1061"/>
        <w:pBdr/>
        <w:spacing w:after="120" w:before="120"/>
        <w:ind w:firstLine="720"/>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Longitudinal designs tracking students across multiple semesters would permit examination of causal direction and developmental change. Incorporating objective performance measures (official GPA records, standa</w:t>
      </w:r>
      <w:r>
        <w:rPr>
          <w:rFonts w:ascii="Times New Roman" w:hAnsi="Times New Roman" w:eastAsia="Times New Roman" w:cs="Times New Roman"/>
          <w:color w:val="000000" w:themeColor="text1"/>
        </w:rPr>
        <w:t xml:space="preserve">rdised test scores) and behavioural indicators would strengthen the evidentiary basis for claims about the autonomy-performance relationship. The qualitative findings regarding teacher influence suggest that future quantitative models should include instru</w:t>
      </w:r>
      <w:r>
        <w:rPr>
          <w:rFonts w:ascii="Times New Roman" w:hAnsi="Times New Roman" w:eastAsia="Times New Roman" w:cs="Times New Roman"/>
          <w:color w:val="000000" w:themeColor="text1"/>
        </w:rPr>
        <w:t xml:space="preserve">ctor-related variables as potential moderators. The discipline gap between self-reported autonomy and acknowledged inconsistency warrants investigation through methods pairing self-report scales with time-use diaries or experience sampling. Comparative stu</w:t>
      </w:r>
      <w:r>
        <w:rPr>
          <w:rFonts w:ascii="Times New Roman" w:hAnsi="Times New Roman" w:eastAsia="Times New Roman" w:cs="Times New Roman"/>
          <w:color w:val="000000" w:themeColor="text1"/>
        </w:rPr>
        <w:t xml:space="preserve">dies across multiple Vietnamese institutions and across Southeast Asian contexts would help clarify which patterns are institution-specific and which reflect more general features of motivation and autonomy development in collectivist educational cultures.</w:t>
      </w:r>
      <w:r>
        <w:rPr>
          <w:rFonts w:ascii="Times New Roman" w:hAnsi="Times New Roman" w:cs="Times New Roman"/>
          <w:color w:val="000000" w:themeColor="text1"/>
        </w:rPr>
      </w:r>
      <w:r>
        <w:rPr>
          <w:rFonts w:ascii="Times New Roman" w:hAnsi="Times New Roman" w:cs="Times New Roman"/>
          <w:color w:val="000000" w:themeColor="text1"/>
        </w:rPr>
      </w:r>
    </w:p>
    <w:p w14:paraId="484084FF" w14:textId="77777777">
      <w:pPr>
        <w:pStyle w:val="1061"/>
        <w:pBdr/>
        <w:spacing w:after="120" w:before="120"/>
        <w:ind/>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Acknowledgment</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6E3B14E2" w14:textId="77777777">
      <w:pPr>
        <w:pStyle w:val="1061"/>
        <w:pBdr/>
        <w:spacing w:after="120" w:before="120"/>
        <w:ind/>
        <w:jc w:val="both"/>
        <w:rPr>
          <w:rFonts w:ascii="Times New Roman" w:hAnsi="Times New Roman" w:cs="Times New Roman"/>
          <w:color w:val="000000" w:themeColor="text1"/>
          <w:highlight w:val="none"/>
        </w:rPr>
      </w:pPr>
      <w:r>
        <w:rPr>
          <w:rFonts w:ascii="Times New Roman" w:hAnsi="Times New Roman" w:cs="Times New Roman"/>
          <w:color w:val="000000" w:themeColor="text1"/>
        </w:rPr>
        <w:tab/>
        <w:t xml:space="preserve">This study was developed from a student research project for the course Project 02: Scientific Research Methods. The research te</w:t>
      </w:r>
      <w:r>
        <w:rPr>
          <w:rFonts w:ascii="Times New Roman" w:hAnsi="Times New Roman" w:cs="Times New Roman"/>
          <w:color w:val="000000" w:themeColor="text1"/>
        </w:rPr>
        <w:t xml:space="preserve">am sincerely thanks Dr. Tran Quang Bao Phuc for his guidance and feedback. The team also expresses appreciation to the Board of the Faculty of Foreign Languages, HUFLIT, and the third-year English-major students who supported and participated in the study.</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5B072FFF">
      <w:pPr>
        <w:pStyle w:val="1061"/>
        <w:pBdr/>
        <w:spacing w:after="120" w:before="120"/>
        <w:ind w:firstLine="720"/>
        <w:jc w:val="both"/>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t xml:space="preserve">During the preparation of this manuscript, an LLM was used for language polishing and proofreading. The tool was used to improve phrasing, grammatical accuracy, and stylistic consistency. No AI tool generated research content, ana</w:t>
      </w:r>
      <w:r>
        <w:rPr>
          <w:rFonts w:ascii="Times New Roman" w:hAnsi="Times New Roman" w:cs="Times New Roman"/>
          <w:color w:val="000000" w:themeColor="text1"/>
          <w:highlight w:val="none"/>
        </w:rPr>
        <w:t xml:space="preserve">l</w:t>
      </w:r>
      <w:r>
        <w:rPr>
          <w:rFonts w:ascii="Times New Roman" w:hAnsi="Times New Roman" w:cs="Times New Roman"/>
          <w:color w:val="000000" w:themeColor="text1"/>
          <w:highlight w:val="none"/>
        </w:rPr>
        <w:t xml:space="preserve">yzed data, formulated interpretations, or produced the qualitative findings. All intellectual content, including the research design, data collection, statistical modelling, thematic analysis, and substantive argumentation, represents the original work of </w:t>
      </w:r>
      <w:r>
        <w:rPr>
          <w:rFonts w:ascii="Times New Roman" w:hAnsi="Times New Roman" w:cs="Times New Roman"/>
          <w:color w:val="000000" w:themeColor="text1"/>
          <w:highlight w:val="none"/>
        </w:rPr>
        <w:t xml:space="preserve">the authors. The authors reviewed all AI-assisted revisions and accept full responsibility for the accuracy and integrity of the final manuscript.</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2E8A13E2">
      <w:pPr>
        <w:pStyle w:val="1061"/>
        <w:pBdr/>
        <w:spacing w:after="120" w:before="120"/>
        <w:ind/>
        <w:jc w:val="both"/>
        <w:rPr>
          <w:rFonts w:ascii="Times New Roman" w:hAnsi="Times New Roman" w:cs="Times New Roman"/>
          <w:color w:val="000000" w:themeColor="text1"/>
          <w:highlight w:val="none"/>
        </w:rPr>
      </w:pP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6B9D11AB" w14:textId="77777777">
      <w:pPr>
        <w:pStyle w:val="1061"/>
        <w:pBdr/>
        <w:spacing w:after="120" w:before="120"/>
        <w:ind/>
        <w:jc w:val="both"/>
        <w:rPr>
          <w:rFonts w:ascii="Times New Roman" w:hAnsi="Times New Roman" w:cs="Times New Roman"/>
          <w:b/>
          <w:bCs/>
          <w:color w:val="000000" w:themeColor="text1"/>
        </w:rPr>
      </w:pPr>
      <w:r>
        <w:rPr>
          <w:rFonts w:ascii="Times New Roman" w:hAnsi="Times New Roman" w:cs="Times New Roman"/>
          <w:b/>
          <w:bCs/>
          <w:color w:val="000000" w:themeColor="text1"/>
        </w:rPr>
      </w:r>
      <w:r>
        <w:rPr>
          <w:rFonts w:ascii="Times New Roman" w:hAnsi="Times New Roman" w:cs="Times New Roman"/>
          <w:b/>
          <w:bCs/>
          <w:color w:val="000000" w:themeColor="text1"/>
        </w:rPr>
      </w:r>
      <w:r>
        <w:rPr>
          <w:rFonts w:ascii="Times New Roman" w:hAnsi="Times New Roman" w:cs="Times New Roman"/>
          <w:b/>
          <w:bCs/>
          <w:color w:val="000000" w:themeColor="text1"/>
        </w:rPr>
      </w:r>
    </w:p>
    <w:p w14:paraId="03BBB8CC" w14:textId="77777777">
      <w:pPr>
        <w:pStyle w:val="1039"/>
        <w:pBdr/>
        <w:spacing w:after="120" w:before="120" w:line="240" w:lineRule="auto"/>
        <w:ind/>
        <w:jc w:val="both"/>
        <w:rPr>
          <w:rFonts w:cs="Times New Roman"/>
          <w:b w:val="0"/>
          <w:bCs w:val="0"/>
          <w:sz w:val="24"/>
          <w:szCs w:val="24"/>
        </w:rPr>
      </w:pPr>
      <w:r>
        <w:rPr>
          <w:rFonts w:cs="Times New Roman"/>
          <w:b w:val="0"/>
          <w:bCs w:val="0"/>
          <w:sz w:val="24"/>
          <w:szCs w:val="24"/>
        </w:rPr>
      </w:r>
      <w:r>
        <w:rPr>
          <w:rFonts w:cs="Times New Roman"/>
          <w:b w:val="0"/>
          <w:bCs w:val="0"/>
          <w:sz w:val="24"/>
          <w:szCs w:val="24"/>
        </w:rPr>
      </w:r>
      <w:r>
        <w:rPr>
          <w:rFonts w:cs="Times New Roman"/>
          <w:b w:val="0"/>
          <w:bCs w:val="0"/>
          <w:sz w:val="24"/>
          <w:szCs w:val="24"/>
        </w:rPr>
      </w:r>
    </w:p>
    <w:p w14:paraId="53AD1E55" w14:textId="77777777">
      <w:pPr>
        <w:pBdr/>
        <w:spacing w:after="120" w:line="240" w:lineRule="auto"/>
        <w:ind/>
        <w:rPr>
          <w:rFonts w:cs="Times New Roman"/>
          <w:sz w:val="24"/>
          <w:szCs w:val="24"/>
        </w:rPr>
      </w:pPr>
      <w:r>
        <w:rPr>
          <w:rFonts w:cs="Times New Roman"/>
          <w:sz w:val="24"/>
          <w:szCs w:val="24"/>
        </w:rPr>
        <w:br w:type="page" w:clear="all"/>
      </w:r>
      <w:r>
        <w:rPr>
          <w:rFonts w:cs="Times New Roman"/>
          <w:sz w:val="24"/>
          <w:szCs w:val="24"/>
        </w:rPr>
      </w:r>
      <w:r>
        <w:rPr>
          <w:rFonts w:cs="Times New Roman"/>
          <w:sz w:val="24"/>
          <w:szCs w:val="24"/>
        </w:rPr>
      </w:r>
    </w:p>
    <w:p w14:paraId="337193DF" w14:textId="77777777">
      <w:pPr>
        <w:pStyle w:val="1039"/>
        <w:pBdr/>
        <w:spacing w:after="120" w:before="120" w:line="240" w:lineRule="auto"/>
        <w:ind w:firstLine="0" w:left="0"/>
        <w:jc w:val="both"/>
        <w:rPr>
          <w:rFonts w:cs="Times New Roman"/>
          <w:sz w:val="24"/>
          <w:szCs w:val="24"/>
        </w:rPr>
      </w:pPr>
      <w:r>
        <w:rPr>
          <w:rFonts w:cs="Times New Roman"/>
          <w:sz w:val="24"/>
          <w:szCs w:val="24"/>
        </w:rPr>
        <w:t xml:space="preserve">References</w:t>
      </w:r>
      <w:r>
        <w:rPr>
          <w:rFonts w:cs="Times New Roman"/>
          <w:sz w:val="24"/>
          <w:szCs w:val="24"/>
        </w:rPr>
      </w:r>
      <w:r>
        <w:rPr>
          <w:rFonts w:cs="Times New Roman"/>
          <w:sz w:val="24"/>
          <w:szCs w:val="24"/>
        </w:rPr>
      </w:r>
    </w:p>
    <w:p w14:paraId="2742A88E"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Abdelrazeq, A. (2018). Autonomous learning levels of students majoring in EFL and the role of their teachers in developing autonomous learning. </w:t>
      </w:r>
      <w:r>
        <w:rPr>
          <w:rFonts w:cs="Times New Roman"/>
          <w:i/>
          <w:color w:val="000000"/>
          <w:sz w:val="24"/>
        </w:rPr>
        <w:t xml:space="preserve">Journal of Educational and Psychological Studies</w:t>
      </w:r>
      <w:r>
        <w:rPr>
          <w:rFonts w:cs="Times New Roman"/>
          <w:color w:val="000000"/>
          <w:sz w:val="24"/>
        </w:rPr>
        <w:t xml:space="preserve">, </w:t>
      </w:r>
      <w:r>
        <w:rPr>
          <w:rFonts w:cs="Times New Roman"/>
          <w:i/>
          <w:color w:val="000000"/>
          <w:sz w:val="24"/>
        </w:rPr>
        <w:t xml:space="preserve">12</w:t>
      </w:r>
      <w:r>
        <w:rPr>
          <w:rFonts w:cs="Times New Roman"/>
          <w:color w:val="000000"/>
          <w:sz w:val="24"/>
        </w:rPr>
        <w:t xml:space="preserve">(4), 724–738. </w:t>
      </w:r>
      <w:hyperlink r:id="rId16" w:tooltip="https://doi.org/10.53543/jeps.vol12iss4pp724-738" w:history="1">
        <w:r>
          <w:rPr>
            <w:rStyle w:val="1044"/>
            <w:rFonts w:cs="Times New Roman"/>
            <w:color w:val="0000ee"/>
            <w:sz w:val="24"/>
          </w:rPr>
          <w:t xml:space="preserve">https://doi.org/10.53543/jeps.vol12iss4pp724-738</w:t>
        </w:r>
      </w:hyperlink>
      <w:r/>
      <w:r/>
    </w:p>
    <w:p w14:paraId="4349218F" w14:textId="77777777">
      <w:pPr>
        <w:pBdr>
          <w:top w:val="none" w:color="000000" w:sz="4" w:space="0"/>
          <w:left w:val="none" w:color="000000" w:sz="4" w:space="0"/>
          <w:bottom w:val="none" w:color="000000" w:sz="4" w:space="0"/>
          <w:right w:val="none" w:color="000000" w:sz="4" w:space="0"/>
        </w:pBdr>
        <w:spacing w:after="120" w:line="240" w:lineRule="auto"/>
        <w:ind w:hanging="480"/>
        <w:rPr>
          <w:highlight w:val="none"/>
        </w:rPr>
      </w:pPr>
      <w:r>
        <w:rPr>
          <w:rFonts w:cs="Times New Roman"/>
          <w:color w:val="000000"/>
          <w:sz w:val="24"/>
        </w:rPr>
        <w:t xml:space="preserve">Afzal, H., Ali, I., Aslam Khan, M., &amp; Hamid, K. (2010). A study of university students’ motivation and its relationship with their academic performance. </w:t>
      </w:r>
      <w:r>
        <w:rPr>
          <w:rFonts w:cs="Times New Roman"/>
          <w:i/>
          <w:color w:val="000000"/>
          <w:sz w:val="24"/>
        </w:rPr>
        <w:t xml:space="preserve">International Journal of Business and Management</w:t>
      </w:r>
      <w:r>
        <w:rPr>
          <w:rFonts w:cs="Times New Roman"/>
          <w:color w:val="000000"/>
          <w:sz w:val="24"/>
        </w:rPr>
        <w:t xml:space="preserve">, </w:t>
      </w:r>
      <w:r>
        <w:rPr>
          <w:rFonts w:cs="Times New Roman"/>
          <w:i/>
          <w:color w:val="000000"/>
          <w:sz w:val="24"/>
        </w:rPr>
        <w:t xml:space="preserve">5</w:t>
      </w:r>
      <w:r>
        <w:rPr>
          <w:rFonts w:cs="Times New Roman"/>
          <w:color w:val="000000"/>
          <w:sz w:val="24"/>
        </w:rPr>
        <w:t xml:space="preserve">(4), 80. </w:t>
      </w:r>
      <w:hyperlink r:id="rId17" w:tooltip="https://doi.org/10.5539/ijbm.v5n4p80" w:history="1">
        <w:r>
          <w:rPr>
            <w:rStyle w:val="1044"/>
            <w:rFonts w:cs="Times New Roman"/>
            <w:color w:val="0000ee"/>
            <w:sz w:val="24"/>
          </w:rPr>
          <w:t xml:space="preserve">https://doi.org/10.5539/ijbm.v5n4p80</w:t>
        </w:r>
      </w:hyperlink>
      <w:r>
        <w:rPr>
          <w:highlight w:val="none"/>
        </w:rPr>
      </w:r>
      <w:r>
        <w:rPr>
          <w:highlight w:val="none"/>
        </w:rPr>
      </w:r>
    </w:p>
    <w:p w14:paraId="704DAEEC">
      <w:pPr>
        <w:pBdr>
          <w:top w:val="none" w:color="000000" w:sz="4" w:space="0"/>
          <w:left w:val="none" w:color="000000" w:sz="4" w:space="0"/>
          <w:bottom w:val="none" w:color="000000" w:sz="4" w:space="0"/>
          <w:right w:val="none" w:color="000000" w:sz="4" w:space="0"/>
        </w:pBdr>
        <w:spacing w:after="120" w:line="240" w:lineRule="auto"/>
        <w:ind w:hanging="480"/>
        <w:rPr/>
      </w:pPr>
      <w:r>
        <w:rPr>
          <w:sz w:val="24"/>
          <w:szCs w:val="28"/>
          <w:highlight w:val="none"/>
        </w:rPr>
        <w:t xml:space="preserve">Alamer, A., Robat, E. S., Shirvan, M. E., &amp; Ryan, R. (2025). Self-determination </w:t>
      </w:r>
      <w:r>
        <w:rPr>
          <w:sz w:val="24"/>
          <w:szCs w:val="28"/>
          <w:highlight w:val="none"/>
        </w:rPr>
        <w:t xml:space="preserve">theory and language learning: A multilevel meta-analysis. </w:t>
      </w:r>
      <w:r>
        <w:rPr>
          <w:i/>
          <w:iCs/>
          <w:sz w:val="24"/>
          <w:szCs w:val="28"/>
          <w:highlight w:val="none"/>
        </w:rPr>
        <w:t xml:space="preserve">Educational </w:t>
      </w:r>
      <w:r>
        <w:rPr>
          <w:i/>
          <w:iCs/>
          <w:sz w:val="24"/>
          <w:szCs w:val="28"/>
          <w:highlight w:val="none"/>
        </w:rPr>
        <w:t xml:space="preserve">Psychology Review</w:t>
      </w:r>
      <w:r>
        <w:rPr>
          <w:sz w:val="24"/>
          <w:szCs w:val="28"/>
          <w:highlight w:val="none"/>
        </w:rPr>
        <w:t xml:space="preserve">, </w:t>
      </w:r>
      <w:r>
        <w:rPr>
          <w:i/>
          <w:iCs/>
          <w:sz w:val="24"/>
          <w:szCs w:val="28"/>
          <w:highlight w:val="none"/>
        </w:rPr>
        <w:t xml:space="preserve">37</w:t>
      </w:r>
      <w:r>
        <w:rPr>
          <w:sz w:val="24"/>
          <w:szCs w:val="28"/>
          <w:highlight w:val="none"/>
        </w:rPr>
        <w:t xml:space="preserve">, Article 59. </w:t>
      </w:r>
      <w:hyperlink r:id="rId18" w:tooltip="https://doi.org/10.1007/s10648-025-10038-y" w:history="1">
        <w:r>
          <w:rPr>
            <w:rStyle w:val="1044"/>
            <w:sz w:val="24"/>
            <w:szCs w:val="28"/>
            <w:highlight w:val="none"/>
          </w:rPr>
        </w:r>
        <w:r>
          <w:rPr>
            <w:rStyle w:val="1044"/>
          </w:rPr>
        </w:r>
        <w:r>
          <w:rPr>
            <w:rStyle w:val="1044"/>
            <w:sz w:val="24"/>
            <w:szCs w:val="28"/>
            <w:highlight w:val="none"/>
          </w:rPr>
        </w:r>
        <w:r>
          <w:rPr>
            <w:rStyle w:val="1044"/>
            <w:sz w:val="24"/>
            <w:szCs w:val="28"/>
            <w:highlight w:val="none"/>
          </w:rPr>
          <w:t xml:space="preserve">https://doi.org/10.1007/s10648-025-10038-y</w:t>
        </w:r>
        <w:r>
          <w:rPr>
            <w:rStyle w:val="1044"/>
          </w:rPr>
        </w:r>
        <w:r>
          <w:rPr>
            <w:rStyle w:val="1044"/>
            <w:sz w:val="24"/>
            <w:szCs w:val="28"/>
            <w:highlight w:val="none"/>
          </w:rPr>
        </w:r>
        <w:r>
          <w:rPr>
            <w:rStyle w:val="1044"/>
            <w:highlight w:val="none"/>
          </w:rPr>
        </w:r>
        <w:r>
          <w:rPr>
            <w:rStyle w:val="1044"/>
            <w:sz w:val="24"/>
            <w:szCs w:val="28"/>
          </w:rPr>
        </w:r>
        <w:r>
          <w:rPr>
            <w:rStyle w:val="1044"/>
            <w:sz w:val="24"/>
            <w:szCs w:val="28"/>
            <w:highlight w:val="none"/>
          </w:rPr>
        </w:r>
      </w:hyperlink>
      <w:r>
        <w:rPr>
          <w:sz w:val="24"/>
          <w:szCs w:val="28"/>
          <w:highlight w:val="none"/>
        </w:rPr>
      </w:r>
      <w:r/>
    </w:p>
    <w:p w14:paraId="679939D9"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Alhadabi, A., &amp; Karpinski, A. C. (2020). Grit, self-efficacy, achievement orientation goals, and academic performance in </w:t>
      </w:r>
      <w:r>
        <w:rPr>
          <w:rFonts w:cs="Times New Roman"/>
          <w:color w:val="000000"/>
          <w:sz w:val="24"/>
        </w:rPr>
        <w:t xml:space="preserve">University</w:t>
      </w:r>
      <w:r>
        <w:rPr>
          <w:rFonts w:cs="Times New Roman"/>
          <w:color w:val="000000"/>
          <w:sz w:val="24"/>
        </w:rPr>
        <w:t xml:space="preserve"> students. </w:t>
      </w:r>
      <w:r>
        <w:rPr>
          <w:rFonts w:cs="Times New Roman"/>
          <w:i/>
          <w:color w:val="000000"/>
          <w:sz w:val="24"/>
        </w:rPr>
        <w:t xml:space="preserve">International Journal of Adolescence and Youth</w:t>
      </w:r>
      <w:r>
        <w:rPr>
          <w:rFonts w:cs="Times New Roman"/>
          <w:color w:val="000000"/>
          <w:sz w:val="24"/>
        </w:rPr>
        <w:t xml:space="preserve">, </w:t>
      </w:r>
      <w:r>
        <w:rPr>
          <w:rFonts w:cs="Times New Roman"/>
          <w:i/>
          <w:color w:val="000000"/>
          <w:sz w:val="24"/>
        </w:rPr>
        <w:t xml:space="preserve">25</w:t>
      </w:r>
      <w:r>
        <w:rPr>
          <w:rFonts w:cs="Times New Roman"/>
          <w:color w:val="000000"/>
          <w:sz w:val="24"/>
        </w:rPr>
        <w:t xml:space="preserve">(1), 519–535. </w:t>
      </w:r>
      <w:hyperlink r:id="rId19" w:tooltip="https://doi.org/10.1080/02673843.2019.1679202" w:history="1">
        <w:r>
          <w:rPr>
            <w:rStyle w:val="1044"/>
            <w:rFonts w:cs="Times New Roman"/>
            <w:color w:val="0000ee"/>
            <w:sz w:val="24"/>
          </w:rPr>
          <w:t xml:space="preserve">https://doi.org/10.1080/02673843.2019.1679202</w:t>
        </w:r>
      </w:hyperlink>
      <w:r/>
      <w:r/>
    </w:p>
    <w:p w14:paraId="35824D71"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Butt, D. A., &amp; Rafique, S. (2025). </w:t>
      </w:r>
      <w:r>
        <w:rPr>
          <w:rFonts w:cs="Times New Roman"/>
          <w:i w:val="0"/>
          <w:iCs w:val="0"/>
          <w:color w:val="000000"/>
          <w:sz w:val="24"/>
        </w:rPr>
        <w:t xml:space="preserve">Reflective pathways: using language-learning diaries to drive English proficiency</w:t>
      </w:r>
      <w:r>
        <w:rPr>
          <w:rFonts w:cs="Times New Roman"/>
          <w:color w:val="000000"/>
          <w:sz w:val="24"/>
        </w:rPr>
        <w:t xml:space="preserve">. </w:t>
      </w:r>
      <w:r>
        <w:rPr>
          <w:rFonts w:cs="Times New Roman"/>
          <w:i/>
          <w:iCs/>
          <w:color w:val="000000"/>
          <w:sz w:val="24"/>
        </w:rPr>
        <w:t xml:space="preserve">International Journal of Scientific Research and Engineering Development</w:t>
      </w:r>
      <w:r>
        <w:rPr>
          <w:rFonts w:cs="Times New Roman"/>
          <w:color w:val="000000"/>
          <w:sz w:val="24"/>
        </w:rPr>
        <w:t xml:space="preserve">, </w:t>
      </w:r>
      <w:r>
        <w:rPr>
          <w:rFonts w:cs="Times New Roman"/>
          <w:i/>
          <w:color w:val="000000"/>
          <w:sz w:val="24"/>
        </w:rPr>
        <w:t xml:space="preserve">8</w:t>
      </w:r>
      <w:r>
        <w:rPr>
          <w:rFonts w:cs="Times New Roman"/>
          <w:color w:val="000000"/>
          <w:sz w:val="24"/>
        </w:rPr>
        <w:t xml:space="preserve">(3). </w:t>
      </w:r>
      <w:r>
        <w:rPr>
          <w:rFonts w:cs="Times New Roman"/>
          <w:color w:val="000000"/>
          <w:sz w:val="24"/>
        </w:rPr>
      </w:r>
      <w:r/>
    </w:p>
    <w:p w14:paraId="62E1A604"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Cao, D. T. P., &amp; Pho, P. D. (2025). Relationship between learner autonomy and academic performance. </w:t>
      </w:r>
      <w:r>
        <w:rPr>
          <w:rFonts w:cs="Times New Roman"/>
          <w:i/>
          <w:iCs/>
          <w:color w:val="000000"/>
          <w:sz w:val="24"/>
        </w:rPr>
        <w:t xml:space="preserve">Issues in Language Studies</w:t>
      </w:r>
      <w:r>
        <w:rPr>
          <w:rFonts w:cs="Times New Roman"/>
          <w:color w:val="000000"/>
          <w:sz w:val="24"/>
        </w:rPr>
        <w:t xml:space="preserve">, </w:t>
      </w:r>
      <w:r>
        <w:rPr>
          <w:rFonts w:cs="Times New Roman"/>
          <w:i/>
          <w:color w:val="000000"/>
          <w:sz w:val="24"/>
        </w:rPr>
        <w:t xml:space="preserve">14</w:t>
      </w:r>
      <w:r>
        <w:rPr>
          <w:rFonts w:cs="Times New Roman"/>
          <w:color w:val="000000"/>
          <w:sz w:val="24"/>
        </w:rPr>
        <w:t xml:space="preserve">(2). </w:t>
      </w:r>
      <w:hyperlink r:id="rId20" w:tooltip="https://doi.org/10.33736/ils.8441.2025" w:history="1">
        <w:r>
          <w:rPr>
            <w:rStyle w:val="1044"/>
            <w:rFonts w:cs="Times New Roman"/>
            <w:color w:val="0000ee"/>
            <w:sz w:val="24"/>
          </w:rPr>
          <w:t xml:space="preserve">https://doi.org/10.33736/ils.8441.2025</w:t>
        </w:r>
      </w:hyperlink>
      <w:r/>
      <w:r/>
    </w:p>
    <w:p w14:paraId="05AAC99D"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Ceylan, A. N. O. (2021). The relationship between learner autonomy and motivation. </w:t>
      </w:r>
      <w:r>
        <w:rPr>
          <w:rFonts w:cs="Times New Roman"/>
          <w:i/>
          <w:color w:val="000000"/>
          <w:sz w:val="24"/>
        </w:rPr>
        <w:t xml:space="preserve">The Turkish Online Journal of Educational Technology</w:t>
      </w:r>
      <w:r>
        <w:rPr>
          <w:rFonts w:cs="Times New Roman"/>
          <w:color w:val="000000"/>
          <w:sz w:val="24"/>
        </w:rPr>
        <w:t xml:space="preserve">, </w:t>
      </w:r>
      <w:r>
        <w:rPr>
          <w:rFonts w:cs="Times New Roman"/>
          <w:i/>
          <w:color w:val="000000"/>
          <w:sz w:val="24"/>
        </w:rPr>
        <w:t xml:space="preserve">20</w:t>
      </w:r>
      <w:r>
        <w:rPr>
          <w:rFonts w:cs="Times New Roman"/>
          <w:color w:val="000000"/>
          <w:sz w:val="24"/>
        </w:rPr>
        <w:t xml:space="preserve">(4).</w:t>
      </w:r>
      <w:r/>
    </w:p>
    <w:p w14:paraId="04053D91" w14:textId="77777777">
      <w:pPr>
        <w:pBdr>
          <w:top w:val="none" w:color="000000" w:sz="4" w:space="0"/>
          <w:left w:val="none" w:color="000000" w:sz="4" w:space="0"/>
          <w:bottom w:val="none" w:color="000000" w:sz="4" w:space="0"/>
          <w:right w:val="none" w:color="000000" w:sz="4" w:space="0"/>
        </w:pBdr>
        <w:spacing w:after="120" w:line="240" w:lineRule="auto"/>
        <w:ind w:hanging="480"/>
        <w:rPr>
          <w:sz w:val="24"/>
          <w:szCs w:val="28"/>
        </w:rPr>
      </w:pPr>
      <w:r>
        <w:rPr>
          <w:rFonts w:cs="Times New Roman"/>
          <w:color w:val="000000"/>
          <w:sz w:val="24"/>
        </w:rPr>
        <w:t xml:space="preserve">Chong, S. W., &amp; Reinders, H. (2025). Autonomy of English language learners: A scoping review of research and practice. </w:t>
      </w:r>
      <w:r>
        <w:rPr>
          <w:rFonts w:cs="Times New Roman"/>
          <w:i/>
          <w:iCs/>
          <w:color w:val="000000"/>
          <w:sz w:val="24"/>
        </w:rPr>
        <w:t xml:space="preserve">Language Teaching Research</w:t>
      </w:r>
      <w:r>
        <w:rPr>
          <w:rFonts w:cs="Times New Roman"/>
          <w:color w:val="000000"/>
          <w:sz w:val="24"/>
        </w:rPr>
        <w:t xml:space="preserve">, </w:t>
      </w:r>
      <w:r>
        <w:rPr>
          <w:rFonts w:cs="Times New Roman"/>
          <w:i/>
          <w:iCs/>
          <w:color w:val="000000"/>
          <w:sz w:val="24"/>
        </w:rPr>
        <w:t xml:space="preserve">29</w:t>
      </w:r>
      <w:r>
        <w:rPr>
          <w:rFonts w:cs="Times New Roman"/>
          <w:color w:val="000000"/>
          <w:sz w:val="24"/>
        </w:rPr>
        <w:t xml:space="preserve">(2), 607–632. </w:t>
      </w:r>
      <w:r>
        <w:rPr>
          <w:sz w:val="24"/>
          <w:szCs w:val="28"/>
        </w:rPr>
      </w:r>
      <w:hyperlink r:id="rId21" w:tooltip="https://doi.org/10.1177/13621688221075812" w:history="1">
        <w:r>
          <w:rPr>
            <w:rStyle w:val="1044"/>
            <w:sz w:val="24"/>
            <w:szCs w:val="28"/>
          </w:rPr>
          <w:t xml:space="preserve">https://doi.org/10.1177/13621688221075812</w:t>
        </w:r>
      </w:hyperlink>
      <w:r>
        <w:rPr>
          <w:sz w:val="24"/>
          <w:szCs w:val="28"/>
        </w:rPr>
      </w:r>
      <w:r>
        <w:rPr>
          <w:sz w:val="24"/>
          <w:szCs w:val="28"/>
        </w:rPr>
      </w:r>
    </w:p>
    <w:p w14:paraId="5817999F"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Cullen, S., &amp; Oppenheimer, D. (2024). Choosing to learn: The importance of student autonomy in higher education. </w:t>
      </w:r>
      <w:r>
        <w:rPr>
          <w:rFonts w:cs="Times New Roman"/>
          <w:i/>
          <w:iCs/>
          <w:color w:val="000000"/>
          <w:sz w:val="24"/>
        </w:rPr>
        <w:t xml:space="preserve">Science Advances</w:t>
      </w:r>
      <w:r>
        <w:rPr>
          <w:rFonts w:cs="Times New Roman"/>
          <w:color w:val="000000"/>
          <w:sz w:val="24"/>
        </w:rPr>
        <w:t xml:space="preserve">, </w:t>
      </w:r>
      <w:r>
        <w:rPr>
          <w:rFonts w:cs="Times New Roman"/>
          <w:i/>
          <w:iCs/>
          <w:color w:val="000000"/>
          <w:sz w:val="24"/>
        </w:rPr>
        <w:t xml:space="preserve">10</w:t>
      </w:r>
      <w:r>
        <w:rPr>
          <w:rFonts w:cs="Times New Roman"/>
          <w:color w:val="000000"/>
          <w:sz w:val="24"/>
        </w:rPr>
        <w:t xml:space="preserve">(29), Article eado6759. </w:t>
      </w:r>
      <w:hyperlink r:id="rId22" w:tooltip="https://doi.org/10.1126/sciadv.ado6759" w:history="1">
        <w:r>
          <w:rPr>
            <w:rStyle w:val="1044"/>
            <w:rFonts w:cs="Times New Roman"/>
            <w:sz w:val="24"/>
          </w:rPr>
          <w:t xml:space="preserve">https://doi.org/10.1126/sciadv.ado6759</w:t>
        </w:r>
      </w:hyperlink>
      <w:r/>
      <w:r/>
    </w:p>
    <w:p w14:paraId="1C6D6093" w14:textId="77777777">
      <w:pPr>
        <w:pBdr>
          <w:top w:val="none" w:color="000000" w:sz="4" w:space="0"/>
          <w:left w:val="none" w:color="000000" w:sz="4" w:space="0"/>
          <w:bottom w:val="none" w:color="000000" w:sz="4" w:space="0"/>
          <w:right w:val="none" w:color="000000" w:sz="4" w:space="0"/>
        </w:pBdr>
        <w:spacing w:after="120" w:line="240" w:lineRule="auto"/>
        <w:ind w:hanging="480"/>
        <w:jc w:val="center"/>
        <w:rPr/>
      </w:pPr>
      <w:r>
        <w:rPr>
          <w:rFonts w:cs="Times New Roman"/>
          <w:color w:val="000000"/>
          <w:sz w:val="24"/>
        </w:rPr>
        <w:t xml:space="preserve">Dang, T. T. (2010). Learner autonomy in EFL studies in Vietnam: a discussion from sociocultural perspective. </w:t>
      </w:r>
      <w:r>
        <w:rPr>
          <w:rFonts w:cs="Times New Roman"/>
          <w:i/>
          <w:color w:val="000000"/>
          <w:sz w:val="24"/>
        </w:rPr>
        <w:t xml:space="preserve">English Language Teaching</w:t>
      </w:r>
      <w:r>
        <w:rPr>
          <w:rFonts w:cs="Times New Roman"/>
          <w:color w:val="000000"/>
          <w:sz w:val="24"/>
        </w:rPr>
        <w:t xml:space="preserve">, </w:t>
      </w:r>
      <w:r>
        <w:rPr>
          <w:rFonts w:cs="Times New Roman"/>
          <w:i/>
          <w:color w:val="000000"/>
          <w:sz w:val="24"/>
        </w:rPr>
        <w:t xml:space="preserve">3</w:t>
      </w:r>
      <w:r>
        <w:rPr>
          <w:rFonts w:cs="Times New Roman"/>
          <w:color w:val="000000"/>
          <w:sz w:val="24"/>
        </w:rPr>
        <w:t xml:space="preserve">(2), 3. </w:t>
      </w:r>
      <w:hyperlink r:id="rId23" w:tooltip="https://doi.org/10.5539/elt.v3n2p3" w:history="1">
        <w:r>
          <w:rPr>
            <w:rStyle w:val="1044"/>
            <w:rFonts w:cs="Times New Roman"/>
            <w:color w:val="0000ee"/>
            <w:sz w:val="24"/>
          </w:rPr>
          <w:t xml:space="preserve">https://doi.org/10.5539/elt.v3n2p3</w:t>
        </w:r>
      </w:hyperlink>
      <w:r/>
      <w:r/>
    </w:p>
    <w:p w14:paraId="2B1EABE3"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Danilenko, A., Kosmidis, I., Shershneva, V., &amp; Vainshtein, Y. (2018). Learner autonomy in modern higher education. </w:t>
      </w:r>
      <w:r>
        <w:rPr>
          <w:rFonts w:cs="Times New Roman"/>
          <w:i/>
          <w:color w:val="000000"/>
          <w:sz w:val="24"/>
        </w:rPr>
        <w:t xml:space="preserve">SHS Web of Conferences</w:t>
      </w:r>
      <w:r>
        <w:rPr>
          <w:rFonts w:cs="Times New Roman"/>
          <w:color w:val="000000"/>
          <w:sz w:val="24"/>
        </w:rPr>
        <w:t xml:space="preserve">, </w:t>
      </w:r>
      <w:r>
        <w:rPr>
          <w:rFonts w:cs="Times New Roman"/>
          <w:i/>
          <w:color w:val="000000"/>
          <w:sz w:val="24"/>
        </w:rPr>
        <w:t xml:space="preserve">48</w:t>
      </w:r>
      <w:r>
        <w:rPr>
          <w:rFonts w:cs="Times New Roman"/>
          <w:color w:val="000000"/>
          <w:sz w:val="24"/>
        </w:rPr>
        <w:t xml:space="preserve">, 01022. </w:t>
      </w:r>
      <w:hyperlink r:id="rId24" w:tooltip="https://doi.org/10.1051/shsconf/20184801022" w:history="1">
        <w:r>
          <w:rPr>
            <w:rStyle w:val="1044"/>
            <w:rFonts w:cs="Times New Roman"/>
            <w:color w:val="0000ee"/>
            <w:sz w:val="24"/>
          </w:rPr>
          <w:t xml:space="preserve">https://doi.org/10.1051/shsconf/20184801022</w:t>
        </w:r>
      </w:hyperlink>
      <w:r/>
      <w:r/>
    </w:p>
    <w:p w14:paraId="52B4FE0D"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Dao, V. H., Nguyen, M. D., &amp; Pham, T. H. H. (2025). Developing self-learning skills in higher education in Vietnam: A survey of current practices and proposed solutions. </w:t>
      </w:r>
      <w:r>
        <w:rPr>
          <w:rFonts w:cs="Times New Roman"/>
          <w:i/>
          <w:color w:val="000000"/>
          <w:sz w:val="24"/>
        </w:rPr>
        <w:t xml:space="preserve">Nurture</w:t>
      </w:r>
      <w:r>
        <w:rPr>
          <w:rFonts w:cs="Times New Roman"/>
          <w:color w:val="000000"/>
          <w:sz w:val="24"/>
        </w:rPr>
        <w:t xml:space="preserve">, </w:t>
      </w:r>
      <w:r>
        <w:rPr>
          <w:rFonts w:cs="Times New Roman"/>
          <w:i/>
          <w:color w:val="000000"/>
          <w:sz w:val="24"/>
        </w:rPr>
        <w:t xml:space="preserve">19</w:t>
      </w:r>
      <w:r>
        <w:rPr>
          <w:rFonts w:cs="Times New Roman"/>
          <w:color w:val="000000"/>
          <w:sz w:val="24"/>
        </w:rPr>
        <w:t xml:space="preserve">(1), 38–53. </w:t>
      </w:r>
      <w:hyperlink r:id="rId25" w:tooltip="https://doi.org/10.55951/nurture.v19i1.944" w:history="1">
        <w:r>
          <w:rPr>
            <w:rStyle w:val="1044"/>
            <w:rFonts w:cs="Times New Roman"/>
            <w:color w:val="0000ee"/>
            <w:sz w:val="24"/>
          </w:rPr>
          <w:t xml:space="preserve">https://doi.org/10.55951/nurture.v19i1.944</w:t>
        </w:r>
      </w:hyperlink>
      <w:r/>
      <w:r/>
    </w:p>
    <w:p w14:paraId="048329B8"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Deci, E. L., &amp; Ryan, R. M. (2000). The “what” and “why” of goal pursuits: human needs and the self-determination of behavior. </w:t>
      </w:r>
      <w:r>
        <w:rPr>
          <w:rFonts w:cs="Times New Roman"/>
          <w:i/>
          <w:color w:val="000000"/>
          <w:sz w:val="24"/>
        </w:rPr>
        <w:t xml:space="preserve">Psychological Inquiry</w:t>
      </w:r>
      <w:r>
        <w:rPr>
          <w:rFonts w:cs="Times New Roman"/>
          <w:color w:val="000000"/>
          <w:sz w:val="24"/>
        </w:rPr>
        <w:t xml:space="preserve">, </w:t>
      </w:r>
      <w:r>
        <w:rPr>
          <w:rFonts w:cs="Times New Roman"/>
          <w:i/>
          <w:color w:val="000000"/>
          <w:sz w:val="24"/>
        </w:rPr>
        <w:t xml:space="preserve">11</w:t>
      </w:r>
      <w:r>
        <w:rPr>
          <w:rFonts w:cs="Times New Roman"/>
          <w:color w:val="000000"/>
          <w:sz w:val="24"/>
        </w:rPr>
        <w:t xml:space="preserve">(4), 227–268.</w:t>
      </w:r>
      <w:r/>
    </w:p>
    <w:p w14:paraId="36E42806"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Dinh, M. H. Đ., &amp; Nguyen, H. T. V. (2024). For grades or for learning? Influence of academic orientations on Vietnamese undergraduates’ learning strategy use and mental well-being. </w:t>
      </w:r>
      <w:r>
        <w:rPr>
          <w:rFonts w:cs="Times New Roman"/>
          <w:i/>
          <w:color w:val="000000"/>
          <w:sz w:val="24"/>
        </w:rPr>
        <w:t xml:space="preserve">European Journal of Psychology and Educational Research</w:t>
      </w:r>
      <w:r>
        <w:rPr>
          <w:rFonts w:cs="Times New Roman"/>
          <w:color w:val="000000"/>
          <w:sz w:val="24"/>
        </w:rPr>
        <w:t xml:space="preserve">, </w:t>
      </w:r>
      <w:r>
        <w:rPr>
          <w:rFonts w:cs="Times New Roman"/>
          <w:i/>
          <w:color w:val="000000"/>
          <w:sz w:val="24"/>
        </w:rPr>
        <w:t xml:space="preserve">7</w:t>
      </w:r>
      <w:r>
        <w:rPr>
          <w:rFonts w:cs="Times New Roman"/>
          <w:color w:val="000000"/>
          <w:sz w:val="24"/>
        </w:rPr>
        <w:t xml:space="preserve">(3), 129–141. </w:t>
      </w:r>
      <w:hyperlink r:id="rId26" w:tooltip="https://doi.org/10.12973/ejper.7.3.129" w:history="1">
        <w:r>
          <w:rPr>
            <w:rStyle w:val="1044"/>
            <w:rFonts w:cs="Times New Roman"/>
            <w:color w:val="0000ee"/>
            <w:sz w:val="24"/>
          </w:rPr>
          <w:t xml:space="preserve">https://doi.org/10.12973/ejper.7.3.129</w:t>
        </w:r>
      </w:hyperlink>
      <w:r/>
      <w:r/>
    </w:p>
    <w:p w14:paraId="69E04026"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Estes, B., &amp; Polnick, B. (2012). Examining motivation theory in higher education: An expectancy theory analysis of tenured faculty productivity. </w:t>
      </w:r>
      <w:r>
        <w:rPr>
          <w:rFonts w:cs="Times New Roman"/>
          <w:i/>
          <w:color w:val="000000"/>
          <w:sz w:val="24"/>
        </w:rPr>
        <w:t xml:space="preserve">International Journal of Management, Business, and Administration</w:t>
      </w:r>
      <w:r>
        <w:rPr>
          <w:rFonts w:cs="Times New Roman"/>
          <w:color w:val="000000"/>
          <w:sz w:val="24"/>
        </w:rPr>
        <w:t xml:space="preserve">, </w:t>
      </w:r>
      <w:r>
        <w:rPr>
          <w:rFonts w:cs="Times New Roman"/>
          <w:i/>
          <w:color w:val="000000"/>
          <w:sz w:val="24"/>
        </w:rPr>
        <w:t xml:space="preserve">15</w:t>
      </w:r>
      <w:r>
        <w:rPr>
          <w:rFonts w:cs="Times New Roman"/>
          <w:color w:val="000000"/>
          <w:sz w:val="24"/>
        </w:rPr>
        <w:t xml:space="preserve">(1), 1</w:t>
      </w:r>
      <w:r>
        <w:rPr>
          <w:rFonts w:cs="Times New Roman"/>
          <w:color w:val="000000"/>
          <w:sz w:val="24"/>
        </w:rPr>
        <w:t xml:space="preserve">–</w:t>
      </w:r>
      <w:r>
        <w:rPr>
          <w:rFonts w:cs="Times New Roman"/>
          <w:color w:val="000000"/>
          <w:sz w:val="24"/>
        </w:rPr>
        <w:t xml:space="preserve">7.</w:t>
      </w:r>
      <w:r/>
    </w:p>
    <w:p w14:paraId="5B09E711"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Fadlelmula, F. K. (2010). Educational motivation and students’ achievement goal orientations. </w:t>
      </w:r>
      <w:r>
        <w:rPr>
          <w:rFonts w:cs="Times New Roman"/>
          <w:i/>
          <w:color w:val="000000"/>
          <w:sz w:val="24"/>
        </w:rPr>
        <w:t xml:space="preserve">Procedia </w:t>
      </w:r>
      <w:r>
        <w:rPr>
          <w:rFonts w:cs="Times New Roman"/>
          <w:i/>
          <w:color w:val="000000"/>
          <w:sz w:val="24"/>
        </w:rPr>
        <w:t xml:space="preserve">–</w:t>
      </w:r>
      <w:r>
        <w:rPr>
          <w:rFonts w:cs="Times New Roman"/>
          <w:i/>
          <w:color w:val="000000"/>
          <w:sz w:val="24"/>
        </w:rPr>
        <w:t xml:space="preserve"> Social and Behavioral Sciences</w:t>
      </w:r>
      <w:r>
        <w:rPr>
          <w:rFonts w:cs="Times New Roman"/>
          <w:color w:val="000000"/>
          <w:sz w:val="24"/>
        </w:rPr>
        <w:t xml:space="preserve">, </w:t>
      </w:r>
      <w:r>
        <w:rPr>
          <w:rFonts w:cs="Times New Roman"/>
          <w:i/>
          <w:color w:val="000000"/>
          <w:sz w:val="24"/>
        </w:rPr>
        <w:t xml:space="preserve">2</w:t>
      </w:r>
      <w:r>
        <w:rPr>
          <w:rFonts w:cs="Times New Roman"/>
          <w:color w:val="000000"/>
          <w:sz w:val="24"/>
        </w:rPr>
        <w:t xml:space="preserve">(2), 859–863. </w:t>
      </w:r>
      <w:hyperlink r:id="rId27" w:tooltip="https://doi.org/10.1016/j.sbspro.2010.03.116" w:history="1">
        <w:r>
          <w:rPr>
            <w:rStyle w:val="1044"/>
            <w:rFonts w:cs="Times New Roman"/>
            <w:color w:val="0000ee"/>
            <w:sz w:val="24"/>
          </w:rPr>
          <w:t xml:space="preserve">https://doi.org/10.1016/j.sbspro.2010.03.116</w:t>
        </w:r>
      </w:hyperlink>
      <w:r/>
      <w:r/>
    </w:p>
    <w:p w14:paraId="25F25B48"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Fornell, C., &amp; Larcker, D. F. (1981). Structural equation models with unobservable variables and measurement error: algebra and statistics. </w:t>
      </w:r>
      <w:r>
        <w:rPr>
          <w:rFonts w:cs="Times New Roman"/>
          <w:i/>
          <w:color w:val="000000"/>
          <w:sz w:val="24"/>
        </w:rPr>
        <w:t xml:space="preserve">Journal of Marketing Research</w:t>
      </w:r>
      <w:r>
        <w:rPr>
          <w:rFonts w:cs="Times New Roman"/>
          <w:color w:val="000000"/>
          <w:sz w:val="24"/>
        </w:rPr>
        <w:t xml:space="preserve">, </w:t>
      </w:r>
      <w:r>
        <w:rPr>
          <w:rFonts w:cs="Times New Roman"/>
          <w:i/>
          <w:color w:val="000000"/>
          <w:sz w:val="24"/>
        </w:rPr>
        <w:t xml:space="preserve">18</w:t>
      </w:r>
      <w:r>
        <w:rPr>
          <w:rFonts w:cs="Times New Roman"/>
          <w:color w:val="000000"/>
          <w:sz w:val="24"/>
        </w:rPr>
        <w:t xml:space="preserve">(3), 382. </w:t>
      </w:r>
      <w:hyperlink r:id="rId28" w:tooltip="https://doi.org/10.2307/3150980" w:history="1">
        <w:r>
          <w:rPr>
            <w:rStyle w:val="1044"/>
            <w:rFonts w:cs="Times New Roman"/>
            <w:color w:val="0000ee"/>
            <w:sz w:val="24"/>
          </w:rPr>
          <w:t xml:space="preserve">https://doi.org/10.2307/3150980</w:t>
        </w:r>
      </w:hyperlink>
      <w:r/>
      <w:r/>
    </w:p>
    <w:p w14:paraId="5DA4A668"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Garcia, T., &amp; Pintrich, P. R. (1996). The effects of autonomy on motivation and performance in the college classroom. </w:t>
      </w:r>
      <w:r>
        <w:rPr>
          <w:rFonts w:cs="Times New Roman"/>
          <w:i/>
          <w:color w:val="000000"/>
          <w:sz w:val="24"/>
        </w:rPr>
        <w:t xml:space="preserve">Contemporary Educational Psychology</w:t>
      </w:r>
      <w:r>
        <w:rPr>
          <w:rFonts w:cs="Times New Roman"/>
          <w:color w:val="000000"/>
          <w:sz w:val="24"/>
        </w:rPr>
        <w:t xml:space="preserve">, </w:t>
      </w:r>
      <w:r>
        <w:rPr>
          <w:rFonts w:cs="Times New Roman"/>
          <w:i/>
          <w:color w:val="000000"/>
          <w:sz w:val="24"/>
        </w:rPr>
        <w:t xml:space="preserve">21</w:t>
      </w:r>
      <w:r>
        <w:rPr>
          <w:rFonts w:cs="Times New Roman"/>
          <w:color w:val="000000"/>
          <w:sz w:val="24"/>
        </w:rPr>
        <w:t xml:space="preserve">(4), 477–486. </w:t>
      </w:r>
      <w:hyperlink r:id="rId29" w:tooltip="https://doi.org/10.1006/ceps.1996.0032" w:history="1">
        <w:r>
          <w:rPr>
            <w:rStyle w:val="1044"/>
            <w:rFonts w:cs="Times New Roman"/>
            <w:color w:val="0000ee"/>
            <w:sz w:val="24"/>
          </w:rPr>
          <w:t xml:space="preserve">https://doi.org/10.1006/ceps.1996.0032</w:t>
        </w:r>
      </w:hyperlink>
      <w:r/>
      <w:r/>
    </w:p>
    <w:p w14:paraId="1090C80A" w14:textId="77777777">
      <w:pPr>
        <w:pBdr>
          <w:top w:val="none" w:color="000000" w:sz="4" w:space="0"/>
          <w:left w:val="none" w:color="000000" w:sz="4" w:space="0"/>
          <w:bottom w:val="none" w:color="000000" w:sz="4" w:space="0"/>
          <w:right w:val="none" w:color="000000" w:sz="4" w:space="0"/>
        </w:pBdr>
        <w:spacing w:after="120" w:line="240" w:lineRule="auto"/>
        <w:ind w:hanging="480"/>
        <w:rPr>
          <w:bCs/>
          <w:i/>
        </w:rPr>
      </w:pPr>
      <w:r>
        <w:rPr>
          <w:rFonts w:cs="Times New Roman"/>
          <w:color w:val="000000"/>
          <w:sz w:val="24"/>
        </w:rPr>
        <w:t xml:space="preserve">Gardner, D. (2007). Understanding autonomous learning: Students' perceptions. </w:t>
      </w:r>
      <w:r>
        <w:rPr>
          <w:rFonts w:cs="Times New Roman"/>
          <w:i/>
          <w:iCs/>
          <w:color w:val="000000"/>
          <w:sz w:val="24"/>
        </w:rPr>
        <w:t xml:space="preserve">Independent Learning Association 2007 Japan Conference: Exploring theory, enhancing practice: Autonomy across the disciplines, Chiba, Japan.</w:t>
      </w:r>
      <w:r>
        <w:rPr>
          <w:bCs/>
          <w:i/>
        </w:rPr>
      </w:r>
      <w:r>
        <w:rPr>
          <w:bCs/>
          <w:i/>
        </w:rPr>
      </w:r>
    </w:p>
    <w:p w14:paraId="28545085"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Hair, J. F., Howard, M. C., &amp; Nitzl, C. (2020). Assessing measurement model quality in PLS-SEM using confirmatory composite analysis. </w:t>
      </w:r>
      <w:r>
        <w:rPr>
          <w:rFonts w:cs="Times New Roman"/>
          <w:i/>
          <w:color w:val="000000"/>
          <w:sz w:val="24"/>
        </w:rPr>
        <w:t xml:space="preserve">Journal of Business Research</w:t>
      </w:r>
      <w:r>
        <w:rPr>
          <w:rFonts w:cs="Times New Roman"/>
          <w:color w:val="000000"/>
          <w:sz w:val="24"/>
        </w:rPr>
        <w:t xml:space="preserve">, </w:t>
      </w:r>
      <w:r>
        <w:rPr>
          <w:rFonts w:cs="Times New Roman"/>
          <w:i/>
          <w:color w:val="000000"/>
          <w:sz w:val="24"/>
        </w:rPr>
        <w:t xml:space="preserve">109</w:t>
      </w:r>
      <w:r>
        <w:rPr>
          <w:rFonts w:cs="Times New Roman"/>
          <w:color w:val="000000"/>
          <w:sz w:val="24"/>
        </w:rPr>
        <w:t xml:space="preserve">, 101–110. </w:t>
      </w:r>
      <w:hyperlink r:id="rId30" w:tooltip="https://doi.org/10.1016/j.jbusres.2019.11.069" w:history="1">
        <w:r>
          <w:rPr>
            <w:rStyle w:val="1044"/>
            <w:rFonts w:cs="Times New Roman"/>
            <w:color w:val="0000ee"/>
            <w:sz w:val="24"/>
          </w:rPr>
          <w:t xml:space="preserve">https://doi.org/10.1016/j.jbusres.2019.11.069</w:t>
        </w:r>
      </w:hyperlink>
      <w:r/>
      <w:r/>
    </w:p>
    <w:p w14:paraId="45A1B3E4" w14:textId="77777777">
      <w:pPr>
        <w:pBdr>
          <w:top w:val="none" w:color="000000" w:sz="4" w:space="0"/>
          <w:left w:val="none" w:color="000000" w:sz="4" w:space="0"/>
          <w:bottom w:val="none" w:color="000000" w:sz="4" w:space="0"/>
          <w:right w:val="none" w:color="000000" w:sz="4" w:space="0"/>
        </w:pBdr>
        <w:spacing w:after="120" w:line="240" w:lineRule="auto"/>
        <w:ind w:hanging="480"/>
        <w:rPr>
          <w:sz w:val="24"/>
          <w:szCs w:val="24"/>
        </w:rPr>
      </w:pPr>
      <w:r>
        <w:rPr>
          <w:sz w:val="24"/>
          <w:szCs w:val="28"/>
        </w:rPr>
        <w:t xml:space="preserve">Hair, J. F., Hult, G. T. M., Ringle, C. M., &amp; Sarstedt, M. (2019). </w:t>
      </w:r>
      <w:r>
        <w:rPr>
          <w:i/>
          <w:iCs/>
          <w:sz w:val="24"/>
          <w:szCs w:val="28"/>
        </w:rPr>
        <w:t xml:space="preserve">A primer on partial least squares structural equation modeling (PLS-SEM) </w:t>
      </w:r>
      <w:r>
        <w:rPr>
          <w:sz w:val="24"/>
          <w:szCs w:val="28"/>
        </w:rPr>
        <w:t xml:space="preserve">(2nd ed.). Sage.</w:t>
      </w:r>
      <w:r>
        <w:rPr>
          <w:sz w:val="24"/>
          <w:szCs w:val="24"/>
        </w:rPr>
      </w:r>
      <w:r>
        <w:rPr>
          <w:sz w:val="24"/>
          <w:szCs w:val="24"/>
        </w:rPr>
      </w:r>
    </w:p>
    <w:p w14:paraId="677F06CB"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Henseler, J., Ringle, C. M., &amp; Sarstedt, M. (2015). A new criterion for assessing discriminant validity in variance-based structural equation modeling. </w:t>
      </w:r>
      <w:r>
        <w:rPr>
          <w:rFonts w:cs="Times New Roman"/>
          <w:i/>
          <w:color w:val="000000"/>
          <w:sz w:val="24"/>
        </w:rPr>
        <w:t xml:space="preserve">Journal of the Academy of Marketing Science</w:t>
      </w:r>
      <w:r>
        <w:rPr>
          <w:rFonts w:cs="Times New Roman"/>
          <w:color w:val="000000"/>
          <w:sz w:val="24"/>
        </w:rPr>
        <w:t xml:space="preserve">, </w:t>
      </w:r>
      <w:r>
        <w:rPr>
          <w:rFonts w:cs="Times New Roman"/>
          <w:i/>
          <w:color w:val="000000"/>
          <w:sz w:val="24"/>
        </w:rPr>
        <w:t xml:space="preserve">43</w:t>
      </w:r>
      <w:r>
        <w:rPr>
          <w:rFonts w:cs="Times New Roman"/>
          <w:color w:val="000000"/>
          <w:sz w:val="24"/>
        </w:rPr>
        <w:t xml:space="preserve">(1), 115–135. </w:t>
      </w:r>
      <w:hyperlink r:id="rId31" w:tooltip="https://doi.org/10.1007/s11747-014-0403-8" w:history="1">
        <w:r>
          <w:rPr>
            <w:rStyle w:val="1044"/>
            <w:rFonts w:cs="Times New Roman"/>
            <w:color w:val="0000ee"/>
            <w:sz w:val="24"/>
          </w:rPr>
          <w:t xml:space="preserve">https://doi.org/10.1007/s11747-014-0403-8</w:t>
        </w:r>
      </w:hyperlink>
      <w:r/>
      <w:r/>
    </w:p>
    <w:p w14:paraId="0F349934"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Hsieh, H.-C., &amp; Hsieh, H.-L. (2019). Undergraduates’ out-of-class learning: exploring EFL students’ autonomous learning behaviors and their usage of resources. </w:t>
      </w:r>
      <w:r>
        <w:rPr>
          <w:rFonts w:cs="Times New Roman"/>
          <w:i/>
          <w:color w:val="000000"/>
          <w:sz w:val="24"/>
        </w:rPr>
        <w:t xml:space="preserve">Education Sciences</w:t>
      </w:r>
      <w:r>
        <w:rPr>
          <w:rFonts w:cs="Times New Roman"/>
          <w:color w:val="000000"/>
          <w:sz w:val="24"/>
        </w:rPr>
        <w:t xml:space="preserve">, </w:t>
      </w:r>
      <w:r>
        <w:rPr>
          <w:rFonts w:cs="Times New Roman"/>
          <w:i/>
          <w:color w:val="000000"/>
          <w:sz w:val="24"/>
        </w:rPr>
        <w:t xml:space="preserve">9</w:t>
      </w:r>
      <w:r>
        <w:rPr>
          <w:rFonts w:cs="Times New Roman"/>
          <w:color w:val="000000"/>
          <w:sz w:val="24"/>
        </w:rPr>
        <w:t xml:space="preserve">(3), 159. </w:t>
      </w:r>
      <w:hyperlink r:id="rId32" w:tooltip="https://doi.org/10.3390/educsci9030159" w:history="1">
        <w:r>
          <w:rPr>
            <w:rStyle w:val="1044"/>
            <w:rFonts w:cs="Times New Roman"/>
            <w:color w:val="0000ee"/>
            <w:sz w:val="24"/>
          </w:rPr>
          <w:t xml:space="preserve">https://doi.org/10.3390/educsci9030159</w:t>
        </w:r>
      </w:hyperlink>
      <w:r/>
      <w:r/>
    </w:p>
    <w:p w14:paraId="6FE6123D"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Ismail, S. M., Nikpoo, I., &amp; Prasad, K. D. V. (2023). Promoting self-regulated learning, autonomy, and self-efficacy of EFL learners through authentic assessment in EFL classrooms. </w:t>
      </w:r>
      <w:r>
        <w:rPr>
          <w:rFonts w:cs="Times New Roman"/>
          <w:i/>
          <w:color w:val="000000"/>
          <w:sz w:val="24"/>
        </w:rPr>
        <w:t xml:space="preserve">Language Testing in Asia</w:t>
      </w:r>
      <w:r>
        <w:rPr>
          <w:rFonts w:cs="Times New Roman"/>
          <w:color w:val="000000"/>
          <w:sz w:val="24"/>
        </w:rPr>
        <w:t xml:space="preserve">, </w:t>
      </w:r>
      <w:r>
        <w:rPr>
          <w:rFonts w:cs="Times New Roman"/>
          <w:i/>
          <w:color w:val="000000"/>
          <w:sz w:val="24"/>
        </w:rPr>
        <w:t xml:space="preserve">13</w:t>
      </w:r>
      <w:r>
        <w:rPr>
          <w:rFonts w:cs="Times New Roman"/>
          <w:color w:val="000000"/>
          <w:sz w:val="24"/>
        </w:rPr>
        <w:t xml:space="preserve">(1), 27. </w:t>
      </w:r>
      <w:hyperlink r:id="rId33" w:tooltip="https://doi.org/10.1186/s40468-023-00239-z" w:history="1">
        <w:r>
          <w:rPr>
            <w:rStyle w:val="1044"/>
            <w:rFonts w:cs="Times New Roman"/>
            <w:color w:val="0000ee"/>
            <w:sz w:val="24"/>
          </w:rPr>
          <w:t xml:space="preserve">https://doi.org/10.1186/s40468-023-00239-z</w:t>
        </w:r>
      </w:hyperlink>
      <w:r/>
      <w:r/>
    </w:p>
    <w:p w14:paraId="6856B0C2" w14:textId="77777777">
      <w:pPr>
        <w:pBdr>
          <w:top w:val="none" w:color="000000" w:sz="4" w:space="0"/>
          <w:left w:val="none" w:color="000000" w:sz="4" w:space="0"/>
          <w:bottom w:val="none" w:color="000000" w:sz="4" w:space="0"/>
          <w:right w:val="none" w:color="000000" w:sz="4" w:space="0"/>
        </w:pBdr>
        <w:spacing w:after="120" w:line="240" w:lineRule="auto"/>
        <w:ind w:hanging="480"/>
        <w:rPr>
          <w:rFonts w:cs="Times New Roman"/>
          <w:color w:val="000000"/>
          <w:sz w:val="24"/>
          <w:szCs w:val="24"/>
          <w:highlight w:val="none"/>
        </w:rPr>
      </w:pPr>
      <w:r>
        <w:rPr>
          <w:rFonts w:cs="Times New Roman"/>
          <w:color w:val="000000"/>
          <w:sz w:val="24"/>
        </w:rPr>
        <w:t xml:space="preserve">Kleimola, R., Hirsto, L., &amp; Ruokamo, H. (2025). Promoting higher education students’ self-regulated learning through learning analytics: A qualitative study. </w:t>
      </w:r>
      <w:r>
        <w:rPr>
          <w:rFonts w:cs="Times New Roman"/>
          <w:i/>
          <w:color w:val="000000"/>
          <w:sz w:val="24"/>
        </w:rPr>
        <w:t xml:space="preserve">Education and Information Technologies</w:t>
      </w:r>
      <w:r>
        <w:rPr>
          <w:rFonts w:cs="Times New Roman"/>
          <w:color w:val="000000"/>
          <w:sz w:val="24"/>
        </w:rPr>
        <w:t xml:space="preserve">, </w:t>
      </w:r>
      <w:r>
        <w:rPr>
          <w:rFonts w:cs="Times New Roman"/>
          <w:i/>
          <w:color w:val="000000"/>
          <w:sz w:val="24"/>
        </w:rPr>
        <w:t xml:space="preserve">30</w:t>
      </w:r>
      <w:r>
        <w:rPr>
          <w:rFonts w:cs="Times New Roman"/>
          <w:color w:val="000000"/>
          <w:sz w:val="24"/>
        </w:rPr>
        <w:t xml:space="preserve">(4), 4959–4986. </w:t>
      </w:r>
      <w:hyperlink r:id="rId34" w:tooltip="https://doi.org/10.1007/s10639-024-12978-4" w:history="1">
        <w:r>
          <w:rPr>
            <w:rStyle w:val="1044"/>
            <w:rFonts w:cs="Times New Roman"/>
            <w:color w:val="0000ee"/>
            <w:sz w:val="24"/>
          </w:rPr>
          <w:t xml:space="preserve">https://doi.org/10.1007/s10639-024-12978-4</w:t>
        </w:r>
      </w:hyperlink>
      <w:r>
        <w:rPr>
          <w:rFonts w:cs="Times New Roman"/>
          <w:color w:val="000000"/>
          <w:sz w:val="24"/>
        </w:rPr>
        <w:t xml:space="preserve"> </w:t>
      </w:r>
      <w:r>
        <w:rPr>
          <w:rFonts w:cs="Times New Roman"/>
          <w:color w:val="000000"/>
          <w:sz w:val="24"/>
          <w:szCs w:val="24"/>
          <w:highlight w:val="none"/>
        </w:rPr>
      </w:r>
      <w:r>
        <w:rPr>
          <w:rFonts w:cs="Times New Roman"/>
          <w:color w:val="000000"/>
          <w:sz w:val="24"/>
          <w:szCs w:val="24"/>
          <w:highlight w:val="none"/>
        </w:rPr>
      </w:r>
    </w:p>
    <w:p w14:paraId="58F3A0E2">
      <w:pPr>
        <w:pBdr>
          <w:top w:val="none" w:color="000000" w:sz="4" w:space="0"/>
          <w:left w:val="none" w:color="000000" w:sz="4" w:space="0"/>
          <w:bottom w:val="none" w:color="000000" w:sz="4" w:space="0"/>
          <w:right w:val="none" w:color="000000" w:sz="4" w:space="0"/>
        </w:pBdr>
        <w:spacing w:after="120" w:line="240" w:lineRule="auto"/>
        <w:ind w:hanging="480"/>
        <w:rPr>
          <w:rFonts w:cs="Times New Roman"/>
          <w:color w:val="000000"/>
          <w:sz w:val="24"/>
          <w:szCs w:val="24"/>
          <w:highlight w:val="none"/>
        </w:rPr>
      </w:pPr>
      <w:r>
        <w:rPr>
          <w:rFonts w:cs="Times New Roman"/>
          <w:color w:val="000000"/>
          <w:sz w:val="24"/>
          <w:highlight w:val="none"/>
        </w:rPr>
        <w:t xml:space="preserve">Linh, T. T. T., &amp; Loi, N. V. (2024). Cultural influences on learner autonomy </w:t>
      </w:r>
      <w:r>
        <w:rPr>
          <w:rFonts w:cs="Times New Roman"/>
          <w:color w:val="000000"/>
          <w:sz w:val="24"/>
          <w:highlight w:val="none"/>
        </w:rPr>
        <w:t xml:space="preserve">from the perspectives of Vietnamese EFL learners. </w:t>
      </w:r>
      <w:r>
        <w:rPr>
          <w:rFonts w:cs="Times New Roman"/>
          <w:i/>
          <w:iCs/>
          <w:color w:val="000000"/>
          <w:sz w:val="24"/>
          <w:highlight w:val="none"/>
        </w:rPr>
        <w:t xml:space="preserve">TESL-EJ</w:t>
      </w:r>
      <w:r>
        <w:rPr>
          <w:rFonts w:cs="Times New Roman"/>
          <w:color w:val="000000"/>
          <w:sz w:val="24"/>
          <w:highlight w:val="none"/>
        </w:rPr>
        <w:t xml:space="preserve">, </w:t>
      </w:r>
      <w:r>
        <w:rPr>
          <w:rFonts w:cs="Times New Roman"/>
          <w:i/>
          <w:iCs/>
          <w:color w:val="000000"/>
          <w:sz w:val="24"/>
          <w:highlight w:val="none"/>
        </w:rPr>
        <w:t xml:space="preserve">28</w:t>
      </w:r>
      <w:r>
        <w:rPr>
          <w:rFonts w:cs="Times New Roman"/>
          <w:color w:val="000000"/>
          <w:sz w:val="24"/>
          <w:highlight w:val="none"/>
        </w:rPr>
        <w:t xml:space="preserve">(2). </w:t>
      </w:r>
      <w:r>
        <w:rPr>
          <w:rFonts w:cs="Times New Roman"/>
          <w:color w:val="000000"/>
          <w:sz w:val="24"/>
          <w:highlight w:val="none"/>
        </w:rPr>
      </w:r>
      <w:hyperlink r:id="rId35" w:tooltip="https://doi.org/10.55593/ej.28110a5" w:history="1">
        <w:r>
          <w:rPr>
            <w:rStyle w:val="1044"/>
            <w:rFonts w:cs="Times New Roman"/>
            <w:sz w:val="24"/>
            <w:highlight w:val="none"/>
          </w:rPr>
          <w:t xml:space="preserve">https://doi.org/10.55593/ej.28110a5</w:t>
        </w:r>
      </w:hyperlink>
      <w:r>
        <w:rPr>
          <w:rFonts w:cs="Times New Roman"/>
          <w:color w:val="000000"/>
          <w:sz w:val="24"/>
          <w:szCs w:val="24"/>
          <w:highlight w:val="none"/>
        </w:rPr>
      </w:r>
      <w:r>
        <w:rPr>
          <w:rFonts w:cs="Times New Roman"/>
          <w:color w:val="000000"/>
          <w:sz w:val="24"/>
          <w:szCs w:val="24"/>
          <w:highlight w:val="none"/>
        </w:rPr>
      </w:r>
    </w:p>
    <w:p w14:paraId="3ED8B875">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highlight w:val="none"/>
        </w:rPr>
        <w:t xml:space="preserve">Marley, S. C., &amp; Wilcox, M. J. (2022). Implicit theories of intelligence and </w:t>
      </w:r>
      <w:r>
        <w:rPr>
          <w:rFonts w:cs="Times New Roman"/>
          <w:color w:val="000000"/>
          <w:sz w:val="24"/>
          <w:highlight w:val="none"/>
        </w:rPr>
        <w:t xml:space="preserve">achievement goal orientations: How are they associated with college student </w:t>
      </w:r>
      <w:r>
        <w:rPr>
          <w:rFonts w:cs="Times New Roman"/>
          <w:color w:val="000000"/>
          <w:sz w:val="24"/>
          <w:highlight w:val="none"/>
        </w:rPr>
        <w:t xml:space="preserve">academic achievement? </w:t>
      </w:r>
      <w:r>
        <w:rPr>
          <w:rFonts w:cs="Times New Roman"/>
          <w:i/>
          <w:iCs/>
          <w:color w:val="000000"/>
          <w:sz w:val="24"/>
          <w:highlight w:val="none"/>
        </w:rPr>
        <w:t xml:space="preserve">Social Education Research</w:t>
      </w:r>
      <w:r>
        <w:rPr>
          <w:rFonts w:cs="Times New Roman"/>
          <w:color w:val="000000"/>
          <w:sz w:val="24"/>
          <w:highlight w:val="none"/>
        </w:rPr>
        <w:t xml:space="preserve">, </w:t>
      </w:r>
      <w:r>
        <w:rPr>
          <w:rFonts w:cs="Times New Roman"/>
          <w:color w:val="000000"/>
          <w:sz w:val="24"/>
          <w:highlight w:val="none"/>
        </w:rPr>
        <w:t xml:space="preserve">279</w:t>
      </w:r>
      <w:r>
        <w:rPr>
          <w:rFonts w:cs="Times New Roman"/>
          <w:color w:val="000000"/>
          <w:sz w:val="24"/>
          <w:highlight w:val="none"/>
        </w:rPr>
        <w:t xml:space="preserve">–</w:t>
      </w:r>
      <w:r>
        <w:rPr>
          <w:rFonts w:cs="Times New Roman"/>
          <w:color w:val="000000"/>
          <w:sz w:val="24"/>
          <w:highlight w:val="none"/>
        </w:rPr>
        <w:t xml:space="preserve">298. </w:t>
      </w:r>
      <w:hyperlink r:id="rId36" w:tooltip="https://doi.org/10.37256/ser.3220221625" w:history="1">
        <w:r>
          <w:rPr>
            <w:rStyle w:val="1044"/>
            <w:rFonts w:cs="Times New Roman"/>
            <w:sz w:val="24"/>
            <w:highlight w:val="none"/>
          </w:rPr>
          <w:t xml:space="preserve">https://doi.org/10.37256/ser.3220221625</w:t>
        </w:r>
        <w:r>
          <w:rPr>
            <w:rStyle w:val="1044"/>
          </w:rPr>
        </w:r>
        <w:r>
          <w:rPr>
            <w:rStyle w:val="1044"/>
            <w:rFonts w:cs="Times New Roman"/>
            <w:sz w:val="24"/>
            <w:highlight w:val="none"/>
          </w:rPr>
        </w:r>
        <w:r>
          <w:rPr>
            <w:rStyle w:val="1044"/>
            <w:rFonts w:cs="Times New Roman"/>
            <w:sz w:val="24"/>
            <w:highlight w:val="none"/>
          </w:rPr>
        </w:r>
        <w:r>
          <w:rPr>
            <w:rStyle w:val="1044"/>
            <w:rFonts w:cs="Times New Roman"/>
            <w:sz w:val="24"/>
            <w:highlight w:val="none"/>
          </w:rPr>
        </w:r>
        <w:r>
          <w:rPr>
            <w:rStyle w:val="1044"/>
            <w:rFonts w:cs="Times New Roman"/>
            <w:sz w:val="24"/>
            <w:highlight w:val="none"/>
          </w:rPr>
        </w:r>
      </w:hyperlink>
      <w:r>
        <w:rPr>
          <w:rFonts w:cs="Times New Roman"/>
          <w:color w:val="000000"/>
          <w:sz w:val="24"/>
          <w:highlight w:val="none"/>
        </w:rPr>
      </w:r>
      <w:r/>
    </w:p>
    <w:p w14:paraId="587890C2">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highlight w:val="none"/>
        </w:rPr>
        <w:t xml:space="preserve">Min, H., Tan, P. X., Kamioka, E., &amp; Sharif, K. Y. (2020). Enhancement of study </w:t>
      </w:r>
      <w:r>
        <w:rPr>
          <w:rFonts w:cs="Times New Roman"/>
          <w:color w:val="000000"/>
          <w:sz w:val="24"/>
          <w:highlight w:val="none"/>
        </w:rPr>
        <w:t xml:space="preserve">motivation model by introducing expectancy theory. </w:t>
      </w:r>
      <w:r>
        <w:rPr>
          <w:rFonts w:cs="Times New Roman"/>
          <w:i/>
          <w:iCs/>
          <w:color w:val="000000"/>
          <w:sz w:val="24"/>
          <w:highlight w:val="none"/>
        </w:rPr>
        <w:t xml:space="preserve">International Journal of </w:t>
      </w:r>
      <w:r>
        <w:rPr>
          <w:rFonts w:cs="Times New Roman"/>
          <w:i/>
          <w:iCs/>
          <w:color w:val="000000"/>
          <w:sz w:val="24"/>
          <w:highlight w:val="none"/>
        </w:rPr>
        <w:t xml:space="preserve">Learning and Teaching</w:t>
      </w:r>
      <w:r>
        <w:rPr>
          <w:rFonts w:cs="Times New Roman"/>
          <w:color w:val="000000"/>
          <w:sz w:val="24"/>
          <w:highlight w:val="none"/>
        </w:rPr>
        <w:t xml:space="preserve">, </w:t>
      </w:r>
      <w:r>
        <w:rPr>
          <w:rFonts w:cs="Times New Roman"/>
          <w:i/>
          <w:iCs/>
          <w:color w:val="000000"/>
          <w:sz w:val="24"/>
          <w:highlight w:val="none"/>
        </w:rPr>
        <w:t xml:space="preserve">6</w:t>
      </w:r>
      <w:r>
        <w:rPr>
          <w:rFonts w:cs="Times New Roman"/>
          <w:color w:val="000000"/>
          <w:sz w:val="24"/>
          <w:highlight w:val="none"/>
        </w:rPr>
        <w:t xml:space="preserve">(1), 28</w:t>
      </w:r>
      <w:r>
        <w:rPr>
          <w:rFonts w:cs="Times New Roman"/>
          <w:color w:val="000000"/>
          <w:sz w:val="24"/>
          <w:highlight w:val="none"/>
        </w:rPr>
        <w:t xml:space="preserve">–</w:t>
      </w:r>
      <w:r>
        <w:rPr>
          <w:rFonts w:cs="Times New Roman"/>
          <w:color w:val="000000"/>
          <w:sz w:val="24"/>
          <w:highlight w:val="none"/>
        </w:rPr>
        <w:t xml:space="preserve">32. </w:t>
      </w:r>
      <w:hyperlink r:id="rId37" w:tooltip="https://doi.org/10.18178/ijlt.6.1.28-32" w:history="1">
        <w:r>
          <w:rPr>
            <w:rStyle w:val="1044"/>
            <w:rFonts w:cs="Times New Roman"/>
            <w:sz w:val="24"/>
            <w:highlight w:val="none"/>
          </w:rPr>
          <w:t xml:space="preserve">https://doi.org/10.18178/ijlt.6.1.28-32</w:t>
        </w:r>
        <w:r>
          <w:rPr>
            <w:rStyle w:val="1044"/>
            <w:rFonts w:cs="Times New Roman"/>
            <w:sz w:val="24"/>
            <w:highlight w:val="none"/>
          </w:rPr>
        </w:r>
      </w:hyperlink>
      <w:r>
        <w:rPr>
          <w:rFonts w:cs="Times New Roman"/>
          <w:color w:val="000000"/>
          <w:sz w:val="24"/>
          <w:highlight w:val="none"/>
        </w:rPr>
      </w:r>
      <w:r/>
    </w:p>
    <w:p w14:paraId="60C7F364"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Minh Hung, D. (2023). Goal-setting displayed by Vietnamese EFL students. </w:t>
      </w:r>
      <w:r>
        <w:rPr>
          <w:rFonts w:cs="Times New Roman"/>
          <w:i/>
          <w:color w:val="000000"/>
          <w:sz w:val="24"/>
        </w:rPr>
        <w:t xml:space="preserve">Arab World English Journal</w:t>
      </w:r>
      <w:r>
        <w:rPr>
          <w:rFonts w:cs="Times New Roman"/>
          <w:color w:val="000000"/>
          <w:sz w:val="24"/>
        </w:rPr>
        <w:t xml:space="preserve">, </w:t>
      </w:r>
      <w:r>
        <w:rPr>
          <w:rFonts w:cs="Times New Roman"/>
          <w:i/>
          <w:color w:val="000000"/>
          <w:sz w:val="24"/>
        </w:rPr>
        <w:t xml:space="preserve">14</w:t>
      </w:r>
      <w:r>
        <w:rPr>
          <w:rFonts w:cs="Times New Roman"/>
          <w:color w:val="000000"/>
          <w:sz w:val="24"/>
        </w:rPr>
        <w:t xml:space="preserve">(1), 153–165. </w:t>
      </w:r>
      <w:hyperlink r:id="rId38" w:tooltip="https://doi.org/10.24093/awej/vol14no1.10" w:history="1">
        <w:r>
          <w:rPr>
            <w:rStyle w:val="1044"/>
            <w:rFonts w:cs="Times New Roman"/>
            <w:color w:val="0000ee"/>
            <w:sz w:val="24"/>
          </w:rPr>
          <w:t xml:space="preserve">https://doi.org/10.24093/awej/vol14no1.10</w:t>
        </w:r>
      </w:hyperlink>
      <w:r/>
      <w:r/>
    </w:p>
    <w:p w14:paraId="71D13943"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Minh, N. H., &amp; Ngoc, N. T. D. (2023). Learner autonomy, motivation and </w:t>
      </w:r>
      <w:r>
        <w:rPr>
          <w:rFonts w:cs="Times New Roman"/>
          <w:color w:val="000000"/>
          <w:sz w:val="24"/>
        </w:rPr>
        <w:t xml:space="preserve">English speaking</w:t>
      </w:r>
      <w:r>
        <w:rPr>
          <w:rFonts w:cs="Times New Roman"/>
          <w:color w:val="000000"/>
          <w:sz w:val="24"/>
        </w:rPr>
        <w:t xml:space="preserve"> proficiency: A study among English foreign language university students in Nghe An. </w:t>
      </w:r>
      <w:r>
        <w:rPr>
          <w:rFonts w:cs="Times New Roman"/>
          <w:i/>
          <w:color w:val="000000"/>
          <w:sz w:val="24"/>
        </w:rPr>
        <w:t xml:space="preserve">VNU Journal of Science: Education Research</w:t>
      </w:r>
      <w:r>
        <w:rPr>
          <w:rFonts w:cs="Times New Roman"/>
          <w:color w:val="000000"/>
          <w:sz w:val="24"/>
        </w:rPr>
        <w:t xml:space="preserve">, </w:t>
      </w:r>
      <w:r>
        <w:rPr>
          <w:rFonts w:cs="Times New Roman"/>
          <w:i/>
          <w:color w:val="000000"/>
          <w:sz w:val="24"/>
        </w:rPr>
        <w:t xml:space="preserve">39</w:t>
      </w:r>
      <w:r>
        <w:rPr>
          <w:rFonts w:cs="Times New Roman"/>
          <w:color w:val="000000"/>
          <w:sz w:val="24"/>
        </w:rPr>
        <w:t xml:space="preserve">(1). </w:t>
      </w:r>
      <w:hyperlink r:id="rId39" w:tooltip="https://doi.org/10.25073/2588-1159/vnuer.4700" w:history="1">
        <w:r>
          <w:rPr>
            <w:rStyle w:val="1044"/>
            <w:rFonts w:cs="Times New Roman"/>
            <w:color w:val="0000ee"/>
            <w:sz w:val="24"/>
          </w:rPr>
          <w:t xml:space="preserve">https://doi.org/10.25073/2588-1159/vnuer.4700</w:t>
        </w:r>
      </w:hyperlink>
      <w:r/>
      <w:r/>
    </w:p>
    <w:p w14:paraId="028EBBCD"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Nagle, C. (2021). Using Expectancy Value Theory to understand motivation, persistence, and achievement in university‐level foreign language learning. </w:t>
      </w:r>
      <w:r>
        <w:rPr>
          <w:rFonts w:cs="Times New Roman"/>
          <w:i/>
          <w:color w:val="000000"/>
          <w:sz w:val="24"/>
        </w:rPr>
        <w:t xml:space="preserve">Foreign Language Annals</w:t>
      </w:r>
      <w:r>
        <w:rPr>
          <w:rFonts w:cs="Times New Roman"/>
          <w:color w:val="000000"/>
          <w:sz w:val="24"/>
        </w:rPr>
        <w:t xml:space="preserve">, </w:t>
      </w:r>
      <w:r>
        <w:rPr>
          <w:rFonts w:cs="Times New Roman"/>
          <w:i/>
          <w:color w:val="000000"/>
          <w:sz w:val="24"/>
        </w:rPr>
        <w:t xml:space="preserve">54</w:t>
      </w:r>
      <w:r>
        <w:rPr>
          <w:rFonts w:cs="Times New Roman"/>
          <w:color w:val="000000"/>
          <w:sz w:val="24"/>
        </w:rPr>
        <w:t xml:space="preserve">(4), 1238–1256. </w:t>
      </w:r>
      <w:hyperlink r:id="rId40" w:tooltip="https://doi.org/10.1111/flan.12569" w:history="1">
        <w:r>
          <w:rPr>
            <w:rStyle w:val="1044"/>
            <w:rFonts w:cs="Times New Roman"/>
            <w:color w:val="0000ee"/>
            <w:sz w:val="24"/>
          </w:rPr>
          <w:t xml:space="preserve">https://doi.org/10.1111/flan.12569</w:t>
        </w:r>
      </w:hyperlink>
      <w:r/>
      <w:r/>
    </w:p>
    <w:p w14:paraId="38C74FB6"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Nakata, Y. (2014). Self-regulation: Why is it important for promoting learner autonomy in the school context? </w:t>
      </w:r>
      <w:r>
        <w:rPr>
          <w:rFonts w:cs="Times New Roman"/>
          <w:i/>
          <w:color w:val="000000"/>
          <w:sz w:val="24"/>
        </w:rPr>
        <w:t xml:space="preserve">Studies in Self-Access Learning Journal</w:t>
      </w:r>
      <w:r>
        <w:rPr>
          <w:rFonts w:cs="Times New Roman"/>
          <w:color w:val="000000"/>
          <w:sz w:val="24"/>
        </w:rPr>
        <w:t xml:space="preserve">, 342–356. </w:t>
      </w:r>
      <w:hyperlink r:id="rId41" w:tooltip="https://doi.org/10.37237/050403" w:history="1">
        <w:r>
          <w:rPr>
            <w:rStyle w:val="1044"/>
            <w:rFonts w:cs="Times New Roman"/>
            <w:color w:val="0000ee"/>
            <w:sz w:val="24"/>
          </w:rPr>
          <w:t xml:space="preserve">https://doi.org/10.37237/050403</w:t>
        </w:r>
      </w:hyperlink>
      <w:r/>
      <w:r/>
    </w:p>
    <w:p w14:paraId="5149C15A"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Neuville, S., Frenay, M., &amp; Bourgeois, E. (2007). Task value, self-efficacy and goal orientations: impact on self-regulated learning, choice and performance among university students. </w:t>
      </w:r>
      <w:r>
        <w:rPr>
          <w:rFonts w:cs="Times New Roman"/>
          <w:i/>
          <w:color w:val="000000"/>
          <w:sz w:val="24"/>
        </w:rPr>
        <w:t xml:space="preserve">Psychologica Belgica</w:t>
      </w:r>
      <w:r>
        <w:rPr>
          <w:rFonts w:cs="Times New Roman"/>
          <w:color w:val="000000"/>
          <w:sz w:val="24"/>
        </w:rPr>
        <w:t xml:space="preserve">, </w:t>
      </w:r>
      <w:r>
        <w:rPr>
          <w:rFonts w:cs="Times New Roman"/>
          <w:i/>
          <w:color w:val="000000"/>
          <w:sz w:val="24"/>
        </w:rPr>
        <w:t xml:space="preserve">47</w:t>
      </w:r>
      <w:r>
        <w:rPr>
          <w:rFonts w:cs="Times New Roman"/>
          <w:color w:val="000000"/>
          <w:sz w:val="24"/>
        </w:rPr>
        <w:t xml:space="preserve">(1), 95. </w:t>
      </w:r>
      <w:hyperlink r:id="rId42" w:tooltip="https://doi.org/10.5334/pb-47-1-95" w:history="1">
        <w:r>
          <w:rPr>
            <w:rStyle w:val="1044"/>
            <w:rFonts w:cs="Times New Roman"/>
            <w:color w:val="0000ee"/>
            <w:sz w:val="24"/>
          </w:rPr>
          <w:t xml:space="preserve">https://doi.org/10.5334/pb-47-1-95</w:t>
        </w:r>
      </w:hyperlink>
      <w:r/>
      <w:r/>
    </w:p>
    <w:p w14:paraId="158B6813"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Nguyen, D. H. T. (2024). Vietnamese English majors’ perspectives on teachers’ motivational teaching at tertiary education. </w:t>
      </w:r>
      <w:r>
        <w:rPr>
          <w:rFonts w:cs="Times New Roman"/>
          <w:i/>
          <w:color w:val="000000"/>
          <w:sz w:val="24"/>
        </w:rPr>
        <w:t xml:space="preserve">PASAA</w:t>
      </w:r>
      <w:r>
        <w:rPr>
          <w:rFonts w:cs="Times New Roman"/>
          <w:color w:val="000000"/>
          <w:sz w:val="24"/>
        </w:rPr>
        <w:t xml:space="preserve">, </w:t>
      </w:r>
      <w:r>
        <w:rPr>
          <w:rFonts w:cs="Times New Roman"/>
          <w:i/>
          <w:color w:val="000000"/>
          <w:sz w:val="24"/>
        </w:rPr>
        <w:t xml:space="preserve">69</w:t>
      </w:r>
      <w:r>
        <w:rPr>
          <w:rFonts w:cs="Times New Roman"/>
          <w:color w:val="000000"/>
          <w:sz w:val="24"/>
        </w:rPr>
        <w:t xml:space="preserve">, 277–303. </w:t>
      </w:r>
      <w:hyperlink r:id="rId43" w:tooltip="https://doi.org/10.58837/CHULA.PASAA.69.9" w:history="1">
        <w:r>
          <w:rPr>
            <w:rStyle w:val="1044"/>
            <w:rFonts w:cs="Times New Roman"/>
            <w:color w:val="0000ee"/>
            <w:sz w:val="24"/>
          </w:rPr>
          <w:t xml:space="preserve">https://doi.org/10.58837/CHULA.PASAA.69.9</w:t>
        </w:r>
      </w:hyperlink>
      <w:r/>
      <w:r/>
    </w:p>
    <w:p w14:paraId="2024543B" w14:textId="77777777">
      <w:pPr>
        <w:pBdr>
          <w:top w:val="none" w:color="000000" w:sz="4" w:space="0"/>
          <w:left w:val="none" w:color="000000" w:sz="4" w:space="0"/>
          <w:bottom w:val="none" w:color="000000" w:sz="4" w:space="0"/>
          <w:right w:val="none" w:color="000000" w:sz="4" w:space="0"/>
        </w:pBdr>
        <w:spacing w:after="120" w:line="240" w:lineRule="auto"/>
        <w:ind w:hanging="480"/>
        <w:rPr>
          <w:sz w:val="24"/>
          <w:szCs w:val="28"/>
        </w:rPr>
      </w:pPr>
      <w:r>
        <w:rPr>
          <w:sz w:val="24"/>
          <w:szCs w:val="28"/>
        </w:rPr>
        <w:t xml:space="preserve">Noels, K. A., Pelletier, L. G., Clement, R., &amp; Vallerand, R. J. (2000). Why are you learning a second language? Motivational orientations and self-determination theory. </w:t>
      </w:r>
      <w:r>
        <w:rPr>
          <w:i/>
          <w:iCs/>
          <w:sz w:val="24"/>
          <w:szCs w:val="28"/>
        </w:rPr>
        <w:t xml:space="preserve">Language Learning</w:t>
      </w:r>
      <w:r>
        <w:rPr>
          <w:sz w:val="24"/>
          <w:szCs w:val="28"/>
        </w:rPr>
        <w:t xml:space="preserve">, </w:t>
      </w:r>
      <w:r>
        <w:rPr>
          <w:i/>
          <w:iCs/>
          <w:sz w:val="24"/>
          <w:szCs w:val="28"/>
        </w:rPr>
        <w:t xml:space="preserve">50</w:t>
      </w:r>
      <w:r>
        <w:rPr>
          <w:sz w:val="24"/>
          <w:szCs w:val="28"/>
        </w:rPr>
        <w:t xml:space="preserve">(1), 57–85. </w:t>
      </w:r>
      <w:hyperlink r:id="rId44" w:tooltip="https://doi.org/10.1111/0023-8333.00111" w:history="1">
        <w:r>
          <w:rPr>
            <w:rStyle w:val="1044"/>
            <w:sz w:val="24"/>
            <w:szCs w:val="28"/>
          </w:rPr>
          <w:t xml:space="preserve">https://doi.org/10.1111/0023-8333.00111</w:t>
        </w:r>
      </w:hyperlink>
      <w:r>
        <w:rPr>
          <w:sz w:val="24"/>
          <w:szCs w:val="28"/>
        </w:rPr>
      </w:r>
      <w:r>
        <w:rPr>
          <w:sz w:val="24"/>
          <w:szCs w:val="28"/>
        </w:rPr>
      </w:r>
    </w:p>
    <w:p w14:paraId="2CC01F2C"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Paethrangsi, N., Teekasap, S., Khiewpan, R., &amp; Jandaboue, W. (2024). Empowering students’ autonomous learning through self-regulation, metacognitive strategies, and collaborative learning environments. </w:t>
      </w:r>
      <w:r>
        <w:rPr>
          <w:rFonts w:cs="Times New Roman"/>
          <w:i/>
          <w:color w:val="000000"/>
          <w:sz w:val="24"/>
        </w:rPr>
        <w:t xml:space="preserve">Journal of Liberal Arts RMUTT</w:t>
      </w:r>
      <w:r>
        <w:rPr>
          <w:rFonts w:cs="Times New Roman"/>
          <w:color w:val="000000"/>
          <w:sz w:val="24"/>
        </w:rPr>
        <w:t xml:space="preserve">, </w:t>
      </w:r>
      <w:r>
        <w:rPr>
          <w:rFonts w:cs="Times New Roman"/>
          <w:i/>
          <w:color w:val="000000"/>
          <w:sz w:val="24"/>
        </w:rPr>
        <w:t xml:space="preserve">5</w:t>
      </w:r>
      <w:r>
        <w:rPr>
          <w:rFonts w:cs="Times New Roman"/>
          <w:color w:val="000000"/>
          <w:sz w:val="24"/>
        </w:rPr>
        <w:t xml:space="preserve">(1), 69–79. </w:t>
      </w:r>
      <w:hyperlink r:id="rId45" w:tooltip="https://doi.org/10.60101/jla.2024.5.1.4065" w:history="1">
        <w:r>
          <w:rPr>
            <w:rStyle w:val="1044"/>
            <w:rFonts w:cs="Times New Roman"/>
            <w:color w:val="0000ee"/>
            <w:sz w:val="24"/>
          </w:rPr>
          <w:t xml:space="preserve">https://doi.org/10.60101/jla.2024.5.1.4065</w:t>
        </w:r>
      </w:hyperlink>
      <w:r/>
      <w:r/>
    </w:p>
    <w:p w14:paraId="61789640"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Permzadian, V., &amp; Shen, T. (2024). Assessing the predictive validity of expectancy theory for academic performance. </w:t>
      </w:r>
      <w:r>
        <w:rPr>
          <w:rFonts w:cs="Times New Roman"/>
          <w:i/>
          <w:color w:val="000000"/>
          <w:sz w:val="24"/>
        </w:rPr>
        <w:t xml:space="preserve">BMC Psychology</w:t>
      </w:r>
      <w:r>
        <w:rPr>
          <w:rFonts w:cs="Times New Roman"/>
          <w:color w:val="000000"/>
          <w:sz w:val="24"/>
        </w:rPr>
        <w:t xml:space="preserve">, </w:t>
      </w:r>
      <w:r>
        <w:rPr>
          <w:rFonts w:cs="Times New Roman"/>
          <w:i/>
          <w:color w:val="000000"/>
          <w:sz w:val="24"/>
        </w:rPr>
        <w:t xml:space="preserve">12</w:t>
      </w:r>
      <w:r>
        <w:rPr>
          <w:rFonts w:cs="Times New Roman"/>
          <w:color w:val="000000"/>
          <w:sz w:val="24"/>
        </w:rPr>
        <w:t xml:space="preserve">(1), 437. </w:t>
      </w:r>
      <w:hyperlink r:id="rId46" w:tooltip="https://doi.org/10.1186/s40359-024-01935-y" w:history="1">
        <w:r>
          <w:rPr>
            <w:rStyle w:val="1044"/>
            <w:rFonts w:cs="Times New Roman"/>
            <w:color w:val="0000ee"/>
            <w:sz w:val="24"/>
          </w:rPr>
          <w:t xml:space="preserve">https://doi.org/10.1186/s40359-024-01935-y</w:t>
        </w:r>
      </w:hyperlink>
      <w:r/>
      <w:r/>
    </w:p>
    <w:p w14:paraId="6A290916"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Sansone, C., &amp; Thoman, D. B. (2005). Interest as the missing motivator in self-regulation. </w:t>
      </w:r>
      <w:r>
        <w:rPr>
          <w:rFonts w:cs="Times New Roman"/>
          <w:i/>
          <w:color w:val="000000"/>
          <w:sz w:val="24"/>
        </w:rPr>
        <w:t xml:space="preserve">European Psychologist</w:t>
      </w:r>
      <w:r>
        <w:rPr>
          <w:rFonts w:cs="Times New Roman"/>
          <w:color w:val="000000"/>
          <w:sz w:val="24"/>
        </w:rPr>
        <w:t xml:space="preserve">, </w:t>
      </w:r>
      <w:r>
        <w:rPr>
          <w:rFonts w:cs="Times New Roman"/>
          <w:i/>
          <w:color w:val="000000"/>
          <w:sz w:val="24"/>
        </w:rPr>
        <w:t xml:space="preserve">10</w:t>
      </w:r>
      <w:r>
        <w:rPr>
          <w:rFonts w:cs="Times New Roman"/>
          <w:color w:val="000000"/>
          <w:sz w:val="24"/>
        </w:rPr>
        <w:t xml:space="preserve">(3), 175–186. </w:t>
      </w:r>
      <w:hyperlink r:id="rId47" w:tooltip="https://doi.org/10.1027/1016-9040.10.3.175" w:history="1">
        <w:r>
          <w:rPr>
            <w:rStyle w:val="1044"/>
            <w:rFonts w:cs="Times New Roman"/>
            <w:color w:val="0000ee"/>
            <w:sz w:val="24"/>
          </w:rPr>
          <w:t xml:space="preserve">https://doi.org/10.1027/1016-9040.10.3.175</w:t>
        </w:r>
      </w:hyperlink>
      <w:r/>
      <w:r/>
    </w:p>
    <w:p w14:paraId="12CB1D4D">
      <w:pPr>
        <w:pBdr>
          <w:top w:val="none" w:color="000000" w:sz="4" w:space="0"/>
          <w:left w:val="none" w:color="000000" w:sz="4" w:space="0"/>
          <w:bottom w:val="none" w:color="000000" w:sz="4" w:space="0"/>
          <w:right w:val="none" w:color="000000" w:sz="4" w:space="0"/>
        </w:pBdr>
        <w:spacing w:after="120" w:line="240" w:lineRule="auto"/>
        <w:ind w:hanging="480"/>
        <w:rPr/>
      </w:pPr>
      <w:r>
        <w:rPr>
          <w:sz w:val="24"/>
          <w:szCs w:val="28"/>
          <w:highlight w:val="none"/>
        </w:rPr>
        <w:t xml:space="preserve">Selya, A. S., Rose, J. S., Dierker, L. C., Hedeker, D., &amp; Mermelstein, R. J. </w:t>
      </w:r>
      <w:r>
        <w:rPr>
          <w:sz w:val="24"/>
          <w:szCs w:val="28"/>
          <w:highlight w:val="none"/>
        </w:rPr>
        <w:t xml:space="preserve">(2012). A practical guide to calculating Cohen's f</w:t>
      </w:r>
      <w:r>
        <w:rPr>
          <w:sz w:val="24"/>
          <w:szCs w:val="28"/>
          <w:highlight w:val="none"/>
          <w:vertAlign w:val="superscript"/>
        </w:rPr>
        <w:t xml:space="preserve">2</w:t>
      </w:r>
      <w:r>
        <w:rPr>
          <w:sz w:val="24"/>
          <w:szCs w:val="28"/>
          <w:highlight w:val="none"/>
        </w:rPr>
        <w:t xml:space="preserve">, a measure of local effect </w:t>
      </w:r>
      <w:r>
        <w:rPr>
          <w:sz w:val="24"/>
          <w:szCs w:val="28"/>
          <w:highlight w:val="none"/>
        </w:rPr>
        <w:t xml:space="preserve">size, from PROC MIXED. </w:t>
      </w:r>
      <w:r>
        <w:rPr>
          <w:i/>
          <w:iCs/>
          <w:sz w:val="24"/>
          <w:szCs w:val="28"/>
          <w:highlight w:val="none"/>
        </w:rPr>
        <w:t xml:space="preserve">Frontiers in Psychology</w:t>
      </w:r>
      <w:r>
        <w:rPr>
          <w:sz w:val="24"/>
          <w:szCs w:val="28"/>
          <w:highlight w:val="none"/>
        </w:rPr>
        <w:t xml:space="preserve">, </w:t>
      </w:r>
      <w:r>
        <w:rPr>
          <w:i/>
          <w:iCs/>
          <w:sz w:val="24"/>
          <w:szCs w:val="28"/>
          <w:highlight w:val="none"/>
        </w:rPr>
        <w:t xml:space="preserve">3</w:t>
      </w:r>
      <w:r>
        <w:rPr>
          <w:sz w:val="24"/>
          <w:szCs w:val="28"/>
          <w:highlight w:val="none"/>
        </w:rPr>
        <w:t xml:space="preserve">, Article e00111. </w:t>
      </w:r>
      <w:hyperlink r:id="rId48" w:tooltip="https://doi.org/10.3389/fpsyg.2012.00111" w:history="1">
        <w:r>
          <w:rPr>
            <w:rStyle w:val="1044"/>
            <w:sz w:val="24"/>
            <w:szCs w:val="28"/>
            <w:highlight w:val="none"/>
          </w:rPr>
        </w:r>
        <w:r>
          <w:rPr>
            <w:rStyle w:val="1044"/>
          </w:rPr>
        </w:r>
        <w:r>
          <w:rPr>
            <w:rStyle w:val="1044"/>
            <w:sz w:val="24"/>
            <w:szCs w:val="28"/>
            <w:highlight w:val="none"/>
          </w:rPr>
        </w:r>
        <w:r>
          <w:rPr>
            <w:rStyle w:val="1044"/>
            <w:sz w:val="24"/>
            <w:szCs w:val="28"/>
            <w:highlight w:val="none"/>
          </w:rPr>
          <w:t xml:space="preserve">https://doi.org/10.3389/fpsyg.2012.00111</w:t>
        </w:r>
        <w:r>
          <w:rPr>
            <w:rStyle w:val="1044"/>
          </w:rPr>
        </w:r>
        <w:r>
          <w:rPr>
            <w:rStyle w:val="1044"/>
            <w:sz w:val="24"/>
            <w:szCs w:val="28"/>
            <w:highlight w:val="none"/>
          </w:rPr>
        </w:r>
        <w:r>
          <w:rPr>
            <w:rStyle w:val="1044"/>
            <w:highlight w:val="none"/>
          </w:rPr>
        </w:r>
        <w:r>
          <w:rPr>
            <w:rStyle w:val="1044"/>
            <w:sz w:val="24"/>
            <w:szCs w:val="28"/>
          </w:rPr>
        </w:r>
        <w:r>
          <w:rPr>
            <w:rStyle w:val="1044"/>
            <w:sz w:val="24"/>
            <w:szCs w:val="28"/>
            <w:highlight w:val="none"/>
          </w:rPr>
        </w:r>
      </w:hyperlink>
      <w:r>
        <w:rPr>
          <w:sz w:val="24"/>
          <w:szCs w:val="28"/>
          <w:highlight w:val="none"/>
        </w:rPr>
      </w:r>
      <w:r/>
    </w:p>
    <w:p w14:paraId="0029956A"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Sinkkonen, M., &amp; Tapani, A. (2024). Review of the concept “self-regulated learning”: defined and used in different educational contexts. </w:t>
      </w:r>
      <w:r>
        <w:rPr>
          <w:rFonts w:cs="Times New Roman"/>
          <w:i/>
          <w:color w:val="000000"/>
          <w:sz w:val="24"/>
        </w:rPr>
        <w:t xml:space="preserve">International Journal on Social and Education Sciences</w:t>
      </w:r>
      <w:r>
        <w:rPr>
          <w:rFonts w:cs="Times New Roman"/>
          <w:color w:val="000000"/>
          <w:sz w:val="24"/>
        </w:rPr>
        <w:t xml:space="preserve">, </w:t>
      </w:r>
      <w:r>
        <w:rPr>
          <w:rFonts w:cs="Times New Roman"/>
          <w:i/>
          <w:color w:val="000000"/>
          <w:sz w:val="24"/>
        </w:rPr>
        <w:t xml:space="preserve">6</w:t>
      </w:r>
      <w:r>
        <w:rPr>
          <w:rFonts w:cs="Times New Roman"/>
          <w:color w:val="000000"/>
          <w:sz w:val="24"/>
        </w:rPr>
        <w:t xml:space="preserve">(1), 130–151. </w:t>
      </w:r>
      <w:hyperlink r:id="rId49" w:tooltip="https://doi.org/10.46328/ijonses.640" w:history="1">
        <w:r>
          <w:rPr>
            <w:rStyle w:val="1044"/>
            <w:rFonts w:cs="Times New Roman"/>
            <w:color w:val="0000ee"/>
            <w:sz w:val="24"/>
          </w:rPr>
          <w:t xml:space="preserve">https://doi.org/10.46328/ijonses.640</w:t>
        </w:r>
      </w:hyperlink>
      <w:r/>
      <w:r/>
    </w:p>
    <w:p w14:paraId="5655AE84"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Stroud, L., Green, E., &amp; Cronje, J. (2020). A revision process that bridges qualitative and quantitative assessment. </w:t>
      </w:r>
      <w:r>
        <w:rPr>
          <w:rFonts w:cs="Times New Roman"/>
          <w:i/>
          <w:color w:val="000000"/>
          <w:sz w:val="24"/>
        </w:rPr>
        <w:t xml:space="preserve">Psychology</w:t>
      </w:r>
      <w:r>
        <w:rPr>
          <w:rFonts w:cs="Times New Roman"/>
          <w:color w:val="000000"/>
          <w:sz w:val="24"/>
        </w:rPr>
        <w:t xml:space="preserve">, </w:t>
      </w:r>
      <w:r>
        <w:rPr>
          <w:rFonts w:cs="Times New Roman"/>
          <w:i/>
          <w:color w:val="000000"/>
          <w:sz w:val="24"/>
        </w:rPr>
        <w:t xml:space="preserve">11</w:t>
      </w:r>
      <w:r>
        <w:rPr>
          <w:rFonts w:cs="Times New Roman"/>
          <w:color w:val="000000"/>
          <w:sz w:val="24"/>
        </w:rPr>
        <w:t xml:space="preserve">(03), 436–444. </w:t>
      </w:r>
      <w:hyperlink r:id="rId50" w:tooltip="https://doi.org/10.4236/psych.2020.113029" w:history="1">
        <w:r>
          <w:rPr>
            <w:rStyle w:val="1044"/>
            <w:rFonts w:cs="Times New Roman"/>
            <w:color w:val="0000ee"/>
            <w:sz w:val="24"/>
          </w:rPr>
          <w:t xml:space="preserve">https://doi.org/10.4236/psych.2020.113029</w:t>
        </w:r>
      </w:hyperlink>
      <w:r/>
      <w:r/>
    </w:p>
    <w:p w14:paraId="3014E1D6" w14:textId="77777777">
      <w:pPr>
        <w:pBdr>
          <w:top w:val="none" w:color="000000" w:sz="4" w:space="0"/>
          <w:left w:val="none" w:color="000000" w:sz="4" w:space="0"/>
          <w:bottom w:val="none" w:color="000000" w:sz="4" w:space="0"/>
          <w:right w:val="none" w:color="000000" w:sz="4" w:space="0"/>
        </w:pBdr>
        <w:spacing w:after="120" w:line="240" w:lineRule="auto"/>
        <w:ind w:hanging="480"/>
        <w:rPr>
          <w:highlight w:val="none"/>
        </w:rPr>
      </w:pPr>
      <w:r>
        <w:rPr>
          <w:rFonts w:cs="Times New Roman"/>
          <w:color w:val="000000"/>
          <w:sz w:val="24"/>
        </w:rPr>
        <w:t xml:space="preserve">Tao, S., &amp; Jing, Y. (2023). More sense of self-discipline, less procrastination: The mediation of autonomous motivation. </w:t>
      </w:r>
      <w:r>
        <w:rPr>
          <w:rFonts w:cs="Times New Roman"/>
          <w:i/>
          <w:color w:val="000000"/>
          <w:sz w:val="24"/>
        </w:rPr>
        <w:t xml:space="preserve">Frontiers in Psychology</w:t>
      </w:r>
      <w:r>
        <w:rPr>
          <w:rFonts w:cs="Times New Roman"/>
          <w:color w:val="000000"/>
          <w:sz w:val="24"/>
        </w:rPr>
        <w:t xml:space="preserve">, </w:t>
      </w:r>
      <w:r>
        <w:rPr>
          <w:rFonts w:cs="Times New Roman"/>
          <w:i/>
          <w:color w:val="000000"/>
          <w:sz w:val="24"/>
        </w:rPr>
        <w:t xml:space="preserve">14</w:t>
      </w:r>
      <w:r>
        <w:rPr>
          <w:rFonts w:cs="Times New Roman"/>
          <w:color w:val="000000"/>
          <w:sz w:val="24"/>
        </w:rPr>
        <w:t xml:space="preserve">, 1268614. </w:t>
      </w:r>
      <w:hyperlink r:id="rId51" w:tooltip="https://doi.org/10.3389/fpsyg.2023.1268614" w:history="1">
        <w:r>
          <w:rPr>
            <w:rStyle w:val="1044"/>
            <w:rFonts w:cs="Times New Roman"/>
            <w:color w:val="0000ee"/>
            <w:sz w:val="24"/>
          </w:rPr>
          <w:t xml:space="preserve">https://doi.org/10.3389/fpsyg.2023.1268614</w:t>
        </w:r>
      </w:hyperlink>
      <w:r>
        <w:rPr>
          <w:highlight w:val="none"/>
        </w:rPr>
      </w:r>
      <w:r>
        <w:rPr>
          <w:highlight w:val="none"/>
        </w:rPr>
      </w:r>
    </w:p>
    <w:p w14:paraId="47B529FA">
      <w:pPr>
        <w:pBdr>
          <w:top w:val="none" w:color="000000" w:sz="4" w:space="0"/>
          <w:left w:val="none" w:color="000000" w:sz="4" w:space="0"/>
          <w:bottom w:val="none" w:color="000000" w:sz="4" w:space="0"/>
          <w:right w:val="none" w:color="000000" w:sz="4" w:space="0"/>
        </w:pBdr>
        <w:spacing w:after="120" w:line="240" w:lineRule="auto"/>
        <w:ind w:hanging="480"/>
        <w:rPr/>
      </w:pPr>
      <w:r>
        <w:rPr>
          <w:sz w:val="24"/>
          <w:szCs w:val="28"/>
          <w:highlight w:val="none"/>
        </w:rPr>
        <w:t xml:space="preserve">Thi, N. A., Tra, N. H., My, N. H., Thuy, P. T., Thao, L. T., Yen, P. H., &amp; </w:t>
      </w:r>
      <w:r>
        <w:rPr>
          <w:sz w:val="24"/>
          <w:szCs w:val="28"/>
          <w:highlight w:val="none"/>
        </w:rPr>
        <w:t xml:space="preserve">Thu, H. T. A. (2022). Empowering Vietnamese EFL learners at tertiary level: </w:t>
      </w:r>
      <w:r>
        <w:rPr>
          <w:sz w:val="24"/>
          <w:szCs w:val="28"/>
          <w:highlight w:val="none"/>
        </w:rPr>
        <w:t xml:space="preserve">Investigating factors shaping learner autonomy in English language acquisition. </w:t>
      </w:r>
      <w:r>
        <w:rPr>
          <w:i/>
          <w:iCs/>
          <w:sz w:val="24"/>
          <w:szCs w:val="28"/>
          <w:highlight w:val="none"/>
        </w:rPr>
        <w:t xml:space="preserve">Vision: Journal for Language and Foreign Language Learning</w:t>
      </w:r>
      <w:r>
        <w:rPr>
          <w:sz w:val="24"/>
          <w:szCs w:val="28"/>
          <w:highlight w:val="none"/>
        </w:rPr>
        <w:t xml:space="preserve">, </w:t>
      </w:r>
      <w:r>
        <w:rPr>
          <w:i/>
          <w:iCs/>
          <w:sz w:val="24"/>
          <w:szCs w:val="28"/>
          <w:highlight w:val="none"/>
        </w:rPr>
        <w:t xml:space="preserve">11</w:t>
      </w:r>
      <w:r>
        <w:rPr>
          <w:sz w:val="24"/>
          <w:szCs w:val="28"/>
          <w:highlight w:val="none"/>
        </w:rPr>
        <w:t xml:space="preserve">(2), 125</w:t>
      </w:r>
      <w:r>
        <w:rPr>
          <w:sz w:val="24"/>
          <w:szCs w:val="28"/>
          <w:highlight w:val="none"/>
        </w:rPr>
        <w:t xml:space="preserve">–</w:t>
      </w:r>
      <w:r>
        <w:rPr>
          <w:sz w:val="24"/>
          <w:szCs w:val="28"/>
          <w:highlight w:val="none"/>
        </w:rPr>
        <w:t xml:space="preserve">138. </w:t>
      </w:r>
      <w:hyperlink r:id="rId52" w:tooltip="https://doi.org/10.21580/vjv12i116406" w:history="1">
        <w:r>
          <w:rPr>
            <w:rStyle w:val="1044"/>
            <w:sz w:val="24"/>
            <w:szCs w:val="28"/>
            <w:highlight w:val="none"/>
          </w:rPr>
        </w:r>
        <w:r>
          <w:rPr>
            <w:rStyle w:val="1044"/>
          </w:rPr>
        </w:r>
        <w:r>
          <w:rPr>
            <w:rStyle w:val="1044"/>
            <w:sz w:val="24"/>
            <w:szCs w:val="28"/>
            <w:highlight w:val="none"/>
          </w:rPr>
        </w:r>
        <w:r>
          <w:rPr>
            <w:rStyle w:val="1044"/>
            <w:sz w:val="24"/>
            <w:szCs w:val="28"/>
            <w:highlight w:val="none"/>
          </w:rPr>
          <w:t xml:space="preserve">https://doi.org/10.21580/vjv12i116406</w:t>
        </w:r>
        <w:r>
          <w:rPr>
            <w:rStyle w:val="1044"/>
          </w:rPr>
        </w:r>
        <w:r>
          <w:rPr>
            <w:rStyle w:val="1044"/>
            <w:sz w:val="24"/>
            <w:szCs w:val="28"/>
            <w:highlight w:val="none"/>
          </w:rPr>
        </w:r>
        <w:r>
          <w:rPr>
            <w:rStyle w:val="1044"/>
            <w:highlight w:val="none"/>
          </w:rPr>
        </w:r>
        <w:r>
          <w:rPr>
            <w:rStyle w:val="1044"/>
            <w:sz w:val="24"/>
            <w:szCs w:val="28"/>
            <w:highlight w:val="none"/>
          </w:rPr>
        </w:r>
        <w:r>
          <w:rPr>
            <w:rStyle w:val="1044"/>
            <w:sz w:val="24"/>
            <w:szCs w:val="28"/>
            <w:highlight w:val="none"/>
          </w:rPr>
        </w:r>
      </w:hyperlink>
      <w:r>
        <w:rPr>
          <w:sz w:val="24"/>
          <w:szCs w:val="28"/>
          <w:highlight w:val="none"/>
        </w:rPr>
      </w:r>
      <w:r/>
    </w:p>
    <w:p w14:paraId="0FD46C9F">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Truong, B. C. (2025). The motivation of Vietnamese university students to learn English: a study using the expectancy-value model of academic motivation (Version 1). </w:t>
      </w:r>
      <w:r>
        <w:rPr>
          <w:rFonts w:cs="Times New Roman"/>
          <w:i/>
          <w:iCs/>
          <w:color w:val="000000"/>
          <w:sz w:val="24"/>
        </w:rPr>
        <w:t xml:space="preserve">Open Research Newcastle</w:t>
      </w:r>
      <w:r>
        <w:rPr>
          <w:rFonts w:cs="Times New Roman"/>
          <w:color w:val="000000"/>
          <w:sz w:val="24"/>
        </w:rPr>
        <w:t xml:space="preserve">. </w:t>
      </w:r>
      <w:hyperlink r:id="rId53" w:tooltip="https://hdl.handle.net/1959.13/1333816" w:history="1">
        <w:r>
          <w:rPr>
            <w:rStyle w:val="1044"/>
            <w:rFonts w:cs="Times New Roman"/>
            <w:sz w:val="24"/>
          </w:rPr>
          <w:t xml:space="preserve">https://hdl.handle.net/1959.13/1333816 </w:t>
        </w:r>
      </w:hyperlink>
      <w:r>
        <w:rPr>
          <w:highlight w:val="none"/>
        </w:rPr>
      </w:r>
      <w:r/>
    </w:p>
    <w:p w14:paraId="2BFB2EC8"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Usán Supervía, P., Salavera Bordás, C., &amp; Teruel, P. (2019). School motivation, goal orientation and academic performance in secondary education students. </w:t>
      </w:r>
      <w:r>
        <w:rPr>
          <w:rFonts w:cs="Times New Roman"/>
          <w:i/>
          <w:color w:val="000000"/>
          <w:sz w:val="24"/>
        </w:rPr>
        <w:t xml:space="preserve">Psychology Research and Behavior Management</w:t>
      </w:r>
      <w:r>
        <w:rPr>
          <w:rFonts w:cs="Times New Roman"/>
          <w:color w:val="000000"/>
          <w:sz w:val="24"/>
        </w:rPr>
        <w:t xml:space="preserve">, </w:t>
      </w:r>
      <w:r>
        <w:rPr>
          <w:rFonts w:cs="Times New Roman"/>
          <w:i/>
          <w:color w:val="000000"/>
          <w:sz w:val="24"/>
        </w:rPr>
        <w:t xml:space="preserve">12</w:t>
      </w:r>
      <w:r>
        <w:rPr>
          <w:rFonts w:cs="Times New Roman"/>
          <w:color w:val="000000"/>
          <w:sz w:val="24"/>
        </w:rPr>
        <w:t xml:space="preserve">, 877–887. </w:t>
      </w:r>
      <w:hyperlink r:id="rId54" w:tooltip="https://doi.org/10.2147/PRBM.S215641" w:history="1">
        <w:r>
          <w:rPr>
            <w:rStyle w:val="1044"/>
            <w:rFonts w:cs="Times New Roman"/>
            <w:color w:val="0000ee"/>
            <w:sz w:val="24"/>
          </w:rPr>
          <w:t xml:space="preserve">https://doi.org/10.2147/PRBM.S215641</w:t>
        </w:r>
      </w:hyperlink>
      <w:r/>
      <w:r/>
    </w:p>
    <w:p w14:paraId="5E3E70BE" w14:textId="77777777">
      <w:pPr>
        <w:pBdr>
          <w:top w:val="none" w:color="000000" w:sz="4" w:space="0"/>
          <w:left w:val="none" w:color="000000" w:sz="4" w:space="0"/>
          <w:bottom w:val="none" w:color="000000" w:sz="4" w:space="0"/>
          <w:right w:val="none" w:color="000000" w:sz="4" w:space="0"/>
        </w:pBdr>
        <w:spacing w:after="120" w:line="240" w:lineRule="auto"/>
        <w:ind w:hanging="480"/>
        <w:rPr>
          <w:highlight w:val="none"/>
        </w:rPr>
      </w:pPr>
      <w:r>
        <w:rPr>
          <w:rFonts w:cs="Times New Roman"/>
          <w:color w:val="000000"/>
          <w:sz w:val="24"/>
        </w:rPr>
        <w:t xml:space="preserve">Vallerand, R. J., &amp; Bissonnette, R. (1992). Intrinsic, extrinsic, and amotivational styles as predictors of behavior: A prospective study. </w:t>
      </w:r>
      <w:r>
        <w:rPr>
          <w:rFonts w:cs="Times New Roman"/>
          <w:i/>
          <w:color w:val="000000"/>
          <w:sz w:val="24"/>
        </w:rPr>
        <w:t xml:space="preserve">Journal of Personality</w:t>
      </w:r>
      <w:r>
        <w:rPr>
          <w:rFonts w:cs="Times New Roman"/>
          <w:color w:val="000000"/>
          <w:sz w:val="24"/>
        </w:rPr>
        <w:t xml:space="preserve">, </w:t>
      </w:r>
      <w:r>
        <w:rPr>
          <w:rFonts w:cs="Times New Roman"/>
          <w:i/>
          <w:color w:val="000000"/>
          <w:sz w:val="24"/>
        </w:rPr>
        <w:t xml:space="preserve">60</w:t>
      </w:r>
      <w:r>
        <w:rPr>
          <w:rFonts w:cs="Times New Roman"/>
          <w:color w:val="000000"/>
          <w:sz w:val="24"/>
        </w:rPr>
        <w:t xml:space="preserve">(3), 599–620. </w:t>
      </w:r>
      <w:hyperlink r:id="rId55" w:tooltip="https://doi.org/10.1111/j.1467-6494.1992.tb00922.x" w:history="1">
        <w:r>
          <w:rPr>
            <w:rStyle w:val="1044"/>
            <w:rFonts w:cs="Times New Roman"/>
            <w:color w:val="0000ee"/>
            <w:sz w:val="24"/>
          </w:rPr>
          <w:t xml:space="preserve">https://doi.org/10.1111/j.1467-6494.1992.tb00922.x</w:t>
        </w:r>
      </w:hyperlink>
      <w:r>
        <w:rPr>
          <w:highlight w:val="none"/>
        </w:rPr>
      </w:r>
      <w:r>
        <w:rPr>
          <w:highlight w:val="none"/>
        </w:rPr>
      </w:r>
    </w:p>
    <w:p w14:paraId="3DFC0A30">
      <w:pPr>
        <w:pBdr>
          <w:top w:val="none" w:color="000000" w:sz="4" w:space="0"/>
          <w:left w:val="none" w:color="000000" w:sz="4" w:space="0"/>
          <w:bottom w:val="none" w:color="000000" w:sz="4" w:space="0"/>
          <w:right w:val="none" w:color="000000" w:sz="4" w:space="0"/>
        </w:pBdr>
        <w:spacing w:after="120" w:line="240" w:lineRule="auto"/>
        <w:ind w:hanging="480"/>
        <w:rPr>
          <w:highlight w:val="none"/>
        </w:rPr>
      </w:pPr>
      <w:r>
        <w:rPr>
          <w:sz w:val="24"/>
          <w:szCs w:val="28"/>
          <w:highlight w:val="none"/>
        </w:rPr>
        <w:t xml:space="preserve">Wang, Y., Luo, W., Liao, X., &amp; Zhao, P. (2024). Exploring the effect of teacher </w:t>
      </w:r>
      <w:r>
        <w:rPr>
          <w:sz w:val="24"/>
          <w:szCs w:val="28"/>
          <w:highlight w:val="none"/>
        </w:rPr>
        <w:t xml:space="preserve">autonomy support on Chinese EFL undergraduates' academic English speaking </w:t>
      </w:r>
      <w:r>
        <w:rPr>
          <w:sz w:val="24"/>
          <w:szCs w:val="28"/>
          <w:highlight w:val="none"/>
        </w:rPr>
        <w:t xml:space="preserve">performance through the mediation of basic psychological needs and classroom </w:t>
      </w:r>
      <w:r>
        <w:rPr>
          <w:sz w:val="24"/>
          <w:szCs w:val="28"/>
          <w:highlight w:val="none"/>
        </w:rPr>
        <w:t xml:space="preserve">engagement. </w:t>
      </w:r>
      <w:r>
        <w:rPr>
          <w:i/>
          <w:iCs/>
          <w:sz w:val="24"/>
          <w:szCs w:val="28"/>
          <w:highlight w:val="none"/>
        </w:rPr>
        <w:t xml:space="preserve">Frontiers in Psychology</w:t>
      </w:r>
      <w:r>
        <w:rPr>
          <w:sz w:val="24"/>
          <w:szCs w:val="28"/>
          <w:highlight w:val="none"/>
        </w:rPr>
        <w:t xml:space="preserve">, </w:t>
      </w:r>
      <w:r>
        <w:rPr>
          <w:i/>
          <w:iCs/>
          <w:sz w:val="24"/>
          <w:szCs w:val="28"/>
          <w:highlight w:val="none"/>
        </w:rPr>
        <w:t xml:space="preserve">15</w:t>
      </w:r>
      <w:r>
        <w:rPr>
          <w:sz w:val="24"/>
          <w:szCs w:val="28"/>
          <w:highlight w:val="none"/>
        </w:rPr>
        <w:t xml:space="preserve">, Article 1323713. </w:t>
      </w:r>
      <w:hyperlink r:id="rId56" w:tooltip="https://doi.org/10.3389/fpsyg.2024.1323713" w:history="1">
        <w:r>
          <w:rPr>
            <w:rStyle w:val="1044"/>
            <w:sz w:val="24"/>
            <w:szCs w:val="28"/>
            <w:highlight w:val="none"/>
          </w:rPr>
        </w:r>
        <w:r>
          <w:rPr>
            <w:rStyle w:val="1044"/>
          </w:rPr>
        </w:r>
        <w:r>
          <w:rPr>
            <w:rStyle w:val="1044"/>
            <w:sz w:val="24"/>
            <w:szCs w:val="28"/>
            <w:highlight w:val="none"/>
          </w:rPr>
        </w:r>
        <w:r>
          <w:rPr>
            <w:rStyle w:val="1044"/>
            <w:sz w:val="24"/>
            <w:szCs w:val="28"/>
            <w:highlight w:val="none"/>
          </w:rPr>
          <w:t xml:space="preserve">https://doi.org/10.3389/fpsyg.2024.1323713</w:t>
        </w:r>
        <w:r>
          <w:rPr>
            <w:rStyle w:val="1044"/>
          </w:rPr>
        </w:r>
        <w:r>
          <w:rPr>
            <w:rStyle w:val="1044"/>
            <w:sz w:val="24"/>
            <w:szCs w:val="28"/>
            <w:highlight w:val="none"/>
          </w:rPr>
        </w:r>
        <w:r>
          <w:rPr>
            <w:rStyle w:val="1044"/>
            <w:highlight w:val="none"/>
          </w:rPr>
        </w:r>
        <w:r>
          <w:rPr>
            <w:rStyle w:val="1044"/>
            <w:sz w:val="24"/>
            <w:szCs w:val="28"/>
          </w:rPr>
        </w:r>
        <w:r>
          <w:rPr>
            <w:rStyle w:val="1044"/>
            <w:sz w:val="24"/>
            <w:szCs w:val="28"/>
            <w:highlight w:val="none"/>
          </w:rPr>
        </w:r>
      </w:hyperlink>
      <w:r>
        <w:rPr>
          <w:highlight w:val="none"/>
        </w:rPr>
      </w:r>
      <w:r>
        <w:rPr>
          <w:highlight w:val="none"/>
        </w:rPr>
      </w:r>
    </w:p>
    <w:p w14:paraId="2B01A42D">
      <w:pPr>
        <w:pBdr>
          <w:top w:val="none" w:color="000000" w:sz="4" w:space="0"/>
          <w:left w:val="none" w:color="000000" w:sz="4" w:space="0"/>
          <w:bottom w:val="none" w:color="000000" w:sz="4" w:space="0"/>
          <w:right w:val="none" w:color="000000" w:sz="4" w:space="0"/>
        </w:pBdr>
        <w:spacing w:after="120" w:line="240" w:lineRule="auto"/>
        <w:ind w:hanging="480"/>
        <w:rPr/>
      </w:pPr>
      <w:r>
        <w:rPr>
          <w:sz w:val="24"/>
          <w:szCs w:val="28"/>
          <w:highlight w:val="none"/>
        </w:rPr>
        <w:t xml:space="preserve">Wilkesmann, Z. N. (2021). Influence of motivation on academic performance of </w:t>
      </w:r>
      <w:r>
        <w:rPr>
          <w:sz w:val="24"/>
          <w:szCs w:val="28"/>
          <w:highlight w:val="none"/>
        </w:rPr>
        <w:t xml:space="preserve">students in Germany. </w:t>
      </w:r>
      <w:r>
        <w:rPr>
          <w:i/>
          <w:iCs/>
          <w:sz w:val="24"/>
          <w:szCs w:val="28"/>
          <w:highlight w:val="none"/>
        </w:rPr>
        <w:t xml:space="preserve">Journal of Education</w:t>
      </w:r>
      <w:r>
        <w:rPr>
          <w:sz w:val="24"/>
          <w:szCs w:val="28"/>
          <w:highlight w:val="none"/>
        </w:rPr>
        <w:t xml:space="preserve">, </w:t>
      </w:r>
      <w:r>
        <w:rPr>
          <w:i/>
          <w:iCs/>
          <w:sz w:val="24"/>
          <w:szCs w:val="28"/>
          <w:highlight w:val="none"/>
        </w:rPr>
        <w:t xml:space="preserve">4</w:t>
      </w:r>
      <w:r>
        <w:rPr>
          <w:sz w:val="24"/>
          <w:szCs w:val="28"/>
          <w:highlight w:val="none"/>
        </w:rPr>
        <w:t xml:space="preserve">(6), 1</w:t>
      </w:r>
      <w:r>
        <w:rPr>
          <w:sz w:val="24"/>
          <w:szCs w:val="28"/>
          <w:highlight w:val="none"/>
        </w:rPr>
        <w:t xml:space="preserve">–</w:t>
      </w:r>
      <w:r>
        <w:rPr>
          <w:sz w:val="24"/>
          <w:szCs w:val="28"/>
          <w:highlight w:val="none"/>
        </w:rPr>
        <w:t xml:space="preserve">9. </w:t>
      </w:r>
      <w:hyperlink r:id="rId57" w:tooltip="https://doi.org/10.53819/810181025018" w:history="1">
        <w:r>
          <w:rPr>
            <w:rStyle w:val="1044"/>
            <w:sz w:val="24"/>
            <w:szCs w:val="28"/>
            <w:highlight w:val="none"/>
          </w:rPr>
        </w:r>
        <w:r>
          <w:rPr>
            <w:rStyle w:val="1044"/>
          </w:rPr>
        </w:r>
        <w:r>
          <w:rPr>
            <w:rStyle w:val="1044"/>
            <w:sz w:val="24"/>
            <w:szCs w:val="28"/>
            <w:highlight w:val="none"/>
          </w:rPr>
        </w:r>
        <w:r>
          <w:rPr>
            <w:rStyle w:val="1044"/>
            <w:sz w:val="24"/>
            <w:szCs w:val="28"/>
            <w:highlight w:val="none"/>
          </w:rPr>
          <w:t xml:space="preserve">https://doi.org/10.53819/810181025018</w:t>
        </w:r>
        <w:r>
          <w:rPr>
            <w:rStyle w:val="1044"/>
          </w:rPr>
        </w:r>
        <w:r>
          <w:rPr>
            <w:rStyle w:val="1044"/>
            <w:sz w:val="24"/>
            <w:szCs w:val="28"/>
            <w:highlight w:val="none"/>
          </w:rPr>
        </w:r>
        <w:r>
          <w:rPr>
            <w:rStyle w:val="1044"/>
            <w:highlight w:val="none"/>
          </w:rPr>
        </w:r>
        <w:r>
          <w:rPr>
            <w:rStyle w:val="1044"/>
            <w:sz w:val="32"/>
            <w:szCs w:val="32"/>
            <w:highlight w:val="none"/>
          </w:rPr>
        </w:r>
        <w:r>
          <w:rPr>
            <w:rStyle w:val="1044"/>
            <w:sz w:val="24"/>
            <w:szCs w:val="28"/>
            <w:highlight w:val="none"/>
          </w:rPr>
        </w:r>
      </w:hyperlink>
      <w:r>
        <w:rPr>
          <w:sz w:val="24"/>
          <w:szCs w:val="28"/>
          <w:highlight w:val="none"/>
        </w:rPr>
      </w:r>
      <w:r/>
    </w:p>
    <w:p w14:paraId="1C780ACF"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Zhou, F., &amp; Ahmad, R. A. H. R. (2025). The impact of learning motivation on students’ academic performance: a self-determination theory perspective. </w:t>
      </w:r>
      <w:r>
        <w:rPr>
          <w:rFonts w:cs="Times New Roman"/>
          <w:i/>
          <w:color w:val="000000"/>
          <w:sz w:val="24"/>
        </w:rPr>
        <w:t xml:space="preserve">Journal of Education, Humanities, and Social Research</w:t>
      </w:r>
      <w:r>
        <w:rPr>
          <w:rFonts w:cs="Times New Roman"/>
          <w:color w:val="000000"/>
          <w:sz w:val="24"/>
        </w:rPr>
        <w:t xml:space="preserve">, </w:t>
      </w:r>
      <w:r>
        <w:rPr>
          <w:rFonts w:cs="Times New Roman"/>
          <w:i/>
          <w:color w:val="000000"/>
          <w:sz w:val="24"/>
        </w:rPr>
        <w:t xml:space="preserve">2</w:t>
      </w:r>
      <w:r>
        <w:rPr>
          <w:rFonts w:cs="Times New Roman"/>
          <w:color w:val="000000"/>
          <w:sz w:val="24"/>
        </w:rPr>
        <w:t xml:space="preserve">(1), 155–163. </w:t>
      </w:r>
      <w:hyperlink r:id="rId58" w:tooltip="https://doi.org/10.71222/p1ck9h68" w:history="1">
        <w:r>
          <w:rPr>
            <w:rStyle w:val="1044"/>
            <w:rFonts w:cs="Times New Roman"/>
            <w:color w:val="0000ee"/>
            <w:sz w:val="24"/>
          </w:rPr>
          <w:t xml:space="preserve">https://doi.org/10.71222/p1ck9h68</w:t>
        </w:r>
      </w:hyperlink>
      <w:r/>
      <w:r/>
    </w:p>
    <w:p w14:paraId="44435C40" w14:textId="77777777">
      <w:pPr>
        <w:pBdr>
          <w:top w:val="none" w:color="000000" w:sz="4" w:space="0"/>
          <w:left w:val="none" w:color="000000" w:sz="4" w:space="0"/>
          <w:bottom w:val="none" w:color="000000" w:sz="4" w:space="0"/>
          <w:right w:val="none" w:color="000000" w:sz="4" w:space="0"/>
        </w:pBdr>
        <w:spacing w:after="120" w:line="240" w:lineRule="auto"/>
        <w:ind w:hanging="480"/>
        <w:rPr/>
      </w:pPr>
      <w:r>
        <w:rPr>
          <w:rFonts w:cs="Times New Roman"/>
          <w:color w:val="000000"/>
          <w:sz w:val="24"/>
        </w:rPr>
        <w:t xml:space="preserve">Zimmerman, B. J., &amp; Kitsantas, A. (2014). Comparing students’ self-discipline and self-regulation measures and their prediction of academic achievement. </w:t>
      </w:r>
      <w:r>
        <w:rPr>
          <w:rFonts w:cs="Times New Roman"/>
          <w:i/>
          <w:color w:val="000000"/>
          <w:sz w:val="24"/>
        </w:rPr>
        <w:t xml:space="preserve">Contemporary Educational Psychology</w:t>
      </w:r>
      <w:r>
        <w:rPr>
          <w:rFonts w:cs="Times New Roman"/>
          <w:color w:val="000000"/>
          <w:sz w:val="24"/>
        </w:rPr>
        <w:t xml:space="preserve">, </w:t>
      </w:r>
      <w:r>
        <w:rPr>
          <w:rFonts w:cs="Times New Roman"/>
          <w:i/>
          <w:color w:val="000000"/>
          <w:sz w:val="24"/>
        </w:rPr>
        <w:t xml:space="preserve">39</w:t>
      </w:r>
      <w:r>
        <w:rPr>
          <w:rFonts w:cs="Times New Roman"/>
          <w:color w:val="000000"/>
          <w:sz w:val="24"/>
        </w:rPr>
        <w:t xml:space="preserve">(2), 145–155. </w:t>
      </w:r>
      <w:hyperlink r:id="rId59" w:tooltip="https://doi.org/10.1016/j.cedpsych.2014.03.004" w:history="1">
        <w:r>
          <w:rPr>
            <w:rStyle w:val="1044"/>
            <w:rFonts w:cs="Times New Roman"/>
            <w:color w:val="0000ee"/>
            <w:sz w:val="24"/>
          </w:rPr>
          <w:t xml:space="preserve">https://doi.org/10.1016/j.cedpsych.2014.03.004</w:t>
        </w:r>
      </w:hyperlink>
      <w:r/>
      <w:r/>
    </w:p>
    <w:p w14:paraId="6736CDCD" w14:textId="77777777">
      <w:pPr>
        <w:pStyle w:val="1033"/>
        <w:pBdr/>
        <w:spacing w:after="120" w:line="240" w:lineRule="auto"/>
        <w:ind w:firstLine="0" w:left="0"/>
        <w:rPr>
          <w:rFonts w:cs="Times New Roman" w:eastAsiaTheme="minorHAnsi"/>
          <w:b/>
          <w:bCs/>
          <w:sz w:val="24"/>
          <w:szCs w:val="24"/>
        </w:rPr>
      </w:pPr>
      <w:r>
        <w:rPr>
          <w:rFonts w:cs="Times New Roman" w:eastAsiaTheme="minorHAnsi"/>
          <w:b/>
          <w:bCs/>
          <w:sz w:val="24"/>
          <w:szCs w:val="24"/>
        </w:rPr>
      </w:r>
      <w:r>
        <w:rPr>
          <w:rFonts w:cs="Times New Roman" w:eastAsiaTheme="minorHAnsi"/>
          <w:b/>
          <w:bCs/>
          <w:sz w:val="24"/>
          <w:szCs w:val="24"/>
        </w:rPr>
      </w:r>
      <w:r>
        <w:rPr>
          <w:rFonts w:cs="Times New Roman" w:eastAsiaTheme="minorHAnsi"/>
          <w:b/>
          <w:bCs/>
          <w:sz w:val="24"/>
          <w:szCs w:val="24"/>
        </w:rPr>
      </w:r>
    </w:p>
    <w:p w14:paraId="3C822769" w14:textId="77777777">
      <w:pPr>
        <w:pStyle w:val="1033"/>
        <w:pBdr/>
        <w:spacing w:after="120" w:line="240" w:lineRule="auto"/>
        <w:ind/>
        <w:rPr>
          <w:rFonts w:cs="Times New Roman" w:eastAsiaTheme="minorHAnsi"/>
          <w:b/>
          <w:bCs/>
          <w:sz w:val="24"/>
          <w:szCs w:val="24"/>
        </w:rPr>
      </w:pPr>
      <w:r>
        <w:rPr>
          <w:rFonts w:cs="Times New Roman" w:eastAsiaTheme="minorHAnsi"/>
          <w:b/>
          <w:bCs/>
          <w:sz w:val="24"/>
          <w:szCs w:val="24"/>
        </w:rPr>
        <w:t xml:space="preserve">Bionote</w:t>
      </w:r>
      <w:r>
        <w:rPr>
          <w:rFonts w:cs="Times New Roman" w:eastAsiaTheme="minorHAnsi"/>
          <w:b/>
          <w:bCs/>
          <w:sz w:val="24"/>
          <w:szCs w:val="24"/>
        </w:rPr>
      </w:r>
      <w:r>
        <w:rPr>
          <w:rFonts w:cs="Times New Roman" w:eastAsiaTheme="minorHAnsi"/>
          <w:b/>
          <w:bCs/>
          <w:sz w:val="24"/>
          <w:szCs w:val="24"/>
        </w:rPr>
      </w:r>
    </w:p>
    <w:p w14:paraId="609E0595">
      <w:pPr>
        <w:pBdr>
          <w:top w:val="none" w:color="000000" w:sz="4" w:space="0"/>
          <w:left w:val="none" w:color="000000" w:sz="4" w:space="0"/>
          <w:bottom w:val="none" w:color="000000" w:sz="4" w:space="0"/>
          <w:right w:val="none" w:color="000000" w:sz="4" w:space="0"/>
        </w:pBdr>
        <w:spacing w:after="100" w:before="0"/>
        <w:ind w:right="0" w:firstLine="0" w:left="0"/>
        <w:rPr>
          <w:rFonts w:ascii="Times New Roman" w:hAnsi="Times New Roman" w:eastAsia="Times New Roman" w:cs="Times New Roman"/>
          <w:color w:val="000000" w:themeColor="text1"/>
          <w:sz w:val="24"/>
          <w:szCs w:val="24"/>
        </w:rPr>
      </w:pPr>
      <w:r>
        <w:rPr>
          <w:rFonts w:ascii="Times New Roman" w:hAnsi="Times New Roman" w:eastAsia="Times New Roman" w:cs="Times New Roman"/>
          <w:b/>
          <w:color w:val="000000" w:themeColor="text1"/>
          <w:sz w:val="24"/>
        </w:rPr>
        <w:t xml:space="preserve">Ma Kinh Lac Che</w:t>
      </w:r>
      <w:r>
        <w:rPr>
          <w:rFonts w:ascii="Times New Roman" w:hAnsi="Times New Roman" w:eastAsia="Times New Roman" w:cs="Times New Roman"/>
          <w:color w:val="000000" w:themeColor="text1"/>
          <w:sz w:val="24"/>
        </w:rPr>
        <w:t xml:space="preserve"> is an undergraduate student in the English Language programme at HUFLIT. His research interests center on the role of motivation in language learning and its measurement through structural equation modeling, particularly the application of quantitative me</w:t>
      </w:r>
      <w:r>
        <w:rPr>
          <w:rFonts w:ascii="Times New Roman" w:hAnsi="Times New Roman" w:eastAsia="Times New Roman" w:cs="Times New Roman"/>
          <w:color w:val="000000" w:themeColor="text1"/>
          <w:sz w:val="24"/>
        </w:rPr>
        <w:t xml:space="preserve">thods to explore how intrinsic and extrinsic motivation shape academic outcomes in Vietnamese higher education.</w:t>
      </w: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z w:val="24"/>
          <w:szCs w:val="24"/>
        </w:rPr>
      </w:r>
    </w:p>
    <w:p w14:paraId="5BD860BE">
      <w:pPr>
        <w:pBdr>
          <w:top w:val="none" w:color="000000" w:sz="4" w:space="0"/>
          <w:left w:val="none" w:color="000000" w:sz="4" w:space="0"/>
          <w:bottom w:val="none" w:color="000000" w:sz="4" w:space="0"/>
          <w:right w:val="none" w:color="000000" w:sz="4" w:space="0"/>
        </w:pBdr>
        <w:spacing w:after="100" w:before="0"/>
        <w:ind w:right="0" w:firstLine="0" w:left="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rPr>
      </w:r>
      <w:r>
        <w:rPr>
          <w:rFonts w:ascii="Times New Roman" w:hAnsi="Times New Roman" w:eastAsia="Times New Roman" w:cs="Times New Roman"/>
          <w:b/>
          <w:color w:val="000000" w:themeColor="text1"/>
          <w:sz w:val="24"/>
        </w:rPr>
        <w:t xml:space="preserve">Chau Hoang </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Anh Phan</w:t>
      </w:r>
      <w:r>
        <w:rPr>
          <w:rFonts w:ascii="Times New Roman" w:hAnsi="Times New Roman" w:eastAsia="Times New Roman" w:cs="Times New Roman"/>
          <w:color w:val="000000" w:themeColor="text1"/>
          <w:sz w:val="24"/>
        </w:rPr>
        <w:t xml:space="preserve">, also an undergraduate English Language student at HUFLIT, focuses on learner autonomy and self-regulated learning practices among tertiary EFL students. Her contribution to this study centers on understanding how students develop independent learning beh</w:t>
      </w:r>
      <w:r>
        <w:rPr>
          <w:rFonts w:ascii="Times New Roman" w:hAnsi="Times New Roman" w:eastAsia="Times New Roman" w:cs="Times New Roman"/>
          <w:color w:val="000000" w:themeColor="text1"/>
          <w:sz w:val="24"/>
        </w:rPr>
        <w:t xml:space="preserve">aviours and how these behaviours translate into academic achievement.</w:t>
      </w: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z w:val="24"/>
          <w:szCs w:val="24"/>
        </w:rPr>
      </w:r>
    </w:p>
    <w:p w14:paraId="3D4473BD">
      <w:pPr>
        <w:pBdr>
          <w:top w:val="none" w:color="000000" w:sz="4" w:space="0"/>
          <w:left w:val="none" w:color="000000" w:sz="4" w:space="0"/>
          <w:bottom w:val="none" w:color="000000" w:sz="4" w:space="0"/>
          <w:right w:val="none" w:color="000000" w:sz="4" w:space="0"/>
        </w:pBdr>
        <w:spacing w:after="100" w:before="100"/>
        <w:ind w:right="0" w:firstLine="0" w:left="0"/>
        <w:rPr>
          <w:color w:val="000000" w:themeColor="text1"/>
        </w:rPr>
      </w:pPr>
      <w:r>
        <w:rPr>
          <w:rFonts w:ascii="Times New Roman" w:hAnsi="Times New Roman" w:eastAsia="Times New Roman" w:cs="Times New Roman"/>
          <w:b/>
          <w:color w:val="000000" w:themeColor="text1"/>
          <w:sz w:val="24"/>
        </w:rPr>
        <w:t xml:space="preserve">Gia Bao Duong</w:t>
      </w:r>
      <w:r>
        <w:rPr>
          <w:rFonts w:ascii="Times New Roman" w:hAnsi="Times New Roman" w:eastAsia="Times New Roman" w:cs="Times New Roman"/>
          <w:color w:val="000000" w:themeColor="text1"/>
          <w:sz w:val="24"/>
        </w:rPr>
        <w:t xml:space="preserve"> is an undergraduate English Language student at HUFLIT whose work combines quantitative and qualitative approaches. His research examines the lived experiences of English learners in Vietnamese university settings, using mixed methods to capture both the </w:t>
      </w:r>
      <w:r>
        <w:rPr>
          <w:rFonts w:ascii="Times New Roman" w:hAnsi="Times New Roman" w:eastAsia="Times New Roman" w:cs="Times New Roman"/>
          <w:color w:val="000000" w:themeColor="text1"/>
          <w:sz w:val="24"/>
        </w:rPr>
        <w:t xml:space="preserve">statistical structure and the subjective reality of language learning.</w:t>
      </w:r>
      <w:r>
        <w:rPr>
          <w:color w:val="000000" w:themeColor="text1"/>
        </w:rPr>
      </w:r>
      <w:r>
        <w:rPr>
          <w:color w:val="000000" w:themeColor="text1"/>
        </w:rPr>
      </w:r>
    </w:p>
    <w:p w14:paraId="39C8240F">
      <w:pPr>
        <w:pBdr>
          <w:top w:val="none" w:color="000000" w:sz="4" w:space="0"/>
          <w:left w:val="none" w:color="000000" w:sz="4" w:space="0"/>
          <w:bottom w:val="none" w:color="000000" w:sz="4" w:space="0"/>
          <w:right w:val="none" w:color="000000" w:sz="4" w:space="0"/>
        </w:pBdr>
        <w:spacing w:after="0" w:before="100"/>
        <w:ind w:right="0" w:firstLine="0" w:left="0"/>
        <w:rPr>
          <w:color w:val="000000" w:themeColor="text1"/>
        </w:rPr>
      </w:pPr>
      <w:r>
        <w:rPr>
          <w:rFonts w:ascii="Times New Roman" w:hAnsi="Times New Roman" w:eastAsia="Times New Roman" w:cs="Times New Roman"/>
          <w:b/>
          <w:color w:val="000000" w:themeColor="text1"/>
          <w:sz w:val="24"/>
        </w:rPr>
        <w:t xml:space="preserve">Minh Quyen Nguyen</w:t>
      </w:r>
      <w:r>
        <w:rPr>
          <w:rFonts w:ascii="Times New Roman" w:hAnsi="Times New Roman" w:eastAsia="Times New Roman" w:cs="Times New Roman"/>
          <w:color w:val="000000" w:themeColor="text1"/>
          <w:sz w:val="24"/>
        </w:rPr>
        <w:t xml:space="preserve">, an undergraduate English Language student at HUFLIT, is primarily interested in academic performance assessment and the psychological factors that influence English language achievement. His role in this study involved identifying the motivational and be</w:t>
      </w:r>
      <w:r>
        <w:rPr>
          <w:rFonts w:ascii="Times New Roman" w:hAnsi="Times New Roman" w:eastAsia="Times New Roman" w:cs="Times New Roman"/>
          <w:color w:val="000000" w:themeColor="text1"/>
          <w:sz w:val="24"/>
        </w:rPr>
        <w:t xml:space="preserve">havioural predictors that most strongly contribute to student success in EFL contexts.</w:t>
      </w:r>
      <w:r>
        <w:rPr>
          <w:color w:val="000000" w:themeColor="text1"/>
        </w:rPr>
      </w:r>
      <w:r>
        <w:rPr>
          <w:color w:val="000000" w:themeColor="text1"/>
        </w:rPr>
      </w:r>
    </w:p>
    <w:p w14:paraId="1EC564C0">
      <w:pPr>
        <w:pBdr>
          <w:top w:val="none" w:color="000000" w:sz="4" w:space="0"/>
          <w:left w:val="none" w:color="000000" w:sz="4" w:space="0"/>
          <w:bottom w:val="none" w:color="000000" w:sz="4" w:space="0"/>
          <w:right w:val="none" w:color="000000" w:sz="4" w:space="0"/>
        </w:pBdr>
        <w:spacing w:after="359" w:before="239"/>
        <w:ind w:right="0" w:firstLine="0" w:left="0"/>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rPr>
      </w: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z w:val="24"/>
          <w:szCs w:val="24"/>
        </w:rPr>
      </w:r>
    </w:p>
    <w:p w14:paraId="641E9BAF" w14:textId="77777777">
      <w:pPr>
        <w:pBdr/>
        <w:spacing w:after="120" w:line="240" w:lineRule="auto"/>
        <w:ind w:firstLine="0"/>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sectPr>
      <w:headerReference w:type="default" r:id="rId9"/>
      <w:footnotePr>
        <w:numRestart w:val="eachPage"/>
      </w:footnotePr>
      <w:endnotePr/>
      <w:type w:val="nextPage"/>
      <w:pgSz w:h="16838" w:orient="portrait" w:w="11906"/>
      <w:pgMar w:top="1440" w:right="1440" w:bottom="1440" w:left="1440" w:header="720" w:footer="720" w:gutter="0"/>
      <w:cols w:num="1" w:sep="0" w:space="720" w:equalWidth="1"/>
      <w:titlePg/>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onymous" w:date="2026-05-28T09:08:00Z" w:initials="U">
    <w:p w14:paraId="00000001" w14:textId="00000001">
      <w:pPr>
        <w:spacing w:line="240" w:after="0" w:lineRule="auto" w:before="0"/>
        <w:ind w:firstLine="0" w:left="0" w:right="0"/>
        <w:jc w:val="left"/>
      </w:pPr>
      <w:r>
        <w:rPr>
          <w:rFonts w:eastAsia="Arial" w:ascii="Arial" w:hAnsi="Arial" w:cs="Arial"/>
          <w:sz w:val="22"/>
        </w:rPr>
        <w:t xml:space="preserve">Indirect effect (β)</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C284A0" w16cex:dateUtc="2026-05-28T02:08: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DC284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EB0DF84" w14:textId="77777777">
      <w:pPr>
        <w:pBdr/>
        <w:spacing w:after="0" w:before="0" w:line="240" w:lineRule="auto"/>
        <w:ind/>
        <w:rPr/>
      </w:pPr>
      <w:r>
        <w:separator/>
      </w:r>
      <w:r/>
    </w:p>
  </w:endnote>
  <w:endnote w:type="continuationSeparator" w:id="0">
    <w:p w14:paraId="7E95B895" w14:textId="77777777">
      <w:pPr>
        <w:pBdr/>
        <w:spacing w:after="0" w:before="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Wingdings">
    <w:panose1 w:val="05010000000000000000"/>
  </w:font>
  <w:font w:name="Courier New">
    <w:panose1 w:val="02070309020205020404"/>
  </w:font>
  <w:font w:name="Symbol">
    <w:panose1 w:val="05010000000000000000"/>
  </w:font>
  <w:font w:name="SimSun">
    <w:panose1 w:val="02000506000000020000"/>
  </w:font>
  <w:font w:name="Garamond">
    <w:panose1 w:val="02020603050405020304"/>
  </w:font>
  <w:font w:name="B Zar">
    <w:panose1 w:val="02000503000000000000"/>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63BCA49" w14:textId="77777777">
      <w:pPr>
        <w:pBdr/>
        <w:spacing w:after="0" w:before="0" w:line="240" w:lineRule="auto"/>
        <w:ind/>
        <w:rPr/>
      </w:pPr>
      <w:r>
        <w:separator/>
      </w:r>
      <w:r/>
    </w:p>
  </w:footnote>
  <w:footnote w:type="continuationSeparator" w:id="0">
    <w:p w14:paraId="1BEAFEC8" w14:textId="77777777">
      <w:pPr>
        <w:pBdr/>
        <w:spacing w:after="0" w:before="0" w:line="240" w:lineRule="auto"/>
        <w:ind/>
        <w:rPr/>
      </w:pPr>
      <w:r>
        <w:continuationSeparator/>
      </w:r>
      <w:r/>
    </w:p>
  </w:footnote>
  <w:footnote w:id="2">
    <w:p w14:paraId="1196F1A3" w14:textId="77777777">
      <w:pPr>
        <w:pStyle w:val="1045"/>
        <w:pBdr/>
        <w:spacing/>
        <w:ind/>
        <w:rPr>
          <w:rFonts w:cs="Times New Roman"/>
        </w:rPr>
      </w:pPr>
      <w:r>
        <w:rPr>
          <w:rStyle w:val="1047"/>
          <w:rFonts w:cs="Times New Roman"/>
        </w:rPr>
        <w:footnoteRef/>
      </w:r>
      <w:r>
        <w:rPr>
          <w:rFonts w:cs="Times New Roman"/>
        </w:rPr>
        <w:t xml:space="preserve"> Undergraduate </w:t>
      </w:r>
      <w:r>
        <w:rPr>
          <w:rFonts w:cs="Times New Roman"/>
          <w:spacing w:val="-2"/>
        </w:rPr>
        <w:t xml:space="preserve">student, Faculty of Foreign Languages, HUFLIT </w:t>
      </w:r>
      <w:r>
        <w:rPr>
          <w:rFonts w:cs="Times New Roman"/>
        </w:rPr>
      </w:r>
      <w:r>
        <w:rPr>
          <w:rFonts w:cs="Times New Roman"/>
        </w:rPr>
      </w:r>
    </w:p>
    <w:p w14:paraId="66C0ABF7" w14:textId="77777777">
      <w:pPr>
        <w:pStyle w:val="1045"/>
        <w:pBdr/>
        <w:spacing/>
        <w:ind/>
        <w:rPr>
          <w:rFonts w:cs="Times New Roman"/>
        </w:rPr>
      </w:pPr>
      <w:r>
        <w:rPr>
          <w:rFonts w:cs="Times New Roman"/>
        </w:rPr>
      </w:r>
      <w:r>
        <w:rPr>
          <w:rFonts w:cs="Times New Roman"/>
        </w:rPr>
      </w:r>
      <w:r>
        <w:rPr>
          <w:rFonts w:cs="Times New Roman"/>
        </w:rPr>
      </w:r>
    </w:p>
  </w:footnote>
  <w:footnote w:id="3">
    <w:p w14:paraId="089213F3" w14:textId="77777777">
      <w:pPr>
        <w:pStyle w:val="1045"/>
        <w:pBdr/>
        <w:spacing/>
        <w:ind/>
        <w:rPr/>
      </w:pPr>
      <w:r>
        <w:rPr>
          <w:rStyle w:val="1047"/>
        </w:rPr>
        <w:footnoteRef/>
      </w:r>
      <w:r>
        <w:rPr>
          <w:rFonts w:cs="Times New Roman"/>
          <w:spacing w:val="-2"/>
        </w:rPr>
        <w:t xml:space="preserve"> Corresponding author; </w:t>
      </w:r>
      <w:r>
        <w:rPr>
          <w:rFonts w:cs="Times New Roman"/>
          <w:i/>
          <w:iCs/>
          <w:spacing w:val="-2"/>
        </w:rPr>
        <w:t xml:space="preserve">Email:</w:t>
      </w:r>
      <w:r>
        <w:rPr>
          <w:rFonts w:cs="Times New Roman"/>
          <w:i/>
          <w:iCs/>
        </w:rPr>
        <w:t xml:space="preserve"> </w:t>
      </w:r>
      <w:hyperlink r:id="rId1" w:tooltip="http://kinhlacma@gmail.com" w:history="1">
        <w:r>
          <w:rPr>
            <w:rStyle w:val="1044"/>
            <w:rFonts w:cs="Times New Roman"/>
            <w:i/>
            <w:iCs/>
          </w:rPr>
          <w:t xml:space="preserve">kinhlacma@gmail.com</w:t>
        </w:r>
      </w:hyperlink>
      <w:r>
        <w:rPr>
          <w:rFonts w:cs="Times New Roman"/>
          <w:spacing w:val="-2"/>
        </w:rPr>
        <w:t xml:space="preserve">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D2488DE" w14:textId="77777777">
    <w:pPr>
      <w:pStyle w:val="1035"/>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A991"/>
    <w:lvl w:ilvl="0">
      <w:isLgl w:val="false"/>
      <w:lvlJc w:val="left"/>
      <w:lvlText w:val=""/>
      <w:numFmt w:val="bullet"/>
      <w:pPr>
        <w:pBdr/>
        <w:spacing/>
        <w:ind w:hanging="360" w:left="720"/>
      </w:pPr>
      <w:rPr>
        <w:rFonts w:hint="default" w:ascii="Symbol" w:hAnsi="Symbol" w:cs="Symbol"/>
      </w:rPr>
      <w:start w:val="0"/>
      <w:suff w:val="tab"/>
    </w:lvl>
    <w:lvl w:ilvl="1">
      <w:isLgl w:val="false"/>
      <w:lvlJc w:val="left"/>
      <w:lvlText w:val="o"/>
      <w:numFmt w:val="bullet"/>
      <w:pPr>
        <w:pBdr/>
        <w:spacing/>
        <w:ind w:hanging="360" w:left="1440"/>
      </w:pPr>
      <w:rPr>
        <w:rFonts w:hint="default" w:ascii="Courier New" w:hAnsi="Courier New" w:cs="Courier New"/>
      </w:rPr>
      <w:start w:val="0"/>
      <w:suff w:val="tab"/>
    </w:lvl>
    <w:lvl w:ilvl="2">
      <w:isLgl w:val="false"/>
      <w:lvlJc w:val="left"/>
      <w:lvlText w:val=""/>
      <w:numFmt w:val="bullet"/>
      <w:pPr>
        <w:pBdr/>
        <w:spacing/>
        <w:ind w:hanging="360" w:left="2160"/>
      </w:pPr>
      <w:rPr>
        <w:rFonts w:hint="default" w:ascii="Wingdings" w:hAnsi="Wingdings" w:cs="Wingdings"/>
      </w:rPr>
      <w:start w:val="0"/>
      <w:suff w:val="tab"/>
    </w:lvl>
    <w:lvl w:ilvl="3">
      <w:isLgl w:val="false"/>
      <w:lvlJc w:val="left"/>
      <w:lvlText w:val=""/>
      <w:numFmt w:val="bullet"/>
      <w:pPr>
        <w:pBdr/>
        <w:spacing/>
        <w:ind w:hanging="360" w:left="2880"/>
      </w:pPr>
      <w:rPr>
        <w:rFonts w:hint="default" w:ascii="Symbol" w:hAnsi="Symbol" w:cs="Symbol"/>
      </w:rPr>
      <w:start w:val="0"/>
      <w:suff w:val="tab"/>
    </w:lvl>
    <w:lvl w:ilvl="4">
      <w:isLgl w:val="false"/>
      <w:lvlJc w:val="left"/>
      <w:lvlText w:val="o"/>
      <w:numFmt w:val="bullet"/>
      <w:pPr>
        <w:pBdr/>
        <w:spacing/>
        <w:ind w:hanging="360" w:left="3600"/>
      </w:pPr>
      <w:rPr>
        <w:rFonts w:hint="default" w:ascii="Courier New" w:hAnsi="Courier New" w:cs="Courier New"/>
      </w:rPr>
      <w:start w:val="0"/>
      <w:suff w:val="tab"/>
    </w:lvl>
    <w:lvl w:ilvl="5">
      <w:isLgl w:val="false"/>
      <w:lvlJc w:val="left"/>
      <w:lvlText w:val=""/>
      <w:numFmt w:val="bullet"/>
      <w:pPr>
        <w:pBdr/>
        <w:spacing/>
        <w:ind w:hanging="360" w:left="4320"/>
      </w:pPr>
      <w:rPr>
        <w:rFonts w:hint="default" w:ascii="Wingdings" w:hAnsi="Wingdings" w:cs="Wingdings"/>
      </w:rPr>
      <w:start w:val="0"/>
      <w:suff w:val="tab"/>
    </w:lvl>
    <w:lvl w:ilvl="6">
      <w:isLgl w:val="false"/>
      <w:lvlJc w:val="left"/>
      <w:lvlText w:val=""/>
      <w:numFmt w:val="bullet"/>
      <w:pPr>
        <w:pBdr/>
        <w:spacing/>
        <w:ind w:hanging="360" w:left="5040"/>
      </w:pPr>
      <w:rPr>
        <w:rFonts w:hint="default" w:ascii="Symbol" w:hAnsi="Symbol" w:cs="Symbol"/>
      </w:rPr>
      <w:start w:val="0"/>
      <w:suff w:val="tab"/>
    </w:lvl>
    <w:lvl w:ilvl="7">
      <w:isLgl w:val="false"/>
      <w:lvlJc w:val="left"/>
      <w:lvlText w:val="o"/>
      <w:numFmt w:val="bullet"/>
      <w:pPr>
        <w:pBdr/>
        <w:spacing/>
        <w:ind w:hanging="360" w:left="5760"/>
      </w:pPr>
      <w:rPr>
        <w:rFonts w:hint="default" w:ascii="Courier New" w:hAnsi="Courier New" w:cs="Courier New"/>
      </w:rPr>
      <w:start w:val="0"/>
      <w:suff w:val="tab"/>
    </w:lvl>
    <w:lvl w:ilvl="8">
      <w:isLgl w:val="false"/>
      <w:lvlJc w:val="left"/>
      <w:lvlText w:val=""/>
      <w:numFmt w:val="bullet"/>
      <w:pPr>
        <w:pBdr/>
        <w:spacing/>
        <w:ind w:hanging="360" w:left="6480"/>
      </w:pPr>
      <w:rPr>
        <w:rFonts w:hint="default" w:ascii="Wingdings" w:hAnsi="Wingdings" w:cs="Wingdings"/>
      </w:rPr>
      <w:start w:val="0"/>
      <w:suff w:val="tab"/>
    </w:lvl>
  </w:abstractNum>
  <w:abstractNum w:abstractNumId="1">
    <w:nsid w:val="01D9048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
    <w:nsid w:val="1C907A5C"/>
    <w:lvl w:ilvl="0">
      <w:isLgl w:val="false"/>
      <w:lvlJc w:val="left"/>
      <w:lvlText w:val="%1."/>
      <w:numFmt w:val="decimal"/>
      <w:pPr>
        <w:pBdr/>
        <w:spacing/>
        <w:ind w:hanging="360" w:left="1440"/>
      </w:pPr>
      <w:pStyle w:val="1043"/>
      <w:rPr/>
      <w:start w:val="1"/>
      <w:suff w:val="tab"/>
    </w:lvl>
    <w:lvl w:ilvl="1">
      <w:isLgl w:val="false"/>
      <w:lvlJc w:val="left"/>
      <w:lvlText w:val="%2."/>
      <w:numFmt w:val="lowerLetter"/>
      <w:pPr>
        <w:pBdr/>
        <w:spacing/>
        <w:ind w:hanging="360" w:left="2160"/>
      </w:pPr>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3">
    <w:nsid w:val="1E79501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nsid w:val="1FE5468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5">
    <w:nsid w:val="39798F0B"/>
    <w:lvl w:ilvl="0">
      <w:isLgl w:val="false"/>
      <w:lvlJc w:val="left"/>
      <w:lvlText w:val="–"/>
      <w:numFmt w:val="bullet"/>
      <w:pPr>
        <w:pBdr/>
        <w:spacing/>
        <w:ind w:hanging="360" w:left="720"/>
      </w:pPr>
      <w:rPr>
        <w:rFonts w:ascii="Arial" w:hAnsi="Arial" w:eastAsia="Arial" w:cs="Aria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nsid w:val="51DF14F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7">
    <w:nsid w:val="5C82338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nsid w:val="648507D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9">
    <w:nsid w:val="672F35EB"/>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2"/>
  </w:num>
  <w:num w:numId="2">
    <w:abstractNumId w:val="6"/>
  </w:num>
  <w:num w:numId="3">
    <w:abstractNumId w:val="0"/>
  </w:num>
  <w:num w:numId="4">
    <w:abstractNumId w:val="9"/>
  </w:num>
  <w:num w:numId="5">
    <w:abstractNumId w:val="5"/>
  </w:num>
  <w:num w:numId="6">
    <w:abstractNumId w:val="8"/>
  </w:num>
  <w:num w:numId="7">
    <w:abstractNumId w:val="4"/>
  </w:num>
  <w:num w:numId="8">
    <w:abstractNumId w:val="1"/>
  </w:num>
  <w:num w:numId="9">
    <w:abstractNumId w:val="3"/>
  </w:num>
  <w:num w:numId="10">
    <w:abstractNumId w:val="7"/>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eachPage"/>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65">
    <w:name w:val="Table Grid Light"/>
    <w:basedOn w:val="85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1 Light - Accent 1"/>
    <w:basedOn w:val="85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1 Light - Accent 2"/>
    <w:basedOn w:val="85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1 Light - Accent 3"/>
    <w:basedOn w:val="85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Grid Table 1 Light - Accent 4"/>
    <w:basedOn w:val="85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Grid Table 1 Light - Accent 5"/>
    <w:basedOn w:val="85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Grid Table 1 Light - Accent 6"/>
    <w:basedOn w:val="85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Grid Table 2 - Accent 1"/>
    <w:basedOn w:val="85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Grid Table 2 - Accent 2"/>
    <w:basedOn w:val="85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Grid Table 2 - Accent 3"/>
    <w:basedOn w:val="85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Grid Table 2 - Accent 4"/>
    <w:basedOn w:val="85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Grid Table 2 - Accent 5"/>
    <w:basedOn w:val="85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2 - Accent 6"/>
    <w:basedOn w:val="85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Grid Table 3 - Accent 1"/>
    <w:basedOn w:val="85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Grid Table 3 - Accent 2"/>
    <w:basedOn w:val="85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3 - Accent 3"/>
    <w:basedOn w:val="85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3 - Accent 4"/>
    <w:basedOn w:val="85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Grid Table 3 - Accent 5"/>
    <w:basedOn w:val="85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Grid Table 3 - Accent 6"/>
    <w:basedOn w:val="85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Grid Table 4 - Accent 1"/>
    <w:basedOn w:val="85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Grid Table 4 - Accent 2"/>
    <w:basedOn w:val="85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Grid Table 4 - Accent 3"/>
    <w:basedOn w:val="85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Grid Table 4 - Accent 4"/>
    <w:basedOn w:val="85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Grid Table 4 - Accent 5"/>
    <w:basedOn w:val="85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Grid Table 4 - Accent 6"/>
    <w:basedOn w:val="85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Grid Table 5 Dark - Accent 2"/>
    <w:basedOn w:val="85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Grid Table 5 Dark - Accent 3"/>
    <w:basedOn w:val="85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Grid Table 5 Dark - Accent 5"/>
    <w:basedOn w:val="85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Grid Table 5 Dark - Accent 6"/>
    <w:basedOn w:val="85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Grid Table 6 Colorful - Accent 1"/>
    <w:basedOn w:val="85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95">
    <w:name w:val="Grid Table 6 Colorful - Accent 2"/>
    <w:basedOn w:val="85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96">
    <w:name w:val="Grid Table 6 Colorful - Accent 3"/>
    <w:basedOn w:val="85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97">
    <w:name w:val="Grid Table 6 Colorful - Accent 4"/>
    <w:basedOn w:val="85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98">
    <w:name w:val="Grid Table 6 Colorful - Accent 5"/>
    <w:basedOn w:val="85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99">
    <w:name w:val="Grid Table 6 Colorful - Accent 6"/>
    <w:basedOn w:val="85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00">
    <w:name w:val="Grid Table 7 Colorful - Accent 1"/>
    <w:basedOn w:val="85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0ac"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7 Colorful - Accent 2"/>
    <w:basedOn w:val="85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Grid Table 7 Colorful - Accent 3"/>
    <w:basedOn w:val="85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16161"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7 Colorful - Accent 4"/>
    <w:basedOn w:val="85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7 Colorful - Accent 5"/>
    <w:basedOn w:val="85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b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7 Colorful - Accent 6"/>
    <w:basedOn w:val="85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165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List Table 1 Light - Accent 1"/>
    <w:basedOn w:val="85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List Table 1 Light - Accent 2"/>
    <w:basedOn w:val="85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st Table 1 Light - Accent 3"/>
    <w:basedOn w:val="85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st Table 1 Light - Accent 4"/>
    <w:basedOn w:val="85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st Table 1 Light - Accent 5"/>
    <w:basedOn w:val="85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List Table 1 Light - Accent 6"/>
    <w:basedOn w:val="85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List Table 2 - Accent 1"/>
    <w:basedOn w:val="85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List Table 2 - Accent 2"/>
    <w:basedOn w:val="85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List Table 2 - Accent 3"/>
    <w:basedOn w:val="85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List Table 2 - Accent 4"/>
    <w:basedOn w:val="85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List Table 2 - Accent 5"/>
    <w:basedOn w:val="85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List Table 2 - Accent 6"/>
    <w:basedOn w:val="85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List Table 3 - Accent 1"/>
    <w:basedOn w:val="85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List Table 3 - Accent 2"/>
    <w:basedOn w:val="85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List Table 3 - Accent 3"/>
    <w:basedOn w:val="85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List Table 3 - Accent 4"/>
    <w:basedOn w:val="85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3 - Accent 5"/>
    <w:basedOn w:val="85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3 - Accent 6"/>
    <w:basedOn w:val="85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st Table 4 - Accent 1"/>
    <w:basedOn w:val="85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List Table 4 - Accent 2"/>
    <w:basedOn w:val="85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List Table 4 - Accent 3"/>
    <w:basedOn w:val="85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List Table 4 - Accent 4"/>
    <w:basedOn w:val="85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List Table 4 - Accent 5"/>
    <w:basedOn w:val="85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List Table 4 - Accent 6"/>
    <w:basedOn w:val="85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List Table 5 Dark - Accent 1"/>
    <w:basedOn w:val="85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1">
    <w:name w:val="List Table 5 Dark - Accent 2"/>
    <w:basedOn w:val="85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2">
    <w:name w:val="List Table 5 Dark - Accent 3"/>
    <w:basedOn w:val="85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3">
    <w:name w:val="List Table 5 Dark - Accent 4"/>
    <w:basedOn w:val="85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4">
    <w:name w:val="List Table 5 Dark - Accent 5"/>
    <w:basedOn w:val="85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5">
    <w:name w:val="List Table 5 Dark - Accent 6"/>
    <w:basedOn w:val="85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36">
    <w:name w:val="List Table 6 Colorful - Accent 1"/>
    <w:basedOn w:val="85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st Table 6 Colorful - Accent 2"/>
    <w:basedOn w:val="85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List Table 6 Colorful - Accent 3"/>
    <w:basedOn w:val="85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List Table 6 Colorful - Accent 4"/>
    <w:basedOn w:val="85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List Table 6 Colorful - Accent 5"/>
    <w:basedOn w:val="85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List Table 6 Colorful - Accent 6"/>
    <w:basedOn w:val="85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List Table 7 Colorful - Accent 1"/>
    <w:basedOn w:val="85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275"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843">
    <w:name w:val="List Table 7 Colorful - Accent 2"/>
    <w:basedOn w:val="85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b5d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844">
    <w:name w:val="List Table 7 Colorful - Accent 3"/>
    <w:basedOn w:val="85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67676"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845">
    <w:name w:val="List Table 7 Colorful - Accent 4"/>
    <w:basedOn w:val="85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d09d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846">
    <w:name w:val="List Table 7 Colorful - Accent 5"/>
    <w:basedOn w:val="85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4b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847">
    <w:name w:val="List Table 7 Colorful - Accent 6"/>
    <w:basedOn w:val="85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e92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848" w:default="1">
    <w:name w:val="Normal"/>
    <w:qFormat/>
    <w:pPr>
      <w:pBdr/>
      <w:spacing w:after="60" w:before="120" w:line="276" w:lineRule="auto"/>
      <w:ind w:firstLine="720"/>
      <w:jc w:val="both"/>
    </w:pPr>
    <w:rPr>
      <w:rFonts w:ascii="Times New Roman" w:hAnsi="Times New Roman" w:eastAsia="Times New Roman" w:cs="B Zar"/>
      <w:sz w:val="20"/>
    </w:rPr>
  </w:style>
  <w:style w:type="paragraph" w:styleId="849">
    <w:name w:val="Heading 1"/>
    <w:basedOn w:val="848"/>
    <w:next w:val="848"/>
    <w:link w:val="987"/>
    <w:uiPriority w:val="9"/>
    <w:qFormat/>
    <w:pPr>
      <w:keepNext w:val="true"/>
      <w:keepLines w:val="true"/>
      <w:pBdr/>
      <w:spacing w:after="80" w:before="360"/>
      <w:ind/>
      <w:outlineLvl w:val="0"/>
    </w:pPr>
    <w:rPr>
      <w:rFonts w:ascii="Arial" w:hAnsi="Arial" w:eastAsia="Arial" w:cs="Arial"/>
      <w:color w:val="2f5496" w:themeColor="accent1" w:themeShade="BF"/>
      <w:sz w:val="40"/>
      <w:szCs w:val="40"/>
    </w:rPr>
  </w:style>
  <w:style w:type="paragraph" w:styleId="850">
    <w:name w:val="Heading 2"/>
    <w:basedOn w:val="848"/>
    <w:next w:val="848"/>
    <w:link w:val="988"/>
    <w:uiPriority w:val="9"/>
    <w:unhideWhenUsed/>
    <w:qFormat/>
    <w:pPr>
      <w:keepNext w:val="true"/>
      <w:keepLines w:val="true"/>
      <w:pBdr/>
      <w:spacing w:after="80" w:before="160"/>
      <w:ind/>
      <w:outlineLvl w:val="1"/>
    </w:pPr>
    <w:rPr>
      <w:rFonts w:ascii="Arial" w:hAnsi="Arial" w:eastAsia="Arial" w:cs="Arial"/>
      <w:color w:val="2f5496" w:themeColor="accent1" w:themeShade="BF"/>
      <w:sz w:val="32"/>
      <w:szCs w:val="32"/>
    </w:rPr>
  </w:style>
  <w:style w:type="paragraph" w:styleId="851">
    <w:name w:val="Heading 3"/>
    <w:basedOn w:val="848"/>
    <w:next w:val="848"/>
    <w:link w:val="989"/>
    <w:uiPriority w:val="9"/>
    <w:unhideWhenUsed/>
    <w:qFormat/>
    <w:pPr>
      <w:keepNext w:val="true"/>
      <w:keepLines w:val="true"/>
      <w:pBdr/>
      <w:spacing w:after="80" w:before="160"/>
      <w:ind/>
      <w:outlineLvl w:val="2"/>
    </w:pPr>
    <w:rPr>
      <w:rFonts w:ascii="Arial" w:hAnsi="Arial" w:eastAsia="Arial" w:cs="Arial"/>
      <w:color w:val="2f5496" w:themeColor="accent1" w:themeShade="BF"/>
      <w:sz w:val="28"/>
      <w:szCs w:val="28"/>
    </w:rPr>
  </w:style>
  <w:style w:type="paragraph" w:styleId="852">
    <w:name w:val="Heading 4"/>
    <w:basedOn w:val="848"/>
    <w:next w:val="848"/>
    <w:link w:val="990"/>
    <w:uiPriority w:val="9"/>
    <w:unhideWhenUsed/>
    <w:qFormat/>
    <w:pPr>
      <w:keepNext w:val="true"/>
      <w:keepLines w:val="true"/>
      <w:pBdr/>
      <w:spacing w:after="40" w:before="80"/>
      <w:ind/>
      <w:outlineLvl w:val="3"/>
    </w:pPr>
    <w:rPr>
      <w:rFonts w:ascii="Arial" w:hAnsi="Arial" w:eastAsia="Arial" w:cs="Arial"/>
      <w:i/>
      <w:iCs/>
      <w:color w:val="2f5496" w:themeColor="accent1" w:themeShade="BF"/>
    </w:rPr>
  </w:style>
  <w:style w:type="paragraph" w:styleId="853">
    <w:name w:val="Heading 5"/>
    <w:basedOn w:val="848"/>
    <w:next w:val="848"/>
    <w:link w:val="991"/>
    <w:uiPriority w:val="9"/>
    <w:unhideWhenUsed/>
    <w:qFormat/>
    <w:pPr>
      <w:keepNext w:val="true"/>
      <w:keepLines w:val="true"/>
      <w:pBdr/>
      <w:spacing w:after="40" w:before="80"/>
      <w:ind/>
      <w:outlineLvl w:val="4"/>
    </w:pPr>
    <w:rPr>
      <w:rFonts w:ascii="Arial" w:hAnsi="Arial" w:eastAsia="Arial" w:cs="Arial"/>
      <w:color w:val="2f5496" w:themeColor="accent1" w:themeShade="BF"/>
    </w:rPr>
  </w:style>
  <w:style w:type="paragraph" w:styleId="854">
    <w:name w:val="Heading 6"/>
    <w:basedOn w:val="848"/>
    <w:next w:val="848"/>
    <w:link w:val="99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55">
    <w:name w:val="Heading 7"/>
    <w:basedOn w:val="848"/>
    <w:next w:val="848"/>
    <w:link w:val="99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56">
    <w:name w:val="Heading 8"/>
    <w:basedOn w:val="848"/>
    <w:next w:val="848"/>
    <w:link w:val="99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57">
    <w:name w:val="Heading 9"/>
    <w:basedOn w:val="848"/>
    <w:next w:val="848"/>
    <w:link w:val="99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58" w:default="1">
    <w:name w:val="Default Paragraph Font"/>
    <w:uiPriority w:val="1"/>
    <w:semiHidden/>
    <w:unhideWhenUsed/>
    <w:pPr>
      <w:pBdr/>
      <w:spacing/>
      <w:ind/>
    </w:pPr>
  </w:style>
  <w:style w:type="table" w:styleId="85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60" w:default="1">
    <w:name w:val="No List"/>
    <w:uiPriority w:val="99"/>
    <w:semiHidden/>
    <w:unhideWhenUsed/>
    <w:pPr>
      <w:pBdr/>
      <w:spacing/>
      <w:ind/>
    </w:pPr>
  </w:style>
  <w:style w:type="table" w:styleId="861">
    <w:name w:val="Grid Table Light"/>
    <w:basedOn w:val="85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Accent 1"/>
    <w:basedOn w:val="859"/>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Accent 2"/>
    <w:basedOn w:val="859"/>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Accent 3"/>
    <w:basedOn w:val="859"/>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Accent 4"/>
    <w:basedOn w:val="859"/>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Accent 5"/>
    <w:basedOn w:val="859"/>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Accent 6"/>
    <w:basedOn w:val="859"/>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Accent 1"/>
    <w:basedOn w:val="859"/>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Accent 2"/>
    <w:basedOn w:val="859"/>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Accent 3"/>
    <w:basedOn w:val="859"/>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Accent 4"/>
    <w:basedOn w:val="859"/>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Accent 5"/>
    <w:basedOn w:val="859"/>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Accent 6"/>
    <w:basedOn w:val="859"/>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Accent 1"/>
    <w:basedOn w:val="859"/>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Accent 2"/>
    <w:basedOn w:val="859"/>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Accent 3"/>
    <w:basedOn w:val="859"/>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Accent 4"/>
    <w:basedOn w:val="859"/>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Accent 5"/>
    <w:basedOn w:val="859"/>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Accent 6"/>
    <w:basedOn w:val="859"/>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Accent 1"/>
    <w:basedOn w:val="859"/>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Accent 2"/>
    <w:basedOn w:val="859"/>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Accent 3"/>
    <w:basedOn w:val="859"/>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Accent 4"/>
    <w:basedOn w:val="859"/>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Accent 5"/>
    <w:basedOn w:val="859"/>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Accent 6"/>
    <w:basedOn w:val="859"/>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Accent 2"/>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3"/>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Accent 5"/>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Accent 6"/>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Accent 1"/>
    <w:basedOn w:val="859"/>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6 Colorful Accent 2"/>
    <w:basedOn w:val="859"/>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6 Colorful Accent 3"/>
    <w:basedOn w:val="859"/>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6 Colorful Accent 4"/>
    <w:basedOn w:val="859"/>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6 Colorful Accent 5"/>
    <w:basedOn w:val="859"/>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6 Colorful Accent 6"/>
    <w:basedOn w:val="859"/>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Accent 1"/>
    <w:basedOn w:val="859"/>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Accent 2"/>
    <w:basedOn w:val="859"/>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Accent 3"/>
    <w:basedOn w:val="859"/>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Accent 4"/>
    <w:basedOn w:val="859"/>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Accent 5"/>
    <w:basedOn w:val="859"/>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Accent 6"/>
    <w:basedOn w:val="859"/>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Accent 1"/>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Accent 2"/>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Accent 3"/>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Accent 4"/>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Accent 5"/>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Accent 6"/>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Accent 1"/>
    <w:basedOn w:val="859"/>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Accent 2"/>
    <w:basedOn w:val="859"/>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Accent 3"/>
    <w:basedOn w:val="859"/>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Accent 4"/>
    <w:basedOn w:val="859"/>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Accent 5"/>
    <w:basedOn w:val="859"/>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Accent 6"/>
    <w:basedOn w:val="859"/>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Accent 1"/>
    <w:basedOn w:val="859"/>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Accent 2"/>
    <w:basedOn w:val="859"/>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Accent 3"/>
    <w:basedOn w:val="859"/>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Accent 4"/>
    <w:basedOn w:val="859"/>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Accent 5"/>
    <w:basedOn w:val="859"/>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Accent 6"/>
    <w:basedOn w:val="859"/>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Accent 1"/>
    <w:basedOn w:val="859"/>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Accent 2"/>
    <w:basedOn w:val="859"/>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Accent 3"/>
    <w:basedOn w:val="859"/>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Accent 4"/>
    <w:basedOn w:val="859"/>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Accent 5"/>
    <w:basedOn w:val="859"/>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Accent 6"/>
    <w:basedOn w:val="859"/>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Accent 1"/>
    <w:basedOn w:val="859"/>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5 Dark Accent 2"/>
    <w:basedOn w:val="859"/>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5 Dark Accent 3"/>
    <w:basedOn w:val="859"/>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5 Dark Accent 4"/>
    <w:basedOn w:val="859"/>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Accent 5"/>
    <w:basedOn w:val="859"/>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5 Dark Accent 6"/>
    <w:basedOn w:val="859"/>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Accent 1"/>
    <w:basedOn w:val="859"/>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Accent 2"/>
    <w:basedOn w:val="859"/>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Accent 3"/>
    <w:basedOn w:val="859"/>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Accent 4"/>
    <w:basedOn w:val="859"/>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Accent 5"/>
    <w:basedOn w:val="859"/>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Accent 6"/>
    <w:basedOn w:val="859"/>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Accent 1"/>
    <w:basedOn w:val="859"/>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7 Colorful Accent 2"/>
    <w:basedOn w:val="859"/>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Accent 3"/>
    <w:basedOn w:val="859"/>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7 Colorful Accent 4"/>
    <w:basedOn w:val="859"/>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7 Colorful Accent 5"/>
    <w:basedOn w:val="859"/>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7 Colorful Accent 6"/>
    <w:basedOn w:val="859"/>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Table Grid"/>
    <w:basedOn w:val="85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Plain Table 1"/>
    <w:basedOn w:val="859"/>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Plain Table 2"/>
    <w:basedOn w:val="859"/>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Plain Table 3"/>
    <w:basedOn w:val="85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Plain Table 4"/>
    <w:basedOn w:val="85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Plain Table 5"/>
    <w:basedOn w:val="859"/>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Grid Table 1 Light"/>
    <w:basedOn w:val="859"/>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Grid Table 2"/>
    <w:basedOn w:val="85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Grid Table 3"/>
    <w:basedOn w:val="859"/>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Grid Table 4"/>
    <w:basedOn w:val="859"/>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Grid Table 5 Dark"/>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5 Dark- Accent 1"/>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5 Dark- Accent 4"/>
    <w:basedOn w:val="859"/>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Grid Table 6 Colorful"/>
    <w:basedOn w:val="859"/>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Grid Table 7 Colorful"/>
    <w:basedOn w:val="859"/>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st Table 1 Light"/>
    <w:basedOn w:val="859"/>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st Table 2"/>
    <w:basedOn w:val="859"/>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st Table 3"/>
    <w:basedOn w:val="85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st Table 4"/>
    <w:basedOn w:val="859"/>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st Table 5 Dark"/>
    <w:basedOn w:val="859"/>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st Table 6 Colorful"/>
    <w:basedOn w:val="859"/>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st Table 7 Colorful"/>
    <w:basedOn w:val="859"/>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Lined - Accent"/>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Lined - Accent 1"/>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Lined - Accent 2"/>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Lined - Accent 3"/>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Lined - Accent 4"/>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Lined - Accent 5"/>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Lined - Accent 6"/>
    <w:basedOn w:val="859"/>
    <w:uiPriority w:val="99"/>
    <w:pPr>
      <w:pBdr/>
      <w:spacing w:after="0" w:line="240" w:lineRule="auto"/>
      <w:ind/>
    </w:pPr>
    <w:rPr>
      <w:color w:val="404040"/>
      <w:sz w:val="20"/>
      <w:szCs w:val="20"/>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customStyle="1">
    <w:name w:val="Bordered &amp; Lined - Accent"/>
    <w:basedOn w:val="859"/>
    <w:uiPriority w:val="99"/>
    <w:pPr>
      <w:pBdr/>
      <w:spacing w:after="0" w:line="240" w:lineRule="auto"/>
      <w:ind/>
    </w:pPr>
    <w:rPr>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Bordered &amp; Lined - Accent 1"/>
    <w:basedOn w:val="859"/>
    <w:uiPriority w:val="99"/>
    <w:pPr>
      <w:pBdr/>
      <w:spacing w:after="0" w:line="240" w:lineRule="auto"/>
      <w:ind/>
    </w:pPr>
    <w:rPr>
      <w:color w:val="404040"/>
      <w:sz w:val="20"/>
      <w:szCs w:val="20"/>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Bordered &amp; Lined - Accent 2"/>
    <w:basedOn w:val="859"/>
    <w:uiPriority w:val="99"/>
    <w:pPr>
      <w:pBdr/>
      <w:spacing w:after="0" w:line="240" w:lineRule="auto"/>
      <w:ind/>
    </w:pPr>
    <w:rPr>
      <w:color w:val="404040"/>
      <w:sz w:val="20"/>
      <w:szCs w:val="20"/>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Bordered &amp; Lined - Accent 3"/>
    <w:basedOn w:val="859"/>
    <w:uiPriority w:val="99"/>
    <w:pPr>
      <w:pBdr/>
      <w:spacing w:after="0" w:line="240" w:lineRule="auto"/>
      <w:ind/>
    </w:pPr>
    <w:rPr>
      <w:color w:val="404040"/>
      <w:sz w:val="20"/>
      <w:szCs w:val="20"/>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Bordered &amp; Lined - Accent 4"/>
    <w:basedOn w:val="859"/>
    <w:uiPriority w:val="99"/>
    <w:pPr>
      <w:pBdr/>
      <w:spacing w:after="0" w:line="240" w:lineRule="auto"/>
      <w:ind/>
    </w:pPr>
    <w:rPr>
      <w:color w:val="404040"/>
      <w:sz w:val="20"/>
      <w:szCs w:val="20"/>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Bordered &amp; Lined - Accent 5"/>
    <w:basedOn w:val="859"/>
    <w:uiPriority w:val="99"/>
    <w:pPr>
      <w:pBdr/>
      <w:spacing w:after="0" w:line="240" w:lineRule="auto"/>
      <w:ind/>
    </w:pPr>
    <w:rPr>
      <w:color w:val="404040"/>
      <w:sz w:val="20"/>
      <w:szCs w:val="20"/>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Bordered &amp; Lined - Accent 6"/>
    <w:basedOn w:val="859"/>
    <w:uiPriority w:val="99"/>
    <w:pPr>
      <w:pBdr/>
      <w:spacing w:after="0" w:line="240" w:lineRule="auto"/>
      <w:ind/>
    </w:pPr>
    <w:rPr>
      <w:color w:val="404040"/>
      <w:sz w:val="20"/>
      <w:szCs w:val="20"/>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customStyle="1">
    <w:name w:val="Bordered"/>
    <w:basedOn w:val="859"/>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Bordered - Accent 1"/>
    <w:basedOn w:val="859"/>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Bordered - Accent 2"/>
    <w:basedOn w:val="859"/>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Bordered - Accent 3"/>
    <w:basedOn w:val="859"/>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Bordered - Accent 4"/>
    <w:basedOn w:val="859"/>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Bordered - Accent 5"/>
    <w:basedOn w:val="859"/>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Bordered - Accent 6"/>
    <w:basedOn w:val="859"/>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87" w:customStyle="1">
    <w:name w:val="Heading 1 Char"/>
    <w:basedOn w:val="858"/>
    <w:link w:val="849"/>
    <w:uiPriority w:val="9"/>
    <w:pPr>
      <w:pBdr/>
      <w:spacing/>
      <w:ind/>
    </w:pPr>
    <w:rPr>
      <w:rFonts w:ascii="Arial" w:hAnsi="Arial" w:eastAsia="Arial" w:cs="Arial"/>
      <w:color w:val="2f5496" w:themeColor="accent1" w:themeShade="BF"/>
      <w:sz w:val="40"/>
      <w:szCs w:val="40"/>
    </w:rPr>
  </w:style>
  <w:style w:type="character" w:styleId="988" w:customStyle="1">
    <w:name w:val="Heading 2 Char"/>
    <w:basedOn w:val="858"/>
    <w:link w:val="850"/>
    <w:uiPriority w:val="9"/>
    <w:pPr>
      <w:pBdr/>
      <w:spacing/>
      <w:ind/>
    </w:pPr>
    <w:rPr>
      <w:rFonts w:ascii="Arial" w:hAnsi="Arial" w:eastAsia="Arial" w:cs="Arial"/>
      <w:color w:val="2f5496" w:themeColor="accent1" w:themeShade="BF"/>
      <w:sz w:val="32"/>
      <w:szCs w:val="32"/>
    </w:rPr>
  </w:style>
  <w:style w:type="character" w:styleId="989" w:customStyle="1">
    <w:name w:val="Heading 3 Char"/>
    <w:basedOn w:val="858"/>
    <w:link w:val="851"/>
    <w:uiPriority w:val="9"/>
    <w:pPr>
      <w:pBdr/>
      <w:spacing/>
      <w:ind/>
    </w:pPr>
    <w:rPr>
      <w:rFonts w:ascii="Arial" w:hAnsi="Arial" w:eastAsia="Arial" w:cs="Arial"/>
      <w:color w:val="2f5496" w:themeColor="accent1" w:themeShade="BF"/>
      <w:sz w:val="28"/>
      <w:szCs w:val="28"/>
    </w:rPr>
  </w:style>
  <w:style w:type="character" w:styleId="990" w:customStyle="1">
    <w:name w:val="Heading 4 Char"/>
    <w:basedOn w:val="858"/>
    <w:link w:val="852"/>
    <w:uiPriority w:val="9"/>
    <w:pPr>
      <w:pBdr/>
      <w:spacing/>
      <w:ind/>
    </w:pPr>
    <w:rPr>
      <w:rFonts w:ascii="Arial" w:hAnsi="Arial" w:eastAsia="Arial" w:cs="Arial"/>
      <w:i/>
      <w:iCs/>
      <w:color w:val="2f5496" w:themeColor="accent1" w:themeShade="BF"/>
    </w:rPr>
  </w:style>
  <w:style w:type="character" w:styleId="991" w:customStyle="1">
    <w:name w:val="Heading 5 Char"/>
    <w:basedOn w:val="858"/>
    <w:link w:val="853"/>
    <w:uiPriority w:val="9"/>
    <w:pPr>
      <w:pBdr/>
      <w:spacing/>
      <w:ind/>
    </w:pPr>
    <w:rPr>
      <w:rFonts w:ascii="Arial" w:hAnsi="Arial" w:eastAsia="Arial" w:cs="Arial"/>
      <w:color w:val="2f5496" w:themeColor="accent1" w:themeShade="BF"/>
    </w:rPr>
  </w:style>
  <w:style w:type="character" w:styleId="992" w:customStyle="1">
    <w:name w:val="Heading 6 Char"/>
    <w:basedOn w:val="858"/>
    <w:link w:val="854"/>
    <w:uiPriority w:val="9"/>
    <w:pPr>
      <w:pBdr/>
      <w:spacing/>
      <w:ind/>
    </w:pPr>
    <w:rPr>
      <w:rFonts w:ascii="Arial" w:hAnsi="Arial" w:eastAsia="Arial" w:cs="Arial"/>
      <w:i/>
      <w:iCs/>
      <w:color w:val="595959" w:themeColor="text1" w:themeTint="A6"/>
    </w:rPr>
  </w:style>
  <w:style w:type="character" w:styleId="993" w:customStyle="1">
    <w:name w:val="Heading 7 Char"/>
    <w:basedOn w:val="858"/>
    <w:link w:val="855"/>
    <w:uiPriority w:val="9"/>
    <w:pPr>
      <w:pBdr/>
      <w:spacing/>
      <w:ind/>
    </w:pPr>
    <w:rPr>
      <w:rFonts w:ascii="Arial" w:hAnsi="Arial" w:eastAsia="Arial" w:cs="Arial"/>
      <w:color w:val="595959" w:themeColor="text1" w:themeTint="A6"/>
    </w:rPr>
  </w:style>
  <w:style w:type="character" w:styleId="994" w:customStyle="1">
    <w:name w:val="Heading 8 Char"/>
    <w:basedOn w:val="858"/>
    <w:link w:val="856"/>
    <w:uiPriority w:val="9"/>
    <w:pPr>
      <w:pBdr/>
      <w:spacing/>
      <w:ind/>
    </w:pPr>
    <w:rPr>
      <w:rFonts w:ascii="Arial" w:hAnsi="Arial" w:eastAsia="Arial" w:cs="Arial"/>
      <w:i/>
      <w:iCs/>
      <w:color w:val="272727" w:themeColor="text1" w:themeTint="D8"/>
    </w:rPr>
  </w:style>
  <w:style w:type="character" w:styleId="995" w:customStyle="1">
    <w:name w:val="Heading 9 Char"/>
    <w:basedOn w:val="858"/>
    <w:link w:val="857"/>
    <w:uiPriority w:val="9"/>
    <w:pPr>
      <w:pBdr/>
      <w:spacing/>
      <w:ind/>
    </w:pPr>
    <w:rPr>
      <w:rFonts w:ascii="Arial" w:hAnsi="Arial" w:eastAsia="Arial" w:cs="Arial"/>
      <w:i/>
      <w:iCs/>
      <w:color w:val="272727" w:themeColor="text1" w:themeTint="D8"/>
    </w:rPr>
  </w:style>
  <w:style w:type="paragraph" w:styleId="996">
    <w:name w:val="Title"/>
    <w:basedOn w:val="848"/>
    <w:next w:val="848"/>
    <w:link w:val="997"/>
    <w:uiPriority w:val="10"/>
    <w:qFormat/>
    <w:pPr>
      <w:pBdr/>
      <w:spacing w:after="80" w:line="240" w:lineRule="auto"/>
      <w:ind/>
      <w:contextualSpacing w:val="true"/>
    </w:pPr>
    <w:rPr>
      <w:rFonts w:ascii="Arial" w:hAnsi="Arial" w:eastAsia="Arial" w:cs="Arial"/>
      <w:spacing w:val="-10"/>
      <w:sz w:val="56"/>
      <w:szCs w:val="56"/>
    </w:rPr>
  </w:style>
  <w:style w:type="character" w:styleId="997" w:customStyle="1">
    <w:name w:val="Title Char"/>
    <w:basedOn w:val="858"/>
    <w:link w:val="996"/>
    <w:uiPriority w:val="10"/>
    <w:pPr>
      <w:pBdr/>
      <w:spacing/>
      <w:ind/>
    </w:pPr>
    <w:rPr>
      <w:rFonts w:ascii="Arial" w:hAnsi="Arial" w:eastAsia="Arial" w:cs="Arial"/>
      <w:spacing w:val="-10"/>
      <w:sz w:val="56"/>
      <w:szCs w:val="56"/>
    </w:rPr>
  </w:style>
  <w:style w:type="paragraph" w:styleId="998">
    <w:name w:val="Subtitle"/>
    <w:basedOn w:val="848"/>
    <w:next w:val="848"/>
    <w:link w:val="999"/>
    <w:uiPriority w:val="11"/>
    <w:qFormat/>
    <w:pPr>
      <w:numPr>
        <w:ilvl w:val="1"/>
      </w:numPr>
      <w:pBdr/>
      <w:spacing/>
      <w:ind w:firstLine="720"/>
    </w:pPr>
    <w:rPr>
      <w:color w:val="595959" w:themeColor="text1" w:themeTint="A6"/>
      <w:spacing w:val="15"/>
      <w:sz w:val="28"/>
      <w:szCs w:val="28"/>
    </w:rPr>
  </w:style>
  <w:style w:type="character" w:styleId="999" w:customStyle="1">
    <w:name w:val="Subtitle Char"/>
    <w:basedOn w:val="858"/>
    <w:link w:val="998"/>
    <w:uiPriority w:val="11"/>
    <w:pPr>
      <w:pBdr/>
      <w:spacing/>
      <w:ind/>
    </w:pPr>
    <w:rPr>
      <w:color w:val="595959" w:themeColor="text1" w:themeTint="A6"/>
      <w:spacing w:val="15"/>
      <w:sz w:val="28"/>
      <w:szCs w:val="28"/>
    </w:rPr>
  </w:style>
  <w:style w:type="paragraph" w:styleId="1000">
    <w:name w:val="Quote"/>
    <w:basedOn w:val="848"/>
    <w:next w:val="848"/>
    <w:link w:val="1001"/>
    <w:uiPriority w:val="29"/>
    <w:qFormat/>
    <w:pPr>
      <w:pBdr/>
      <w:spacing w:before="160"/>
      <w:ind/>
      <w:jc w:val="center"/>
    </w:pPr>
    <w:rPr>
      <w:i/>
      <w:iCs/>
      <w:color w:val="404040" w:themeColor="text1" w:themeTint="BF"/>
    </w:rPr>
  </w:style>
  <w:style w:type="character" w:styleId="1001" w:customStyle="1">
    <w:name w:val="Quote Char"/>
    <w:basedOn w:val="858"/>
    <w:link w:val="1000"/>
    <w:uiPriority w:val="29"/>
    <w:pPr>
      <w:pBdr/>
      <w:spacing/>
      <w:ind/>
    </w:pPr>
    <w:rPr>
      <w:i/>
      <w:iCs/>
      <w:color w:val="404040" w:themeColor="text1" w:themeTint="BF"/>
    </w:rPr>
  </w:style>
  <w:style w:type="character" w:styleId="1002">
    <w:name w:val="Intense Emphasis"/>
    <w:basedOn w:val="858"/>
    <w:uiPriority w:val="21"/>
    <w:qFormat/>
    <w:pPr>
      <w:pBdr/>
      <w:spacing/>
      <w:ind/>
    </w:pPr>
    <w:rPr>
      <w:i/>
      <w:iCs/>
      <w:color w:val="2f5496" w:themeColor="accent1" w:themeShade="BF"/>
    </w:rPr>
  </w:style>
  <w:style w:type="paragraph" w:styleId="1003">
    <w:name w:val="Intense Quote"/>
    <w:basedOn w:val="848"/>
    <w:next w:val="848"/>
    <w:link w:val="1004"/>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004" w:customStyle="1">
    <w:name w:val="Intense Quote Char"/>
    <w:basedOn w:val="858"/>
    <w:link w:val="1003"/>
    <w:uiPriority w:val="30"/>
    <w:pPr>
      <w:pBdr/>
      <w:spacing/>
      <w:ind/>
    </w:pPr>
    <w:rPr>
      <w:i/>
      <w:iCs/>
      <w:color w:val="2f5496" w:themeColor="accent1" w:themeShade="BF"/>
    </w:rPr>
  </w:style>
  <w:style w:type="character" w:styleId="1005">
    <w:name w:val="Intense Reference"/>
    <w:basedOn w:val="858"/>
    <w:uiPriority w:val="32"/>
    <w:qFormat/>
    <w:pPr>
      <w:pBdr/>
      <w:spacing/>
      <w:ind/>
    </w:pPr>
    <w:rPr>
      <w:b/>
      <w:bCs/>
      <w:smallCaps/>
      <w:color w:val="2f5496" w:themeColor="accent1" w:themeShade="BF"/>
      <w:spacing w:val="5"/>
    </w:rPr>
  </w:style>
  <w:style w:type="paragraph" w:styleId="1006">
    <w:name w:val="No Spacing"/>
    <w:basedOn w:val="848"/>
    <w:uiPriority w:val="1"/>
    <w:qFormat/>
    <w:pPr>
      <w:pBdr/>
      <w:spacing w:after="0" w:line="240" w:lineRule="auto"/>
      <w:ind/>
    </w:pPr>
  </w:style>
  <w:style w:type="character" w:styleId="1007">
    <w:name w:val="Subtle Emphasis"/>
    <w:basedOn w:val="858"/>
    <w:uiPriority w:val="19"/>
    <w:qFormat/>
    <w:pPr>
      <w:pBdr/>
      <w:spacing/>
      <w:ind/>
    </w:pPr>
    <w:rPr>
      <w:i/>
      <w:iCs/>
      <w:color w:val="404040" w:themeColor="text1" w:themeTint="BF"/>
    </w:rPr>
  </w:style>
  <w:style w:type="character" w:styleId="1008">
    <w:name w:val="Emphasis"/>
    <w:basedOn w:val="858"/>
    <w:uiPriority w:val="20"/>
    <w:qFormat/>
    <w:pPr>
      <w:pBdr/>
      <w:spacing/>
      <w:ind/>
    </w:pPr>
    <w:rPr>
      <w:i/>
      <w:iCs/>
    </w:rPr>
  </w:style>
  <w:style w:type="character" w:styleId="1009">
    <w:name w:val="Strong"/>
    <w:basedOn w:val="858"/>
    <w:uiPriority w:val="22"/>
    <w:qFormat/>
    <w:pPr>
      <w:pBdr/>
      <w:spacing/>
      <w:ind/>
    </w:pPr>
    <w:rPr>
      <w:b/>
      <w:bCs/>
    </w:rPr>
  </w:style>
  <w:style w:type="character" w:styleId="1010">
    <w:name w:val="Subtle Reference"/>
    <w:basedOn w:val="858"/>
    <w:uiPriority w:val="31"/>
    <w:qFormat/>
    <w:pPr>
      <w:pBdr/>
      <w:spacing/>
      <w:ind/>
    </w:pPr>
    <w:rPr>
      <w:smallCaps/>
      <w:color w:val="5a5a5a" w:themeColor="text1" w:themeTint="A5"/>
    </w:rPr>
  </w:style>
  <w:style w:type="character" w:styleId="1011">
    <w:name w:val="Book Title"/>
    <w:basedOn w:val="858"/>
    <w:uiPriority w:val="33"/>
    <w:qFormat/>
    <w:pPr>
      <w:pBdr/>
      <w:spacing/>
      <w:ind/>
    </w:pPr>
    <w:rPr>
      <w:b/>
      <w:bCs/>
      <w:i/>
      <w:iCs/>
      <w:spacing w:val="5"/>
    </w:rPr>
  </w:style>
  <w:style w:type="paragraph" w:styleId="1012">
    <w:name w:val="Caption"/>
    <w:basedOn w:val="848"/>
    <w:next w:val="848"/>
    <w:uiPriority w:val="35"/>
    <w:unhideWhenUsed/>
    <w:qFormat/>
    <w:pPr>
      <w:pBdr/>
      <w:spacing w:after="200" w:line="240" w:lineRule="auto"/>
      <w:ind/>
    </w:pPr>
    <w:rPr>
      <w:i/>
      <w:iCs/>
      <w:color w:val="44546a" w:themeColor="text2"/>
      <w:sz w:val="18"/>
      <w:szCs w:val="18"/>
    </w:rPr>
  </w:style>
  <w:style w:type="paragraph" w:styleId="1013">
    <w:name w:val="endnote text"/>
    <w:basedOn w:val="848"/>
    <w:link w:val="1014"/>
    <w:uiPriority w:val="99"/>
    <w:semiHidden/>
    <w:unhideWhenUsed/>
    <w:pPr>
      <w:pBdr/>
      <w:spacing w:after="0" w:line="240" w:lineRule="auto"/>
      <w:ind/>
    </w:pPr>
    <w:rPr>
      <w:szCs w:val="20"/>
    </w:rPr>
  </w:style>
  <w:style w:type="character" w:styleId="1014" w:customStyle="1">
    <w:name w:val="Endnote Text Char"/>
    <w:basedOn w:val="858"/>
    <w:link w:val="1013"/>
    <w:uiPriority w:val="99"/>
    <w:semiHidden/>
    <w:pPr>
      <w:pBdr/>
      <w:spacing/>
      <w:ind/>
    </w:pPr>
    <w:rPr>
      <w:sz w:val="20"/>
      <w:szCs w:val="20"/>
    </w:rPr>
  </w:style>
  <w:style w:type="character" w:styleId="1015">
    <w:name w:val="endnote reference"/>
    <w:basedOn w:val="858"/>
    <w:uiPriority w:val="99"/>
    <w:semiHidden/>
    <w:unhideWhenUsed/>
    <w:pPr>
      <w:pBdr/>
      <w:spacing/>
      <w:ind/>
    </w:pPr>
    <w:rPr>
      <w:vertAlign w:val="superscript"/>
    </w:rPr>
  </w:style>
  <w:style w:type="character" w:styleId="1016">
    <w:name w:val="FollowedHyperlink"/>
    <w:basedOn w:val="858"/>
    <w:uiPriority w:val="99"/>
    <w:semiHidden/>
    <w:unhideWhenUsed/>
    <w:pPr>
      <w:pBdr/>
      <w:spacing/>
      <w:ind/>
    </w:pPr>
    <w:rPr>
      <w:color w:val="954f72" w:themeColor="followedHyperlink"/>
      <w:u w:val="single"/>
    </w:rPr>
  </w:style>
  <w:style w:type="paragraph" w:styleId="1017">
    <w:name w:val="toc 1"/>
    <w:basedOn w:val="848"/>
    <w:next w:val="848"/>
    <w:uiPriority w:val="39"/>
    <w:unhideWhenUsed/>
    <w:pPr>
      <w:pBdr/>
      <w:spacing w:after="100"/>
      <w:ind/>
    </w:pPr>
  </w:style>
  <w:style w:type="paragraph" w:styleId="1018">
    <w:name w:val="toc 2"/>
    <w:basedOn w:val="848"/>
    <w:next w:val="848"/>
    <w:uiPriority w:val="39"/>
    <w:unhideWhenUsed/>
    <w:pPr>
      <w:pBdr/>
      <w:spacing w:after="100"/>
      <w:ind w:left="220"/>
    </w:pPr>
  </w:style>
  <w:style w:type="paragraph" w:styleId="1019">
    <w:name w:val="toc 3"/>
    <w:basedOn w:val="848"/>
    <w:next w:val="848"/>
    <w:uiPriority w:val="39"/>
    <w:unhideWhenUsed/>
    <w:pPr>
      <w:pBdr/>
      <w:spacing w:after="100"/>
      <w:ind w:left="440"/>
    </w:pPr>
  </w:style>
  <w:style w:type="paragraph" w:styleId="1020">
    <w:name w:val="toc 4"/>
    <w:basedOn w:val="848"/>
    <w:next w:val="848"/>
    <w:uiPriority w:val="39"/>
    <w:unhideWhenUsed/>
    <w:pPr>
      <w:pBdr/>
      <w:spacing w:after="100"/>
      <w:ind w:left="660"/>
    </w:pPr>
  </w:style>
  <w:style w:type="paragraph" w:styleId="1021">
    <w:name w:val="toc 5"/>
    <w:basedOn w:val="848"/>
    <w:next w:val="848"/>
    <w:uiPriority w:val="39"/>
    <w:unhideWhenUsed/>
    <w:pPr>
      <w:pBdr/>
      <w:spacing w:after="100"/>
      <w:ind w:left="880"/>
    </w:pPr>
  </w:style>
  <w:style w:type="paragraph" w:styleId="1022">
    <w:name w:val="toc 6"/>
    <w:basedOn w:val="848"/>
    <w:next w:val="848"/>
    <w:uiPriority w:val="39"/>
    <w:unhideWhenUsed/>
    <w:pPr>
      <w:pBdr/>
      <w:spacing w:after="100"/>
      <w:ind w:left="1100"/>
    </w:pPr>
  </w:style>
  <w:style w:type="paragraph" w:styleId="1023">
    <w:name w:val="toc 7"/>
    <w:basedOn w:val="848"/>
    <w:next w:val="848"/>
    <w:uiPriority w:val="39"/>
    <w:unhideWhenUsed/>
    <w:pPr>
      <w:pBdr/>
      <w:spacing w:after="100"/>
      <w:ind w:left="1320"/>
    </w:pPr>
  </w:style>
  <w:style w:type="paragraph" w:styleId="1024">
    <w:name w:val="toc 8"/>
    <w:basedOn w:val="848"/>
    <w:next w:val="848"/>
    <w:uiPriority w:val="39"/>
    <w:unhideWhenUsed/>
    <w:pPr>
      <w:pBdr/>
      <w:spacing w:after="100"/>
      <w:ind w:left="1540"/>
    </w:pPr>
  </w:style>
  <w:style w:type="paragraph" w:styleId="1025">
    <w:name w:val="toc 9"/>
    <w:basedOn w:val="848"/>
    <w:next w:val="848"/>
    <w:uiPriority w:val="39"/>
    <w:unhideWhenUsed/>
    <w:pPr>
      <w:pBdr/>
      <w:spacing w:after="100"/>
      <w:ind w:left="1760"/>
    </w:pPr>
  </w:style>
  <w:style w:type="character" w:styleId="1026">
    <w:name w:val="Placeholder Text"/>
    <w:basedOn w:val="858"/>
    <w:uiPriority w:val="99"/>
    <w:semiHidden/>
    <w:pPr>
      <w:pBdr/>
      <w:spacing/>
      <w:ind/>
    </w:pPr>
    <w:rPr>
      <w:color w:val="666666"/>
    </w:rPr>
  </w:style>
  <w:style w:type="paragraph" w:styleId="1027">
    <w:name w:val="TOC Heading"/>
    <w:uiPriority w:val="39"/>
    <w:unhideWhenUsed/>
    <w:pPr>
      <w:pBdr/>
      <w:spacing/>
      <w:ind/>
    </w:pPr>
  </w:style>
  <w:style w:type="paragraph" w:styleId="1028">
    <w:name w:val="table of figures"/>
    <w:basedOn w:val="848"/>
    <w:next w:val="848"/>
    <w:uiPriority w:val="99"/>
    <w:unhideWhenUsed/>
    <w:pPr>
      <w:pBdr/>
      <w:spacing w:after="0"/>
      <w:ind/>
    </w:pPr>
  </w:style>
  <w:style w:type="paragraph" w:styleId="1029" w:customStyle="1">
    <w:name w:val="RALs-Authors"/>
    <w:basedOn w:val="848"/>
    <w:next w:val="1042"/>
    <w:qFormat/>
    <w:pPr>
      <w:pBdr/>
      <w:spacing w:after="120" w:line="240" w:lineRule="auto"/>
      <w:ind/>
      <w:jc w:val="center"/>
    </w:pPr>
    <w:rPr>
      <w:rFonts w:cs="Times New Roman"/>
      <w:i/>
      <w:szCs w:val="20"/>
      <w:lang w:bidi="fa-IR"/>
    </w:rPr>
  </w:style>
  <w:style w:type="paragraph" w:styleId="1030" w:customStyle="1">
    <w:name w:val="RALs-Title"/>
    <w:basedOn w:val="848"/>
    <w:next w:val="848"/>
    <w:link w:val="1031"/>
    <w:qFormat/>
    <w:pPr>
      <w:pBdr/>
      <w:spacing w:after="0"/>
      <w:ind w:firstLine="0"/>
      <w:jc w:val="center"/>
      <w:outlineLvl w:val="0"/>
    </w:pPr>
    <w:rPr>
      <w:rFonts w:cs="Times New Roman"/>
      <w:b/>
      <w:sz w:val="28"/>
      <w:szCs w:val="28"/>
      <w:lang w:bidi="fa-IR"/>
    </w:rPr>
  </w:style>
  <w:style w:type="character" w:styleId="1031" w:customStyle="1">
    <w:name w:val="RALs-Title Char"/>
    <w:link w:val="1030"/>
    <w:pPr>
      <w:pBdr/>
      <w:spacing/>
      <w:ind/>
    </w:pPr>
    <w:rPr>
      <w:rFonts w:ascii="Times New Roman" w:hAnsi="Times New Roman" w:eastAsia="Times New Roman" w:cs="Times New Roman"/>
      <w:b/>
      <w:sz w:val="28"/>
      <w:szCs w:val="28"/>
      <w:lang w:bidi="fa-IR"/>
    </w:rPr>
  </w:style>
  <w:style w:type="paragraph" w:styleId="1032" w:customStyle="1">
    <w:name w:val="RALs-PersianText"/>
    <w:basedOn w:val="848"/>
    <w:qFormat/>
    <w:pPr>
      <w:pBdr/>
      <w:bidi w:val="true"/>
      <w:spacing w:line="240" w:lineRule="auto"/>
      <w:ind w:firstLine="0" w:left="567"/>
    </w:pPr>
    <w:rPr>
      <w:lang w:bidi="fa-IR"/>
    </w:rPr>
  </w:style>
  <w:style w:type="paragraph" w:styleId="1033" w:customStyle="1">
    <w:name w:val="RALs-ReferencesList"/>
    <w:basedOn w:val="848"/>
    <w:qFormat/>
    <w:pPr>
      <w:pBdr/>
      <w:spacing w:after="100"/>
      <w:ind w:hanging="426" w:left="426"/>
    </w:pPr>
    <w:rPr>
      <w:szCs w:val="20"/>
    </w:rPr>
  </w:style>
  <w:style w:type="paragraph" w:styleId="1034" w:customStyle="1">
    <w:name w:val="RALs-BlockQuote"/>
    <w:basedOn w:val="848"/>
    <w:next w:val="848"/>
    <w:qFormat/>
    <w:pPr>
      <w:pBdr/>
      <w:spacing w:after="120"/>
      <w:ind w:firstLine="0" w:left="754"/>
    </w:pPr>
  </w:style>
  <w:style w:type="paragraph" w:styleId="1035">
    <w:name w:val="Header"/>
    <w:basedOn w:val="848"/>
    <w:link w:val="1036"/>
    <w:uiPriority w:val="99"/>
    <w:unhideWhenUsed/>
    <w:pPr>
      <w:pBdr/>
      <w:tabs>
        <w:tab w:val="center" w:leader="none" w:pos="4680"/>
        <w:tab w:val="right" w:leader="none" w:pos="9360"/>
      </w:tabs>
      <w:spacing w:after="0" w:line="240" w:lineRule="auto"/>
      <w:ind/>
    </w:pPr>
  </w:style>
  <w:style w:type="character" w:styleId="1036" w:customStyle="1">
    <w:name w:val="Header Char"/>
    <w:basedOn w:val="858"/>
    <w:link w:val="1035"/>
    <w:uiPriority w:val="99"/>
    <w:pPr>
      <w:pBdr/>
      <w:spacing/>
      <w:ind/>
    </w:pPr>
    <w:rPr>
      <w:rFonts w:ascii="Times New Roman" w:hAnsi="Times New Roman" w:eastAsia="Times New Roman" w:cs="B Zar"/>
      <w:sz w:val="20"/>
    </w:rPr>
  </w:style>
  <w:style w:type="paragraph" w:styleId="1037">
    <w:name w:val="Footer"/>
    <w:basedOn w:val="1045"/>
    <w:link w:val="1038"/>
    <w:uiPriority w:val="99"/>
    <w:unhideWhenUsed/>
    <w:pPr>
      <w:pBdr/>
      <w:spacing/>
      <w:ind w:firstLine="0"/>
    </w:pPr>
  </w:style>
  <w:style w:type="character" w:styleId="1038" w:customStyle="1">
    <w:name w:val="Footer Char"/>
    <w:basedOn w:val="858"/>
    <w:link w:val="1037"/>
    <w:uiPriority w:val="99"/>
    <w:pPr>
      <w:pBdr/>
      <w:spacing/>
      <w:ind/>
    </w:pPr>
    <w:rPr>
      <w:rFonts w:ascii="Times New Roman" w:hAnsi="Times New Roman" w:eastAsia="Times New Roman" w:cs="B Zar"/>
      <w:sz w:val="20"/>
      <w:szCs w:val="20"/>
    </w:rPr>
  </w:style>
  <w:style w:type="paragraph" w:styleId="1039" w:customStyle="1">
    <w:name w:val="RALs-Heading1"/>
    <w:basedOn w:val="848"/>
    <w:next w:val="848"/>
    <w:qFormat/>
    <w:pPr>
      <w:keepNext w:val="true"/>
      <w:pBdr/>
      <w:spacing w:after="0" w:before="240"/>
      <w:ind w:hanging="284" w:left="284"/>
      <w:jc w:val="center"/>
    </w:pPr>
    <w:rPr>
      <w:b/>
      <w:bCs/>
    </w:rPr>
  </w:style>
  <w:style w:type="paragraph" w:styleId="1040" w:customStyle="1">
    <w:name w:val="RALs-Heading2"/>
    <w:basedOn w:val="848"/>
    <w:next w:val="848"/>
    <w:qFormat/>
    <w:pPr>
      <w:keepNext w:val="true"/>
      <w:pBdr/>
      <w:spacing w:before="180"/>
      <w:ind w:hanging="284" w:left="284"/>
    </w:pPr>
    <w:rPr>
      <w:b/>
      <w:bCs/>
      <w:i/>
      <w:iCs/>
    </w:rPr>
  </w:style>
  <w:style w:type="paragraph" w:styleId="1041" w:customStyle="1">
    <w:name w:val="RALs-Heading3"/>
    <w:basedOn w:val="848"/>
    <w:next w:val="848"/>
    <w:qFormat/>
    <w:pPr>
      <w:keepNext w:val="true"/>
      <w:pBdr/>
      <w:spacing/>
      <w:ind w:hanging="284" w:left="284"/>
    </w:pPr>
    <w:rPr>
      <w:i/>
      <w:iCs/>
    </w:rPr>
  </w:style>
  <w:style w:type="paragraph" w:styleId="1042" w:customStyle="1">
    <w:name w:val="RALs-HeadingsNoIndent"/>
    <w:basedOn w:val="848"/>
    <w:next w:val="1053"/>
    <w:qFormat/>
    <w:pPr>
      <w:keepNext w:val="true"/>
      <w:pBdr/>
      <w:spacing w:before="240"/>
      <w:ind w:firstLine="0"/>
    </w:pPr>
    <w:rPr>
      <w:b/>
      <w:bCs/>
    </w:rPr>
  </w:style>
  <w:style w:type="paragraph" w:styleId="1043" w:customStyle="1">
    <w:name w:val="RALs-List"/>
    <w:basedOn w:val="1057"/>
    <w:qFormat/>
    <w:pPr>
      <w:numPr>
        <w:numId w:val="1"/>
      </w:numPr>
      <w:pBdr/>
      <w:tabs>
        <w:tab w:val="num" w:leader="none" w:pos="360"/>
      </w:tabs>
      <w:spacing w:before="40"/>
      <w:ind w:hanging="357" w:left="1434"/>
      <w:contextualSpacing w:val="false"/>
    </w:pPr>
  </w:style>
  <w:style w:type="character" w:styleId="1044">
    <w:name w:val="Hyperlink"/>
    <w:basedOn w:val="858"/>
    <w:uiPriority w:val="99"/>
    <w:unhideWhenUsed/>
    <w:pPr>
      <w:pBdr/>
      <w:spacing/>
      <w:ind/>
    </w:pPr>
    <w:rPr>
      <w:color w:val="0563c1" w:themeColor="hyperlink"/>
      <w:u w:val="single"/>
    </w:rPr>
  </w:style>
  <w:style w:type="paragraph" w:styleId="1045">
    <w:name w:val="footnote text"/>
    <w:basedOn w:val="848"/>
    <w:link w:val="1046"/>
    <w:uiPriority w:val="99"/>
    <w:unhideWhenUsed/>
    <w:pPr>
      <w:pBdr/>
      <w:spacing w:after="0" w:before="0" w:line="240" w:lineRule="auto"/>
      <w:ind w:hanging="142" w:left="142"/>
    </w:pPr>
    <w:rPr>
      <w:szCs w:val="20"/>
    </w:rPr>
  </w:style>
  <w:style w:type="character" w:styleId="1046" w:customStyle="1">
    <w:name w:val="Footnote Text Char"/>
    <w:basedOn w:val="858"/>
    <w:link w:val="1045"/>
    <w:uiPriority w:val="99"/>
    <w:pPr>
      <w:pBdr/>
      <w:spacing/>
      <w:ind/>
    </w:pPr>
    <w:rPr>
      <w:rFonts w:ascii="Times New Roman" w:hAnsi="Times New Roman" w:eastAsia="Times New Roman" w:cs="B Zar"/>
      <w:sz w:val="20"/>
      <w:szCs w:val="20"/>
    </w:rPr>
  </w:style>
  <w:style w:type="character" w:styleId="1047">
    <w:name w:val="footnote reference"/>
    <w:basedOn w:val="858"/>
    <w:uiPriority w:val="99"/>
    <w:semiHidden/>
    <w:unhideWhenUsed/>
    <w:pPr>
      <w:pBdr/>
      <w:spacing/>
      <w:ind/>
    </w:pPr>
    <w:rPr>
      <w:vertAlign w:val="superscript"/>
    </w:rPr>
  </w:style>
  <w:style w:type="paragraph" w:styleId="1048" w:customStyle="1">
    <w:name w:val="RALs-Heading4"/>
    <w:basedOn w:val="848"/>
    <w:next w:val="848"/>
    <w:qFormat/>
    <w:pPr>
      <w:keepNext w:val="true"/>
      <w:pBdr/>
      <w:spacing w:before="180"/>
      <w:ind w:hanging="284" w:left="284"/>
    </w:pPr>
    <w:rPr>
      <w:i/>
      <w:iCs/>
    </w:rPr>
  </w:style>
  <w:style w:type="paragraph" w:styleId="1049" w:customStyle="1">
    <w:name w:val="RALs-Heading5"/>
    <w:basedOn w:val="848"/>
    <w:next w:val="848"/>
    <w:qFormat/>
    <w:pPr>
      <w:keepNext w:val="true"/>
      <w:pBdr/>
      <w:spacing w:before="180"/>
      <w:ind w:hanging="284" w:left="284"/>
    </w:pPr>
  </w:style>
  <w:style w:type="paragraph" w:styleId="1050" w:customStyle="1">
    <w:name w:val="RALs-TableCaption"/>
    <w:basedOn w:val="848"/>
    <w:next w:val="1053"/>
    <w:qFormat/>
    <w:pPr>
      <w:keepNext w:val="true"/>
      <w:pBdr/>
      <w:spacing/>
      <w:ind w:hanging="720" w:left="720"/>
    </w:pPr>
  </w:style>
  <w:style w:type="table" w:styleId="1051" w:customStyle="1">
    <w:name w:val="RALs-APA-Table"/>
    <w:basedOn w:val="859"/>
    <w:uiPriority w:val="99"/>
    <w:pPr>
      <w:pBdr/>
      <w:spacing w:after="0" w:line="240" w:lineRule="auto"/>
      <w:ind/>
      <w:jc w:val="center"/>
    </w:pPr>
    <w:rPr>
      <w:rFonts w:ascii="Garamond" w:hAnsi="Garamond" w:eastAsia="SimSun" w:cs="Arial"/>
      <w:sz w:val="20"/>
      <w:szCs w:val="20"/>
    </w:rPr>
    <w:tblPr>
      <w:tblBorders>
        <w:top w:val="single" w:color="000000" w:sz="4" w:space="0"/>
        <w:bottom w:val="single" w:color="000000" w:sz="4" w:space="0"/>
      </w:tblBorders>
    </w:tblPr>
    <w:tcPr>
      <w:tcBorders/>
      <w:vAlign w:val="center"/>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rPr>
        <w:b w:val="0"/>
      </w:rPr>
      <w:pPr>
        <w:pBdr/>
        <w:spacing/>
        <w:ind/>
        <w:jc w:val="left"/>
      </w:pPr>
      <w:tblPr>
        <w:tblBorders/>
      </w:tblPr>
      <w:tcPr>
        <w:tcBorders>
          <w:top w:val="single" w:color="000000" w:sz="4" w:space="0"/>
          <w:bottom w:val="single" w:color="000000" w:sz="4" w:space="0"/>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2" w:customStyle="1">
    <w:name w:val="RALs-TableText"/>
    <w:basedOn w:val="848"/>
    <w:qFormat/>
    <w:pPr>
      <w:pBdr/>
      <w:spacing w:after="0" w:before="0"/>
      <w:ind w:firstLine="0"/>
    </w:pPr>
    <w:rPr>
      <w:szCs w:val="20"/>
    </w:rPr>
  </w:style>
  <w:style w:type="paragraph" w:styleId="1053" w:customStyle="1">
    <w:name w:val="RALs-Normal-NoIndent"/>
    <w:basedOn w:val="848"/>
    <w:qFormat/>
    <w:pPr>
      <w:pBdr/>
      <w:spacing/>
      <w:ind w:firstLine="0"/>
    </w:pPr>
  </w:style>
  <w:style w:type="paragraph" w:styleId="1054" w:customStyle="1">
    <w:name w:val="RALs-FigureCaption"/>
    <w:basedOn w:val="1050"/>
    <w:next w:val="1055"/>
    <w:qFormat/>
    <w:pPr>
      <w:pBdr/>
      <w:spacing/>
      <w:ind w:firstLine="0" w:left="0"/>
      <w:jc w:val="center"/>
    </w:pPr>
  </w:style>
  <w:style w:type="paragraph" w:styleId="1055" w:customStyle="1">
    <w:name w:val="RALs-Normal"/>
    <w:basedOn w:val="848"/>
    <w:qFormat/>
    <w:pPr>
      <w:pBdr/>
      <w:spacing/>
      <w:ind/>
    </w:pPr>
  </w:style>
  <w:style w:type="paragraph" w:styleId="1056" w:customStyle="1">
    <w:name w:val="RALs-TableNote"/>
    <w:basedOn w:val="848"/>
    <w:qFormat/>
    <w:pPr>
      <w:pBdr/>
      <w:spacing w:before="40"/>
      <w:ind w:firstLine="0"/>
    </w:pPr>
    <w:rPr>
      <w:sz w:val="18"/>
      <w:szCs w:val="20"/>
    </w:rPr>
  </w:style>
  <w:style w:type="paragraph" w:styleId="1057">
    <w:name w:val="List Paragraph"/>
    <w:basedOn w:val="848"/>
    <w:uiPriority w:val="34"/>
    <w:qFormat/>
    <w:pPr>
      <w:pBdr/>
      <w:spacing/>
      <w:ind w:left="720"/>
      <w:contextualSpacing w:val="true"/>
    </w:pPr>
  </w:style>
  <w:style w:type="paragraph" w:styleId="1058">
    <w:name w:val="Normal (Web)"/>
    <w:basedOn w:val="848"/>
    <w:uiPriority w:val="99"/>
    <w:unhideWhenUsed/>
    <w:pPr>
      <w:pBdr/>
      <w:spacing w:after="100" w:afterAutospacing="1" w:before="100" w:beforeAutospacing="1" w:line="240" w:lineRule="auto"/>
      <w:ind w:firstLine="0"/>
      <w:jc w:val="left"/>
    </w:pPr>
    <w:rPr>
      <w:rFonts w:cs="Times New Roman"/>
      <w:sz w:val="24"/>
      <w:szCs w:val="24"/>
    </w:rPr>
  </w:style>
  <w:style w:type="table" w:styleId="1059" w:customStyle="1">
    <w:name w:val="Light Shading1"/>
    <w:basedOn w:val="859"/>
    <w:uiPriority w:val="60"/>
    <w:pPr>
      <w:pBdr/>
      <w:spacing w:after="0" w:line="240" w:lineRule="auto"/>
      <w:ind/>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0" w:customStyle="1">
    <w:name w:val="Body Text1"/>
    <w:qFormat/>
    <w:pPr>
      <w:pBdr>
        <w:top w:val="none" w:color="000000" w:sz="4" w:space="0"/>
        <w:left w:val="none" w:color="000000" w:sz="4" w:space="0"/>
        <w:bottom w:val="none" w:color="000000" w:sz="4" w:space="0"/>
        <w:right w:val="none" w:color="000000" w:sz="4" w:space="0"/>
        <w:between w:val="none" w:color="000000" w:sz="4" w:space="0"/>
      </w:pBdr>
      <w:spacing w:after="180" w:before="180" w:line="240" w:lineRule="auto"/>
      <w:ind/>
    </w:pPr>
    <w:rPr>
      <w:sz w:val="24"/>
      <w:szCs w:val="24"/>
    </w:rPr>
  </w:style>
  <w:style w:type="paragraph" w:styleId="1061" w:customStyle="1">
    <w:name w:val="First Paragraph"/>
    <w:qFormat/>
    <w:pPr>
      <w:pBdr>
        <w:top w:val="none" w:color="000000" w:sz="4" w:space="0"/>
        <w:left w:val="none" w:color="000000" w:sz="4" w:space="0"/>
        <w:bottom w:val="none" w:color="000000" w:sz="4" w:space="0"/>
        <w:right w:val="none" w:color="000000" w:sz="4" w:space="0"/>
        <w:between w:val="none" w:color="000000" w:sz="4" w:space="0"/>
      </w:pBdr>
      <w:spacing w:after="180" w:before="180" w:line="240" w:lineRule="auto"/>
      <w:ind/>
    </w:pPr>
    <w:rPr>
      <w:sz w:val="24"/>
      <w:szCs w:val="24"/>
    </w:rPr>
  </w:style>
  <w:style w:type="paragraph" w:styleId="1062" w:customStyle="1">
    <w:name w:val="Image Caption"/>
    <w:pPr>
      <w:pBdr>
        <w:top w:val="none" w:color="000000" w:sz="4" w:space="0"/>
        <w:left w:val="none" w:color="000000" w:sz="4" w:space="0"/>
        <w:bottom w:val="none" w:color="000000" w:sz="4" w:space="0"/>
        <w:right w:val="none" w:color="000000" w:sz="4" w:space="0"/>
        <w:between w:val="none" w:color="000000" w:sz="4" w:space="0"/>
      </w:pBdr>
      <w:spacing w:after="120" w:line="240" w:lineRule="auto"/>
      <w:ind/>
    </w:pPr>
    <w:rPr>
      <w:i/>
      <w:sz w:val="24"/>
      <w:szCs w:val="24"/>
    </w:rPr>
  </w:style>
  <w:style w:type="table" w:styleId="1063" w:customStyle="1">
    <w:name w:val="Table"/>
    <w:semiHidden/>
    <w:unhideWhenUsed/>
    <w:qFormat/>
    <w:pPr>
      <w:pBdr>
        <w:top w:val="none" w:color="000000" w:sz="4" w:space="0"/>
        <w:left w:val="none" w:color="000000" w:sz="4" w:space="0"/>
        <w:bottom w:val="none" w:color="000000" w:sz="4" w:space="0"/>
        <w:right w:val="none" w:color="000000" w:sz="4" w:space="0"/>
        <w:between w:val="none" w:color="000000" w:sz="4" w:space="0"/>
      </w:pBdr>
      <w:spacing w:after="200" w:line="240" w:lineRule="auto"/>
      <w:ind/>
    </w:pPr>
    <w:rPr>
      <w:sz w:val="24"/>
      <w:szCs w:val="24"/>
    </w:rPr>
    <w:tblPr>
      <w:tblStyleRowBandSize w:val="1"/>
      <w:tblStyleColBandSize w:val="1"/>
      <w:tblInd w:w="0" w:type="dxa"/>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Pr>
    <w:tcPr>
      <w:tcBorders/>
      <w:tcW w:w="0" w:type="auto"/>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rPr>
        <w:jc w:val="left"/>
      </w:trPr>
      <w:tcPr>
        <w:tcBorders>
          <w:bottom w:val="single" w:color="000000" w:sz="4" w:space="0"/>
        </w:tcBorders>
        <w:vAlign w:val="bottom"/>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64" w:customStyle="1">
    <w:name w:val="Compact"/>
    <w:qFormat/>
    <w:pPr>
      <w:pBdr>
        <w:top w:val="none" w:color="000000" w:sz="4" w:space="0"/>
        <w:left w:val="none" w:color="000000" w:sz="4" w:space="0"/>
        <w:bottom w:val="none" w:color="000000" w:sz="4" w:space="0"/>
        <w:right w:val="none" w:color="000000" w:sz="4" w:space="0"/>
        <w:between w:val="none" w:color="000000" w:sz="4" w:space="0"/>
      </w:pBdr>
      <w:spacing w:after="36" w:before="36" w:line="240" w:lineRule="auto"/>
      <w:ind/>
    </w:pPr>
    <w:rPr>
      <w:sz w:val="24"/>
      <w:szCs w:val="24"/>
    </w:rPr>
  </w:style>
  <w:style w:type="character" w:styleId="1065">
    <w:name w:val="annotation reference"/>
    <w:basedOn w:val="858"/>
    <w:uiPriority w:val="99"/>
    <w:semiHidden/>
    <w:unhideWhenUsed/>
    <w:pPr>
      <w:pBdr/>
      <w:spacing/>
      <w:ind/>
    </w:pPr>
    <w:rPr>
      <w:sz w:val="16"/>
      <w:szCs w:val="16"/>
    </w:rPr>
  </w:style>
  <w:style w:type="paragraph" w:styleId="1066">
    <w:name w:val="annotation text"/>
    <w:basedOn w:val="848"/>
    <w:link w:val="1067"/>
    <w:uiPriority w:val="99"/>
    <w:semiHidden/>
    <w:unhideWhenUsed/>
    <w:pPr>
      <w:pBdr/>
      <w:spacing w:line="240" w:lineRule="auto"/>
      <w:ind/>
    </w:pPr>
    <w:rPr>
      <w:szCs w:val="20"/>
    </w:rPr>
  </w:style>
  <w:style w:type="character" w:styleId="1067" w:customStyle="1">
    <w:name w:val="Comment Text Char"/>
    <w:basedOn w:val="858"/>
    <w:link w:val="1066"/>
    <w:uiPriority w:val="99"/>
    <w:semiHidden/>
    <w:pPr>
      <w:pBdr/>
      <w:spacing/>
      <w:ind/>
    </w:pPr>
    <w:rPr>
      <w:rFonts w:ascii="Times New Roman" w:hAnsi="Times New Roman" w:eastAsia="Times New Roman" w:cs="B Zar"/>
      <w:sz w:val="20"/>
      <w:szCs w:val="20"/>
    </w:rPr>
  </w:style>
  <w:style w:type="paragraph" w:styleId="1068">
    <w:name w:val="annotation subject"/>
    <w:basedOn w:val="1066"/>
    <w:next w:val="1066"/>
    <w:link w:val="1069"/>
    <w:uiPriority w:val="99"/>
    <w:semiHidden/>
    <w:unhideWhenUsed/>
    <w:pPr>
      <w:pBdr/>
      <w:spacing/>
      <w:ind/>
    </w:pPr>
    <w:rPr>
      <w:b/>
      <w:bCs/>
    </w:rPr>
  </w:style>
  <w:style w:type="character" w:styleId="1069" w:customStyle="1">
    <w:name w:val="Comment Subject Char"/>
    <w:basedOn w:val="1067"/>
    <w:link w:val="1068"/>
    <w:uiPriority w:val="99"/>
    <w:semiHidden/>
    <w:pPr>
      <w:pBdr/>
      <w:spacing/>
      <w:ind/>
    </w:pPr>
    <w:rPr>
      <w:rFonts w:ascii="Times New Roman" w:hAnsi="Times New Roman" w:eastAsia="Times New Roman" w:cs="B Zar"/>
      <w:b/>
      <w:bCs/>
      <w:sz w:val="20"/>
      <w:szCs w:val="20"/>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doi.org/10.53543/jeps.vol12iss4pp724-738" TargetMode="External"/><Relationship Id="rId17" Type="http://schemas.openxmlformats.org/officeDocument/2006/relationships/hyperlink" Target="https://doi.org/10.5539/ijbm.v5n4p80" TargetMode="External"/><Relationship Id="rId18" Type="http://schemas.openxmlformats.org/officeDocument/2006/relationships/hyperlink" Target="https://doi.org/10.1007/s10648-025-10038-y" TargetMode="External"/><Relationship Id="rId19" Type="http://schemas.openxmlformats.org/officeDocument/2006/relationships/hyperlink" Target="https://doi.org/10.1080/02673843.2019.1679202" TargetMode="External"/><Relationship Id="rId20" Type="http://schemas.openxmlformats.org/officeDocument/2006/relationships/hyperlink" Target="https://doi.org/10.33736/ils.8441.2025" TargetMode="External"/><Relationship Id="rId21" Type="http://schemas.openxmlformats.org/officeDocument/2006/relationships/hyperlink" Target="https://doi.org/10.1177/13621688221075812" TargetMode="External"/><Relationship Id="rId22" Type="http://schemas.openxmlformats.org/officeDocument/2006/relationships/hyperlink" Target="https://doi.org/10.1126/sciadv.ado6759" TargetMode="External"/><Relationship Id="rId23" Type="http://schemas.openxmlformats.org/officeDocument/2006/relationships/hyperlink" Target="https://doi.org/10.5539/elt.v3n2p3" TargetMode="External"/><Relationship Id="rId24" Type="http://schemas.openxmlformats.org/officeDocument/2006/relationships/hyperlink" Target="https://doi.org/10.1051/shsconf/20184801022" TargetMode="External"/><Relationship Id="rId25" Type="http://schemas.openxmlformats.org/officeDocument/2006/relationships/hyperlink" Target="https://doi.org/10.55951/nurture.v19i1.944" TargetMode="External"/><Relationship Id="rId26" Type="http://schemas.openxmlformats.org/officeDocument/2006/relationships/hyperlink" Target="https://doi.org/10.12973/ejper.7.3.129" TargetMode="External"/><Relationship Id="rId27" Type="http://schemas.openxmlformats.org/officeDocument/2006/relationships/hyperlink" Target="https://doi.org/10.1016/j.sbspro.2010.03.116" TargetMode="External"/><Relationship Id="rId28" Type="http://schemas.openxmlformats.org/officeDocument/2006/relationships/hyperlink" Target="https://doi.org/10.2307/3150980" TargetMode="External"/><Relationship Id="rId29" Type="http://schemas.openxmlformats.org/officeDocument/2006/relationships/hyperlink" Target="https://doi.org/10.1006/ceps.1996.0032" TargetMode="External"/><Relationship Id="rId30" Type="http://schemas.openxmlformats.org/officeDocument/2006/relationships/hyperlink" Target="https://doi.org/10.1016/j.jbusres.2019.11.069" TargetMode="External"/><Relationship Id="rId31" Type="http://schemas.openxmlformats.org/officeDocument/2006/relationships/hyperlink" Target="https://doi.org/10.1007/s11747-014-0403-8" TargetMode="External"/><Relationship Id="rId32" Type="http://schemas.openxmlformats.org/officeDocument/2006/relationships/hyperlink" Target="https://doi.org/10.3390/educsci9030159" TargetMode="External"/><Relationship Id="rId33" Type="http://schemas.openxmlformats.org/officeDocument/2006/relationships/hyperlink" Target="https://doi.org/10.1186/s40468-023-00239-z" TargetMode="External"/><Relationship Id="rId34" Type="http://schemas.openxmlformats.org/officeDocument/2006/relationships/hyperlink" Target="https://doi.org/10.1007/s10639-024-12978-4" TargetMode="External"/><Relationship Id="rId35" Type="http://schemas.openxmlformats.org/officeDocument/2006/relationships/hyperlink" Target="https://doi.org/10.55593/ej.28110a5" TargetMode="External"/><Relationship Id="rId36" Type="http://schemas.openxmlformats.org/officeDocument/2006/relationships/hyperlink" Target="https://doi.org/10.37256/ser.3220221625" TargetMode="External"/><Relationship Id="rId37" Type="http://schemas.openxmlformats.org/officeDocument/2006/relationships/hyperlink" Target="https://doi.org/10.18178/ijlt.6.1.28-32" TargetMode="External"/><Relationship Id="rId38" Type="http://schemas.openxmlformats.org/officeDocument/2006/relationships/hyperlink" Target="https://doi.org/10.24093/awej/vol14no1.10" TargetMode="External"/><Relationship Id="rId39" Type="http://schemas.openxmlformats.org/officeDocument/2006/relationships/hyperlink" Target="https://doi.org/10.25073/2588-1159/vnuer.4700" TargetMode="External"/><Relationship Id="rId40" Type="http://schemas.openxmlformats.org/officeDocument/2006/relationships/hyperlink" Target="https://doi.org/10.1111/flan.12569" TargetMode="External"/><Relationship Id="rId41" Type="http://schemas.openxmlformats.org/officeDocument/2006/relationships/hyperlink" Target="https://doi.org/10.37237/050403" TargetMode="External"/><Relationship Id="rId42" Type="http://schemas.openxmlformats.org/officeDocument/2006/relationships/hyperlink" Target="https://doi.org/10.5334/pb-47-1-95" TargetMode="External"/><Relationship Id="rId43" Type="http://schemas.openxmlformats.org/officeDocument/2006/relationships/hyperlink" Target="https://doi.org/10.58837/CHULA.PASAA.69.9" TargetMode="External"/><Relationship Id="rId44" Type="http://schemas.openxmlformats.org/officeDocument/2006/relationships/hyperlink" Target="https://doi.org/10.1111/0023-8333.00111" TargetMode="External"/><Relationship Id="rId45" Type="http://schemas.openxmlformats.org/officeDocument/2006/relationships/hyperlink" Target="https://doi.org/10.60101/jla.2024.5.1.4065" TargetMode="External"/><Relationship Id="rId46" Type="http://schemas.openxmlformats.org/officeDocument/2006/relationships/hyperlink" Target="https://doi.org/10.1186/s40359-024-01935-y" TargetMode="External"/><Relationship Id="rId47" Type="http://schemas.openxmlformats.org/officeDocument/2006/relationships/hyperlink" Target="https://doi.org/10.1027/1016-9040.10.3.175" TargetMode="External"/><Relationship Id="rId48" Type="http://schemas.openxmlformats.org/officeDocument/2006/relationships/hyperlink" Target="https://doi.org/10.3389/fpsyg.2012.00111" TargetMode="External"/><Relationship Id="rId49" Type="http://schemas.openxmlformats.org/officeDocument/2006/relationships/hyperlink" Target="https://doi.org/10.46328/ijonses.640" TargetMode="External"/><Relationship Id="rId50" Type="http://schemas.openxmlformats.org/officeDocument/2006/relationships/hyperlink" Target="https://doi.org/10.4236/psych.2020.113029" TargetMode="External"/><Relationship Id="rId51" Type="http://schemas.openxmlformats.org/officeDocument/2006/relationships/hyperlink" Target="https://doi.org/10.3389/fpsyg.2023.1268614" TargetMode="External"/><Relationship Id="rId52" Type="http://schemas.openxmlformats.org/officeDocument/2006/relationships/hyperlink" Target="https://doi.org/10.21580/vjv12i116406" TargetMode="External"/><Relationship Id="rId53" Type="http://schemas.openxmlformats.org/officeDocument/2006/relationships/hyperlink" Target="https://hdl.handle.net/1959.13/1333816" TargetMode="External"/><Relationship Id="rId54" Type="http://schemas.openxmlformats.org/officeDocument/2006/relationships/hyperlink" Target="https://doi.org/10.2147/PRBM.S215641" TargetMode="External"/><Relationship Id="rId55" Type="http://schemas.openxmlformats.org/officeDocument/2006/relationships/hyperlink" Target="https://doi.org/10.1111/j.1467-6494.1992.tb00922.x" TargetMode="External"/><Relationship Id="rId56" Type="http://schemas.openxmlformats.org/officeDocument/2006/relationships/hyperlink" Target="https://doi.org/10.3389/fpsyg.2024.1323713" TargetMode="External"/><Relationship Id="rId57" Type="http://schemas.openxmlformats.org/officeDocument/2006/relationships/hyperlink" Target="https://doi.org/10.53819/810181025018" TargetMode="External"/><Relationship Id="rId58" Type="http://schemas.openxmlformats.org/officeDocument/2006/relationships/hyperlink" Target="https://doi.org/10.71222/p1ck9h68" TargetMode="External"/><Relationship Id="rId59" Type="http://schemas.openxmlformats.org/officeDocument/2006/relationships/hyperlink" Target="https://doi.org/10.1016/j.cedpsych.2014.03.004" TargetMode="External"/><Relationship Id="rId60" Type="http://schemas.onlyoffice.com/commentsDocument" Target="commentsDocument.xml" /><Relationship Id="rId61" Type="http://schemas.onlyoffice.com/commentsExtendedDocument" Target="commentsExtendedDocument.xml" /><Relationship Id="rId62" Type="http://schemas.onlyoffice.com/commentsExtensibleDocument" Target="commentsExtensibleDocument.xml" /><Relationship Id="rId63" Type="http://schemas.onlyoffice.com/commentsIdsDocument" Target="commentsIdsDocument.xml" /><Relationship Id="rId64" Type="http://schemas.onlyoffice.com/peopleDocument" Target="peopleDocument.xml" /></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kinhlacma@gmail.com" TargetMode="External"/></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0B65F-498C-4637-AD00-DD0FA51C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ONLYOFFICE/9.4.0.129</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revision>171</cp:revision>
  <dcterms:created xsi:type="dcterms:W3CDTF">2020-07-23T03:39:00Z</dcterms:created>
  <dcterms:modified xsi:type="dcterms:W3CDTF">2026-06-19T17:29:50Z</dcterms:modified>
</cp:coreProperties>
</file>