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52E92B" w14:textId="77777777" w:rsidR="00C35940" w:rsidRPr="008E1555" w:rsidRDefault="00000000">
      <w:pPr>
        <w:spacing w:after="200" w:line="480" w:lineRule="auto"/>
        <w:jc w:val="center"/>
        <w:rPr>
          <w:sz w:val="28"/>
          <w:szCs w:val="28"/>
        </w:rPr>
      </w:pPr>
      <w:r w:rsidRPr="008E1555">
        <w:rPr>
          <w:b/>
          <w:bCs/>
          <w:sz w:val="28"/>
          <w:szCs w:val="28"/>
        </w:rPr>
        <w:t>CREATING ENGLISH-RICH LEARNING ENVIRONMENT BEYOND THE CLASSROOM</w:t>
      </w:r>
    </w:p>
    <w:p w14:paraId="17C7F602" w14:textId="77777777" w:rsidR="00C35940" w:rsidRDefault="00000000">
      <w:pPr>
        <w:spacing w:line="480" w:lineRule="auto"/>
        <w:jc w:val="center"/>
      </w:pPr>
      <w:r>
        <w:rPr>
          <w:sz w:val="24"/>
          <w:szCs w:val="24"/>
        </w:rPr>
        <w:t>Pham Thi Bich Tien</w:t>
      </w:r>
    </w:p>
    <w:p w14:paraId="6D3566F7" w14:textId="77777777" w:rsidR="00C35940" w:rsidRDefault="00000000">
      <w:pPr>
        <w:spacing w:line="480" w:lineRule="auto"/>
        <w:jc w:val="center"/>
      </w:pPr>
      <w:r>
        <w:rPr>
          <w:sz w:val="24"/>
          <w:szCs w:val="24"/>
        </w:rPr>
        <w:t>Faculty of Business Administration</w:t>
      </w:r>
    </w:p>
    <w:p w14:paraId="34BC136F" w14:textId="77777777" w:rsidR="00C35940" w:rsidRDefault="00000000">
      <w:pPr>
        <w:spacing w:after="200" w:line="480" w:lineRule="auto"/>
        <w:jc w:val="center"/>
      </w:pPr>
      <w:r>
        <w:rPr>
          <w:sz w:val="24"/>
          <w:szCs w:val="24"/>
        </w:rPr>
        <w:t>Email address: tienptb@huflit.edu.vn</w:t>
      </w:r>
    </w:p>
    <w:p w14:paraId="2E424CFC" w14:textId="77777777" w:rsidR="00C35940" w:rsidRDefault="00000000">
      <w:pPr>
        <w:pStyle w:val="Heading1"/>
        <w:spacing w:before="240" w:after="200" w:line="480" w:lineRule="auto"/>
        <w:jc w:val="center"/>
      </w:pPr>
      <w:r>
        <w:rPr>
          <w:b/>
          <w:bCs/>
          <w:color w:val="000000"/>
          <w:sz w:val="24"/>
          <w:szCs w:val="24"/>
        </w:rPr>
        <w:t>Abstract</w:t>
      </w:r>
    </w:p>
    <w:p w14:paraId="40903A36" w14:textId="24451358" w:rsidR="00C35940" w:rsidRDefault="008E1555" w:rsidP="008E1555">
      <w:pPr>
        <w:spacing w:after="200" w:line="480" w:lineRule="auto"/>
        <w:jc w:val="both"/>
      </w:pPr>
      <w:r>
        <w:rPr>
          <w:sz w:val="24"/>
          <w:szCs w:val="24"/>
        </w:rPr>
        <w:t xml:space="preserve">       </w:t>
      </w:r>
      <w:r w:rsidR="00000000">
        <w:rPr>
          <w:sz w:val="24"/>
          <w:szCs w:val="24"/>
        </w:rPr>
        <w:t>This paper addresses a persistent gap in Vietnamese university students' English-speaking development: the disconnect between classroom-based instruction and real-world communicative competence. While prior TESOL research has examined out-of-class learning broadly, this study contributes a distinctively integrated, multi-level intervention framework tailored to the Vietnamese university context, combining psychological safety design, task-based output routines, and institutional alignment mechanisms. Through thematic analysis of recurring barriers documented in the SLA literature, three interlocking themes are identified: psychological inhibition, methodological passivity, and structural disconnection. Based on these themes, the paper proposes a coordinated system of solutions across four levels — individual, peer group, institutional, and community — and presents an 8-week implementation roadmap grounded in evidence-based principles of output-driven language learning. The paper concludes that an English-rich environment beyond classroom activities can effectively support learners in transforming input knowledge into communicative output, thereby building confidence and sustainable speaking development.</w:t>
      </w:r>
    </w:p>
    <w:p w14:paraId="7815FB36" w14:textId="77777777" w:rsidR="00C35940" w:rsidRDefault="00000000">
      <w:pPr>
        <w:spacing w:after="200" w:line="480" w:lineRule="auto"/>
        <w:ind w:firstLine="720"/>
      </w:pPr>
      <w:r>
        <w:rPr>
          <w:i/>
          <w:iCs/>
          <w:sz w:val="24"/>
          <w:szCs w:val="24"/>
        </w:rPr>
        <w:t xml:space="preserve">Keywords: </w:t>
      </w:r>
      <w:r>
        <w:rPr>
          <w:sz w:val="24"/>
          <w:szCs w:val="24"/>
        </w:rPr>
        <w:t>English-rich environment, beyond classroom, 8-week implementation roadmap, speaking development</w:t>
      </w:r>
    </w:p>
    <w:p w14:paraId="7E533F66" w14:textId="77777777" w:rsidR="00C35940" w:rsidRPr="008E1555" w:rsidRDefault="00000000">
      <w:pPr>
        <w:pStyle w:val="Heading1"/>
        <w:spacing w:before="240" w:after="200" w:line="480" w:lineRule="auto"/>
        <w:jc w:val="center"/>
        <w:rPr>
          <w:sz w:val="26"/>
          <w:szCs w:val="26"/>
        </w:rPr>
      </w:pPr>
      <w:r w:rsidRPr="008E1555">
        <w:rPr>
          <w:b/>
          <w:bCs/>
          <w:color w:val="000000"/>
          <w:sz w:val="26"/>
          <w:szCs w:val="26"/>
        </w:rPr>
        <w:lastRenderedPageBreak/>
        <w:t>Introduction</w:t>
      </w:r>
    </w:p>
    <w:p w14:paraId="5AB424C3" w14:textId="77777777" w:rsidR="00C35940" w:rsidRPr="008E1555" w:rsidRDefault="00000000">
      <w:pPr>
        <w:pStyle w:val="Heading2"/>
        <w:spacing w:before="240" w:after="200" w:line="480" w:lineRule="auto"/>
      </w:pPr>
      <w:r w:rsidRPr="008E1555">
        <w:rPr>
          <w:b/>
          <w:bCs/>
          <w:color w:val="000000"/>
        </w:rPr>
        <w:t>Background of Study</w:t>
      </w:r>
    </w:p>
    <w:p w14:paraId="4BF33EA8" w14:textId="77777777" w:rsidR="00C35940" w:rsidRDefault="00000000" w:rsidP="008E1555">
      <w:pPr>
        <w:spacing w:after="200" w:line="480" w:lineRule="auto"/>
        <w:ind w:firstLine="720"/>
        <w:jc w:val="both"/>
      </w:pPr>
      <w:r>
        <w:rPr>
          <w:sz w:val="24"/>
          <w:szCs w:val="24"/>
        </w:rPr>
        <w:t>The era of globalization and rapid digital advancement has positioned English as an indispensable skill for university students. Beyond its role in accessing academic materials, scholarly resources, and research publications, English proficiency has a direct bearing on students' professional futures, shaping their performance in internships, job interviews, and daily workplace communication. Furthermore, English functions as a gateway through which students can engage with academic conferences, seminars, and international exchange programs, ultimately fostering their ability to thrive in diverse and multicultural settings. Given these realities, developing English competence should not be confined to fulfilling classroom obligations or meeting course requirements. Rather, it must be understood as a lifelong, ongoing journey that continues well beyond the boundaries of formal instruction.</w:t>
      </w:r>
    </w:p>
    <w:p w14:paraId="4DB7897F" w14:textId="77777777" w:rsidR="00C35940" w:rsidRDefault="00000000" w:rsidP="008E1555">
      <w:pPr>
        <w:spacing w:after="200" w:line="480" w:lineRule="auto"/>
        <w:ind w:firstLine="720"/>
        <w:jc w:val="both"/>
      </w:pPr>
      <w:r>
        <w:rPr>
          <w:sz w:val="24"/>
          <w:szCs w:val="24"/>
        </w:rPr>
        <w:t xml:space="preserve">Yet in practice, English learning in many universities remains largely confined to the classroom. This gives rise to a significant imbalance between the limited hours of formal language instruction and the far longer stretches of daily life in which English goes largely unused. Without sufficient opportunities to apply the language in authentic, real-world contexts, students easily fall into what is commonly referred to as “learning without using.” Many can follow English videos or comprehend written texts to a reasonable degree yet find themselves at a loss when required to speak on the spot, respond swiftly in live conversations, or articulate their thoughts clearly under the natural pressure of real communication. Compounding this challenge is the psychological barrier that many learners face, the fear of making errors and the anxiety of being evaluated by others, which can silence students even when they genuinely have something to say. Consequently, </w:t>
      </w:r>
      <w:r>
        <w:rPr>
          <w:sz w:val="24"/>
          <w:szCs w:val="24"/>
        </w:rPr>
        <w:lastRenderedPageBreak/>
        <w:t>their spoken communication skills progress slowly, not necessarily due to a complete absence of exposure, but rather because meaningful, consistent practice of English as a living, active skill remains critically lacking.</w:t>
      </w:r>
    </w:p>
    <w:p w14:paraId="1522BE82" w14:textId="77777777" w:rsidR="00C35940" w:rsidRDefault="00000000" w:rsidP="008E1555">
      <w:pPr>
        <w:spacing w:after="200" w:line="480" w:lineRule="auto"/>
        <w:ind w:firstLine="720"/>
        <w:jc w:val="both"/>
      </w:pPr>
      <w:r>
        <w:rPr>
          <w:sz w:val="24"/>
          <w:szCs w:val="24"/>
        </w:rPr>
        <w:t>It is for this reason that adopting an approach centered on building an English-rich learning environment beyond the classroom is both highly reasonable and practically sound. Language acquisition, by its very nature, depends on repeated exposure and meaningful use across a wide variety of contexts. When English is encountered only within classroom hours, learners are unlikely to receive sufficient input to develop authenticity and informality in the language, or enough authentic interaction to cultivate the confidence and fluency that real communication demands. On the other hand, when students take deliberate steps to create a rich English learning environment outside the classroom, English gradually becomes woven into the fabric of their everyday lives.</w:t>
      </w:r>
    </w:p>
    <w:p w14:paraId="70F32DE2" w14:textId="77777777" w:rsidR="00C35940" w:rsidRPr="008E1555" w:rsidRDefault="00000000">
      <w:pPr>
        <w:pStyle w:val="Heading2"/>
        <w:spacing w:before="240" w:after="200" w:line="480" w:lineRule="auto"/>
      </w:pPr>
      <w:r w:rsidRPr="008E1555">
        <w:rPr>
          <w:b/>
          <w:bCs/>
          <w:color w:val="000000"/>
        </w:rPr>
        <w:t>Problem Statement</w:t>
      </w:r>
    </w:p>
    <w:p w14:paraId="3C341AD5" w14:textId="77777777" w:rsidR="00C35940" w:rsidRDefault="00000000" w:rsidP="008E1555">
      <w:pPr>
        <w:spacing w:after="200" w:line="480" w:lineRule="auto"/>
        <w:ind w:firstLine="720"/>
        <w:jc w:val="both"/>
      </w:pPr>
      <w:r>
        <w:rPr>
          <w:sz w:val="24"/>
          <w:szCs w:val="24"/>
        </w:rPr>
        <w:t xml:space="preserve">Despite the recognized importance of English proficiency in academic and professional contexts, a substantial gap persists between classroom-based language instruction and the communicative competence that students are expected to demonstrate in real-world settings. Many university students complete years of formal English education yet continue to struggle with spontaneous speaking, interactive conversation, and confident oral expression. This gap is not simply a product of inadequate teaching within the classroom; rather, it reflects a systemic absence of structured, meaningful English use outside of formal instruction. The lack of an English-rich extracurricular environment means that students have insufficient opportunities to reinforce, apply, and internalize the language skills they acquire in class. Without deliberate efforts to extend </w:t>
      </w:r>
      <w:r>
        <w:rPr>
          <w:sz w:val="24"/>
          <w:szCs w:val="24"/>
        </w:rPr>
        <w:lastRenderedPageBreak/>
        <w:t>English learning beyond the classroom, students' speaking proficiency and willingness to communicate are unlikely to develop to the level required for academic success and professional readiness.</w:t>
      </w:r>
    </w:p>
    <w:p w14:paraId="35F62E3A" w14:textId="77777777" w:rsidR="00C35940" w:rsidRPr="008E1555" w:rsidRDefault="00000000">
      <w:pPr>
        <w:pStyle w:val="Heading2"/>
        <w:spacing w:before="240" w:after="200" w:line="480" w:lineRule="auto"/>
      </w:pPr>
      <w:r w:rsidRPr="008E1555">
        <w:rPr>
          <w:b/>
          <w:bCs/>
          <w:color w:val="000000"/>
        </w:rPr>
        <w:t>Research Objectives</w:t>
      </w:r>
    </w:p>
    <w:p w14:paraId="40584089" w14:textId="77777777" w:rsidR="00C35940" w:rsidRDefault="00000000">
      <w:pPr>
        <w:spacing w:after="200" w:line="480" w:lineRule="auto"/>
      </w:pPr>
      <w:r>
        <w:rPr>
          <w:sz w:val="24"/>
          <w:szCs w:val="24"/>
        </w:rPr>
        <w:t>This study aims to achieve the following objectives:</w:t>
      </w:r>
    </w:p>
    <w:p w14:paraId="14B09CF7" w14:textId="77777777" w:rsidR="00C35940" w:rsidRDefault="00000000" w:rsidP="008E1555">
      <w:pPr>
        <w:pStyle w:val="ListParagraph"/>
        <w:numPr>
          <w:ilvl w:val="0"/>
          <w:numId w:val="2"/>
        </w:numPr>
        <w:spacing w:after="200" w:line="480" w:lineRule="auto"/>
        <w:jc w:val="both"/>
      </w:pPr>
      <w:r>
        <w:rPr>
          <w:sz w:val="24"/>
          <w:szCs w:val="24"/>
        </w:rPr>
        <w:t>To identify the key barriers that prevent university students from practicing English outside the classroom, with particular focus on speaking proficiency and willingness to communicate.</w:t>
      </w:r>
    </w:p>
    <w:p w14:paraId="5682775C" w14:textId="77777777" w:rsidR="00C35940" w:rsidRDefault="00000000" w:rsidP="008E1555">
      <w:pPr>
        <w:pStyle w:val="ListParagraph"/>
        <w:numPr>
          <w:ilvl w:val="0"/>
          <w:numId w:val="2"/>
        </w:numPr>
        <w:spacing w:after="200" w:line="480" w:lineRule="auto"/>
        <w:jc w:val="both"/>
      </w:pPr>
      <w:r>
        <w:rPr>
          <w:sz w:val="24"/>
          <w:szCs w:val="24"/>
        </w:rPr>
        <w:t>To examine the theoretical foundations of extracurricular language learning environments and their role in second language acquisition.</w:t>
      </w:r>
    </w:p>
    <w:p w14:paraId="6629F723" w14:textId="77777777" w:rsidR="00C35940" w:rsidRDefault="00000000" w:rsidP="008E1555">
      <w:pPr>
        <w:pStyle w:val="ListParagraph"/>
        <w:numPr>
          <w:ilvl w:val="0"/>
          <w:numId w:val="2"/>
        </w:numPr>
        <w:spacing w:after="200" w:line="480" w:lineRule="auto"/>
        <w:jc w:val="both"/>
      </w:pPr>
      <w:r>
        <w:rPr>
          <w:sz w:val="24"/>
          <w:szCs w:val="24"/>
        </w:rPr>
        <w:t>To propose a structured, multi-level system of practical strategies for building an English-rich learning environment beyond the classroom.</w:t>
      </w:r>
    </w:p>
    <w:p w14:paraId="72FAD713" w14:textId="77777777" w:rsidR="00C35940" w:rsidRDefault="00000000" w:rsidP="008E1555">
      <w:pPr>
        <w:pStyle w:val="ListParagraph"/>
        <w:numPr>
          <w:ilvl w:val="0"/>
          <w:numId w:val="2"/>
        </w:numPr>
        <w:spacing w:after="200" w:line="480" w:lineRule="auto"/>
        <w:jc w:val="both"/>
      </w:pPr>
      <w:r>
        <w:rPr>
          <w:sz w:val="24"/>
          <w:szCs w:val="24"/>
        </w:rPr>
        <w:t>To design a feasible 8-week implementation roadmap that enables students to progressively develop their speaking skills and communicative confidence through extracurricular engagement.</w:t>
      </w:r>
    </w:p>
    <w:p w14:paraId="1C19DA2F" w14:textId="77777777" w:rsidR="00C35940" w:rsidRPr="008E1555" w:rsidRDefault="00000000">
      <w:pPr>
        <w:pStyle w:val="Heading2"/>
        <w:spacing w:before="240" w:after="200" w:line="480" w:lineRule="auto"/>
      </w:pPr>
      <w:r w:rsidRPr="008E1555">
        <w:rPr>
          <w:b/>
          <w:bCs/>
          <w:color w:val="000000"/>
        </w:rPr>
        <w:t>Research Questions</w:t>
      </w:r>
    </w:p>
    <w:p w14:paraId="26D3EE4E" w14:textId="77777777" w:rsidR="00C35940" w:rsidRDefault="00000000">
      <w:pPr>
        <w:spacing w:after="200" w:line="480" w:lineRule="auto"/>
      </w:pPr>
      <w:r>
        <w:rPr>
          <w:sz w:val="24"/>
          <w:szCs w:val="24"/>
        </w:rPr>
        <w:t>This study is guided by the following research questions:</w:t>
      </w:r>
    </w:p>
    <w:p w14:paraId="2B69E6C7" w14:textId="2A87EEF2" w:rsidR="00C35940" w:rsidRDefault="00000000" w:rsidP="008E1555">
      <w:pPr>
        <w:pStyle w:val="ListParagraph"/>
        <w:numPr>
          <w:ilvl w:val="0"/>
          <w:numId w:val="4"/>
        </w:numPr>
        <w:spacing w:after="200" w:line="480" w:lineRule="auto"/>
        <w:jc w:val="both"/>
      </w:pPr>
      <w:r>
        <w:rPr>
          <w:sz w:val="24"/>
          <w:szCs w:val="24"/>
        </w:rPr>
        <w:t>What are the primary obstacles that hinder university students from using English outside the classroom, particularly in terms of speaking and communication?</w:t>
      </w:r>
    </w:p>
    <w:p w14:paraId="18C71BDD" w14:textId="77777777" w:rsidR="00C35940" w:rsidRDefault="00000000" w:rsidP="008E1555">
      <w:pPr>
        <w:pStyle w:val="ListParagraph"/>
        <w:numPr>
          <w:ilvl w:val="0"/>
          <w:numId w:val="4"/>
        </w:numPr>
        <w:spacing w:after="200" w:line="480" w:lineRule="auto"/>
        <w:jc w:val="both"/>
      </w:pPr>
      <w:r>
        <w:rPr>
          <w:sz w:val="24"/>
          <w:szCs w:val="24"/>
        </w:rPr>
        <w:lastRenderedPageBreak/>
        <w:t>How can theoretical principles of second language acquisition inform the design of an extracurricular English-rich learning environment?</w:t>
      </w:r>
    </w:p>
    <w:p w14:paraId="2984B046" w14:textId="77777777" w:rsidR="00C35940" w:rsidRDefault="00000000" w:rsidP="008E1555">
      <w:pPr>
        <w:pStyle w:val="ListParagraph"/>
        <w:numPr>
          <w:ilvl w:val="0"/>
          <w:numId w:val="4"/>
        </w:numPr>
        <w:spacing w:after="200" w:line="480" w:lineRule="auto"/>
        <w:jc w:val="both"/>
      </w:pPr>
      <w:r>
        <w:rPr>
          <w:sz w:val="24"/>
          <w:szCs w:val="24"/>
        </w:rPr>
        <w:t>What multi-level strategies, encompassing individual habits, peer interaction, institutional support, and community engagement, can effectively enhance students' English speaking proficiency and willingness to communicate beyond the classroom?</w:t>
      </w:r>
    </w:p>
    <w:p w14:paraId="626B2FBD" w14:textId="77777777" w:rsidR="00C35940" w:rsidRDefault="00000000" w:rsidP="008E1555">
      <w:pPr>
        <w:pStyle w:val="ListParagraph"/>
        <w:numPr>
          <w:ilvl w:val="0"/>
          <w:numId w:val="4"/>
        </w:numPr>
        <w:spacing w:after="200" w:line="480" w:lineRule="auto"/>
        <w:jc w:val="both"/>
      </w:pPr>
      <w:r>
        <w:rPr>
          <w:sz w:val="24"/>
          <w:szCs w:val="24"/>
        </w:rPr>
        <w:t>How can these strategies be structured into a coherent and practical implementation plan suitable for university students?</w:t>
      </w:r>
    </w:p>
    <w:p w14:paraId="45135C59" w14:textId="77777777" w:rsidR="00C35940" w:rsidRPr="008E1555" w:rsidRDefault="00000000">
      <w:pPr>
        <w:pStyle w:val="Heading2"/>
        <w:spacing w:before="240" w:after="200" w:line="480" w:lineRule="auto"/>
      </w:pPr>
      <w:r w:rsidRPr="008E1555">
        <w:rPr>
          <w:b/>
          <w:bCs/>
          <w:color w:val="000000"/>
        </w:rPr>
        <w:t>Hypotheses</w:t>
      </w:r>
    </w:p>
    <w:p w14:paraId="12CA9162" w14:textId="77777777" w:rsidR="00C35940" w:rsidRDefault="00000000" w:rsidP="008E1555">
      <w:pPr>
        <w:spacing w:after="200" w:line="480" w:lineRule="auto"/>
        <w:jc w:val="both"/>
      </w:pPr>
      <w:r>
        <w:rPr>
          <w:sz w:val="24"/>
          <w:szCs w:val="24"/>
        </w:rPr>
        <w:t>Based on the research objectives and questions above, this study proposes the following hypotheses:</w:t>
      </w:r>
    </w:p>
    <w:p w14:paraId="00382849" w14:textId="77777777" w:rsidR="00C35940" w:rsidRDefault="00000000" w:rsidP="008E1555">
      <w:pPr>
        <w:pStyle w:val="ListParagraph"/>
        <w:numPr>
          <w:ilvl w:val="0"/>
          <w:numId w:val="3"/>
        </w:numPr>
        <w:spacing w:after="200" w:line="480" w:lineRule="auto"/>
        <w:jc w:val="both"/>
      </w:pPr>
      <w:r>
        <w:rPr>
          <w:sz w:val="24"/>
          <w:szCs w:val="24"/>
        </w:rPr>
        <w:t>H1: University students who are exposed to a deliberately constructed English-rich environment outside the classroom will demonstrate greater improvement in speaking proficiency compared to those who rely solely on classroom instruction.</w:t>
      </w:r>
    </w:p>
    <w:p w14:paraId="056E172B" w14:textId="77777777" w:rsidR="00C35940" w:rsidRDefault="00000000" w:rsidP="008E1555">
      <w:pPr>
        <w:pStyle w:val="ListParagraph"/>
        <w:numPr>
          <w:ilvl w:val="0"/>
          <w:numId w:val="3"/>
        </w:numPr>
        <w:spacing w:after="200" w:line="480" w:lineRule="auto"/>
        <w:jc w:val="both"/>
      </w:pPr>
      <w:r>
        <w:rPr>
          <w:sz w:val="24"/>
          <w:szCs w:val="24"/>
        </w:rPr>
        <w:t>H2: Students who engage in structured extracurricular English activities, such as English-speaking clubs, media consumption in English, and peer conversation practice, will report higher levels of willingness to communicate in English.</w:t>
      </w:r>
    </w:p>
    <w:p w14:paraId="6B7B8B43" w14:textId="77777777" w:rsidR="00C35940" w:rsidRDefault="00000000" w:rsidP="008E1555">
      <w:pPr>
        <w:pStyle w:val="ListParagraph"/>
        <w:numPr>
          <w:ilvl w:val="0"/>
          <w:numId w:val="3"/>
        </w:numPr>
        <w:spacing w:after="200" w:line="480" w:lineRule="auto"/>
        <w:jc w:val="both"/>
      </w:pPr>
      <w:r>
        <w:rPr>
          <w:sz w:val="24"/>
          <w:szCs w:val="24"/>
        </w:rPr>
        <w:t>H3: A multi-level approach to building an extracurricular English environment, incorporating individual, peer, institutional, and community dimensions, will be perceived by students as more feasible and motivating than single-level interventions.</w:t>
      </w:r>
    </w:p>
    <w:p w14:paraId="7D9A6BDA" w14:textId="77777777" w:rsidR="00C35940" w:rsidRPr="008E1555" w:rsidRDefault="00000000">
      <w:pPr>
        <w:pStyle w:val="Heading2"/>
        <w:spacing w:before="240" w:after="200" w:line="480" w:lineRule="auto"/>
      </w:pPr>
      <w:r w:rsidRPr="008E1555">
        <w:rPr>
          <w:b/>
          <w:bCs/>
          <w:color w:val="000000"/>
        </w:rPr>
        <w:lastRenderedPageBreak/>
        <w:t>Scope and Delimitation of the Study</w:t>
      </w:r>
    </w:p>
    <w:p w14:paraId="28289471" w14:textId="77777777" w:rsidR="00C35940" w:rsidRDefault="00000000" w:rsidP="008E1555">
      <w:pPr>
        <w:spacing w:after="200" w:line="480" w:lineRule="auto"/>
        <w:ind w:firstLine="720"/>
        <w:jc w:val="both"/>
      </w:pPr>
      <w:r>
        <w:rPr>
          <w:sz w:val="24"/>
          <w:szCs w:val="24"/>
        </w:rPr>
        <w:t>This study focuses specifically on non-English-major university students whose English learning is primarily delivered through general English courses as part of their academic program. The central concern of this paper is the development of speaking proficiency and willingness to communicate (WTC) in English, rather than the full spectrum of language skills (reading, writing, listening). While reading, listening, and writing activities may be discussed as supporting components of an English-rich environment, they are treated as subsidiary to the primary focus on oral communication.</w:t>
      </w:r>
    </w:p>
    <w:p w14:paraId="37D36B79" w14:textId="77777777" w:rsidR="00C35940" w:rsidRDefault="00000000" w:rsidP="008E1555">
      <w:pPr>
        <w:spacing w:after="200" w:line="480" w:lineRule="auto"/>
        <w:ind w:firstLine="720"/>
        <w:jc w:val="both"/>
      </w:pPr>
      <w:r>
        <w:rPr>
          <w:sz w:val="24"/>
          <w:szCs w:val="24"/>
        </w:rPr>
        <w:t>The proposed strategies and implementation roadmap are designed for application within a Vietnamese university context, drawing on the specific sociolinguistic and institutional realities that characterize English learning in Vietnam. Accordingly, the findings and recommendations of this study may not be directly transferable to other educational or cultural contexts without appropriate adaptation.</w:t>
      </w:r>
    </w:p>
    <w:p w14:paraId="44CED22E" w14:textId="77777777" w:rsidR="00C35940" w:rsidRDefault="00000000" w:rsidP="008E1555">
      <w:pPr>
        <w:spacing w:after="200" w:line="480" w:lineRule="auto"/>
        <w:ind w:firstLine="720"/>
        <w:jc w:val="both"/>
      </w:pPr>
      <w:r>
        <w:rPr>
          <w:sz w:val="24"/>
          <w:szCs w:val="24"/>
        </w:rPr>
        <w:t>This study does not constitute an empirical investigation. No primary data was collected through surveys, interviews, or experiments. The paper is theoretical and propositional in nature, drawing on established second language acquisition theory and relevant literature to construct a reasoned framework of recommendations. Consequently, claims regarding the effectiveness of the proposed strategies are inferential rather than empirically validated, and future empirical studies are recommended to evaluate the hypotheses presented herein.</w:t>
      </w:r>
    </w:p>
    <w:p w14:paraId="4D6204A7" w14:textId="77777777" w:rsidR="00C35940" w:rsidRPr="008E1555" w:rsidRDefault="00000000">
      <w:pPr>
        <w:pStyle w:val="Heading2"/>
        <w:spacing w:before="240" w:after="200" w:line="480" w:lineRule="auto"/>
      </w:pPr>
      <w:r w:rsidRPr="008E1555">
        <w:rPr>
          <w:b/>
          <w:bCs/>
          <w:color w:val="000000"/>
        </w:rPr>
        <w:t>Organization of the Study</w:t>
      </w:r>
    </w:p>
    <w:p w14:paraId="4459619F" w14:textId="77777777" w:rsidR="00C35940" w:rsidRDefault="00000000" w:rsidP="008E1555">
      <w:pPr>
        <w:spacing w:after="200" w:line="480" w:lineRule="auto"/>
        <w:ind w:firstLine="720"/>
        <w:jc w:val="both"/>
      </w:pPr>
      <w:r>
        <w:rPr>
          <w:sz w:val="24"/>
          <w:szCs w:val="24"/>
        </w:rPr>
        <w:lastRenderedPageBreak/>
        <w:t>This paper is organized into the following chapters: Chapter 1 (Introduction) introduces the background, problem statement, research objectives, research questions, hypotheses, and scope of the study. Chapter 2 (Theoretical Foundation) presents a review of relevant literature on second language acquisition and extracurricular language learning. Chapter 3 (Thematic Analysis of Barriers in the University Context) proposes the multi-level system of strategies for building an English-rich environment beyond the classroom. Chapter 4 (Solutions) outlines the 8-week implementation roadmap. Chapter 5 (Conclusion, Recommendations, and Implementation Roadmap) provides the conclusion and recommendations for future research.</w:t>
      </w:r>
    </w:p>
    <w:p w14:paraId="3402DA44" w14:textId="77777777" w:rsidR="00C35940" w:rsidRPr="008E1555" w:rsidRDefault="00000000">
      <w:pPr>
        <w:pStyle w:val="Heading1"/>
        <w:spacing w:before="240" w:after="200" w:line="480" w:lineRule="auto"/>
        <w:jc w:val="center"/>
        <w:rPr>
          <w:sz w:val="26"/>
          <w:szCs w:val="26"/>
        </w:rPr>
      </w:pPr>
      <w:r w:rsidRPr="008E1555">
        <w:rPr>
          <w:b/>
          <w:bCs/>
          <w:color w:val="000000"/>
          <w:sz w:val="26"/>
          <w:szCs w:val="26"/>
        </w:rPr>
        <w:t>Theoretical Foundation</w:t>
      </w:r>
    </w:p>
    <w:p w14:paraId="6C7C43CF" w14:textId="77777777" w:rsidR="00C35940" w:rsidRPr="008E1555" w:rsidRDefault="00000000">
      <w:pPr>
        <w:pStyle w:val="Heading2"/>
        <w:spacing w:before="240" w:after="200" w:line="480" w:lineRule="auto"/>
      </w:pPr>
      <w:r w:rsidRPr="008E1555">
        <w:rPr>
          <w:b/>
          <w:bCs/>
          <w:color w:val="000000"/>
        </w:rPr>
        <w:t>The Concept of a Language Learning Environment</w:t>
      </w:r>
    </w:p>
    <w:p w14:paraId="7642459F" w14:textId="77777777" w:rsidR="00C35940" w:rsidRDefault="00000000" w:rsidP="008E1555">
      <w:pPr>
        <w:spacing w:after="200" w:line="480" w:lineRule="auto"/>
        <w:ind w:firstLine="720"/>
        <w:jc w:val="both"/>
      </w:pPr>
      <w:r>
        <w:rPr>
          <w:sz w:val="24"/>
          <w:szCs w:val="24"/>
        </w:rPr>
        <w:t>In research on language teaching and learning, the notion of a “language learning environment” is not limited to physical classroom space. Instead, it is understood as an overall system of interacting factors that influence how learners acquire and use a language. A language learning environment includes five key components: resources, interacting with people, learning activities, language-use norms, and motivation (Dörnyei, 2005; MacIntyre &amp; Vincze, 2017).</w:t>
      </w:r>
    </w:p>
    <w:p w14:paraId="6775D47A" w14:textId="77777777" w:rsidR="00C35940" w:rsidRDefault="00000000" w:rsidP="008E1555">
      <w:pPr>
        <w:spacing w:after="200" w:line="480" w:lineRule="auto"/>
        <w:ind w:firstLine="720"/>
        <w:jc w:val="both"/>
      </w:pPr>
      <w:r>
        <w:rPr>
          <w:sz w:val="24"/>
          <w:szCs w:val="24"/>
        </w:rPr>
        <w:t>First, resources refer to the sources of input that learners can access, such as reading materials, videos, podcasts, textbooks, online posts, and academic documents. When resources are diverse and appropriate to learners' proficiency levels, students are more likely to sustain interest and encounter the target language across multiple contexts (VanPatten, 1996; Ellis, 2003).</w:t>
      </w:r>
    </w:p>
    <w:p w14:paraId="2E6545EE" w14:textId="77777777" w:rsidR="00C35940" w:rsidRDefault="00000000" w:rsidP="008E1555">
      <w:pPr>
        <w:spacing w:after="200" w:line="480" w:lineRule="auto"/>
        <w:ind w:firstLine="720"/>
        <w:jc w:val="both"/>
      </w:pPr>
      <w:r>
        <w:rPr>
          <w:sz w:val="24"/>
          <w:szCs w:val="24"/>
        </w:rPr>
        <w:t xml:space="preserve">Second, interacting people are individuals who provide real “dialogue partners” for learners. These can include classmates, instructors, event organizers, members of an online </w:t>
      </w:r>
      <w:r>
        <w:rPr>
          <w:sz w:val="24"/>
          <w:szCs w:val="24"/>
        </w:rPr>
        <w:lastRenderedPageBreak/>
        <w:t>community, or speakers encountered in digital spaces. When learners interact with others, language becomes functional and meaningful; it is used to achieve communication goals rather than to complete exercises (Swain, 1985, 1995).</w:t>
      </w:r>
    </w:p>
    <w:p w14:paraId="7E388DBB" w14:textId="77777777" w:rsidR="00C35940" w:rsidRDefault="00000000" w:rsidP="008E1555">
      <w:pPr>
        <w:spacing w:after="200" w:line="480" w:lineRule="auto"/>
        <w:ind w:firstLine="720"/>
        <w:jc w:val="both"/>
      </w:pPr>
      <w:r>
        <w:rPr>
          <w:sz w:val="24"/>
          <w:szCs w:val="24"/>
        </w:rPr>
        <w:t>Third, learning activities are the tasks and interactional practices in which learners take part. An environment is truly “rich” only when learners do not rely solely on passive consumption (e.g., watching or reading) but also engage in purposeful activities such as discussion, responding to others, presenting, asking questions, writing, and producing language-based outputs (Ellis, 2003; Swain, 1985).</w:t>
      </w:r>
    </w:p>
    <w:p w14:paraId="5AA229B5" w14:textId="77777777" w:rsidR="00C35940" w:rsidRDefault="00000000" w:rsidP="008E1555">
      <w:pPr>
        <w:spacing w:after="200" w:line="480" w:lineRule="auto"/>
        <w:ind w:firstLine="720"/>
        <w:jc w:val="both"/>
      </w:pPr>
      <w:r>
        <w:rPr>
          <w:sz w:val="24"/>
          <w:szCs w:val="24"/>
        </w:rPr>
        <w:t>Fourth, language-use norms refer to how language is used in real situations, including politeness levels, contextual phrasing, appropriate word choices, and language patterns depending on relationships between speakers. When these norms are reflected in learning situations, learners gradually develop more accurate and natural communicative competence (Swain, 1985; Ellis, 2003).</w:t>
      </w:r>
    </w:p>
    <w:p w14:paraId="1A26D874" w14:textId="77777777" w:rsidR="00C35940" w:rsidRDefault="00000000" w:rsidP="008E1555">
      <w:pPr>
        <w:spacing w:after="200" w:line="480" w:lineRule="auto"/>
        <w:ind w:firstLine="720"/>
        <w:jc w:val="both"/>
      </w:pPr>
      <w:r>
        <w:rPr>
          <w:sz w:val="24"/>
          <w:szCs w:val="24"/>
        </w:rPr>
        <w:t>Finally, motivation determines whether learning efforts can be sustained. Motivation may come from academic needs, career goals, or the sense of personal progress. Effective language learning environments often support motivation by enabling learners to experience success in incremental steps, which is closely related to learners' L2 confidence and willingness to communicate (MacIntyre et al., 1998; Horwitz et al., 1986).</w:t>
      </w:r>
    </w:p>
    <w:p w14:paraId="5F4A897E" w14:textId="77777777" w:rsidR="00C35940" w:rsidRPr="008E1555" w:rsidRDefault="00000000">
      <w:pPr>
        <w:pStyle w:val="Heading2"/>
        <w:spacing w:before="240" w:after="200" w:line="480" w:lineRule="auto"/>
      </w:pPr>
      <w:r w:rsidRPr="008E1555">
        <w:rPr>
          <w:b/>
          <w:bCs/>
          <w:color w:val="000000"/>
        </w:rPr>
        <w:t>The Role of Learning Beyond the Classroom</w:t>
      </w:r>
    </w:p>
    <w:p w14:paraId="49899F2F" w14:textId="77777777" w:rsidR="00C35940" w:rsidRDefault="00000000" w:rsidP="0073720F">
      <w:pPr>
        <w:spacing w:after="200" w:line="480" w:lineRule="auto"/>
        <w:ind w:firstLine="720"/>
        <w:jc w:val="both"/>
      </w:pPr>
      <w:r>
        <w:rPr>
          <w:sz w:val="24"/>
          <w:szCs w:val="24"/>
        </w:rPr>
        <w:t xml:space="preserve">Learning English outside the classroom plays a crucial role because it provides opportunities that classroom time often cannot cover adequately. First, out-of-class learning increases the frequency of exposure to real language. While classroom instruction is limited by </w:t>
      </w:r>
      <w:r>
        <w:rPr>
          <w:sz w:val="24"/>
          <w:szCs w:val="24"/>
        </w:rPr>
        <w:lastRenderedPageBreak/>
        <w:t>schedules, students' daily lives and online environments offer continuous streams of language through social media, academic posts, videos, news, and everyday interactions (VanPatten, 1996; Dörnyei, 2005).</w:t>
      </w:r>
    </w:p>
    <w:p w14:paraId="3FACA3F1" w14:textId="77777777" w:rsidR="00C35940" w:rsidRDefault="00000000" w:rsidP="0073720F">
      <w:pPr>
        <w:spacing w:after="200" w:line="480" w:lineRule="auto"/>
        <w:ind w:firstLine="720"/>
        <w:jc w:val="both"/>
      </w:pPr>
      <w:r>
        <w:rPr>
          <w:sz w:val="24"/>
          <w:szCs w:val="24"/>
        </w:rPr>
        <w:t>Second, learning beyond class enables students to develop skills in a situational and integrated manner. Instead of practicing skills in isolation, learners can connect listening, reading, speaking, and writing to meaningful contexts. For instance, listening to discipline-related podcasts may support note-taking and later writing tasks; participating in online group discussions may improve learners' ability to respond and negotiate meaning; reading short research summaries may provide language input for writing paraphrases or abstracts (Ellis, 2003; Swain, 1985).</w:t>
      </w:r>
    </w:p>
    <w:p w14:paraId="5D1A3488" w14:textId="77777777" w:rsidR="00C35940" w:rsidRDefault="00000000" w:rsidP="0073720F">
      <w:pPr>
        <w:spacing w:after="200" w:line="480" w:lineRule="auto"/>
        <w:ind w:firstLine="720"/>
        <w:jc w:val="both"/>
      </w:pPr>
      <w:r>
        <w:rPr>
          <w:sz w:val="24"/>
          <w:szCs w:val="24"/>
        </w:rPr>
        <w:t>Third, learning outside helps reduce fear of making mistakes and increases confidence. When learners are offered a psychologically safe space to experiment with language, sometimes in informal settings such as clubs, discussion groups, or learning journals, they experience less pressure to be judged for errors. As a result, learners begin to use English as a communication tool rather than only as an object for testing (Horwitz et al., 1986; MacIntyre &amp; Vincze, 2017).</w:t>
      </w:r>
    </w:p>
    <w:p w14:paraId="515E3965" w14:textId="77777777" w:rsidR="00C35940" w:rsidRPr="0073720F" w:rsidRDefault="00000000">
      <w:pPr>
        <w:pStyle w:val="Heading2"/>
        <w:spacing w:before="240" w:after="200" w:line="480" w:lineRule="auto"/>
      </w:pPr>
      <w:r w:rsidRPr="0073720F">
        <w:rPr>
          <w:b/>
          <w:bCs/>
          <w:color w:val="000000"/>
        </w:rPr>
        <w:t>Principles for Creating an Effective Language Learning Environment</w:t>
      </w:r>
    </w:p>
    <w:p w14:paraId="26CCB86D" w14:textId="77777777" w:rsidR="00C35940" w:rsidRDefault="00000000" w:rsidP="0073720F">
      <w:pPr>
        <w:spacing w:after="200" w:line="480" w:lineRule="auto"/>
        <w:jc w:val="both"/>
      </w:pPr>
      <w:r>
        <w:rPr>
          <w:sz w:val="24"/>
          <w:szCs w:val="24"/>
        </w:rPr>
        <w:t>Based on foundational ideas in modern language education, an effective language learning environment can be built on the following principles:</w:t>
      </w:r>
    </w:p>
    <w:p w14:paraId="16CBF42F" w14:textId="77777777" w:rsidR="00C35940" w:rsidRDefault="00000000" w:rsidP="0073720F">
      <w:pPr>
        <w:pStyle w:val="ListParagraph"/>
        <w:numPr>
          <w:ilvl w:val="0"/>
          <w:numId w:val="3"/>
        </w:numPr>
        <w:spacing w:after="200" w:line="480" w:lineRule="auto"/>
        <w:jc w:val="both"/>
      </w:pPr>
      <w:r>
        <w:rPr>
          <w:sz w:val="24"/>
          <w:szCs w:val="24"/>
        </w:rPr>
        <w:t>Comprehensible input: Learners should receive language input at a level that is challenging but manageable (VanPatten, 1996). Krashen's (1982) Input Hypothesis similarly argues that acquisition occurs when input is slightly beyond the learner's current competence. Selecting contextually appropriate content is therefore essential to sustaining both comprehension and motivation.</w:t>
      </w:r>
    </w:p>
    <w:p w14:paraId="29636699" w14:textId="77777777" w:rsidR="00C35940" w:rsidRDefault="00000000" w:rsidP="0073720F">
      <w:pPr>
        <w:pStyle w:val="ListParagraph"/>
        <w:numPr>
          <w:ilvl w:val="0"/>
          <w:numId w:val="3"/>
        </w:numPr>
        <w:spacing w:after="200" w:line="480" w:lineRule="auto"/>
        <w:jc w:val="both"/>
      </w:pPr>
      <w:r>
        <w:rPr>
          <w:sz w:val="24"/>
          <w:szCs w:val="24"/>
        </w:rPr>
        <w:lastRenderedPageBreak/>
        <w:t>Meaningful interaction: Learners need opportunities to interact so that they can clarify meaning, negotiate communication, confirm information, and respond. Long's (1983) Interaction Hypothesis demonstrates that modified interaction, where communication breakdowns are negotiated, provides learners with comprehensible input and feedback essential for development. Without interaction, learners may remain confined to passive comprehension (Swain, 1985; Ellis, 2003).</w:t>
      </w:r>
    </w:p>
    <w:p w14:paraId="6563C5E9" w14:textId="77777777" w:rsidR="00C35940" w:rsidRDefault="00000000" w:rsidP="0073720F">
      <w:pPr>
        <w:pStyle w:val="ListParagraph"/>
        <w:numPr>
          <w:ilvl w:val="0"/>
          <w:numId w:val="3"/>
        </w:numPr>
        <w:spacing w:after="200" w:line="480" w:lineRule="auto"/>
        <w:jc w:val="both"/>
      </w:pPr>
      <w:r>
        <w:rPr>
          <w:sz w:val="24"/>
          <w:szCs w:val="24"/>
        </w:rPr>
        <w:t>Pushed output: A rich environment does not only provide input; it must also promote output. Swain's (1985, 1995) Output Hypothesis argues that when learners are required to produce language to express precise meaning, they notice gaps in their interlanguage, test hypotheses about the target language, and develop greater syntactic control. Output thus strengthens both accuracy and communicative confidence.</w:t>
      </w:r>
    </w:p>
    <w:p w14:paraId="3FAC5CAD" w14:textId="77777777" w:rsidR="00C35940" w:rsidRDefault="00000000" w:rsidP="0073720F">
      <w:pPr>
        <w:pStyle w:val="ListParagraph"/>
        <w:numPr>
          <w:ilvl w:val="0"/>
          <w:numId w:val="3"/>
        </w:numPr>
        <w:spacing w:after="200" w:line="480" w:lineRule="auto"/>
        <w:jc w:val="both"/>
      </w:pPr>
      <w:r>
        <w:rPr>
          <w:sz w:val="24"/>
          <w:szCs w:val="24"/>
        </w:rPr>
        <w:t>Continuity and gradual difficulty increase: Exposure and practice should be maintained regularly to avoid learning only during peak periods. As learners become comfortable with a certain level of tasks, difficulty should gradually increase, for example, by extending task length, increasing processing speed, or raising task openness (Skehan &amp; Foster, 1999; Ellis, 2009).</w:t>
      </w:r>
    </w:p>
    <w:p w14:paraId="526C3B4D" w14:textId="77777777" w:rsidR="00C35940" w:rsidRDefault="00000000" w:rsidP="0073720F">
      <w:pPr>
        <w:pStyle w:val="ListParagraph"/>
        <w:numPr>
          <w:ilvl w:val="0"/>
          <w:numId w:val="3"/>
        </w:numPr>
        <w:spacing w:after="200" w:line="480" w:lineRule="auto"/>
        <w:jc w:val="both"/>
      </w:pPr>
      <w:r>
        <w:rPr>
          <w:sz w:val="24"/>
          <w:szCs w:val="24"/>
        </w:rPr>
        <w:t>Task-based learning: Learners make better progress when they engage in tasks with clear goals and tangible outcomes. Ellis (2003, 2009) identifies task-based language teaching as particularly effective because it creates conditions where language use is purposeful, meaningful, and authentically communicative, precisely the conditions absent from traditional classroom-bound instruction.</w:t>
      </w:r>
    </w:p>
    <w:p w14:paraId="1D2BECBD" w14:textId="77777777" w:rsidR="00C35940" w:rsidRDefault="00000000" w:rsidP="0073720F">
      <w:pPr>
        <w:pStyle w:val="ListParagraph"/>
        <w:numPr>
          <w:ilvl w:val="0"/>
          <w:numId w:val="3"/>
        </w:numPr>
        <w:spacing w:after="200" w:line="480" w:lineRule="auto"/>
        <w:jc w:val="both"/>
      </w:pPr>
      <w:r>
        <w:rPr>
          <w:sz w:val="24"/>
          <w:szCs w:val="24"/>
        </w:rPr>
        <w:lastRenderedPageBreak/>
        <w:t>Purposeful learning: Learning objectives should be individualized and connected to concrete needs. When learners understand why they are learning, intrinsic motivation improves and effort becomes more consistent (Dörnyei, 2005; MacIntyre et al., 1998).</w:t>
      </w:r>
    </w:p>
    <w:p w14:paraId="3925DA7D" w14:textId="77777777" w:rsidR="00C35940" w:rsidRDefault="00000000" w:rsidP="0073720F">
      <w:pPr>
        <w:spacing w:after="200" w:line="480" w:lineRule="auto"/>
        <w:ind w:firstLine="720"/>
        <w:jc w:val="both"/>
      </w:pPr>
      <w:r>
        <w:rPr>
          <w:sz w:val="24"/>
          <w:szCs w:val="24"/>
        </w:rPr>
        <w:t>From these principles, it can be concluded that creating an English-rich environment beyond the classroom is not merely an extracurricular or symbolic activity. It should be treated as an intentional educational design that includes appropriate input, meaningful interaction, required output, task-based goals, and continuous follow-up.</w:t>
      </w:r>
    </w:p>
    <w:p w14:paraId="7C3BC05A" w14:textId="77777777" w:rsidR="00C35940" w:rsidRPr="0073720F" w:rsidRDefault="00000000">
      <w:pPr>
        <w:pStyle w:val="Heading1"/>
        <w:spacing w:before="240" w:after="200" w:line="480" w:lineRule="auto"/>
        <w:jc w:val="center"/>
        <w:rPr>
          <w:sz w:val="26"/>
          <w:szCs w:val="26"/>
        </w:rPr>
      </w:pPr>
      <w:r w:rsidRPr="0073720F">
        <w:rPr>
          <w:b/>
          <w:bCs/>
          <w:color w:val="000000"/>
          <w:sz w:val="26"/>
          <w:szCs w:val="26"/>
        </w:rPr>
        <w:t>Thematic Analysis of Barriers in the University Context</w:t>
      </w:r>
    </w:p>
    <w:p w14:paraId="1B4F3FD3" w14:textId="77777777" w:rsidR="00C35940" w:rsidRDefault="00000000" w:rsidP="0073720F">
      <w:pPr>
        <w:spacing w:after="200" w:line="480" w:lineRule="auto"/>
        <w:ind w:firstLine="720"/>
        <w:jc w:val="both"/>
      </w:pPr>
      <w:r>
        <w:rPr>
          <w:sz w:val="24"/>
          <w:szCs w:val="24"/>
        </w:rPr>
        <w:t>A thematic analysis of the barriers facing Vietnamese university students in developing English speaking proficiency reveals three interrelated themes: psychological inhibition, methodological passivity, and structural disconnection. These themes do not operate in isolation; rather, they form a mutually reinforcing cycle that this paper terms the non-use loop. Each theme is discussed below with reference to empirical and theoretical evidence.</w:t>
      </w:r>
    </w:p>
    <w:p w14:paraId="4A503055" w14:textId="77777777" w:rsidR="00C35940" w:rsidRPr="0073720F" w:rsidRDefault="00000000">
      <w:pPr>
        <w:pStyle w:val="Heading2"/>
        <w:spacing w:before="240" w:after="200" w:line="480" w:lineRule="auto"/>
      </w:pPr>
      <w:r w:rsidRPr="0073720F">
        <w:rPr>
          <w:b/>
          <w:bCs/>
          <w:color w:val="000000"/>
        </w:rPr>
        <w:t>Theme 1: Psychological Inhibition – Fear, Anxiety, and Performance Pressure</w:t>
      </w:r>
    </w:p>
    <w:p w14:paraId="015B0CF1" w14:textId="77777777" w:rsidR="00C35940" w:rsidRDefault="00000000" w:rsidP="0073720F">
      <w:pPr>
        <w:spacing w:after="200" w:line="480" w:lineRule="auto"/>
        <w:ind w:firstLine="720"/>
        <w:jc w:val="both"/>
      </w:pPr>
      <w:r>
        <w:rPr>
          <w:sz w:val="24"/>
          <w:szCs w:val="24"/>
        </w:rPr>
        <w:t>The most immediate and visible barrier is the cluster of psychological factors that suppress learners' willingness to communicate (WTC). Horwitz and Cope (1986) identified foreign language classroom anxiety (FLCA) as a distinct, complex psychological construct tied specifically to language learning contexts. Their research demonstrated that FLCA comprises three components: communication apprehension, test anxiety, and fear of negative evaluation, all of which are routinely activated in speaking situations.</w:t>
      </w:r>
    </w:p>
    <w:p w14:paraId="1D0C27C9" w14:textId="77777777" w:rsidR="00C35940" w:rsidRDefault="00000000" w:rsidP="0073720F">
      <w:pPr>
        <w:spacing w:after="200" w:line="480" w:lineRule="auto"/>
        <w:ind w:firstLine="720"/>
        <w:jc w:val="both"/>
      </w:pPr>
      <w:r>
        <w:rPr>
          <w:sz w:val="24"/>
          <w:szCs w:val="24"/>
        </w:rPr>
        <w:lastRenderedPageBreak/>
        <w:t>In the Vietnamese university context, this anxiety is compounded by sociolinguistic factors. Many students have been educated in a predominantly grammar-translation tradition, in which accuracy is prioritized over fluency and errors carry social consequences (Nguyen, 2011). Consequently, speaking in English becomes associated not with communication but with evaluation and potential embarrassment. MacIntyre et al.'s (1998) situational model of WTC demonstrates that when learners anticipate negative outcomes, such as social judgment or loss of face, their communicative intention decreases, even when linguistic knowledge is sufficient.</w:t>
      </w:r>
    </w:p>
    <w:p w14:paraId="765F0044" w14:textId="77777777" w:rsidR="00C35940" w:rsidRDefault="00000000" w:rsidP="0073720F">
      <w:pPr>
        <w:spacing w:after="200" w:line="480" w:lineRule="auto"/>
        <w:ind w:firstLine="720"/>
        <w:jc w:val="both"/>
      </w:pPr>
      <w:r>
        <w:rPr>
          <w:sz w:val="24"/>
          <w:szCs w:val="24"/>
        </w:rPr>
        <w:t>A further dimension is the performance-oriented mindset: learners focus on producing error-free language rather than prioritizing communicative effectiveness. This leads to over-monitoring, cognitive overload, and disfluency under time pressure. The result is not a language deficit but a confidence deficit; learners know but cannot deploy what they know under real communicative conditions.</w:t>
      </w:r>
    </w:p>
    <w:p w14:paraId="359A2987" w14:textId="77777777" w:rsidR="00C35940" w:rsidRPr="0073720F" w:rsidRDefault="00000000">
      <w:pPr>
        <w:pStyle w:val="Heading2"/>
        <w:spacing w:before="240" w:after="200" w:line="480" w:lineRule="auto"/>
      </w:pPr>
      <w:r w:rsidRPr="0073720F">
        <w:rPr>
          <w:b/>
          <w:bCs/>
          <w:color w:val="000000"/>
        </w:rPr>
        <w:t>Theme 2: Methodological Passivity – Input without Output</w:t>
      </w:r>
    </w:p>
    <w:p w14:paraId="7637E2CD" w14:textId="77777777" w:rsidR="00C35940" w:rsidRDefault="00000000" w:rsidP="0073720F">
      <w:pPr>
        <w:spacing w:after="200" w:line="480" w:lineRule="auto"/>
        <w:ind w:firstLine="720"/>
        <w:jc w:val="both"/>
      </w:pPr>
      <w:r>
        <w:rPr>
          <w:sz w:val="24"/>
          <w:szCs w:val="24"/>
        </w:rPr>
        <w:t>The second theme concerns the predominance of receptive, input-focused learning strategies among university students. Common patterns include watching English videos, reading online content, and memorizing vocabulary, all of which are valuable but insufficient if not accompanied by productive output.</w:t>
      </w:r>
    </w:p>
    <w:p w14:paraId="5904CC9B" w14:textId="77777777" w:rsidR="00C35940" w:rsidRDefault="00000000" w:rsidP="0073720F">
      <w:pPr>
        <w:spacing w:after="200" w:line="480" w:lineRule="auto"/>
        <w:ind w:firstLine="720"/>
        <w:jc w:val="both"/>
      </w:pPr>
      <w:r>
        <w:rPr>
          <w:sz w:val="24"/>
          <w:szCs w:val="24"/>
        </w:rPr>
        <w:t xml:space="preserve">Swain's (1985, 1995) Output Hypothesis provides the theoretical foundation for understanding why input-heavy methods are insufficient. Comprehensible output, language produced by the learner to convey meaning, serves three key functions: it forces learners to notice gaps in their interlanguage; it provides opportunities to test linguistic hypotheses; and it promotes </w:t>
      </w:r>
      <w:r>
        <w:rPr>
          <w:sz w:val="24"/>
          <w:szCs w:val="24"/>
        </w:rPr>
        <w:lastRenderedPageBreak/>
        <w:t>automaticity through repeated production practice. None of these functions is activated through passive reception alone.</w:t>
      </w:r>
    </w:p>
    <w:p w14:paraId="282A3326" w14:textId="77777777" w:rsidR="00C35940" w:rsidRDefault="00000000" w:rsidP="0073720F">
      <w:pPr>
        <w:spacing w:after="200" w:line="480" w:lineRule="auto"/>
        <w:ind w:firstLine="720"/>
        <w:jc w:val="both"/>
      </w:pPr>
      <w:r>
        <w:rPr>
          <w:sz w:val="24"/>
          <w:szCs w:val="24"/>
        </w:rPr>
        <w:t>Empirical evidence supports this view. Izumi (2002) found that learners who produced output after reading showed significantly greater noticing of target forms than those who read alone. Similarly, Kowal and Swain (1994) demonstrated that collaborative output tasks led learners to reflect on their language use in ways that input tasks did not. These findings suggest that students who rely predominantly on input activities are systematically depriving themselves of the cognitive processes most essential for speaking development.</w:t>
      </w:r>
    </w:p>
    <w:p w14:paraId="75F8EE4D" w14:textId="77777777" w:rsidR="00C35940" w:rsidRDefault="00000000" w:rsidP="0073720F">
      <w:pPr>
        <w:spacing w:after="200" w:line="480" w:lineRule="auto"/>
        <w:ind w:firstLine="720"/>
        <w:jc w:val="both"/>
      </w:pPr>
      <w:r>
        <w:rPr>
          <w:sz w:val="24"/>
          <w:szCs w:val="24"/>
        </w:rPr>
        <w:t>A further methodological issue is the absence of long-term, cyclical planning. Learning tends to be concentrated around exam periods, with extended intervals of minimal practice, a pattern inconsistent with what is known about distributed practice and memory consolidation (Dörnyei, 2005). Without a structured schedule, even motivated learners struggle to convert knowledge into durable communicative competence.</w:t>
      </w:r>
    </w:p>
    <w:p w14:paraId="69DAF456" w14:textId="77777777" w:rsidR="00C35940" w:rsidRPr="0073720F" w:rsidRDefault="00000000" w:rsidP="0073720F">
      <w:pPr>
        <w:pStyle w:val="Heading2"/>
        <w:spacing w:before="240" w:after="200" w:line="480" w:lineRule="auto"/>
        <w:jc w:val="center"/>
      </w:pPr>
      <w:r w:rsidRPr="0073720F">
        <w:rPr>
          <w:b/>
          <w:bCs/>
          <w:color w:val="000000"/>
        </w:rPr>
        <w:t>Theme 3: Structural Disconnection – The Gap between Classroom and Real-World Use</w:t>
      </w:r>
    </w:p>
    <w:p w14:paraId="0FDC6488" w14:textId="77777777" w:rsidR="00C35940" w:rsidRDefault="00000000" w:rsidP="0073720F">
      <w:pPr>
        <w:spacing w:after="200" w:line="480" w:lineRule="auto"/>
        <w:ind w:firstLine="720"/>
        <w:jc w:val="both"/>
      </w:pPr>
      <w:r>
        <w:rPr>
          <w:sz w:val="24"/>
          <w:szCs w:val="24"/>
        </w:rPr>
        <w:t>The third theme addresses a systemic problem: the structural absence of pathways connecting classroom learning to authentic out-of-class practice. Many universities treat extracurricular English activities as optional add-ons rather than integrated components of the learning pathway. This creates a situation in which classroom instruction ends without a bridge to the contexts where communicative competence must ultimately function.</w:t>
      </w:r>
    </w:p>
    <w:p w14:paraId="15096E5B" w14:textId="77777777" w:rsidR="00C35940" w:rsidRDefault="00000000" w:rsidP="0073720F">
      <w:pPr>
        <w:spacing w:after="200" w:line="480" w:lineRule="auto"/>
        <w:ind w:firstLine="720"/>
        <w:jc w:val="both"/>
      </w:pPr>
      <w:r>
        <w:rPr>
          <w:sz w:val="24"/>
          <w:szCs w:val="24"/>
        </w:rPr>
        <w:lastRenderedPageBreak/>
        <w:t>Benson (2011) argues that out-of-class language learning is not merely supplementary but constitutive of communicative competence; learners require autonomous, self-directed engagement with the language in authentic contexts to develop the flexibility and confidence that classroom interaction alone cannot produce. However, autonomy does not emerge spontaneously; it requires institutional scaffolding, structured task design, and accessible feedback mechanisms (Little, 2007).</w:t>
      </w:r>
    </w:p>
    <w:p w14:paraId="25DB4E56" w14:textId="77777777" w:rsidR="00C35940" w:rsidRDefault="00000000" w:rsidP="0073720F">
      <w:pPr>
        <w:spacing w:after="200" w:line="480" w:lineRule="auto"/>
        <w:ind w:firstLine="720"/>
        <w:jc w:val="both"/>
      </w:pPr>
      <w:r>
        <w:rPr>
          <w:sz w:val="24"/>
          <w:szCs w:val="24"/>
        </w:rPr>
        <w:t>In Vietnamese universities specifically, structural disconnection is exacerbated by large class size, limited contact hours, and the absence of systematic co-curricular English programming. Students may be aware that they need more practice but lack the institutional framework, the tasks, feedback channels, and social structures, that would make sustained out-of-class practice feasible and motivating.</w:t>
      </w:r>
    </w:p>
    <w:p w14:paraId="6958F256" w14:textId="77777777" w:rsidR="00C35940" w:rsidRPr="0073720F" w:rsidRDefault="00000000">
      <w:pPr>
        <w:pStyle w:val="Heading2"/>
        <w:spacing w:before="240" w:after="200" w:line="480" w:lineRule="auto"/>
      </w:pPr>
      <w:r w:rsidRPr="0073720F">
        <w:rPr>
          <w:b/>
          <w:bCs/>
          <w:color w:val="000000"/>
        </w:rPr>
        <w:t>Synthesis: The Non-Use Loop and the Case for an Integrated Intervention</w:t>
      </w:r>
    </w:p>
    <w:p w14:paraId="1455B6D2" w14:textId="77777777" w:rsidR="00C35940" w:rsidRDefault="00000000" w:rsidP="0073720F">
      <w:pPr>
        <w:spacing w:after="200" w:line="480" w:lineRule="auto"/>
        <w:ind w:firstLine="720"/>
        <w:jc w:val="both"/>
      </w:pPr>
      <w:r>
        <w:rPr>
          <w:sz w:val="24"/>
          <w:szCs w:val="24"/>
        </w:rPr>
        <w:t xml:space="preserve">These three themes are not independent; they interact to form a self-reinforcing cycle. Psychological inhibition reduces learners' willingness to engage in speaking practice. Methodological passivity means that even when students do study, they generate insufficient output to build confidence or automaticity. Structural disconnection ensures that no institutional mechanism intervenes to break the cycle. Together, these themes explain why many Vietnamese university students can comprehend English but cannot produce it fluently under communicative pressure. This thematic analysis thus establishes the rationale for a multi-level intervention that simultaneously addresses all three themes: psychological safety design (Theme 1), output-driven task structures (Theme 2), and institutional alignment mechanisms (Theme 3). The solutions </w:t>
      </w:r>
      <w:r>
        <w:rPr>
          <w:sz w:val="24"/>
          <w:szCs w:val="24"/>
        </w:rPr>
        <w:lastRenderedPageBreak/>
        <w:t>proposed in Chapter 4 (Solutions) are each mapped to these themes, ensuring that recommendations are grounded in the identified evidence base rather than general prescription.</w:t>
      </w:r>
    </w:p>
    <w:p w14:paraId="37534725" w14:textId="77777777" w:rsidR="00C35940" w:rsidRPr="0073720F" w:rsidRDefault="00000000">
      <w:pPr>
        <w:pStyle w:val="Heading1"/>
        <w:spacing w:before="240" w:after="200" w:line="480" w:lineRule="auto"/>
        <w:jc w:val="center"/>
        <w:rPr>
          <w:sz w:val="26"/>
          <w:szCs w:val="26"/>
        </w:rPr>
      </w:pPr>
      <w:r w:rsidRPr="0073720F">
        <w:rPr>
          <w:b/>
          <w:bCs/>
          <w:color w:val="000000"/>
          <w:sz w:val="26"/>
          <w:szCs w:val="26"/>
        </w:rPr>
        <w:t>Solutions</w:t>
      </w:r>
    </w:p>
    <w:p w14:paraId="10DD1A68" w14:textId="77777777" w:rsidR="00C35940" w:rsidRPr="0073720F" w:rsidRDefault="00000000">
      <w:pPr>
        <w:pStyle w:val="Heading2"/>
        <w:spacing w:before="240" w:after="200" w:line="480" w:lineRule="auto"/>
      </w:pPr>
      <w:r w:rsidRPr="0073720F">
        <w:rPr>
          <w:b/>
          <w:bCs/>
          <w:color w:val="000000"/>
        </w:rPr>
        <w:t>Individual Solution: Build a Micro Roadmap and Daily Output Routines</w:t>
      </w:r>
    </w:p>
    <w:p w14:paraId="0D4AB198" w14:textId="77777777" w:rsidR="00C35940" w:rsidRDefault="00000000">
      <w:pPr>
        <w:spacing w:after="200" w:line="480" w:lineRule="auto"/>
      </w:pPr>
      <w:r>
        <w:rPr>
          <w:sz w:val="24"/>
          <w:szCs w:val="24"/>
        </w:rPr>
        <w:t>(Addresses Themes 1 and 2)</w:t>
      </w:r>
    </w:p>
    <w:p w14:paraId="058BD556" w14:textId="77777777" w:rsidR="00C35940" w:rsidRDefault="00000000" w:rsidP="0073720F">
      <w:pPr>
        <w:spacing w:after="200" w:line="480" w:lineRule="auto"/>
        <w:ind w:firstLine="720"/>
        <w:jc w:val="both"/>
      </w:pPr>
      <w:r>
        <w:rPr>
          <w:sz w:val="24"/>
          <w:szCs w:val="24"/>
        </w:rPr>
        <w:t>Rather than waiting for external conditions to emerge, students should begin with personal habits. The key approach is to design a micro-learning roadmap, a short but sustainable plan that students can maintain daily. Evidence from research on deliberate practice (Ericsson et al., 1993) and distributed learning (Dörnyei, 2005) consistently shows that frequent, low-intensity practice is more effective for skill development than infrequent, high-intensity study sessions.</w:t>
      </w:r>
    </w:p>
    <w:p w14:paraId="6083F1CC" w14:textId="77777777" w:rsidR="00C35940" w:rsidRDefault="00000000" w:rsidP="0073720F">
      <w:pPr>
        <w:spacing w:after="200" w:line="480" w:lineRule="auto"/>
        <w:ind w:firstLine="720"/>
        <w:jc w:val="both"/>
      </w:pPr>
      <w:r>
        <w:rPr>
          <w:sz w:val="24"/>
          <w:szCs w:val="24"/>
        </w:rPr>
        <w:t>A practical cycle can follow three steps grounded in Swain's (1985) input-output model: (1) receive comprehensible input at a slightly challenging but manageable level, (2) process the input to generate active language through output (speaking or writing), and (3) reflect on or record feedback to consolidate progress. For example, a 25–30-minute session may include listening to a short clip or discipline-related podcast for 8–10 minutes, followed by writing or recording a three-to-five-sentence summary, then practicing a one-minute spoken response. The crucial point is not how much content is studied, but that each session produces a language output product. With output appearing consistently, learners gradually overcome reticence, because they discover they can complete small tasks daily, and small repeated efforts build confidence over time.</w:t>
      </w:r>
    </w:p>
    <w:p w14:paraId="40E009BC" w14:textId="77777777" w:rsidR="00C35940" w:rsidRDefault="00000000" w:rsidP="0073720F">
      <w:pPr>
        <w:spacing w:after="200" w:line="480" w:lineRule="auto"/>
        <w:ind w:firstLine="720"/>
        <w:jc w:val="both"/>
      </w:pPr>
      <w:r>
        <w:rPr>
          <w:sz w:val="24"/>
          <w:szCs w:val="24"/>
        </w:rPr>
        <w:t xml:space="preserve">To address Theme 1 directly, students should adjust their self-evaluation criteria. Research on WTC (MacIntyre et al., 1998) demonstrates that learners' communicative confidence is strongly </w:t>
      </w:r>
      <w:r>
        <w:rPr>
          <w:sz w:val="24"/>
          <w:szCs w:val="24"/>
        </w:rPr>
        <w:lastRenderedPageBreak/>
        <w:t>shaped by their perception of success in prior speaking attempts. Adopting a “speak to practice” orientation, accepting that errors will occur and be corrected iteratively, is therefore not merely motivational advice but an evidence-based strategy for increasing WTC.</w:t>
      </w:r>
    </w:p>
    <w:p w14:paraId="6DE236FA" w14:textId="77777777" w:rsidR="00C35940" w:rsidRDefault="00000000" w:rsidP="0073720F">
      <w:pPr>
        <w:spacing w:after="200" w:line="480" w:lineRule="auto"/>
        <w:ind w:firstLine="720"/>
        <w:jc w:val="both"/>
      </w:pPr>
      <w:r>
        <w:rPr>
          <w:sz w:val="24"/>
          <w:szCs w:val="24"/>
        </w:rPr>
        <w:t>A helpful mechanism is keeping a voice journal using fixed sentence frames (e.g., “From what I heard…,” “The main point is that…,” “In my opinion, … because …”). Research on formulaic language (Wray, 2002) confirms that such frames reduce cognitive load, freeing attentional resources for meaning-making rather than grammatical monitoring.</w:t>
      </w:r>
    </w:p>
    <w:p w14:paraId="1A64122E" w14:textId="77777777" w:rsidR="00C35940" w:rsidRDefault="00000000" w:rsidP="0073720F">
      <w:pPr>
        <w:spacing w:after="200" w:line="480" w:lineRule="auto"/>
        <w:ind w:firstLine="720"/>
        <w:jc w:val="both"/>
      </w:pPr>
      <w:r>
        <w:rPr>
          <w:sz w:val="24"/>
          <w:szCs w:val="24"/>
        </w:rPr>
        <w:t>Finally, motivation can be maintained through simple progress tracking. Dörnyei (2005) identifies self-efficacy, learners' belief in their own capacity to succeed, as one of the strongest predictors of sustained language learning effort. A brief daily learning diary (input received, output produced, errors noticed, next practice target) operationalizes this by making progress visible and directional.</w:t>
      </w:r>
    </w:p>
    <w:p w14:paraId="0C1A1DD8" w14:textId="77777777" w:rsidR="00C35940" w:rsidRPr="0073720F" w:rsidRDefault="00000000">
      <w:pPr>
        <w:pStyle w:val="Heading2"/>
        <w:spacing w:before="240" w:after="200" w:line="480" w:lineRule="auto"/>
      </w:pPr>
      <w:r w:rsidRPr="0073720F">
        <w:rPr>
          <w:b/>
          <w:bCs/>
          <w:color w:val="000000"/>
        </w:rPr>
        <w:t>Group/Community Solution: Create a “Safe Space for Speaking” with Task-Based Interaction</w:t>
      </w:r>
    </w:p>
    <w:p w14:paraId="60F7A49C" w14:textId="77777777" w:rsidR="00C35940" w:rsidRDefault="00000000">
      <w:pPr>
        <w:spacing w:after="200" w:line="480" w:lineRule="auto"/>
      </w:pPr>
      <w:r>
        <w:rPr>
          <w:sz w:val="24"/>
          <w:szCs w:val="24"/>
        </w:rPr>
        <w:t>(Addresses Themes 1 and 2)</w:t>
      </w:r>
    </w:p>
    <w:p w14:paraId="1772D6E8" w14:textId="77777777" w:rsidR="00C35940" w:rsidRDefault="00000000" w:rsidP="0073720F">
      <w:pPr>
        <w:spacing w:after="200" w:line="480" w:lineRule="auto"/>
        <w:ind w:firstLine="720"/>
        <w:jc w:val="both"/>
      </w:pPr>
      <w:r>
        <w:rPr>
          <w:sz w:val="24"/>
          <w:szCs w:val="24"/>
        </w:rPr>
        <w:t>Lasting improvement in communicative competence typically requires interaction with others. Vygotsky's (1978) concept of the Zone of Proximal Development (ZPD) and its application in collaborative language learning (Swain &amp; Lapkin, 1998) provide theoretical justification: learners develop more effectively when collaborating with peers who can provide support slightly beyond their current independent capacity.</w:t>
      </w:r>
    </w:p>
    <w:p w14:paraId="2BAB3AC7" w14:textId="77777777" w:rsidR="00C35940" w:rsidRDefault="00000000" w:rsidP="0073720F">
      <w:pPr>
        <w:spacing w:after="200" w:line="480" w:lineRule="auto"/>
        <w:ind w:firstLine="720"/>
        <w:jc w:val="both"/>
      </w:pPr>
      <w:r>
        <w:rPr>
          <w:sz w:val="24"/>
          <w:szCs w:val="24"/>
        </w:rPr>
        <w:lastRenderedPageBreak/>
        <w:t>Groups should operate with clear norms from the outset: (1) treat errors as data for learning rather than failures; (2) provide feedback as suggestions for improvement rather than evaluation; (3) rotate speaking roles to ensure equal participation; and (4) run activities with tasks and time limits. These norms directly address the fear of negative evaluation identified in Theme 1.</w:t>
      </w:r>
    </w:p>
    <w:p w14:paraId="62FABC7B" w14:textId="77777777" w:rsidR="00C35940" w:rsidRDefault="00000000" w:rsidP="000408D8">
      <w:pPr>
        <w:spacing w:after="200" w:line="480" w:lineRule="auto"/>
        <w:ind w:firstLine="720"/>
        <w:jc w:val="both"/>
      </w:pPr>
      <w:r>
        <w:rPr>
          <w:sz w:val="24"/>
          <w:szCs w:val="24"/>
        </w:rPr>
        <w:t>A suitable mechanism is the task-based learning cycle (Ellis, 2003): (1) warm-up with accessible questions, (2) task execution (group discussion, role-play, peer interviews, debates requiring reasoned justification), and (3) end-of-session output (a one-to-two-minute speaking segment or a short written paragraph). Critically, feedback should operate on two levels: first on meaning (whether the main point is clear), then on language (vocabulary, structures, and recurring errors). Lyster and Saito's (2010) meta-analysis of oral feedback in classroom SLA found that corrective feedback, particularly recasts and prompts, significantly promotes L2 development, with the greatest effects when feedback is explicit and focused on specific linguistic targets. Two-level feedback respects this evidence by prioritizing communication before correction.</w:t>
      </w:r>
    </w:p>
    <w:p w14:paraId="481DB2DE" w14:textId="77777777" w:rsidR="00C35940" w:rsidRDefault="00000000" w:rsidP="000408D8">
      <w:pPr>
        <w:spacing w:after="200" w:line="480" w:lineRule="auto"/>
        <w:ind w:firstLine="720"/>
        <w:jc w:val="both"/>
      </w:pPr>
      <w:r>
        <w:rPr>
          <w:sz w:val="24"/>
          <w:szCs w:val="24"/>
        </w:rPr>
        <w:t>A buddy system can further reduce anxiety. Because partners are familiar, social risk is reduced and speaking becomes more natural. Scripts aligned with academic and career needs (e.g., presenting a study project, describing research habits, introducing skills) ensure that practice is purposeful rather than merely social.</w:t>
      </w:r>
    </w:p>
    <w:p w14:paraId="3663D5FA" w14:textId="77777777" w:rsidR="00C35940" w:rsidRPr="000408D8" w:rsidRDefault="00000000">
      <w:pPr>
        <w:pStyle w:val="Heading2"/>
        <w:spacing w:before="240" w:after="200" w:line="480" w:lineRule="auto"/>
      </w:pPr>
      <w:r w:rsidRPr="000408D8">
        <w:rPr>
          <w:b/>
          <w:bCs/>
          <w:color w:val="000000"/>
        </w:rPr>
        <w:t>University Solution: Align Classroom Learning with Out-of-Class Practice</w:t>
      </w:r>
    </w:p>
    <w:p w14:paraId="2F149DCE" w14:textId="77777777" w:rsidR="00C35940" w:rsidRDefault="00000000">
      <w:pPr>
        <w:spacing w:after="200" w:line="480" w:lineRule="auto"/>
      </w:pPr>
      <w:r>
        <w:rPr>
          <w:sz w:val="24"/>
          <w:szCs w:val="24"/>
        </w:rPr>
        <w:t>(Addresses Theme 3)</w:t>
      </w:r>
    </w:p>
    <w:p w14:paraId="44F6B456" w14:textId="77777777" w:rsidR="00C35940" w:rsidRDefault="00000000" w:rsidP="000408D8">
      <w:pPr>
        <w:spacing w:after="200" w:line="480" w:lineRule="auto"/>
        <w:ind w:firstLine="720"/>
        <w:jc w:val="both"/>
      </w:pPr>
      <w:r>
        <w:rPr>
          <w:sz w:val="24"/>
          <w:szCs w:val="24"/>
        </w:rPr>
        <w:t>Universities must create structural alignment mechanisms that connect in-class activities with out-of-class practice, directly addressing Theme 3. Without institutional scaffolding, even motivated students lack the frameworks to make sustained extracurricular practice feasible.</w:t>
      </w:r>
    </w:p>
    <w:p w14:paraId="4771328A" w14:textId="77777777" w:rsidR="00C35940" w:rsidRDefault="00000000" w:rsidP="000408D8">
      <w:pPr>
        <w:spacing w:after="200" w:line="480" w:lineRule="auto"/>
        <w:ind w:firstLine="720"/>
        <w:jc w:val="both"/>
      </w:pPr>
      <w:r>
        <w:rPr>
          <w:sz w:val="24"/>
          <w:szCs w:val="24"/>
        </w:rPr>
        <w:lastRenderedPageBreak/>
        <w:t>First, universities should embed an input-task-feedback cycle in each course. Rather than assigning generic homework, instructors should assign output-oriented tasks directly aligned with classroom input: summarizing a reading in English, recording a one-minute presentation, writing a short counterargument, or participating in structured group discussions. Little's (2007) research on learner autonomy demonstrates that structured task design is essential for enabling self-directed learning; autonomy does not emerge spontaneously but must be scaffolded through clear task parameters and feedback.</w:t>
      </w:r>
    </w:p>
    <w:p w14:paraId="5CACB62B" w14:textId="77777777" w:rsidR="00C35940" w:rsidRDefault="00000000" w:rsidP="000408D8">
      <w:pPr>
        <w:spacing w:after="200" w:line="480" w:lineRule="auto"/>
        <w:ind w:firstLine="720"/>
        <w:jc w:val="both"/>
      </w:pPr>
      <w:r>
        <w:rPr>
          <w:sz w:val="24"/>
          <w:szCs w:val="24"/>
        </w:rPr>
        <w:t>Second, universities should provide accessible learning spaces and channels: flexible practice rooms, an academic library with appropriate materials, or an online platform for submitting speaking and writing outputs. Standardized rubrics assessing clarity of meaning, appropriateness of vocabulary, and improvement over time reframe evaluation as developmental rather than purely summative, a shift supported by Hattie and Timperley's (2007) influential meta-analysis demonstrating that feedback oriented toward learning goals (rather than grades) produces significantly greater achievement gains.</w:t>
      </w:r>
    </w:p>
    <w:p w14:paraId="68D567E2" w14:textId="77777777" w:rsidR="00C35940" w:rsidRDefault="00000000" w:rsidP="000408D8">
      <w:pPr>
        <w:spacing w:after="200" w:line="480" w:lineRule="auto"/>
        <w:ind w:firstLine="720"/>
        <w:jc w:val="both"/>
      </w:pPr>
      <w:r>
        <w:rPr>
          <w:sz w:val="24"/>
          <w:szCs w:val="24"/>
        </w:rPr>
        <w:t>Third, periodic events with clearly defined language objectives, such as English Speaking Day, discipline-based academic club activities, and mid-semester mini-presentations, should follow a gradual ladder design: beginners can start with very brief tasks (30-second speaking), then progressively increase length and interactional complexity. This scaffolded approach prevents newcomers from experiencing overwhelming demands that would reinforce Theme 1 barriers.</w:t>
      </w:r>
    </w:p>
    <w:p w14:paraId="5DFF4841" w14:textId="77777777" w:rsidR="00C35940" w:rsidRDefault="00000000" w:rsidP="000408D8">
      <w:pPr>
        <w:spacing w:after="200" w:line="480" w:lineRule="auto"/>
        <w:ind w:firstLine="720"/>
        <w:jc w:val="both"/>
      </w:pPr>
      <w:r>
        <w:rPr>
          <w:sz w:val="24"/>
          <w:szCs w:val="24"/>
        </w:rPr>
        <w:t>Finally, universities should implement mechanisms to recognize progress, such as incremental participation credit, certificates, or tracked “hours of purposeful use,” to integrate out-of-class learning into the official curriculum rather than treating it as optional.</w:t>
      </w:r>
    </w:p>
    <w:p w14:paraId="2583C8D2" w14:textId="77777777" w:rsidR="00C35940" w:rsidRPr="000408D8" w:rsidRDefault="00000000">
      <w:pPr>
        <w:pStyle w:val="Heading2"/>
        <w:spacing w:before="240" w:after="200" w:line="480" w:lineRule="auto"/>
      </w:pPr>
      <w:r w:rsidRPr="000408D8">
        <w:rPr>
          <w:b/>
          <w:bCs/>
          <w:color w:val="000000"/>
        </w:rPr>
        <w:lastRenderedPageBreak/>
        <w:t>Community/Partner Solution: Extend English Output to Authentic Contexts</w:t>
      </w:r>
    </w:p>
    <w:p w14:paraId="4BBBE6A5" w14:textId="77777777" w:rsidR="00C35940" w:rsidRDefault="00000000">
      <w:pPr>
        <w:spacing w:after="200" w:line="480" w:lineRule="auto"/>
      </w:pPr>
      <w:r>
        <w:rPr>
          <w:sz w:val="24"/>
          <w:szCs w:val="24"/>
        </w:rPr>
        <w:t>(Addresses Themes 1, 2, and 3)</w:t>
      </w:r>
    </w:p>
    <w:p w14:paraId="028C374A" w14:textId="77777777" w:rsidR="00C35940" w:rsidRDefault="00000000" w:rsidP="000408D8">
      <w:pPr>
        <w:spacing w:after="200" w:line="480" w:lineRule="auto"/>
        <w:ind w:firstLine="720"/>
        <w:jc w:val="both"/>
      </w:pPr>
      <w:r>
        <w:rPr>
          <w:sz w:val="24"/>
          <w:szCs w:val="24"/>
        </w:rPr>
        <w:t>To make English genuinely serve academic and professional development, learners must experience English in contexts approximating real-world use. This addresses all three themes simultaneously: authentic contexts reduce the artificial performance pressure of Theme 1, generate genuine communicative output beyond Theme 2's passive reception, and extend the structural reach of the institution beyond Theme 3's classroom walls.</w:t>
      </w:r>
    </w:p>
    <w:p w14:paraId="5831C236" w14:textId="77777777" w:rsidR="00C35940" w:rsidRDefault="00000000" w:rsidP="000408D8">
      <w:pPr>
        <w:spacing w:after="200" w:line="480" w:lineRule="auto"/>
        <w:ind w:firstLine="720"/>
        <w:jc w:val="both"/>
      </w:pPr>
      <w:r>
        <w:rPr>
          <w:sz w:val="24"/>
          <w:szCs w:val="24"/>
        </w:rPr>
        <w:t>Effective approaches involve activities with real communicative purposes: alumni career talks, mock interviews with professionals, and collaborative projects with organizations (writing service brochures, producing academic communication content, editing project proposals). These generate authentic output; students must communicate to achieve project goals, not merely to satisfy academic requirements. Research on task authenticity (Ellis, 2003) consistently shows that learners demonstrate greater effort, more complex language use, and higher motivation when tasks have purposes beyond the classroom.</w:t>
      </w:r>
    </w:p>
    <w:p w14:paraId="07F47188" w14:textId="77777777" w:rsidR="00C35940" w:rsidRDefault="00000000" w:rsidP="000408D8">
      <w:pPr>
        <w:spacing w:after="200" w:line="480" w:lineRule="auto"/>
        <w:ind w:firstLine="720"/>
        <w:jc w:val="both"/>
      </w:pPr>
      <w:r>
        <w:rPr>
          <w:sz w:val="24"/>
          <w:szCs w:val="24"/>
        </w:rPr>
        <w:t>Community settings also support informal interaction: language exchange sessions with international residents or visitors, and community seminars on local topics (environment, culture, history) with English discussion segments. When students recognize that they are speaking to address factual issues or share genuine opinions rather than to complete assignments, communicative motivation increases significantly, consistent with self-determination theory's emphasis on autonomy and purpose as drivers of intrinsic motivation (Deci &amp; Ryan, 1985, as cited in Dörnyei, 2005).</w:t>
      </w:r>
    </w:p>
    <w:p w14:paraId="47B425B4" w14:textId="77777777" w:rsidR="00C35940" w:rsidRDefault="00000000" w:rsidP="000408D8">
      <w:pPr>
        <w:spacing w:after="200" w:line="480" w:lineRule="auto"/>
        <w:ind w:firstLine="720"/>
        <w:jc w:val="both"/>
      </w:pPr>
      <w:r>
        <w:rPr>
          <w:sz w:val="24"/>
          <w:szCs w:val="24"/>
        </w:rPr>
        <w:lastRenderedPageBreak/>
        <w:t>To ensure quality, universities and partners should provide task frameworks in advance: topic, product criteria, time allocation, and feedback guidance. This structure prevents learners from facing overly demanding situations without support, especially for students who are psychologically hesitant to make mistakes. Meanwhile, evaluation should focus on progress rather than final performance only, encouraging participation from students at all proficiency levels.</w:t>
      </w:r>
    </w:p>
    <w:p w14:paraId="6517462D" w14:textId="77777777" w:rsidR="00C35940" w:rsidRPr="000408D8" w:rsidRDefault="00000000">
      <w:pPr>
        <w:pStyle w:val="Heading1"/>
        <w:spacing w:before="240" w:after="200" w:line="480" w:lineRule="auto"/>
        <w:jc w:val="center"/>
        <w:rPr>
          <w:sz w:val="26"/>
          <w:szCs w:val="26"/>
        </w:rPr>
      </w:pPr>
      <w:r w:rsidRPr="000408D8">
        <w:rPr>
          <w:b/>
          <w:bCs/>
          <w:color w:val="000000"/>
          <w:sz w:val="26"/>
          <w:szCs w:val="26"/>
        </w:rPr>
        <w:t>Conclusion, Recommendations, and Implementation Roadmap</w:t>
      </w:r>
    </w:p>
    <w:p w14:paraId="48EC19BE" w14:textId="77777777" w:rsidR="00C35940" w:rsidRPr="000408D8" w:rsidRDefault="00000000">
      <w:pPr>
        <w:pStyle w:val="Heading2"/>
        <w:spacing w:before="240" w:after="200" w:line="480" w:lineRule="auto"/>
      </w:pPr>
      <w:r w:rsidRPr="000408D8">
        <w:rPr>
          <w:b/>
          <w:bCs/>
          <w:color w:val="000000"/>
        </w:rPr>
        <w:t>Conclusion</w:t>
      </w:r>
    </w:p>
    <w:p w14:paraId="24A46F5B" w14:textId="77777777" w:rsidR="00C35940" w:rsidRDefault="00000000" w:rsidP="000408D8">
      <w:pPr>
        <w:spacing w:after="200" w:line="480" w:lineRule="auto"/>
        <w:ind w:firstLine="720"/>
        <w:jc w:val="both"/>
      </w:pPr>
      <w:r>
        <w:rPr>
          <w:sz w:val="24"/>
          <w:szCs w:val="24"/>
        </w:rPr>
        <w:t>This paper has argued that the limitations in Vietnamese university students' English speaking skills are not primarily linguistic in origin. Through thematic analysis, three interlocking barriers were identified: psychological inhibition (Theme 1), methodological passivity (Theme 2), and structural disconnection (Theme 3). These themes interact to form a non-use loop in which reduced speaking leads to lower confidence, which further reduces speaking practice.</w:t>
      </w:r>
    </w:p>
    <w:p w14:paraId="5350CE06" w14:textId="77777777" w:rsidR="00C35940" w:rsidRDefault="00000000" w:rsidP="000408D8">
      <w:pPr>
        <w:spacing w:after="200" w:line="480" w:lineRule="auto"/>
        <w:ind w:firstLine="720"/>
        <w:jc w:val="both"/>
      </w:pPr>
      <w:r>
        <w:rPr>
          <w:sz w:val="24"/>
          <w:szCs w:val="24"/>
        </w:rPr>
        <w:t>The study's primary contribution to the existing TESOL literature lies in three areas. First, while prior research has examined individual barriers (anxiety, input-output imbalance, institutional constraints) in isolation, this paper provides an integrated thematic analysis that demonstrates how these barriers mutually reinforce one another, and therefore why single-level interventions have limited effectiveness. Second, the proposed multi-level solution framework is explicitly mapped to the identified themes, ensuring that each recommendation is evidence-grounded rather than prescriptive. Third, the study situates this framework specifically within the Vietnamese university context, a setting characterized by large class sizes, grammar-translation traditions, face-saving cultural norms, and limited co-curricular infrastructure, thereby filling a gap in contextually specific intervention design for Southeast Asian EFL learners.</w:t>
      </w:r>
    </w:p>
    <w:p w14:paraId="5DFC9F75" w14:textId="77777777" w:rsidR="00C35940" w:rsidRDefault="00000000" w:rsidP="000408D8">
      <w:pPr>
        <w:spacing w:after="200" w:line="480" w:lineRule="auto"/>
        <w:ind w:firstLine="720"/>
        <w:jc w:val="both"/>
      </w:pPr>
      <w:r>
        <w:rPr>
          <w:sz w:val="24"/>
          <w:szCs w:val="24"/>
        </w:rPr>
        <w:lastRenderedPageBreak/>
        <w:t>The theoretical foundation of this paper, drawing on Swain's Output Hypothesis, MacIntyre et al.'s WTC model, Long's Interaction Hypothesis, and Ellis's task-based learning framework, supports the view that effective out-of-class learning environments must coordinate exposure, output tasks, psychological safety, and feedback mechanisms. Future research should empirically evaluate the hypotheses proposed in Chapter 1 (Introduction) through quasi-experimental designs, examining whether the multi-level intervention framework produces measurable improvements in speaking proficiency and WTC compared to control conditions.</w:t>
      </w:r>
    </w:p>
    <w:p w14:paraId="3F7E3F32" w14:textId="77777777" w:rsidR="00C35940" w:rsidRPr="000408D8" w:rsidRDefault="00000000">
      <w:pPr>
        <w:pStyle w:val="Heading2"/>
        <w:spacing w:before="240" w:after="200" w:line="480" w:lineRule="auto"/>
      </w:pPr>
      <w:r w:rsidRPr="000408D8">
        <w:rPr>
          <w:b/>
          <w:bCs/>
          <w:color w:val="000000"/>
        </w:rPr>
        <w:t>Recommendations by Stakeholder Group</w:t>
      </w:r>
    </w:p>
    <w:p w14:paraId="694B2605" w14:textId="77777777" w:rsidR="00C35940" w:rsidRDefault="00000000">
      <w:pPr>
        <w:pStyle w:val="Heading3"/>
        <w:spacing w:before="240" w:after="200" w:line="480" w:lineRule="auto"/>
      </w:pPr>
      <w:r>
        <w:rPr>
          <w:b/>
          <w:bCs/>
          <w:i/>
          <w:iCs/>
          <w:color w:val="000000"/>
        </w:rPr>
        <w:t>Recommendations for Students (Individual Level)</w:t>
      </w:r>
    </w:p>
    <w:p w14:paraId="02FE8B40" w14:textId="77777777" w:rsidR="00C35940" w:rsidRDefault="00000000" w:rsidP="000408D8">
      <w:pPr>
        <w:pStyle w:val="ListParagraph"/>
        <w:numPr>
          <w:ilvl w:val="0"/>
          <w:numId w:val="3"/>
        </w:numPr>
        <w:spacing w:after="200" w:line="480" w:lineRule="auto"/>
        <w:jc w:val="both"/>
      </w:pPr>
      <w:r>
        <w:rPr>
          <w:sz w:val="24"/>
          <w:szCs w:val="24"/>
        </w:rPr>
        <w:t>Design a micro-learning roadmap: each learning session (20–30 minutes) should produce at least one speaking/writing output (1–5 sentences, or a 30–60 second recording), consistent with output-driven SLA principles (Swain, 1985).</w:t>
      </w:r>
    </w:p>
    <w:p w14:paraId="7A30CC45" w14:textId="77777777" w:rsidR="00C35940" w:rsidRDefault="00000000" w:rsidP="000408D8">
      <w:pPr>
        <w:pStyle w:val="ListParagraph"/>
        <w:numPr>
          <w:ilvl w:val="0"/>
          <w:numId w:val="3"/>
        </w:numPr>
        <w:spacing w:after="200" w:line="480" w:lineRule="auto"/>
        <w:jc w:val="both"/>
      </w:pPr>
      <w:r>
        <w:rPr>
          <w:sz w:val="24"/>
          <w:szCs w:val="24"/>
        </w:rPr>
        <w:t>Shift the goal from “speaking perfectly” to “speaking to practice,” prioritizing communicative intent, supported by WTC research demonstrating that perceived competence, not actual accuracy, most strongly predicts speaking engagement (MacIntyre et al., 1998).</w:t>
      </w:r>
    </w:p>
    <w:p w14:paraId="3D1971D9" w14:textId="77777777" w:rsidR="00C35940" w:rsidRDefault="00000000" w:rsidP="000408D8">
      <w:pPr>
        <w:pStyle w:val="ListParagraph"/>
        <w:numPr>
          <w:ilvl w:val="0"/>
          <w:numId w:val="3"/>
        </w:numPr>
        <w:spacing w:after="200" w:line="480" w:lineRule="auto"/>
        <w:jc w:val="both"/>
      </w:pPr>
      <w:r>
        <w:rPr>
          <w:sz w:val="24"/>
          <w:szCs w:val="24"/>
        </w:rPr>
        <w:t>Use sentence frames to reduce cognitive load and speaking anxiety (Wray, 2002).</w:t>
      </w:r>
    </w:p>
    <w:p w14:paraId="14316947" w14:textId="77777777" w:rsidR="00C35940" w:rsidRDefault="00000000" w:rsidP="000408D8">
      <w:pPr>
        <w:pStyle w:val="ListParagraph"/>
        <w:numPr>
          <w:ilvl w:val="0"/>
          <w:numId w:val="3"/>
        </w:numPr>
        <w:spacing w:after="200" w:line="480" w:lineRule="auto"/>
        <w:jc w:val="both"/>
      </w:pPr>
      <w:r>
        <w:rPr>
          <w:sz w:val="24"/>
          <w:szCs w:val="24"/>
        </w:rPr>
        <w:t>Track progress through behavioral indicators: number of recordings/speaking attempts, frequency of repeated errors, and improvement in clarity of meaning.</w:t>
      </w:r>
    </w:p>
    <w:p w14:paraId="46A07B4B" w14:textId="77777777" w:rsidR="00C35940" w:rsidRDefault="00000000">
      <w:pPr>
        <w:pStyle w:val="Heading3"/>
        <w:spacing w:before="240" w:after="200" w:line="480" w:lineRule="auto"/>
      </w:pPr>
      <w:r>
        <w:rPr>
          <w:b/>
          <w:bCs/>
          <w:i/>
          <w:iCs/>
          <w:color w:val="000000"/>
        </w:rPr>
        <w:t>Recommendations for Learning Groups/Clubs (Group Level)</w:t>
      </w:r>
    </w:p>
    <w:p w14:paraId="15A6D66C" w14:textId="77777777" w:rsidR="00C35940" w:rsidRDefault="00000000" w:rsidP="000408D8">
      <w:pPr>
        <w:pStyle w:val="ListParagraph"/>
        <w:numPr>
          <w:ilvl w:val="0"/>
          <w:numId w:val="3"/>
        </w:numPr>
        <w:spacing w:after="200" w:line="480" w:lineRule="auto"/>
        <w:jc w:val="both"/>
      </w:pPr>
      <w:r>
        <w:rPr>
          <w:sz w:val="24"/>
          <w:szCs w:val="24"/>
        </w:rPr>
        <w:lastRenderedPageBreak/>
        <w:t>Design activities using the task-based learning cycle: warm-up → task execution → end-of-session output (Ellis, 2003).</w:t>
      </w:r>
    </w:p>
    <w:p w14:paraId="3C7CAF79" w14:textId="77777777" w:rsidR="00C35940" w:rsidRDefault="00000000" w:rsidP="000408D8">
      <w:pPr>
        <w:pStyle w:val="ListParagraph"/>
        <w:numPr>
          <w:ilvl w:val="0"/>
          <w:numId w:val="3"/>
        </w:numPr>
        <w:spacing w:after="200" w:line="480" w:lineRule="auto"/>
        <w:jc w:val="both"/>
      </w:pPr>
      <w:r>
        <w:rPr>
          <w:sz w:val="24"/>
          <w:szCs w:val="24"/>
        </w:rPr>
        <w:t>Establish two-layer feedback: content clarity first, then language accuracy, consistent with Lyster and Saito's (2010) finding that focused, staged feedback maximizes uptake without increasing anxiety.</w:t>
      </w:r>
    </w:p>
    <w:p w14:paraId="16647E51" w14:textId="77777777" w:rsidR="00C35940" w:rsidRDefault="00000000" w:rsidP="000408D8">
      <w:pPr>
        <w:pStyle w:val="ListParagraph"/>
        <w:numPr>
          <w:ilvl w:val="0"/>
          <w:numId w:val="3"/>
        </w:numPr>
        <w:spacing w:after="200" w:line="480" w:lineRule="auto"/>
        <w:jc w:val="both"/>
      </w:pPr>
      <w:r>
        <w:rPr>
          <w:sz w:val="24"/>
          <w:szCs w:val="24"/>
        </w:rPr>
        <w:t>Apply a buddy system and rotate speaking roles to ensure equal practice opportunities for all members.</w:t>
      </w:r>
    </w:p>
    <w:p w14:paraId="284E963C" w14:textId="77777777" w:rsidR="00C35940" w:rsidRDefault="00000000">
      <w:pPr>
        <w:pStyle w:val="Heading3"/>
        <w:spacing w:before="240" w:after="200" w:line="480" w:lineRule="auto"/>
      </w:pPr>
      <w:r>
        <w:rPr>
          <w:b/>
          <w:bCs/>
          <w:i/>
          <w:iCs/>
          <w:color w:val="000000"/>
        </w:rPr>
        <w:t>Recommendations for Universities (Institutional Level)</w:t>
      </w:r>
    </w:p>
    <w:p w14:paraId="69E64719" w14:textId="77777777" w:rsidR="00C35940" w:rsidRDefault="00000000" w:rsidP="000408D8">
      <w:pPr>
        <w:pStyle w:val="ListParagraph"/>
        <w:numPr>
          <w:ilvl w:val="0"/>
          <w:numId w:val="3"/>
        </w:numPr>
        <w:spacing w:after="200" w:line="480" w:lineRule="auto"/>
        <w:jc w:val="both"/>
      </w:pPr>
      <w:r>
        <w:rPr>
          <w:sz w:val="24"/>
          <w:szCs w:val="24"/>
        </w:rPr>
        <w:t>Embed an out-of-class practice cycle in each course: in-class input → output-based tasks → product submission → rubric-based feedback (Hattie &amp; Timperley, 2007).</w:t>
      </w:r>
    </w:p>
    <w:p w14:paraId="424278FA" w14:textId="77777777" w:rsidR="00C35940" w:rsidRDefault="00000000" w:rsidP="000408D8">
      <w:pPr>
        <w:pStyle w:val="ListParagraph"/>
        <w:numPr>
          <w:ilvl w:val="0"/>
          <w:numId w:val="3"/>
        </w:numPr>
        <w:spacing w:after="200" w:line="480" w:lineRule="auto"/>
        <w:jc w:val="both"/>
      </w:pPr>
      <w:r>
        <w:rPr>
          <w:sz w:val="24"/>
          <w:szCs w:val="24"/>
        </w:rPr>
        <w:t>Build accessible submission and feedback channels to reduce the psychological cost of evaluation (Horwitz et al., 1986).</w:t>
      </w:r>
    </w:p>
    <w:p w14:paraId="0B27E212" w14:textId="77777777" w:rsidR="00C35940" w:rsidRDefault="00000000" w:rsidP="000408D8">
      <w:pPr>
        <w:pStyle w:val="ListParagraph"/>
        <w:numPr>
          <w:ilvl w:val="0"/>
          <w:numId w:val="3"/>
        </w:numPr>
        <w:spacing w:after="200" w:line="480" w:lineRule="auto"/>
        <w:jc w:val="both"/>
      </w:pPr>
      <w:r>
        <w:rPr>
          <w:sz w:val="24"/>
          <w:szCs w:val="24"/>
        </w:rPr>
        <w:t>Organize periodic speaking events (e.g., speaking day, mini presentations, academic-club seminars) with a gradual ladder design, brief, low-stakes tasks first, increasing in length and complexity (Skehan &amp; Foster, 1999).</w:t>
      </w:r>
    </w:p>
    <w:p w14:paraId="14187873" w14:textId="77777777" w:rsidR="00C35940" w:rsidRDefault="00000000">
      <w:pPr>
        <w:pStyle w:val="Heading3"/>
        <w:spacing w:before="240" w:after="200" w:line="480" w:lineRule="auto"/>
      </w:pPr>
      <w:r>
        <w:rPr>
          <w:b/>
          <w:bCs/>
          <w:i/>
          <w:iCs/>
          <w:color w:val="000000"/>
        </w:rPr>
        <w:t>Recommendations for Communities and Partners (External Level)</w:t>
      </w:r>
    </w:p>
    <w:p w14:paraId="09D19831" w14:textId="77777777" w:rsidR="00C35940" w:rsidRDefault="00000000" w:rsidP="00B7517F">
      <w:pPr>
        <w:pStyle w:val="ListParagraph"/>
        <w:numPr>
          <w:ilvl w:val="0"/>
          <w:numId w:val="3"/>
        </w:numPr>
        <w:spacing w:after="200" w:line="480" w:lineRule="auto"/>
        <w:jc w:val="both"/>
      </w:pPr>
      <w:r>
        <w:rPr>
          <w:sz w:val="24"/>
          <w:szCs w:val="24"/>
        </w:rPr>
        <w:t>Create activities with authentic communicative purpose (career talks, mock interviews, academic communication projects) (Ellis, 2003).</w:t>
      </w:r>
    </w:p>
    <w:p w14:paraId="48C83D0F" w14:textId="77777777" w:rsidR="00C35940" w:rsidRDefault="00000000" w:rsidP="00B7517F">
      <w:pPr>
        <w:pStyle w:val="ListParagraph"/>
        <w:numPr>
          <w:ilvl w:val="0"/>
          <w:numId w:val="3"/>
        </w:numPr>
        <w:spacing w:after="200" w:line="480" w:lineRule="auto"/>
        <w:jc w:val="both"/>
      </w:pPr>
      <w:r>
        <w:rPr>
          <w:sz w:val="24"/>
          <w:szCs w:val="24"/>
        </w:rPr>
        <w:t>Provide clear task frameworks in advance (time limits, expected products, feedback criteria).</w:t>
      </w:r>
    </w:p>
    <w:p w14:paraId="44DB3733" w14:textId="77777777" w:rsidR="00C35940" w:rsidRDefault="00000000" w:rsidP="00B7517F">
      <w:pPr>
        <w:pStyle w:val="ListParagraph"/>
        <w:numPr>
          <w:ilvl w:val="0"/>
          <w:numId w:val="3"/>
        </w:numPr>
        <w:spacing w:after="200" w:line="480" w:lineRule="auto"/>
        <w:jc w:val="both"/>
      </w:pPr>
      <w:r>
        <w:rPr>
          <w:sz w:val="24"/>
          <w:szCs w:val="24"/>
        </w:rPr>
        <w:lastRenderedPageBreak/>
        <w:t>Base evaluation on progress, not only final performance, to encourage broad participation.</w:t>
      </w:r>
    </w:p>
    <w:p w14:paraId="28E175B2" w14:textId="77777777" w:rsidR="00C35940" w:rsidRDefault="00000000">
      <w:pPr>
        <w:pStyle w:val="Heading2"/>
        <w:spacing w:before="240" w:after="200" w:line="480" w:lineRule="auto"/>
      </w:pPr>
      <w:r>
        <w:rPr>
          <w:b/>
          <w:bCs/>
          <w:color w:val="000000"/>
          <w:sz w:val="24"/>
          <w:szCs w:val="24"/>
        </w:rPr>
        <w:t>Sample Implementation Roadmap (8–10 Weeks)</w:t>
      </w:r>
    </w:p>
    <w:p w14:paraId="6C6D0328" w14:textId="77777777" w:rsidR="00C35940" w:rsidRDefault="00000000" w:rsidP="00B7517F">
      <w:pPr>
        <w:spacing w:after="200" w:line="480" w:lineRule="auto"/>
        <w:ind w:firstLine="720"/>
        <w:jc w:val="both"/>
      </w:pPr>
      <w:r>
        <w:rPr>
          <w:sz w:val="24"/>
          <w:szCs w:val="24"/>
        </w:rPr>
        <w:t>The following roadmap is designed for a club, speaking-support module, or group intervention program. It is organized around the three identified themes and follows the principle: psychological safety (Theme 1) + output tasks (Theme 2) + structural connection (Theme 3) + gradual extension to authentic contexts.</w:t>
      </w:r>
    </w:p>
    <w:p w14:paraId="2D1EF90A" w14:textId="77777777" w:rsidR="00C35940" w:rsidRDefault="00000000">
      <w:pPr>
        <w:spacing w:before="120" w:after="200" w:line="480" w:lineRule="auto"/>
        <w:ind w:firstLine="720"/>
      </w:pPr>
      <w:r>
        <w:rPr>
          <w:b/>
          <w:bCs/>
          <w:i/>
          <w:iCs/>
          <w:sz w:val="24"/>
          <w:szCs w:val="24"/>
        </w:rPr>
        <w:t xml:space="preserve">Week 1: </w:t>
      </w:r>
      <w:r>
        <w:rPr>
          <w:sz w:val="24"/>
          <w:szCs w:val="24"/>
        </w:rPr>
        <w:t>Establish Psychological Safety and Speaking Norms (Theme 1)</w:t>
      </w:r>
    </w:p>
    <w:p w14:paraId="1844B081" w14:textId="77777777" w:rsidR="00C35940" w:rsidRDefault="00000000" w:rsidP="00B7517F">
      <w:pPr>
        <w:pStyle w:val="ListParagraph"/>
        <w:numPr>
          <w:ilvl w:val="0"/>
          <w:numId w:val="3"/>
        </w:numPr>
        <w:spacing w:after="200" w:line="480" w:lineRule="auto"/>
        <w:jc w:val="both"/>
      </w:pPr>
      <w:r>
        <w:rPr>
          <w:sz w:val="24"/>
          <w:szCs w:val="24"/>
        </w:rPr>
        <w:t>Individual: begin a voice journal (2–3 times/week), 30–45 seconds using sentence frames.</w:t>
      </w:r>
    </w:p>
    <w:p w14:paraId="1E33FD5D" w14:textId="77777777" w:rsidR="00C35940" w:rsidRDefault="00000000" w:rsidP="00B7517F">
      <w:pPr>
        <w:pStyle w:val="ListParagraph"/>
        <w:numPr>
          <w:ilvl w:val="0"/>
          <w:numId w:val="3"/>
        </w:numPr>
        <w:spacing w:after="200" w:line="480" w:lineRule="auto"/>
        <w:jc w:val="both"/>
      </w:pPr>
      <w:r>
        <w:rPr>
          <w:sz w:val="24"/>
          <w:szCs w:val="24"/>
        </w:rPr>
        <w:t>Group: agree on feedback norms; run a “round-robin” activity (30 seconds per learner on a familiar topic).</w:t>
      </w:r>
    </w:p>
    <w:p w14:paraId="4B8B8A9D" w14:textId="77777777" w:rsidR="00C35940" w:rsidRDefault="00000000">
      <w:pPr>
        <w:pStyle w:val="ListParagraph"/>
        <w:numPr>
          <w:ilvl w:val="0"/>
          <w:numId w:val="3"/>
        </w:numPr>
        <w:spacing w:after="200" w:line="480" w:lineRule="auto"/>
      </w:pPr>
      <w:r>
        <w:rPr>
          <w:sz w:val="24"/>
          <w:szCs w:val="24"/>
        </w:rPr>
        <w:t>Output: one personal recording plus two-layer peer feedback.</w:t>
      </w:r>
    </w:p>
    <w:p w14:paraId="43517ADB" w14:textId="77777777" w:rsidR="00C35940" w:rsidRDefault="00000000">
      <w:pPr>
        <w:spacing w:before="120" w:after="200" w:line="480" w:lineRule="auto"/>
        <w:ind w:firstLine="720"/>
      </w:pPr>
      <w:r>
        <w:rPr>
          <w:b/>
          <w:bCs/>
          <w:i/>
          <w:iCs/>
          <w:sz w:val="24"/>
          <w:szCs w:val="24"/>
        </w:rPr>
        <w:t xml:space="preserve">Week 2: </w:t>
      </w:r>
      <w:r>
        <w:rPr>
          <w:sz w:val="24"/>
          <w:szCs w:val="24"/>
        </w:rPr>
        <w:t>Build Basic Output Chains (Theme 2)</w:t>
      </w:r>
    </w:p>
    <w:p w14:paraId="27E30AE3" w14:textId="77777777" w:rsidR="00C35940" w:rsidRDefault="00000000" w:rsidP="00B7517F">
      <w:pPr>
        <w:pStyle w:val="ListParagraph"/>
        <w:numPr>
          <w:ilvl w:val="0"/>
          <w:numId w:val="3"/>
        </w:numPr>
        <w:spacing w:after="200" w:line="480" w:lineRule="auto"/>
        <w:jc w:val="both"/>
      </w:pPr>
      <w:r>
        <w:rPr>
          <w:sz w:val="24"/>
          <w:szCs w:val="24"/>
        </w:rPr>
        <w:t>Individual: complete three “listen → summarize (3–5 sentences) → speak (60 seconds)” cycles.</w:t>
      </w:r>
    </w:p>
    <w:p w14:paraId="4C256C73" w14:textId="77777777" w:rsidR="00C35940" w:rsidRDefault="00000000" w:rsidP="00B7517F">
      <w:pPr>
        <w:pStyle w:val="ListParagraph"/>
        <w:numPr>
          <w:ilvl w:val="0"/>
          <w:numId w:val="3"/>
        </w:numPr>
        <w:spacing w:after="200" w:line="480" w:lineRule="auto"/>
        <w:jc w:val="both"/>
      </w:pPr>
      <w:r>
        <w:rPr>
          <w:sz w:val="24"/>
          <w:szCs w:val="24"/>
        </w:rPr>
        <w:t>Group: implement a buddy system with scripted Q&amp;A (self-introduction, learning goals).</w:t>
      </w:r>
    </w:p>
    <w:p w14:paraId="52BE4447" w14:textId="77777777" w:rsidR="00C35940" w:rsidRDefault="00000000" w:rsidP="00B7517F">
      <w:pPr>
        <w:pStyle w:val="ListParagraph"/>
        <w:numPr>
          <w:ilvl w:val="0"/>
          <w:numId w:val="3"/>
        </w:numPr>
        <w:spacing w:after="200" w:line="480" w:lineRule="auto"/>
        <w:jc w:val="both"/>
      </w:pPr>
      <w:r>
        <w:rPr>
          <w:sz w:val="24"/>
          <w:szCs w:val="24"/>
        </w:rPr>
        <w:t>Output: each pair submits a short, recorded dialogue.</w:t>
      </w:r>
    </w:p>
    <w:p w14:paraId="684E4317" w14:textId="77777777" w:rsidR="00C35940" w:rsidRDefault="00000000">
      <w:pPr>
        <w:spacing w:before="120" w:after="200" w:line="480" w:lineRule="auto"/>
        <w:ind w:firstLine="720"/>
      </w:pPr>
      <w:r>
        <w:rPr>
          <w:b/>
          <w:bCs/>
          <w:i/>
          <w:iCs/>
          <w:sz w:val="24"/>
          <w:szCs w:val="24"/>
        </w:rPr>
        <w:lastRenderedPageBreak/>
        <w:t xml:space="preserve">Week 3: </w:t>
      </w:r>
      <w:r>
        <w:rPr>
          <w:sz w:val="24"/>
          <w:szCs w:val="24"/>
        </w:rPr>
        <w:t>Increase Task Complexity (Theme 2)</w:t>
      </w:r>
    </w:p>
    <w:p w14:paraId="1D70A765" w14:textId="77777777" w:rsidR="00C35940" w:rsidRDefault="00000000">
      <w:pPr>
        <w:pStyle w:val="ListParagraph"/>
        <w:numPr>
          <w:ilvl w:val="0"/>
          <w:numId w:val="3"/>
        </w:numPr>
        <w:spacing w:after="200" w:line="480" w:lineRule="auto"/>
      </w:pPr>
      <w:r>
        <w:rPr>
          <w:sz w:val="24"/>
          <w:szCs w:val="24"/>
        </w:rPr>
        <w:t>Group: discussion tasks with a “claim-reason-example” structure.</w:t>
      </w:r>
    </w:p>
    <w:p w14:paraId="05D27F99" w14:textId="77777777" w:rsidR="00C35940" w:rsidRDefault="00000000">
      <w:pPr>
        <w:pStyle w:val="ListParagraph"/>
        <w:numPr>
          <w:ilvl w:val="0"/>
          <w:numId w:val="3"/>
        </w:numPr>
        <w:spacing w:after="200" w:line="480" w:lineRule="auto"/>
      </w:pPr>
      <w:r>
        <w:rPr>
          <w:sz w:val="24"/>
          <w:szCs w:val="24"/>
        </w:rPr>
        <w:t>Feedback: rubric focusing on two main criteria, clarity of meaning and appropriateness of vocabulary.</w:t>
      </w:r>
    </w:p>
    <w:p w14:paraId="7775C301" w14:textId="77777777" w:rsidR="00C35940" w:rsidRDefault="00000000">
      <w:pPr>
        <w:pStyle w:val="ListParagraph"/>
        <w:numPr>
          <w:ilvl w:val="0"/>
          <w:numId w:val="3"/>
        </w:numPr>
        <w:spacing w:after="200" w:line="480" w:lineRule="auto"/>
      </w:pPr>
      <w:r>
        <w:rPr>
          <w:sz w:val="24"/>
          <w:szCs w:val="24"/>
        </w:rPr>
        <w:t>Output: one-to-two-minute speaking segment per group.</w:t>
      </w:r>
    </w:p>
    <w:p w14:paraId="7BC706EE" w14:textId="77777777" w:rsidR="00C35940" w:rsidRDefault="00000000">
      <w:pPr>
        <w:spacing w:before="120" w:after="200" w:line="480" w:lineRule="auto"/>
        <w:ind w:firstLine="720"/>
      </w:pPr>
      <w:r>
        <w:rPr>
          <w:b/>
          <w:bCs/>
          <w:i/>
          <w:iCs/>
          <w:sz w:val="24"/>
          <w:szCs w:val="24"/>
        </w:rPr>
        <w:t xml:space="preserve">Week 4: </w:t>
      </w:r>
      <w:r>
        <w:rPr>
          <w:sz w:val="24"/>
          <w:szCs w:val="24"/>
        </w:rPr>
        <w:t>Integrate Course Content into Speaking Tasks (Theme 3)</w:t>
      </w:r>
    </w:p>
    <w:p w14:paraId="1D61C52F" w14:textId="77777777" w:rsidR="00C35940" w:rsidRDefault="00000000">
      <w:pPr>
        <w:pStyle w:val="ListParagraph"/>
        <w:numPr>
          <w:ilvl w:val="0"/>
          <w:numId w:val="3"/>
        </w:numPr>
        <w:spacing w:after="200" w:line="480" w:lineRule="auto"/>
      </w:pPr>
      <w:r>
        <w:rPr>
          <w:sz w:val="24"/>
          <w:szCs w:val="24"/>
        </w:rPr>
        <w:t>University/Instructor: assign speaking output tasks aligned with in-class content.</w:t>
      </w:r>
    </w:p>
    <w:p w14:paraId="4AD66521" w14:textId="77777777" w:rsidR="00C35940" w:rsidRDefault="00000000">
      <w:pPr>
        <w:pStyle w:val="ListParagraph"/>
        <w:numPr>
          <w:ilvl w:val="0"/>
          <w:numId w:val="3"/>
        </w:numPr>
        <w:spacing w:after="200" w:line="480" w:lineRule="auto"/>
      </w:pPr>
      <w:r>
        <w:rPr>
          <w:sz w:val="24"/>
          <w:szCs w:val="24"/>
        </w:rPr>
        <w:t>Individual: record a one-to-two-minute talk and write an 80–120-word summary.</w:t>
      </w:r>
    </w:p>
    <w:p w14:paraId="1DF280A7" w14:textId="77777777" w:rsidR="00C35940" w:rsidRDefault="00000000">
      <w:pPr>
        <w:pStyle w:val="ListParagraph"/>
        <w:numPr>
          <w:ilvl w:val="0"/>
          <w:numId w:val="3"/>
        </w:numPr>
        <w:spacing w:after="200" w:line="480" w:lineRule="auto"/>
      </w:pPr>
      <w:r>
        <w:rPr>
          <w:sz w:val="24"/>
          <w:szCs w:val="24"/>
        </w:rPr>
        <w:t>Output: products submitted for rubric-based feedback.</w:t>
      </w:r>
    </w:p>
    <w:p w14:paraId="7B3E3C17" w14:textId="77777777" w:rsidR="00C35940" w:rsidRDefault="00000000">
      <w:pPr>
        <w:spacing w:before="120" w:after="200" w:line="480" w:lineRule="auto"/>
        <w:ind w:firstLine="720"/>
      </w:pPr>
      <w:r>
        <w:rPr>
          <w:b/>
          <w:bCs/>
          <w:i/>
          <w:iCs/>
          <w:sz w:val="24"/>
          <w:szCs w:val="24"/>
        </w:rPr>
        <w:t xml:space="preserve">Week 5: </w:t>
      </w:r>
      <w:r>
        <w:rPr>
          <w:sz w:val="24"/>
          <w:szCs w:val="24"/>
        </w:rPr>
        <w:t>Develop Fluency through Re-telling (Themes 1 and 2)</w:t>
      </w:r>
    </w:p>
    <w:p w14:paraId="1D942BC1" w14:textId="77777777" w:rsidR="00C35940" w:rsidRDefault="00000000">
      <w:pPr>
        <w:pStyle w:val="ListParagraph"/>
        <w:numPr>
          <w:ilvl w:val="0"/>
          <w:numId w:val="3"/>
        </w:numPr>
        <w:spacing w:after="200" w:line="480" w:lineRule="auto"/>
      </w:pPr>
      <w:r>
        <w:rPr>
          <w:sz w:val="24"/>
          <w:szCs w:val="24"/>
        </w:rPr>
        <w:t>Individual: re-telling practice, listen to a previous clip and retell it with targeted improvement (1–2 aspects).</w:t>
      </w:r>
    </w:p>
    <w:p w14:paraId="585F4615" w14:textId="77777777" w:rsidR="00C35940" w:rsidRDefault="00000000">
      <w:pPr>
        <w:pStyle w:val="ListParagraph"/>
        <w:numPr>
          <w:ilvl w:val="0"/>
          <w:numId w:val="3"/>
        </w:numPr>
        <w:spacing w:after="200" w:line="480" w:lineRule="auto"/>
      </w:pPr>
      <w:r>
        <w:rPr>
          <w:sz w:val="24"/>
          <w:szCs w:val="24"/>
        </w:rPr>
        <w:t>Group: role-play academic situations (challenging an idea, reporting project progress).</w:t>
      </w:r>
    </w:p>
    <w:p w14:paraId="5A106B98" w14:textId="77777777" w:rsidR="00C35940" w:rsidRDefault="00000000">
      <w:pPr>
        <w:pStyle w:val="ListParagraph"/>
        <w:numPr>
          <w:ilvl w:val="0"/>
          <w:numId w:val="3"/>
        </w:numPr>
        <w:spacing w:after="200" w:line="480" w:lineRule="auto"/>
      </w:pPr>
      <w:r>
        <w:rPr>
          <w:sz w:val="24"/>
          <w:szCs w:val="24"/>
        </w:rPr>
        <w:t>Output: Version 1 and Version 2 re-tellings within the same week.</w:t>
      </w:r>
    </w:p>
    <w:p w14:paraId="42FC8980" w14:textId="77777777" w:rsidR="00C35940" w:rsidRDefault="00000000">
      <w:pPr>
        <w:spacing w:before="120" w:after="200" w:line="480" w:lineRule="auto"/>
        <w:ind w:firstLine="720"/>
      </w:pPr>
      <w:r>
        <w:rPr>
          <w:b/>
          <w:bCs/>
          <w:i/>
          <w:iCs/>
          <w:sz w:val="24"/>
          <w:szCs w:val="24"/>
        </w:rPr>
        <w:t xml:space="preserve">Week 6: </w:t>
      </w:r>
      <w:r>
        <w:rPr>
          <w:sz w:val="24"/>
          <w:szCs w:val="24"/>
        </w:rPr>
        <w:t>Move to Academic-Style Speaking (Theme 2)</w:t>
      </w:r>
    </w:p>
    <w:p w14:paraId="6D33C0D3" w14:textId="77777777" w:rsidR="00C35940" w:rsidRDefault="00000000">
      <w:pPr>
        <w:pStyle w:val="ListParagraph"/>
        <w:numPr>
          <w:ilvl w:val="0"/>
          <w:numId w:val="3"/>
        </w:numPr>
        <w:spacing w:after="200" w:line="480" w:lineRule="auto"/>
      </w:pPr>
      <w:r>
        <w:rPr>
          <w:sz w:val="24"/>
          <w:szCs w:val="24"/>
        </w:rPr>
        <w:t>Group: mini-debate or seminar-style discussion with assigned roles.</w:t>
      </w:r>
    </w:p>
    <w:p w14:paraId="757949DF" w14:textId="77777777" w:rsidR="00C35940" w:rsidRDefault="00000000">
      <w:pPr>
        <w:pStyle w:val="ListParagraph"/>
        <w:numPr>
          <w:ilvl w:val="0"/>
          <w:numId w:val="3"/>
        </w:numPr>
        <w:spacing w:after="200" w:line="480" w:lineRule="auto"/>
      </w:pPr>
      <w:r>
        <w:rPr>
          <w:sz w:val="24"/>
          <w:szCs w:val="24"/>
        </w:rPr>
        <w:lastRenderedPageBreak/>
        <w:t>Feedback: introduce an “error log” to identify and target recurring group-level errors.</w:t>
      </w:r>
    </w:p>
    <w:p w14:paraId="4913ED84" w14:textId="77777777" w:rsidR="00C35940" w:rsidRDefault="00000000">
      <w:pPr>
        <w:pStyle w:val="ListParagraph"/>
        <w:numPr>
          <w:ilvl w:val="0"/>
          <w:numId w:val="3"/>
        </w:numPr>
        <w:spacing w:after="200" w:line="480" w:lineRule="auto"/>
      </w:pPr>
      <w:r>
        <w:rPr>
          <w:sz w:val="24"/>
          <w:szCs w:val="24"/>
        </w:rPr>
        <w:t>Output: two-to-three-minute presentation or debate segment.</w:t>
      </w:r>
    </w:p>
    <w:p w14:paraId="1C8BC463" w14:textId="77777777" w:rsidR="00C35940" w:rsidRDefault="00000000">
      <w:pPr>
        <w:spacing w:before="120" w:after="200" w:line="480" w:lineRule="auto"/>
        <w:ind w:firstLine="720"/>
      </w:pPr>
      <w:r>
        <w:rPr>
          <w:b/>
          <w:bCs/>
          <w:i/>
          <w:iCs/>
          <w:sz w:val="24"/>
          <w:szCs w:val="24"/>
        </w:rPr>
        <w:t xml:space="preserve">Week 7: </w:t>
      </w:r>
      <w:r>
        <w:rPr>
          <w:sz w:val="24"/>
          <w:szCs w:val="24"/>
        </w:rPr>
        <w:t>Connect to Authentic Contexts (Themes 3 and 4)</w:t>
      </w:r>
    </w:p>
    <w:p w14:paraId="38F9BEDD" w14:textId="77777777" w:rsidR="00C35940" w:rsidRDefault="00000000">
      <w:pPr>
        <w:pStyle w:val="ListParagraph"/>
        <w:numPr>
          <w:ilvl w:val="0"/>
          <w:numId w:val="3"/>
        </w:numPr>
        <w:spacing w:after="200" w:line="480" w:lineRule="auto"/>
      </w:pPr>
      <w:r>
        <w:rPr>
          <w:sz w:val="24"/>
          <w:szCs w:val="24"/>
        </w:rPr>
        <w:t>Invite an alumni speaker or professional staff member for a structured Q&amp;A in English.</w:t>
      </w:r>
    </w:p>
    <w:p w14:paraId="601C0744" w14:textId="77777777" w:rsidR="00C35940" w:rsidRDefault="00000000">
      <w:pPr>
        <w:pStyle w:val="ListParagraph"/>
        <w:numPr>
          <w:ilvl w:val="0"/>
          <w:numId w:val="3"/>
        </w:numPr>
        <w:spacing w:after="200" w:line="480" w:lineRule="auto"/>
      </w:pPr>
      <w:r>
        <w:rPr>
          <w:sz w:val="24"/>
          <w:szCs w:val="24"/>
        </w:rPr>
        <w:t>Learners complete mock interviews based on a provided question set.</w:t>
      </w:r>
    </w:p>
    <w:p w14:paraId="2E4F9385" w14:textId="77777777" w:rsidR="00C35940" w:rsidRDefault="00000000">
      <w:pPr>
        <w:pStyle w:val="ListParagraph"/>
        <w:numPr>
          <w:ilvl w:val="0"/>
          <w:numId w:val="3"/>
        </w:numPr>
        <w:spacing w:after="200" w:line="480" w:lineRule="auto"/>
      </w:pPr>
      <w:r>
        <w:rPr>
          <w:sz w:val="24"/>
          <w:szCs w:val="24"/>
        </w:rPr>
        <w:t>Output: recorded answers plus a brief self-reflection on improvement.</w:t>
      </w:r>
    </w:p>
    <w:p w14:paraId="3DDB2AA9" w14:textId="77777777" w:rsidR="00C35940" w:rsidRDefault="00000000">
      <w:pPr>
        <w:spacing w:before="120" w:after="200" w:line="480" w:lineRule="auto"/>
        <w:ind w:firstLine="720"/>
      </w:pPr>
      <w:r>
        <w:rPr>
          <w:b/>
          <w:bCs/>
          <w:i/>
          <w:iCs/>
          <w:sz w:val="24"/>
          <w:szCs w:val="24"/>
        </w:rPr>
        <w:t xml:space="preserve">Week 8: </w:t>
      </w:r>
      <w:r>
        <w:rPr>
          <w:sz w:val="24"/>
          <w:szCs w:val="24"/>
        </w:rPr>
        <w:t>Consolidate and Evaluate Progress (Themes 1–3)</w:t>
      </w:r>
    </w:p>
    <w:p w14:paraId="1C006AF7" w14:textId="77777777" w:rsidR="00C35940" w:rsidRDefault="00000000">
      <w:pPr>
        <w:pStyle w:val="ListParagraph"/>
        <w:numPr>
          <w:ilvl w:val="0"/>
          <w:numId w:val="3"/>
        </w:numPr>
        <w:spacing w:after="200" w:line="480" w:lineRule="auto"/>
      </w:pPr>
      <w:r>
        <w:rPr>
          <w:sz w:val="24"/>
          <w:szCs w:val="24"/>
        </w:rPr>
        <w:t>Individual: produce a “before-after” reflection comparing early and final recordings.</w:t>
      </w:r>
    </w:p>
    <w:p w14:paraId="571449D7" w14:textId="77777777" w:rsidR="00C35940" w:rsidRDefault="00000000">
      <w:pPr>
        <w:pStyle w:val="ListParagraph"/>
        <w:numPr>
          <w:ilvl w:val="0"/>
          <w:numId w:val="3"/>
        </w:numPr>
        <w:spacing w:after="200" w:line="480" w:lineRule="auto"/>
      </w:pPr>
      <w:r>
        <w:rPr>
          <w:sz w:val="24"/>
          <w:szCs w:val="24"/>
        </w:rPr>
        <w:t>Group: deliver a consolidated topic presentation; receive rubric-based feedback.</w:t>
      </w:r>
    </w:p>
    <w:p w14:paraId="40619B37" w14:textId="77777777" w:rsidR="00C35940" w:rsidRDefault="00000000">
      <w:pPr>
        <w:pStyle w:val="ListParagraph"/>
        <w:numPr>
          <w:ilvl w:val="0"/>
          <w:numId w:val="3"/>
        </w:numPr>
        <w:spacing w:after="200" w:line="480" w:lineRule="auto"/>
      </w:pPr>
      <w:r>
        <w:rPr>
          <w:sz w:val="24"/>
          <w:szCs w:val="24"/>
        </w:rPr>
        <w:t>Final output: three-to-five-minute speaking performance plus a four-week self-practice plan.</w:t>
      </w:r>
    </w:p>
    <w:p w14:paraId="7B8C6C36" w14:textId="77777777" w:rsidR="00C35940" w:rsidRDefault="00000000" w:rsidP="00B7517F">
      <w:pPr>
        <w:spacing w:after="200" w:line="480" w:lineRule="auto"/>
        <w:jc w:val="both"/>
      </w:pPr>
      <w:r>
        <w:rPr>
          <w:sz w:val="24"/>
          <w:szCs w:val="24"/>
        </w:rPr>
        <w:t>If extending to 10 weeks, add two weeks for “guided freer speaking tasks” and a one-peer-coaching cycle between groups.</w:t>
      </w:r>
    </w:p>
    <w:p w14:paraId="55204EA6" w14:textId="77777777" w:rsidR="00C35940" w:rsidRDefault="00000000" w:rsidP="00B7517F">
      <w:pPr>
        <w:spacing w:after="200" w:line="480" w:lineRule="auto"/>
        <w:ind w:firstLine="720"/>
        <w:jc w:val="both"/>
      </w:pPr>
      <w:r>
        <w:rPr>
          <w:sz w:val="24"/>
          <w:szCs w:val="24"/>
        </w:rPr>
        <w:t>In short, the core strategy is to engineer an environment and routine in which speaking becomes a repeated, supported, and purpose-driven practice.</w:t>
      </w:r>
    </w:p>
    <w:p w14:paraId="53761A09" w14:textId="77777777" w:rsidR="00C35940" w:rsidRDefault="00000000">
      <w:pPr>
        <w:pStyle w:val="Heading1"/>
        <w:spacing w:before="240" w:after="200" w:line="480" w:lineRule="auto"/>
        <w:jc w:val="center"/>
      </w:pPr>
      <w:r>
        <w:rPr>
          <w:b/>
          <w:bCs/>
          <w:color w:val="000000"/>
          <w:sz w:val="24"/>
          <w:szCs w:val="24"/>
        </w:rPr>
        <w:t>References</w:t>
      </w:r>
    </w:p>
    <w:p w14:paraId="74D19C0A" w14:textId="77777777" w:rsidR="00C35940" w:rsidRDefault="00000000">
      <w:pPr>
        <w:spacing w:after="200" w:line="480" w:lineRule="auto"/>
        <w:ind w:left="720" w:hanging="720"/>
      </w:pPr>
      <w:r>
        <w:rPr>
          <w:sz w:val="24"/>
          <w:szCs w:val="24"/>
        </w:rPr>
        <w:lastRenderedPageBreak/>
        <w:t xml:space="preserve">Benson, P. (2011). </w:t>
      </w:r>
      <w:r>
        <w:rPr>
          <w:i/>
          <w:iCs/>
          <w:sz w:val="24"/>
          <w:szCs w:val="24"/>
        </w:rPr>
        <w:t>Teaching and researching autonomy in language learning</w:t>
      </w:r>
      <w:r>
        <w:rPr>
          <w:sz w:val="24"/>
          <w:szCs w:val="24"/>
        </w:rPr>
        <w:t xml:space="preserve"> (2nd ed.). Pearson Longman.</w:t>
      </w:r>
    </w:p>
    <w:p w14:paraId="285C247E" w14:textId="77777777" w:rsidR="00C35940" w:rsidRDefault="00000000">
      <w:pPr>
        <w:spacing w:after="200" w:line="480" w:lineRule="auto"/>
        <w:ind w:left="720" w:hanging="720"/>
      </w:pPr>
      <w:r>
        <w:rPr>
          <w:sz w:val="24"/>
          <w:szCs w:val="24"/>
        </w:rPr>
        <w:t xml:space="preserve">Deci, E. L., &amp; Ryan, R. M. (1985). </w:t>
      </w:r>
      <w:r>
        <w:rPr>
          <w:i/>
          <w:iCs/>
          <w:sz w:val="24"/>
          <w:szCs w:val="24"/>
        </w:rPr>
        <w:t>Intrinsic motivation and self-determination in human behavior</w:t>
      </w:r>
      <w:r>
        <w:rPr>
          <w:sz w:val="24"/>
          <w:szCs w:val="24"/>
        </w:rPr>
        <w:t>. Plenum Press.</w:t>
      </w:r>
    </w:p>
    <w:p w14:paraId="71F0CF29" w14:textId="77777777" w:rsidR="00C35940" w:rsidRDefault="00000000">
      <w:pPr>
        <w:spacing w:after="200" w:line="480" w:lineRule="auto"/>
        <w:ind w:left="720" w:hanging="720"/>
      </w:pPr>
      <w:r>
        <w:rPr>
          <w:sz w:val="24"/>
          <w:szCs w:val="24"/>
        </w:rPr>
        <w:t xml:space="preserve">Dörnyei, Z. (2005). </w:t>
      </w:r>
      <w:r>
        <w:rPr>
          <w:i/>
          <w:iCs/>
          <w:sz w:val="24"/>
          <w:szCs w:val="24"/>
        </w:rPr>
        <w:t>The psychology of the language learner: Individual differences in second language acquisition</w:t>
      </w:r>
      <w:r>
        <w:rPr>
          <w:sz w:val="24"/>
          <w:szCs w:val="24"/>
        </w:rPr>
        <w:t>. Lawrence Erlbaum Associates.</w:t>
      </w:r>
    </w:p>
    <w:p w14:paraId="3E484C7C" w14:textId="77777777" w:rsidR="00C35940" w:rsidRDefault="00000000">
      <w:pPr>
        <w:spacing w:after="200" w:line="480" w:lineRule="auto"/>
        <w:ind w:left="720" w:hanging="720"/>
      </w:pPr>
      <w:r>
        <w:rPr>
          <w:sz w:val="24"/>
          <w:szCs w:val="24"/>
        </w:rPr>
        <w:t xml:space="preserve">Ellis, R. (2003). </w:t>
      </w:r>
      <w:r>
        <w:rPr>
          <w:i/>
          <w:iCs/>
          <w:sz w:val="24"/>
          <w:szCs w:val="24"/>
        </w:rPr>
        <w:t>Task-based language learning and teaching</w:t>
      </w:r>
      <w:r>
        <w:rPr>
          <w:sz w:val="24"/>
          <w:szCs w:val="24"/>
        </w:rPr>
        <w:t>. Oxford University Press.</w:t>
      </w:r>
    </w:p>
    <w:p w14:paraId="76AAFCCC" w14:textId="77777777" w:rsidR="00C35940" w:rsidRDefault="00000000">
      <w:pPr>
        <w:spacing w:after="200" w:line="480" w:lineRule="auto"/>
        <w:ind w:left="720" w:hanging="720"/>
      </w:pPr>
      <w:r>
        <w:rPr>
          <w:sz w:val="24"/>
          <w:szCs w:val="24"/>
        </w:rPr>
        <w:t xml:space="preserve">Ellis, R. (2009). Task-based language teaching: Sorting out misunderstandings. </w:t>
      </w:r>
      <w:r>
        <w:rPr>
          <w:i/>
          <w:iCs/>
          <w:sz w:val="24"/>
          <w:szCs w:val="24"/>
        </w:rPr>
        <w:t>International Journal of Applied Linguistics, 19</w:t>
      </w:r>
      <w:r>
        <w:rPr>
          <w:sz w:val="24"/>
          <w:szCs w:val="24"/>
        </w:rPr>
        <w:t>(3), 221–246. https://doi.org/10.1111/j.1473-4192.2009.00231.x</w:t>
      </w:r>
    </w:p>
    <w:p w14:paraId="18B11074" w14:textId="77777777" w:rsidR="00C35940" w:rsidRDefault="00000000">
      <w:pPr>
        <w:spacing w:after="200" w:line="480" w:lineRule="auto"/>
        <w:ind w:left="720" w:hanging="720"/>
      </w:pPr>
      <w:r>
        <w:rPr>
          <w:sz w:val="24"/>
          <w:szCs w:val="24"/>
        </w:rPr>
        <w:t xml:space="preserve">Ericsson, K. A., Krampe, R. T., &amp; Tesch-Römer, C. (1993). The role of deliberate practice in the acquisition of expert performance. </w:t>
      </w:r>
      <w:r>
        <w:rPr>
          <w:i/>
          <w:iCs/>
          <w:sz w:val="24"/>
          <w:szCs w:val="24"/>
        </w:rPr>
        <w:t>Psychological Review, 100</w:t>
      </w:r>
      <w:r>
        <w:rPr>
          <w:sz w:val="24"/>
          <w:szCs w:val="24"/>
        </w:rPr>
        <w:t>(3), 363–406. https://doi.org/10.1037/0033-295X.100.3.363</w:t>
      </w:r>
    </w:p>
    <w:p w14:paraId="5BD0ECCF" w14:textId="77777777" w:rsidR="00C35940" w:rsidRDefault="00000000">
      <w:pPr>
        <w:spacing w:after="200" w:line="480" w:lineRule="auto"/>
        <w:ind w:left="720" w:hanging="720"/>
      </w:pPr>
      <w:r>
        <w:rPr>
          <w:sz w:val="24"/>
          <w:szCs w:val="24"/>
        </w:rPr>
        <w:t xml:space="preserve">Hattie, J., &amp; Timperley, H. (2007). The power of feedback. </w:t>
      </w:r>
      <w:r>
        <w:rPr>
          <w:i/>
          <w:iCs/>
          <w:sz w:val="24"/>
          <w:szCs w:val="24"/>
        </w:rPr>
        <w:t>Review of Educational Research, 77</w:t>
      </w:r>
      <w:r>
        <w:rPr>
          <w:sz w:val="24"/>
          <w:szCs w:val="24"/>
        </w:rPr>
        <w:t>(1), 81–112. https://doi.org/10.3102/003465430298487</w:t>
      </w:r>
    </w:p>
    <w:p w14:paraId="7919A3A7" w14:textId="77777777" w:rsidR="00C35940" w:rsidRDefault="00000000">
      <w:pPr>
        <w:spacing w:after="200" w:line="480" w:lineRule="auto"/>
        <w:ind w:left="720" w:hanging="720"/>
      </w:pPr>
      <w:r>
        <w:rPr>
          <w:sz w:val="24"/>
          <w:szCs w:val="24"/>
        </w:rPr>
        <w:t xml:space="preserve">Horwitz, E. K., Horwitz, M. B., &amp; Cope, J. (1986). Foreign language classroom anxiety. </w:t>
      </w:r>
      <w:r>
        <w:rPr>
          <w:i/>
          <w:iCs/>
          <w:sz w:val="24"/>
          <w:szCs w:val="24"/>
        </w:rPr>
        <w:t>The Modern Language Journal, 70</w:t>
      </w:r>
      <w:r>
        <w:rPr>
          <w:sz w:val="24"/>
          <w:szCs w:val="24"/>
        </w:rPr>
        <w:t>(2), 125–132. https://doi.org/10.1111/j.1540-4781.1986.tb05256.x</w:t>
      </w:r>
    </w:p>
    <w:p w14:paraId="67A8316E" w14:textId="77777777" w:rsidR="00C35940" w:rsidRDefault="00000000">
      <w:pPr>
        <w:spacing w:after="200" w:line="480" w:lineRule="auto"/>
        <w:ind w:left="720" w:hanging="720"/>
      </w:pPr>
      <w:r>
        <w:rPr>
          <w:sz w:val="24"/>
          <w:szCs w:val="24"/>
        </w:rPr>
        <w:t xml:space="preserve">Izumi, S. (2002). Output, input enhancement, and the noticing hypothesis: An experimental study on ESL relativization. </w:t>
      </w:r>
      <w:r>
        <w:rPr>
          <w:i/>
          <w:iCs/>
          <w:sz w:val="24"/>
          <w:szCs w:val="24"/>
        </w:rPr>
        <w:t>Studies in Second Language Acquisition, 24</w:t>
      </w:r>
      <w:r>
        <w:rPr>
          <w:sz w:val="24"/>
          <w:szCs w:val="24"/>
        </w:rPr>
        <w:t>(4), 541–577. https://doi.org/10.1017/S0272263102004023</w:t>
      </w:r>
    </w:p>
    <w:p w14:paraId="3A7D3B3A" w14:textId="77777777" w:rsidR="00C35940" w:rsidRDefault="00000000">
      <w:pPr>
        <w:spacing w:after="200" w:line="480" w:lineRule="auto"/>
        <w:ind w:left="720" w:hanging="720"/>
      </w:pPr>
      <w:r>
        <w:rPr>
          <w:sz w:val="24"/>
          <w:szCs w:val="24"/>
        </w:rPr>
        <w:lastRenderedPageBreak/>
        <w:t xml:space="preserve">Kowal, M., &amp; Swain, M. (1994). Using collaborative language production tasks to promote students' language awareness. </w:t>
      </w:r>
      <w:r>
        <w:rPr>
          <w:i/>
          <w:iCs/>
          <w:sz w:val="24"/>
          <w:szCs w:val="24"/>
        </w:rPr>
        <w:t>Language Awareness, 3</w:t>
      </w:r>
      <w:r>
        <w:rPr>
          <w:sz w:val="24"/>
          <w:szCs w:val="24"/>
        </w:rPr>
        <w:t>(2), 73–93. https://doi.org/10.1080/09658416.1994.9959845</w:t>
      </w:r>
    </w:p>
    <w:p w14:paraId="7155F9FB" w14:textId="77777777" w:rsidR="00C35940" w:rsidRDefault="00000000">
      <w:pPr>
        <w:spacing w:after="200" w:line="480" w:lineRule="auto"/>
        <w:ind w:left="720" w:hanging="720"/>
      </w:pPr>
      <w:r>
        <w:rPr>
          <w:sz w:val="24"/>
          <w:szCs w:val="24"/>
        </w:rPr>
        <w:t xml:space="preserve">Krashen, S. D. (1982). </w:t>
      </w:r>
      <w:r>
        <w:rPr>
          <w:i/>
          <w:iCs/>
          <w:sz w:val="24"/>
          <w:szCs w:val="24"/>
        </w:rPr>
        <w:t>Principles and practice in second language acquisition</w:t>
      </w:r>
      <w:r>
        <w:rPr>
          <w:sz w:val="24"/>
          <w:szCs w:val="24"/>
        </w:rPr>
        <w:t>. Pergamon Press.</w:t>
      </w:r>
    </w:p>
    <w:p w14:paraId="0A641131" w14:textId="77777777" w:rsidR="00C35940" w:rsidRDefault="00000000">
      <w:pPr>
        <w:spacing w:after="200" w:line="480" w:lineRule="auto"/>
        <w:ind w:left="720" w:hanging="720"/>
      </w:pPr>
      <w:r>
        <w:rPr>
          <w:sz w:val="24"/>
          <w:szCs w:val="24"/>
        </w:rPr>
        <w:t xml:space="preserve">Little, D. (2007). Language learner autonomy: Some fundamental considerations revisited. </w:t>
      </w:r>
      <w:r>
        <w:rPr>
          <w:i/>
          <w:iCs/>
          <w:sz w:val="24"/>
          <w:szCs w:val="24"/>
        </w:rPr>
        <w:t>Innovation in Language Learning and Teaching, 1</w:t>
      </w:r>
      <w:r>
        <w:rPr>
          <w:sz w:val="24"/>
          <w:szCs w:val="24"/>
        </w:rPr>
        <w:t>(1), 14–29. https://doi.org/10.2167/illt040.0</w:t>
      </w:r>
    </w:p>
    <w:p w14:paraId="3BF433C8" w14:textId="77777777" w:rsidR="00C35940" w:rsidRDefault="00000000">
      <w:pPr>
        <w:spacing w:after="200" w:line="480" w:lineRule="auto"/>
        <w:ind w:left="720" w:hanging="720"/>
      </w:pPr>
      <w:r>
        <w:rPr>
          <w:sz w:val="24"/>
          <w:szCs w:val="24"/>
        </w:rPr>
        <w:t xml:space="preserve">Long, M. H. (1983). Native speaker/non-native speaker conversation and the negotiation of comprehensible input. </w:t>
      </w:r>
      <w:r>
        <w:rPr>
          <w:i/>
          <w:iCs/>
          <w:sz w:val="24"/>
          <w:szCs w:val="24"/>
        </w:rPr>
        <w:t>Applied Linguistics, 4</w:t>
      </w:r>
      <w:r>
        <w:rPr>
          <w:sz w:val="24"/>
          <w:szCs w:val="24"/>
        </w:rPr>
        <w:t>(2), 126–141. https://doi.org/10.1093/applin/4.2.126</w:t>
      </w:r>
    </w:p>
    <w:p w14:paraId="2273553A" w14:textId="77777777" w:rsidR="00C35940" w:rsidRDefault="00000000">
      <w:pPr>
        <w:spacing w:after="200" w:line="480" w:lineRule="auto"/>
        <w:ind w:left="720" w:hanging="720"/>
      </w:pPr>
      <w:r>
        <w:rPr>
          <w:sz w:val="24"/>
          <w:szCs w:val="24"/>
        </w:rPr>
        <w:t xml:space="preserve">Lyster, R., &amp; Saito, K. (2010). Oral feedback in classroom SLA: A meta-analysis. </w:t>
      </w:r>
      <w:r>
        <w:rPr>
          <w:i/>
          <w:iCs/>
          <w:sz w:val="24"/>
          <w:szCs w:val="24"/>
        </w:rPr>
        <w:t>Studies in Second Language Acquisition, 32</w:t>
      </w:r>
      <w:r>
        <w:rPr>
          <w:sz w:val="24"/>
          <w:szCs w:val="24"/>
        </w:rPr>
        <w:t>(1), 1–31. https://doi.org/10.1017/S0272263109990520</w:t>
      </w:r>
    </w:p>
    <w:p w14:paraId="3D99562E" w14:textId="77777777" w:rsidR="00C35940" w:rsidRDefault="00000000">
      <w:pPr>
        <w:spacing w:after="200" w:line="480" w:lineRule="auto"/>
        <w:ind w:left="720" w:hanging="720"/>
      </w:pPr>
      <w:r>
        <w:rPr>
          <w:sz w:val="24"/>
          <w:szCs w:val="24"/>
        </w:rPr>
        <w:t xml:space="preserve">MacIntyre, P. D., Dörnyei, Z., Clément, R., &amp; Noels, K. A. (1998). Conceptualizing willingness to communicate in a L2: A situational model of L2 confidence and affiliation. </w:t>
      </w:r>
      <w:r>
        <w:rPr>
          <w:i/>
          <w:iCs/>
          <w:sz w:val="24"/>
          <w:szCs w:val="24"/>
        </w:rPr>
        <w:t>The Modern Language Journal, 82</w:t>
      </w:r>
      <w:r>
        <w:rPr>
          <w:sz w:val="24"/>
          <w:szCs w:val="24"/>
        </w:rPr>
        <w:t>(4), 545–562. https://doi.org/10.1111/j.1540-4781.1998.tb05543.x</w:t>
      </w:r>
    </w:p>
    <w:p w14:paraId="3E8C00D2" w14:textId="77777777" w:rsidR="00C35940" w:rsidRDefault="00000000">
      <w:pPr>
        <w:spacing w:after="200" w:line="480" w:lineRule="auto"/>
        <w:ind w:left="720" w:hanging="720"/>
      </w:pPr>
      <w:r>
        <w:rPr>
          <w:sz w:val="24"/>
          <w:szCs w:val="24"/>
        </w:rPr>
        <w:t xml:space="preserve">MacIntyre, P. D., &amp; Vincze, L. (2017). Positive and negative emotions underlie motivation for L2 learning. </w:t>
      </w:r>
      <w:r>
        <w:rPr>
          <w:i/>
          <w:iCs/>
          <w:sz w:val="24"/>
          <w:szCs w:val="24"/>
        </w:rPr>
        <w:t>Studies in Second Language Learning and Teaching, 7</w:t>
      </w:r>
      <w:r>
        <w:rPr>
          <w:sz w:val="24"/>
          <w:szCs w:val="24"/>
        </w:rPr>
        <w:t>(1), 61–88. https://doi.org/10.14746/ssllt.2017.7.1.4</w:t>
      </w:r>
    </w:p>
    <w:p w14:paraId="1C085787" w14:textId="77777777" w:rsidR="00C35940" w:rsidRDefault="00000000">
      <w:pPr>
        <w:spacing w:after="200" w:line="480" w:lineRule="auto"/>
        <w:ind w:left="720" w:hanging="720"/>
      </w:pPr>
      <w:r>
        <w:rPr>
          <w:sz w:val="24"/>
          <w:szCs w:val="24"/>
        </w:rPr>
        <w:lastRenderedPageBreak/>
        <w:t xml:space="preserve">Nguyen, H. T. M. (2011). Primary English language education policy in Vietnam: Insights from implementation. </w:t>
      </w:r>
      <w:r>
        <w:rPr>
          <w:i/>
          <w:iCs/>
          <w:sz w:val="24"/>
          <w:szCs w:val="24"/>
        </w:rPr>
        <w:t>Current Issues in Language Planning, 12</w:t>
      </w:r>
      <w:r>
        <w:rPr>
          <w:sz w:val="24"/>
          <w:szCs w:val="24"/>
        </w:rPr>
        <w:t>(2), 225–249. https://doi.org/10.1080/14664208.2011.597048</w:t>
      </w:r>
    </w:p>
    <w:p w14:paraId="0712845A" w14:textId="77777777" w:rsidR="00C35940" w:rsidRDefault="00000000">
      <w:pPr>
        <w:spacing w:after="200" w:line="480" w:lineRule="auto"/>
        <w:ind w:left="720" w:hanging="720"/>
      </w:pPr>
      <w:r>
        <w:rPr>
          <w:sz w:val="24"/>
          <w:szCs w:val="24"/>
        </w:rPr>
        <w:t xml:space="preserve">Skehan, P., &amp; Foster, P. (1999). The influence of task structure and processing conditions on narrative retellings. </w:t>
      </w:r>
      <w:r>
        <w:rPr>
          <w:i/>
          <w:iCs/>
          <w:sz w:val="24"/>
          <w:szCs w:val="24"/>
        </w:rPr>
        <w:t>Language Learning, 49</w:t>
      </w:r>
      <w:r>
        <w:rPr>
          <w:sz w:val="24"/>
          <w:szCs w:val="24"/>
        </w:rPr>
        <w:t>(1), 93–120. https://doi.org/10.1111/0023-8333.00039</w:t>
      </w:r>
    </w:p>
    <w:p w14:paraId="6C6C2DE9" w14:textId="77777777" w:rsidR="00C35940" w:rsidRDefault="00000000">
      <w:pPr>
        <w:spacing w:after="200" w:line="480" w:lineRule="auto"/>
        <w:ind w:left="720" w:hanging="720"/>
      </w:pPr>
      <w:r>
        <w:rPr>
          <w:sz w:val="24"/>
          <w:szCs w:val="24"/>
        </w:rPr>
        <w:t xml:space="preserve">Swain, M. (1985). Communicative competence: Some roles of comprehensible input and comprehensible output in its development. In S. M. Gass &amp; C. G. Madden (Eds.), </w:t>
      </w:r>
      <w:r>
        <w:rPr>
          <w:i/>
          <w:iCs/>
          <w:sz w:val="24"/>
          <w:szCs w:val="24"/>
        </w:rPr>
        <w:t>Input in second language acquisition</w:t>
      </w:r>
      <w:r>
        <w:rPr>
          <w:sz w:val="24"/>
          <w:szCs w:val="24"/>
        </w:rPr>
        <w:t xml:space="preserve"> (pp. 235–253). Newbury House.</w:t>
      </w:r>
    </w:p>
    <w:p w14:paraId="0D2A2CD9" w14:textId="77777777" w:rsidR="00C35940" w:rsidRDefault="00000000">
      <w:pPr>
        <w:spacing w:after="200" w:line="480" w:lineRule="auto"/>
        <w:ind w:left="720" w:hanging="720"/>
      </w:pPr>
      <w:r>
        <w:rPr>
          <w:sz w:val="24"/>
          <w:szCs w:val="24"/>
        </w:rPr>
        <w:t xml:space="preserve">Swain, M. (1995). Three functions of output in second language learning. In G. Cook &amp; B. Seidlhofer (Eds.), </w:t>
      </w:r>
      <w:r>
        <w:rPr>
          <w:i/>
          <w:iCs/>
          <w:sz w:val="24"/>
          <w:szCs w:val="24"/>
        </w:rPr>
        <w:t>Principle and practice in applied linguistics: Studies in honour of H. G. Widdowson</w:t>
      </w:r>
      <w:r>
        <w:rPr>
          <w:sz w:val="24"/>
          <w:szCs w:val="24"/>
        </w:rPr>
        <w:t xml:space="preserve"> (pp. 125–144). Oxford University Press.</w:t>
      </w:r>
    </w:p>
    <w:p w14:paraId="26073535" w14:textId="77777777" w:rsidR="00C35940" w:rsidRDefault="00000000">
      <w:pPr>
        <w:spacing w:after="200" w:line="480" w:lineRule="auto"/>
        <w:ind w:left="720" w:hanging="720"/>
      </w:pPr>
      <w:r>
        <w:rPr>
          <w:sz w:val="24"/>
          <w:szCs w:val="24"/>
        </w:rPr>
        <w:t xml:space="preserve">Swain, M., &amp; Lapkin, S. (1998). Interaction and second language learning: Two adolescent French immersion students working together. </w:t>
      </w:r>
      <w:r>
        <w:rPr>
          <w:i/>
          <w:iCs/>
          <w:sz w:val="24"/>
          <w:szCs w:val="24"/>
        </w:rPr>
        <w:t>The Modern Language Journal, 82</w:t>
      </w:r>
      <w:r>
        <w:rPr>
          <w:sz w:val="24"/>
          <w:szCs w:val="24"/>
        </w:rPr>
        <w:t>(3), 320–337. https://doi.org/10.1111/j.1540-4781.1998.tb01209.x</w:t>
      </w:r>
    </w:p>
    <w:p w14:paraId="7D910AD1" w14:textId="77777777" w:rsidR="00C35940" w:rsidRDefault="00000000">
      <w:pPr>
        <w:spacing w:after="200" w:line="480" w:lineRule="auto"/>
        <w:ind w:left="720" w:hanging="720"/>
      </w:pPr>
      <w:r>
        <w:rPr>
          <w:sz w:val="24"/>
          <w:szCs w:val="24"/>
        </w:rPr>
        <w:t xml:space="preserve">VanPatten, B. (1996). </w:t>
      </w:r>
      <w:r>
        <w:rPr>
          <w:i/>
          <w:iCs/>
          <w:sz w:val="24"/>
          <w:szCs w:val="24"/>
        </w:rPr>
        <w:t>Input processing and grammar instruction: Theory and research</w:t>
      </w:r>
      <w:r>
        <w:rPr>
          <w:sz w:val="24"/>
          <w:szCs w:val="24"/>
        </w:rPr>
        <w:t>. Ablex Publishing.</w:t>
      </w:r>
    </w:p>
    <w:p w14:paraId="4058E897" w14:textId="77777777" w:rsidR="00C35940" w:rsidRDefault="00000000">
      <w:pPr>
        <w:spacing w:after="200" w:line="480" w:lineRule="auto"/>
        <w:ind w:left="720" w:hanging="720"/>
      </w:pPr>
      <w:r>
        <w:rPr>
          <w:sz w:val="24"/>
          <w:szCs w:val="24"/>
        </w:rPr>
        <w:t xml:space="preserve">Vygotsky, L. S. (1978). </w:t>
      </w:r>
      <w:r>
        <w:rPr>
          <w:i/>
          <w:iCs/>
          <w:sz w:val="24"/>
          <w:szCs w:val="24"/>
        </w:rPr>
        <w:t>Mind in society: The development of higher psychological processes</w:t>
      </w:r>
      <w:r>
        <w:rPr>
          <w:sz w:val="24"/>
          <w:szCs w:val="24"/>
        </w:rPr>
        <w:t xml:space="preserve"> (M. Cole, V. John-Steiner, S. Scribner, &amp; E. Soberman, Eds.). Harvard University Press.</w:t>
      </w:r>
    </w:p>
    <w:p w14:paraId="2DDFBBA7" w14:textId="77777777" w:rsidR="00C35940" w:rsidRDefault="00000000">
      <w:pPr>
        <w:spacing w:after="200" w:line="480" w:lineRule="auto"/>
        <w:ind w:left="720" w:hanging="720"/>
        <w:rPr>
          <w:sz w:val="24"/>
          <w:szCs w:val="24"/>
        </w:rPr>
      </w:pPr>
      <w:r>
        <w:rPr>
          <w:sz w:val="24"/>
          <w:szCs w:val="24"/>
        </w:rPr>
        <w:t xml:space="preserve">Wray, A. (2002). </w:t>
      </w:r>
      <w:r>
        <w:rPr>
          <w:i/>
          <w:iCs/>
          <w:sz w:val="24"/>
          <w:szCs w:val="24"/>
        </w:rPr>
        <w:t>Formulaic language and lexicon</w:t>
      </w:r>
      <w:r>
        <w:rPr>
          <w:sz w:val="24"/>
          <w:szCs w:val="24"/>
        </w:rPr>
        <w:t>. Cambridge University Press.</w:t>
      </w:r>
    </w:p>
    <w:p w14:paraId="5E103228" w14:textId="3546FB07" w:rsidR="00040781" w:rsidRDefault="00040781" w:rsidP="00040781">
      <w:pPr>
        <w:spacing w:after="200" w:line="480" w:lineRule="auto"/>
        <w:ind w:left="720" w:hanging="720"/>
        <w:jc w:val="center"/>
      </w:pPr>
      <w:r>
        <w:rPr>
          <w:sz w:val="24"/>
          <w:szCs w:val="24"/>
        </w:rPr>
        <w:t>-------o0o------</w:t>
      </w:r>
    </w:p>
    <w:sectPr w:rsidR="00040781">
      <w:headerReference w:type="default" r:id="rId7"/>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3864E0" w14:textId="77777777" w:rsidR="00763BBA" w:rsidRDefault="00763BBA">
      <w:r>
        <w:separator/>
      </w:r>
    </w:p>
  </w:endnote>
  <w:endnote w:type="continuationSeparator" w:id="0">
    <w:p w14:paraId="5318E2AC" w14:textId="77777777" w:rsidR="00763BBA" w:rsidRDefault="00763B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4D15C9" w14:textId="77777777" w:rsidR="00763BBA" w:rsidRDefault="00763BBA">
      <w:r>
        <w:separator/>
      </w:r>
    </w:p>
  </w:footnote>
  <w:footnote w:type="continuationSeparator" w:id="0">
    <w:p w14:paraId="46DDC0F0" w14:textId="77777777" w:rsidR="00763BBA" w:rsidRDefault="00763B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3D9EE" w14:textId="77777777" w:rsidR="00C35940" w:rsidRDefault="00000000">
    <w:pPr>
      <w:jc w:val="right"/>
    </w:pPr>
    <w:r>
      <w:t xml:space="preserve">ENGLISH-RICH LEARNING ENVIRONMENT        </w:t>
    </w:r>
    <w:r>
      <w:fldChar w:fldCharType="begin"/>
    </w:r>
    <w:r>
      <w:instrText>PAGE</w:instrText>
    </w:r>
    <w:r>
      <w:fldChar w:fldCharType="separate"/>
    </w:r>
    <w:r w:rsidR="00040781">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577C9F"/>
    <w:multiLevelType w:val="hybridMultilevel"/>
    <w:tmpl w:val="72269F8C"/>
    <w:lvl w:ilvl="0" w:tplc="521A3660">
      <w:start w:val="1"/>
      <w:numFmt w:val="decimal"/>
      <w:lvlText w:val="%1."/>
      <w:lvlJc w:val="left"/>
      <w:pPr>
        <w:ind w:left="1440" w:hanging="360"/>
      </w:pPr>
    </w:lvl>
    <w:lvl w:ilvl="1" w:tplc="6AD6F3EE">
      <w:numFmt w:val="decimal"/>
      <w:lvlText w:val=""/>
      <w:lvlJc w:val="left"/>
    </w:lvl>
    <w:lvl w:ilvl="2" w:tplc="91BEBEE4">
      <w:numFmt w:val="decimal"/>
      <w:lvlText w:val=""/>
      <w:lvlJc w:val="left"/>
    </w:lvl>
    <w:lvl w:ilvl="3" w:tplc="B4BC2C6A">
      <w:numFmt w:val="decimal"/>
      <w:lvlText w:val=""/>
      <w:lvlJc w:val="left"/>
    </w:lvl>
    <w:lvl w:ilvl="4" w:tplc="28383F34">
      <w:numFmt w:val="decimal"/>
      <w:lvlText w:val=""/>
      <w:lvlJc w:val="left"/>
    </w:lvl>
    <w:lvl w:ilvl="5" w:tplc="11762168">
      <w:numFmt w:val="decimal"/>
      <w:lvlText w:val=""/>
      <w:lvlJc w:val="left"/>
    </w:lvl>
    <w:lvl w:ilvl="6" w:tplc="F6BC47C4">
      <w:numFmt w:val="decimal"/>
      <w:lvlText w:val=""/>
      <w:lvlJc w:val="left"/>
    </w:lvl>
    <w:lvl w:ilvl="7" w:tplc="B2DC1FC4">
      <w:numFmt w:val="decimal"/>
      <w:lvlText w:val=""/>
      <w:lvlJc w:val="left"/>
    </w:lvl>
    <w:lvl w:ilvl="8" w:tplc="F77ABD7C">
      <w:numFmt w:val="decimal"/>
      <w:lvlText w:val=""/>
      <w:lvlJc w:val="left"/>
    </w:lvl>
  </w:abstractNum>
  <w:abstractNum w:abstractNumId="1" w15:restartNumberingAfterBreak="0">
    <w:nsid w:val="26B813E2"/>
    <w:multiLevelType w:val="hybridMultilevel"/>
    <w:tmpl w:val="0DE686E2"/>
    <w:lvl w:ilvl="0" w:tplc="59C4168A">
      <w:start w:val="1"/>
      <w:numFmt w:val="decimal"/>
      <w:lvlText w:val="%1."/>
      <w:lvlJc w:val="left"/>
      <w:pPr>
        <w:ind w:left="1800" w:hanging="360"/>
      </w:pPr>
      <w:rPr>
        <w:rFonts w:hint="default"/>
        <w:sz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4A8E65EE"/>
    <w:multiLevelType w:val="hybridMultilevel"/>
    <w:tmpl w:val="6220F76E"/>
    <w:lvl w:ilvl="0" w:tplc="E84433C6">
      <w:start w:val="1"/>
      <w:numFmt w:val="bullet"/>
      <w:lvlText w:val="•"/>
      <w:lvlJc w:val="left"/>
      <w:pPr>
        <w:ind w:left="1440" w:hanging="360"/>
      </w:pPr>
    </w:lvl>
    <w:lvl w:ilvl="1" w:tplc="89B2DC8A">
      <w:numFmt w:val="decimal"/>
      <w:lvlText w:val=""/>
      <w:lvlJc w:val="left"/>
    </w:lvl>
    <w:lvl w:ilvl="2" w:tplc="597EAA62">
      <w:numFmt w:val="decimal"/>
      <w:lvlText w:val=""/>
      <w:lvlJc w:val="left"/>
    </w:lvl>
    <w:lvl w:ilvl="3" w:tplc="DEC26A54">
      <w:numFmt w:val="decimal"/>
      <w:lvlText w:val=""/>
      <w:lvlJc w:val="left"/>
    </w:lvl>
    <w:lvl w:ilvl="4" w:tplc="B754A6E0">
      <w:numFmt w:val="decimal"/>
      <w:lvlText w:val=""/>
      <w:lvlJc w:val="left"/>
    </w:lvl>
    <w:lvl w:ilvl="5" w:tplc="71E4D556">
      <w:numFmt w:val="decimal"/>
      <w:lvlText w:val=""/>
      <w:lvlJc w:val="left"/>
    </w:lvl>
    <w:lvl w:ilvl="6" w:tplc="EC7E3EF8">
      <w:numFmt w:val="decimal"/>
      <w:lvlText w:val=""/>
      <w:lvlJc w:val="left"/>
    </w:lvl>
    <w:lvl w:ilvl="7" w:tplc="07A8047C">
      <w:numFmt w:val="decimal"/>
      <w:lvlText w:val=""/>
      <w:lvlJc w:val="left"/>
    </w:lvl>
    <w:lvl w:ilvl="8" w:tplc="4C5A6B0A">
      <w:numFmt w:val="decimal"/>
      <w:lvlText w:val=""/>
      <w:lvlJc w:val="left"/>
    </w:lvl>
  </w:abstractNum>
  <w:abstractNum w:abstractNumId="3" w15:restartNumberingAfterBreak="0">
    <w:nsid w:val="6752711C"/>
    <w:multiLevelType w:val="hybridMultilevel"/>
    <w:tmpl w:val="05AE3F64"/>
    <w:lvl w:ilvl="0" w:tplc="3C2CCD4A">
      <w:start w:val="1"/>
      <w:numFmt w:val="bullet"/>
      <w:lvlText w:val="●"/>
      <w:lvlJc w:val="left"/>
      <w:pPr>
        <w:ind w:left="720" w:hanging="360"/>
      </w:pPr>
    </w:lvl>
    <w:lvl w:ilvl="1" w:tplc="3660734A">
      <w:start w:val="1"/>
      <w:numFmt w:val="bullet"/>
      <w:lvlText w:val="○"/>
      <w:lvlJc w:val="left"/>
      <w:pPr>
        <w:ind w:left="1440" w:hanging="360"/>
      </w:pPr>
    </w:lvl>
    <w:lvl w:ilvl="2" w:tplc="67686AD8">
      <w:start w:val="1"/>
      <w:numFmt w:val="bullet"/>
      <w:lvlText w:val="■"/>
      <w:lvlJc w:val="left"/>
      <w:pPr>
        <w:ind w:left="2160" w:hanging="360"/>
      </w:pPr>
    </w:lvl>
    <w:lvl w:ilvl="3" w:tplc="64823668">
      <w:start w:val="1"/>
      <w:numFmt w:val="bullet"/>
      <w:lvlText w:val="●"/>
      <w:lvlJc w:val="left"/>
      <w:pPr>
        <w:ind w:left="2880" w:hanging="360"/>
      </w:pPr>
    </w:lvl>
    <w:lvl w:ilvl="4" w:tplc="8EAAA284">
      <w:start w:val="1"/>
      <w:numFmt w:val="bullet"/>
      <w:lvlText w:val="○"/>
      <w:lvlJc w:val="left"/>
      <w:pPr>
        <w:ind w:left="3600" w:hanging="360"/>
      </w:pPr>
    </w:lvl>
    <w:lvl w:ilvl="5" w:tplc="14DA63E0">
      <w:start w:val="1"/>
      <w:numFmt w:val="bullet"/>
      <w:lvlText w:val="■"/>
      <w:lvlJc w:val="left"/>
      <w:pPr>
        <w:ind w:left="4320" w:hanging="360"/>
      </w:pPr>
    </w:lvl>
    <w:lvl w:ilvl="6" w:tplc="E5905290">
      <w:start w:val="1"/>
      <w:numFmt w:val="bullet"/>
      <w:lvlText w:val="●"/>
      <w:lvlJc w:val="left"/>
      <w:pPr>
        <w:ind w:left="5040" w:hanging="360"/>
      </w:pPr>
    </w:lvl>
    <w:lvl w:ilvl="7" w:tplc="F4225A8A">
      <w:start w:val="1"/>
      <w:numFmt w:val="bullet"/>
      <w:lvlText w:val="●"/>
      <w:lvlJc w:val="left"/>
      <w:pPr>
        <w:ind w:left="5760" w:hanging="360"/>
      </w:pPr>
    </w:lvl>
    <w:lvl w:ilvl="8" w:tplc="D97C2976">
      <w:start w:val="1"/>
      <w:numFmt w:val="bullet"/>
      <w:lvlText w:val="●"/>
      <w:lvlJc w:val="left"/>
      <w:pPr>
        <w:ind w:left="6480" w:hanging="360"/>
      </w:pPr>
    </w:lvl>
  </w:abstractNum>
  <w:num w:numId="1" w16cid:durableId="696663124">
    <w:abstractNumId w:val="3"/>
    <w:lvlOverride w:ilvl="0">
      <w:startOverride w:val="1"/>
    </w:lvlOverride>
  </w:num>
  <w:num w:numId="2" w16cid:durableId="276378933">
    <w:abstractNumId w:val="0"/>
    <w:lvlOverride w:ilvl="0">
      <w:startOverride w:val="1"/>
    </w:lvlOverride>
  </w:num>
  <w:num w:numId="3" w16cid:durableId="391005535">
    <w:abstractNumId w:val="2"/>
    <w:lvlOverride w:ilvl="0">
      <w:startOverride w:val="1"/>
    </w:lvlOverride>
  </w:num>
  <w:num w:numId="4" w16cid:durableId="2877822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5940"/>
    <w:rsid w:val="00040781"/>
    <w:rsid w:val="000408D8"/>
    <w:rsid w:val="0071772F"/>
    <w:rsid w:val="0073720F"/>
    <w:rsid w:val="00763BBA"/>
    <w:rsid w:val="008E1555"/>
    <w:rsid w:val="00B7517F"/>
    <w:rsid w:val="00C359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7718D"/>
  <w15:docId w15:val="{F4251D2C-0D36-4002-AFDB-0F9B042FF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43</TotalTime>
  <Pages>28</Pages>
  <Words>6577</Words>
  <Characters>37493</Characters>
  <Application>Microsoft Office Word</Application>
  <DocSecurity>0</DocSecurity>
  <Lines>312</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Phạm Thị Bích Tiên</cp:lastModifiedBy>
  <cp:revision>3</cp:revision>
  <dcterms:created xsi:type="dcterms:W3CDTF">2026-07-02T13:19:00Z</dcterms:created>
  <dcterms:modified xsi:type="dcterms:W3CDTF">2026-07-02T13:54:00Z</dcterms:modified>
</cp:coreProperties>
</file>