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DDCE0" w14:textId="77777777" w:rsidR="00CD7377" w:rsidRDefault="00000000">
      <w:pPr>
        <w:jc w:val="center"/>
        <w:rPr>
          <w:rFonts w:ascii="Times New Roman" w:hAnsi="Times New Roman" w:cs="Times New Roman"/>
          <w:b/>
          <w:bCs/>
        </w:rPr>
      </w:pPr>
      <w:bookmarkStart w:id="0" w:name="_Toc229133235"/>
      <w:r>
        <w:rPr>
          <w:rFonts w:ascii="Times New Roman" w:hAnsi="Times New Roman" w:cs="Times New Roman"/>
          <w:b/>
          <w:bCs/>
        </w:rPr>
        <w:t>EXPLORING FIRST-YEAR ENGLISH-MAJORED STUDENTS’ PERCEPTIONS OF PEDAGOGICAL TRANSLANGUAGING</w:t>
      </w:r>
    </w:p>
    <w:p w14:paraId="560F7D34" w14:textId="77777777" w:rsidR="00CD7377" w:rsidRDefault="00000000">
      <w:pPr>
        <w:jc w:val="center"/>
        <w:rPr>
          <w:rFonts w:ascii="Times New Roman" w:hAnsi="Times New Roman" w:cs="Times New Roman"/>
          <w:b/>
          <w:bCs/>
        </w:rPr>
      </w:pPr>
      <w:r>
        <w:rPr>
          <w:rFonts w:ascii="Times New Roman" w:hAnsi="Times New Roman" w:cs="Times New Roman"/>
          <w:b/>
          <w:bCs/>
        </w:rPr>
        <w:t>IN AN EMI CONTEXT</w:t>
      </w:r>
    </w:p>
    <w:p w14:paraId="2B43202A" w14:textId="77777777" w:rsidR="00CD7377" w:rsidRDefault="00CD7377">
      <w:pPr>
        <w:jc w:val="both"/>
        <w:rPr>
          <w:rFonts w:ascii="Times New Roman" w:hAnsi="Times New Roman" w:cs="Times New Roman"/>
        </w:rPr>
      </w:pPr>
    </w:p>
    <w:p w14:paraId="4935B0CB" w14:textId="77777777" w:rsidR="00CD7377" w:rsidRDefault="00000000">
      <w:pPr>
        <w:jc w:val="center"/>
        <w:rPr>
          <w:rFonts w:ascii="Times New Roman" w:hAnsi="Times New Roman" w:cs="Times New Roman"/>
          <w:i/>
          <w:iCs/>
          <w:sz w:val="22"/>
          <w:szCs w:val="22"/>
        </w:rPr>
      </w:pPr>
      <w:r>
        <w:rPr>
          <w:rFonts w:ascii="Times New Roman" w:hAnsi="Times New Roman" w:cs="Times New Roman"/>
          <w:i/>
          <w:iCs/>
          <w:sz w:val="22"/>
          <w:szCs w:val="22"/>
        </w:rPr>
        <w:t>Thinh Tien Vu</w:t>
      </w:r>
      <w:r>
        <w:rPr>
          <w:rStyle w:val="FootnoteReference"/>
          <w:rFonts w:ascii="Times New Roman" w:hAnsi="Times New Roman" w:cs="Times New Roman"/>
          <w:i/>
          <w:iCs/>
          <w:sz w:val="22"/>
          <w:szCs w:val="22"/>
        </w:rPr>
        <w:footnoteReference w:id="1"/>
      </w:r>
      <w:r>
        <w:rPr>
          <w:rFonts w:ascii="Times New Roman" w:hAnsi="Times New Roman" w:cs="Times New Roman"/>
          <w:i/>
          <w:iCs/>
          <w:sz w:val="22"/>
          <w:szCs w:val="22"/>
        </w:rPr>
        <w:t>, Cam Diem Nhi Hoang</w:t>
      </w:r>
      <w:r>
        <w:rPr>
          <w:rStyle w:val="FootnoteReference"/>
          <w:rFonts w:ascii="Times New Roman" w:hAnsi="Times New Roman" w:cs="Times New Roman"/>
          <w:i/>
          <w:iCs/>
          <w:sz w:val="22"/>
          <w:szCs w:val="22"/>
        </w:rPr>
        <w:footnoteReference w:id="2"/>
      </w:r>
    </w:p>
    <w:p w14:paraId="2BCC24CE" w14:textId="77777777" w:rsidR="00CD7377" w:rsidRDefault="00000000">
      <w:pPr>
        <w:pStyle w:val="Heading3"/>
        <w:rPr>
          <w:szCs w:val="24"/>
        </w:rPr>
      </w:pPr>
      <w:r>
        <w:rPr>
          <w:szCs w:val="24"/>
        </w:rPr>
        <w:t>A</w:t>
      </w:r>
      <w:bookmarkEnd w:id="0"/>
      <w:r>
        <w:t>bstract</w:t>
      </w:r>
    </w:p>
    <w:p w14:paraId="51ACAA22" w14:textId="77777777" w:rsidR="00CD7377" w:rsidRDefault="00000000">
      <w:pPr>
        <w:jc w:val="both"/>
        <w:rPr>
          <w:rFonts w:ascii="Times New Roman" w:hAnsi="Times New Roman" w:cs="Times New Roman"/>
        </w:rPr>
      </w:pPr>
      <w:r>
        <w:rPr>
          <w:rFonts w:ascii="Times New Roman" w:hAnsi="Times New Roman" w:cs="Times New Roman"/>
          <w:color w:val="000000"/>
        </w:rPr>
        <w:t>The rapid expansion of English as a Medium of Instruction (EMI) has highlighted the complex roles of the native language (L1) and the target language (L2) in academic learning. Pedagogical translanguaging has emerged as a strategic method to support student comprehension within these environments. This study investigated how English-major students perceived teachers’ pedagogical translanguaging practices and identified the specific practices most and least valued in EMI classrooms. The participants included fifty first-year English-majored students at a public university in Vietnam. Employing a quantitative research design, the data were collected via a structured questionnaire and analysed using descriptive statistics. The results indicated that students generally hold positive perceptions of pedagogical translanguaging across three primary dimensions: Stance, Design, and Shift. Furthermore, the three most frequently reported practices involve using Vietnamese to clarify difficult concepts, explaining complex academic content bilingually, and supporting vocabulary and grammar acquisition through both languages. These findings suggest that pedagogical translanguaging is perceived as a useful instructional approach that helps to facilitate learning in EMI contexts.</w:t>
      </w:r>
    </w:p>
    <w:p w14:paraId="6807B623" w14:textId="77777777" w:rsidR="00CD7377" w:rsidRDefault="00CD7377">
      <w:pPr>
        <w:jc w:val="both"/>
        <w:rPr>
          <w:rFonts w:ascii="Times New Roman" w:eastAsia="SimSun" w:hAnsi="Times New Roman" w:cs="Times New Roman"/>
        </w:rPr>
      </w:pPr>
    </w:p>
    <w:p w14:paraId="0AE34A1D" w14:textId="77777777" w:rsidR="00CD7377" w:rsidRDefault="00000000">
      <w:pPr>
        <w:jc w:val="both"/>
        <w:rPr>
          <w:rFonts w:ascii="Times New Roman" w:eastAsia="SimSun" w:hAnsi="Times New Roman" w:cs="Times New Roman"/>
        </w:rPr>
      </w:pPr>
      <w:r>
        <w:rPr>
          <w:rFonts w:ascii="Times New Roman" w:hAnsi="Times New Roman" w:cs="Times New Roman"/>
          <w:b/>
          <w:bCs/>
          <w:i/>
          <w:iCs/>
        </w:rPr>
        <w:t>Keywords</w:t>
      </w:r>
      <w:r>
        <w:rPr>
          <w:rFonts w:ascii="Times New Roman" w:hAnsi="Times New Roman" w:cs="Times New Roman"/>
        </w:rPr>
        <w:t>: English Medium of Instruction (EMI), English-majored Students, Pedagogical Translanguaging, Student Perceptions, Translanguaging practices</w:t>
      </w:r>
      <w:bookmarkStart w:id="1" w:name="_Toc229133236"/>
      <w:bookmarkStart w:id="2" w:name="_Toc19259"/>
      <w:bookmarkStart w:id="3" w:name="_Toc19017"/>
    </w:p>
    <w:p w14:paraId="4C9EF581" w14:textId="77777777" w:rsidR="00CD7377" w:rsidRDefault="00CD7377">
      <w:pPr>
        <w:jc w:val="both"/>
        <w:rPr>
          <w:rFonts w:ascii="Times New Roman" w:eastAsia="SimSun" w:hAnsi="Times New Roman" w:cs="Times New Roman"/>
        </w:rPr>
      </w:pPr>
    </w:p>
    <w:bookmarkEnd w:id="1"/>
    <w:bookmarkEnd w:id="2"/>
    <w:bookmarkEnd w:id="3"/>
    <w:p w14:paraId="093D2DD5" w14:textId="77777777" w:rsidR="00CD7377" w:rsidRDefault="00000000">
      <w:pPr>
        <w:pStyle w:val="Heading1"/>
        <w:numPr>
          <w:ilvl w:val="0"/>
          <w:numId w:val="1"/>
        </w:numPr>
        <w:spacing w:beforeAutospacing="0" w:after="120" w:afterAutospacing="0" w:line="480" w:lineRule="auto"/>
      </w:pPr>
      <w:r>
        <w:t>Introduction</w:t>
      </w:r>
    </w:p>
    <w:p w14:paraId="0B14014D" w14:textId="77777777" w:rsidR="00CD7377" w:rsidRDefault="00000000">
      <w:pPr>
        <w:spacing w:after="120" w:line="480" w:lineRule="auto"/>
        <w:ind w:firstLine="720"/>
        <w:jc w:val="both"/>
        <w:rPr>
          <w:rFonts w:ascii="Times New Roman" w:hAnsi="Times New Roman" w:cs="Times New Roman"/>
          <w:color w:val="000000"/>
          <w:shd w:val="clear" w:color="auto" w:fill="FFFFFF"/>
        </w:rPr>
      </w:pPr>
      <w:bookmarkStart w:id="4" w:name="_Toc24489"/>
      <w:bookmarkStart w:id="5" w:name="_Toc9978"/>
      <w:r>
        <w:rPr>
          <w:rFonts w:ascii="Times New Roman" w:hAnsi="Times New Roman" w:cs="Times New Roman"/>
          <w:color w:val="000000"/>
          <w:shd w:val="clear" w:color="auto" w:fill="FFFFFF"/>
        </w:rPr>
        <w:t>English holds an unparalleled position in global internationalisation and has increasingly been adopted as the medium of instruction in educational settings (Liu, 2021). In recent years, English as a Medium of Instruction (EMI) at universities has been significantly growing as an educational phenomenon. It is increasingly attracting researchers' attention, particularly those in applied linguistics (Macaro, 2020).</w:t>
      </w:r>
      <w:r>
        <w:rPr>
          <w:rFonts w:ascii="Times New Roman" w:hAnsi="Times New Roman" w:cs="Times New Roman"/>
        </w:rPr>
        <w:t xml:space="preserve"> </w:t>
      </w:r>
      <w:r>
        <w:rPr>
          <w:rFonts w:ascii="Times New Roman" w:hAnsi="Times New Roman" w:cs="Times New Roman"/>
          <w:color w:val="000000"/>
          <w:shd w:val="clear" w:color="auto" w:fill="FFFFFF"/>
        </w:rPr>
        <w:t>Alongside this development, for decades, foreign language teaching has been guided by the principle that teachers should use only the target language (TL) and avoid the native language (L1) unless necessary (</w:t>
      </w:r>
      <w:r>
        <w:rPr>
          <w:rFonts w:ascii="Times New Roman" w:hAnsi="Times New Roman" w:cs="Times New Roman"/>
          <w:color w:val="000000" w:themeColor="text1"/>
          <w:shd w:val="clear" w:color="auto" w:fill="FFFFFF"/>
        </w:rPr>
        <w:t>Littlewood &amp; Yu, 2009</w:t>
      </w:r>
      <w:r>
        <w:rPr>
          <w:rFonts w:ascii="Times New Roman" w:hAnsi="Times New Roman" w:cs="Times New Roman"/>
          <w:color w:val="000000"/>
          <w:shd w:val="clear" w:color="auto" w:fill="FFFFFF"/>
        </w:rPr>
        <w:t xml:space="preserve">). Due to ongoing </w:t>
      </w:r>
      <w:r>
        <w:rPr>
          <w:rFonts w:ascii="Times New Roman" w:hAnsi="Times New Roman" w:cs="Times New Roman"/>
          <w:color w:val="000000"/>
          <w:shd w:val="clear" w:color="auto" w:fill="FFFFFF"/>
        </w:rPr>
        <w:lastRenderedPageBreak/>
        <w:t xml:space="preserve">debates surrounding bilingual language use in EMI classrooms, a new and developing teaching and learning method called Translanguaging, especially Pedagogical Translanguaging, has emerged as a framework that reconceptualises the use of the native language (L1) in the foreign language classroom by arguing that the use of L1 alongside the target language is considered a functional language practice (Sapitri et al., 2018). </w:t>
      </w:r>
    </w:p>
    <w:p w14:paraId="19828DF0"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color w:val="000000"/>
          <w:shd w:val="clear" w:color="auto" w:fill="FFFFFF"/>
        </w:rPr>
        <w:t>Translanguaging has emerged as a response to EMI programs for non-native English learners, addressing challenges such as monolingual bias and the difficulties faced by learners with low English proficiency (Nguyen, 2022). According to Fang et al. (2022), Translanguaging, in both practice and pedagogy, has attracted growing interest for its recognition of the linguistic resources and cultural capital of both teachers and learners. </w:t>
      </w:r>
      <w:bookmarkEnd w:id="4"/>
      <w:bookmarkEnd w:id="5"/>
    </w:p>
    <w:p w14:paraId="408BF50C"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 study by Zumor and Qasem (2019) conducted in an EMI environment found that the language barrier was a significant factor in student failure. </w:t>
      </w:r>
      <w:r>
        <w:rPr>
          <w:rFonts w:ascii="Times New Roman" w:hAnsi="Times New Roman" w:cs="Times New Roman"/>
          <w:color w:val="FF0000"/>
          <w:shd w:val="clear" w:color="auto" w:fill="FFFFFF"/>
        </w:rPr>
        <w:t>This language barrier creates an immediate academic crisis for Vietnamese first-year English-majored students, who are suddenly forced to shift to a completely English-speaking environment. In practice, Iversen (2019) stated that students with low-level language proficiency often use translanguaging as a supplementary tool to understand the content of a text or lesson.</w:t>
      </w:r>
      <w:r>
        <w:rPr>
          <w:rFonts w:ascii="Times New Roman" w:hAnsi="Times New Roman" w:cs="Times New Roman"/>
          <w:color w:val="000000"/>
          <w:shd w:val="clear" w:color="auto" w:fill="FFFFFF"/>
        </w:rPr>
        <w:t xml:space="preserve"> This led to the emergence of translanguaging as the most intuitive and optimal problem-solving method, given its benefits. The use of translanguaging promotes students' metacognitive and critical-thinking abilities, while providing cognitive support (García &amp; Wei, 2014). </w:t>
      </w:r>
      <w:r>
        <w:rPr>
          <w:rFonts w:ascii="Times New Roman" w:hAnsi="Times New Roman" w:cs="Times New Roman"/>
          <w:color w:val="FF0000"/>
          <w:shd w:val="clear" w:color="auto" w:fill="FFFFFF"/>
        </w:rPr>
        <w:t xml:space="preserve">There is a significant gap in empirical and contextual research, as previous literature has focused primarily on teachers' perspectives, completely neglecting quantitative data on the perceptions of first-year English-majored students regarding the use of pedagogical translanguaging in EMI </w:t>
      </w:r>
      <w:r>
        <w:rPr>
          <w:rFonts w:ascii="Times New Roman" w:hAnsi="Times New Roman" w:cs="Times New Roman"/>
          <w:color w:val="FF0000"/>
          <w:shd w:val="clear" w:color="auto" w:fill="FFFFFF"/>
        </w:rPr>
        <w:lastRenderedPageBreak/>
        <w:t>environments within a Vietnamese context.</w:t>
      </w:r>
      <w:r>
        <w:rPr>
          <w:rFonts w:ascii="Times New Roman" w:hAnsi="Times New Roman" w:cs="Times New Roman"/>
          <w:color w:val="000000"/>
          <w:shd w:val="clear" w:color="auto" w:fill="FFFFFF"/>
        </w:rPr>
        <w:t xml:space="preserve"> This indicates that research on students' perceptions of pedagogical translanguaging is extremely useful at this stage.</w:t>
      </w:r>
    </w:p>
    <w:p w14:paraId="5444A46D" w14:textId="77777777" w:rsidR="00CD7377" w:rsidRDefault="00000000">
      <w:pPr>
        <w:spacing w:after="120" w:line="480" w:lineRule="auto"/>
        <w:ind w:firstLine="720"/>
        <w:jc w:val="both"/>
        <w:rPr>
          <w:rFonts w:ascii="Times New Roman" w:hAnsi="Times New Roman" w:cs="Times New Roman"/>
        </w:rPr>
      </w:pPr>
      <w:bookmarkStart w:id="6" w:name="_Toc9209"/>
      <w:bookmarkStart w:id="7" w:name="_Toc14014"/>
      <w:r>
        <w:rPr>
          <w:rFonts w:ascii="Times New Roman" w:hAnsi="Times New Roman" w:cs="Times New Roman"/>
          <w:color w:val="EE0000"/>
          <w:shd w:val="clear" w:color="auto" w:fill="FFFFFF"/>
        </w:rPr>
        <w:t>This research explored first-year English-majored students’ perceptions of pedagogical translanguaging in an EMI context and identified the practices most and least valued by students in EMI classrooms.</w:t>
      </w:r>
      <w:bookmarkEnd w:id="6"/>
      <w:bookmarkEnd w:id="7"/>
      <w:r>
        <w:rPr>
          <w:rFonts w:ascii="Times New Roman" w:hAnsi="Times New Roman" w:cs="Times New Roman"/>
          <w:color w:val="EE0000"/>
        </w:rPr>
        <w:t xml:space="preserve"> Other student groups (second-year to fourth-year students) were intentionally excluded from this study because first-year students face the greatest language shock during the first semester of the transition to English-language instruction at the university level.</w:t>
      </w:r>
      <w:r>
        <w:rPr>
          <w:rFonts w:ascii="Times New Roman" w:hAnsi="Times New Roman" w:cs="Times New Roman"/>
        </w:rPr>
        <w:t xml:space="preserve"> Theoretically, it not only contributed to the limited body of research on pedagogical translanguaging in teaching and learning within EMI environments but also shifted the focus from teachers to students. In practical terms, this study offers a deeper understanding of learners’ experiences of pedagogical translanguaging in the EMI context. Therefore, teachers and curriculum designers can know how students engage with translanguaging activities, thereby supporting more effective pedagogical decisions in EMI classrooms. To fulfil the purpose of the study, the paper was conducted to answer the following research questions: </w:t>
      </w:r>
    </w:p>
    <w:p w14:paraId="6864C5FB" w14:textId="77777777" w:rsidR="00CD7377" w:rsidRDefault="00000000">
      <w:pPr>
        <w:pStyle w:val="ListParagraph"/>
        <w:numPr>
          <w:ilvl w:val="0"/>
          <w:numId w:val="2"/>
        </w:numPr>
        <w:spacing w:after="120" w:line="480" w:lineRule="auto"/>
        <w:jc w:val="both"/>
        <w:rPr>
          <w:rFonts w:ascii="Times New Roman" w:hAnsi="Times New Roman" w:cs="Times New Roman"/>
        </w:rPr>
      </w:pPr>
      <w:r>
        <w:rPr>
          <w:rFonts w:ascii="Times New Roman" w:hAnsi="Times New Roman" w:cs="Times New Roman"/>
        </w:rPr>
        <w:t>How</w:t>
      </w:r>
      <w:r>
        <w:rPr>
          <w:rFonts w:ascii="Times New Roman" w:hAnsi="Times New Roman" w:cs="Times New Roman"/>
          <w:color w:val="000000"/>
          <w:shd w:val="clear" w:color="auto" w:fill="FFFFFF"/>
        </w:rPr>
        <w:t xml:space="preserve"> do </w:t>
      </w:r>
      <w:r>
        <w:rPr>
          <w:rFonts w:ascii="Times New Roman" w:hAnsi="Times New Roman" w:cs="Times New Roman"/>
          <w:color w:val="000000"/>
        </w:rPr>
        <w:t>first-year</w:t>
      </w:r>
      <w:r>
        <w:rPr>
          <w:rFonts w:ascii="Times New Roman" w:hAnsi="Times New Roman" w:cs="Times New Roman"/>
          <w:color w:val="000000"/>
          <w:shd w:val="clear" w:color="auto" w:fill="FFFFFF"/>
        </w:rPr>
        <w:t xml:space="preserve"> English-majored students perceive teachers’ pedagogical translanguaging practices in EMI classes? </w:t>
      </w:r>
    </w:p>
    <w:p w14:paraId="7D0C2CF5" w14:textId="77777777" w:rsidR="00CD7377" w:rsidRDefault="00000000">
      <w:pPr>
        <w:pStyle w:val="ListParagraph"/>
        <w:numPr>
          <w:ilvl w:val="0"/>
          <w:numId w:val="2"/>
        </w:numPr>
        <w:spacing w:after="120" w:line="480" w:lineRule="auto"/>
        <w:jc w:val="both"/>
        <w:rPr>
          <w:rFonts w:ascii="Times New Roman" w:hAnsi="Times New Roman" w:cs="Times New Roman"/>
        </w:rPr>
      </w:pPr>
      <w:r>
        <w:rPr>
          <w:rFonts w:ascii="Times New Roman" w:hAnsi="Times New Roman" w:cs="Times New Roman"/>
          <w:color w:val="000000"/>
          <w:shd w:val="clear" w:color="auto" w:fill="FFFFFF"/>
        </w:rPr>
        <w:t xml:space="preserve">Which pedagogical translanguaging practices are most and least valued by </w:t>
      </w:r>
      <w:r>
        <w:rPr>
          <w:rFonts w:ascii="Times New Roman" w:hAnsi="Times New Roman" w:cs="Times New Roman"/>
          <w:color w:val="000000"/>
        </w:rPr>
        <w:t xml:space="preserve">first-year </w:t>
      </w:r>
      <w:r>
        <w:rPr>
          <w:rFonts w:ascii="Times New Roman" w:hAnsi="Times New Roman" w:cs="Times New Roman"/>
          <w:color w:val="000000"/>
          <w:shd w:val="clear" w:color="auto" w:fill="FFFFFF"/>
        </w:rPr>
        <w:t>English-majored students in EMI classrooms? </w:t>
      </w:r>
    </w:p>
    <w:p w14:paraId="5725C018" w14:textId="77777777" w:rsidR="00CD7377" w:rsidRDefault="00000000">
      <w:pPr>
        <w:pStyle w:val="Heading1"/>
        <w:numPr>
          <w:ilvl w:val="0"/>
          <w:numId w:val="1"/>
        </w:numPr>
        <w:spacing w:beforeAutospacing="0" w:after="120" w:afterAutospacing="0" w:line="480" w:lineRule="auto"/>
      </w:pPr>
      <w:r>
        <w:t>Literature Review</w:t>
      </w:r>
    </w:p>
    <w:p w14:paraId="5E4733C1" w14:textId="77777777" w:rsidR="00CD7377" w:rsidRDefault="00000000">
      <w:pPr>
        <w:pStyle w:val="Heading3"/>
        <w:spacing w:beforeAutospacing="0" w:after="120" w:afterAutospacing="0" w:line="480" w:lineRule="auto"/>
        <w:rPr>
          <w:i/>
          <w:iCs/>
        </w:rPr>
      </w:pPr>
      <w:bookmarkStart w:id="8" w:name="_Toc229133244"/>
      <w:bookmarkStart w:id="9" w:name="_Toc22854"/>
      <w:bookmarkStart w:id="10" w:name="_Toc7566"/>
      <w:r>
        <w:rPr>
          <w:i/>
          <w:iCs/>
        </w:rPr>
        <w:t>2.1. EMI Context</w:t>
      </w:r>
      <w:bookmarkEnd w:id="8"/>
      <w:r>
        <w:rPr>
          <w:i/>
          <w:iCs/>
        </w:rPr>
        <w:t> </w:t>
      </w:r>
      <w:bookmarkEnd w:id="9"/>
      <w:bookmarkEnd w:id="10"/>
    </w:p>
    <w:p w14:paraId="6C99678D"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EMI has emerged as a rapidly expanding global phenomenon, with its demand spreading worldwide only over the past two decades (Romanowski, 2020). Macaro </w:t>
      </w:r>
      <w:r>
        <w:rPr>
          <w:rFonts w:ascii="Times New Roman" w:hAnsi="Times New Roman" w:cs="Times New Roman"/>
          <w:color w:val="000000"/>
          <w:shd w:val="clear" w:color="auto" w:fill="FFFFFF"/>
        </w:rPr>
        <w:lastRenderedPageBreak/>
        <w:t>(2020) defined EMI (English Medium of Instruction) as the provision of instruction in contexts where English is not the commonly used language. Dearden (2014) suggested EMI as the implementation of using English to teach academic subjects in countries or jurisdictions where the mother tongue (L1) of most of the population is not English. In this study, EMI is the use of English to teach academic subjects in countries such as Vietnam, where the majority of the population speaks a language other than English.</w:t>
      </w:r>
    </w:p>
    <w:p w14:paraId="54267067"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color w:val="000000"/>
          <w:shd w:val="clear" w:color="auto" w:fill="FFFFFF"/>
        </w:rPr>
        <w:t>Beyond promoting internationalisation and globalisation, EMI has been shown to benefit students whose first language is not English, as it helps develop their English proficiency, prepares them for the job market, and enables them to access abundant academic resources in English to succeed in higher education (Almatrafi, 2023).</w:t>
      </w:r>
      <w:r>
        <w:rPr>
          <w:rFonts w:ascii="Times New Roman" w:hAnsi="Times New Roman" w:cs="Times New Roman"/>
        </w:rPr>
        <w:t xml:space="preserve"> </w:t>
      </w:r>
    </w:p>
    <w:p w14:paraId="61B2F3B6"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In Vietnam, EMI programs may be implemented with MOET approval when institutions meet requirements related to teaching staff, facilities, and resources, or when they collaborate with qualified international partners (Vu et al., 2025).</w:t>
      </w:r>
    </w:p>
    <w:p w14:paraId="293C7438" w14:textId="77777777" w:rsidR="00CD7377" w:rsidRDefault="00000000">
      <w:pPr>
        <w:pStyle w:val="Heading3"/>
        <w:spacing w:beforeAutospacing="0" w:after="120" w:afterAutospacing="0" w:line="480" w:lineRule="auto"/>
        <w:rPr>
          <w:i/>
          <w:iCs/>
        </w:rPr>
      </w:pPr>
      <w:bookmarkStart w:id="11" w:name="_Toc3294"/>
      <w:bookmarkStart w:id="12" w:name="_Toc3925"/>
      <w:bookmarkStart w:id="13" w:name="_Toc229133245"/>
      <w:r>
        <w:rPr>
          <w:i/>
          <w:iCs/>
        </w:rPr>
        <w:t>2.2. Perception</w:t>
      </w:r>
    </w:p>
    <w:bookmarkEnd w:id="11"/>
    <w:bookmarkEnd w:id="12"/>
    <w:bookmarkEnd w:id="13"/>
    <w:p w14:paraId="0F435FCA"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In the field of education, André et al. (2020) argued that students' perceptions of actual classroom activities can be more important than what outsiders observe, because students' perceptions guide their own learning behaviour, based on their own understanding. In this study, perception refers to the beliefs or opinions held by first-year English-majored students, based on how things seem.</w:t>
      </w:r>
    </w:p>
    <w:p w14:paraId="26BE7AE3" w14:textId="77777777" w:rsidR="00CD7377" w:rsidRDefault="00000000">
      <w:pPr>
        <w:pStyle w:val="Heading3"/>
        <w:spacing w:beforeAutospacing="0" w:after="120" w:afterAutospacing="0" w:line="480" w:lineRule="auto"/>
        <w:rPr>
          <w:i/>
          <w:iCs/>
        </w:rPr>
      </w:pPr>
      <w:r>
        <w:rPr>
          <w:i/>
          <w:iCs/>
        </w:rPr>
        <w:t xml:space="preserve">2.3. Translanguaging </w:t>
      </w:r>
    </w:p>
    <w:p w14:paraId="747D1A46"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The concept of translanguaging is understood as a method of using language to integrate other linguistic resources, guided by pedagogical principles, to fully exploit students' multilingual abilities (Romanowski, 2020). In general, translanguaging refers to allowing students to draw on their native language repertoires to support learning in </w:t>
      </w:r>
      <w:r>
        <w:rPr>
          <w:rFonts w:ascii="Times New Roman" w:hAnsi="Times New Roman" w:cs="Times New Roman"/>
          <w:color w:val="000000"/>
          <w:shd w:val="clear" w:color="auto" w:fill="FFFFFF"/>
        </w:rPr>
        <w:lastRenderedPageBreak/>
        <w:t xml:space="preserve">a target-language classroom (Khairunnisa &amp; Lukmana, 2020). According to Nguyen (2022), translanguaging is viewed from two perspectives: a sociolinguistic one, which describes the fluid language practices of communities, and a pedagogical one, where teachers and students collaboratively create spaces that embrace diverse language use to support creative and critical learning. </w:t>
      </w:r>
    </w:p>
    <w:p w14:paraId="7E65D807"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In the context of education, translanguaging refers to the strategic and purposeful use of learners' language by teachers to support the learning process by leveraging learners' full linguistic resources, which are collectively stored (Barahona, 2020). </w:t>
      </w:r>
    </w:p>
    <w:p w14:paraId="241D7443"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Translanguaging, beyond educational contexts, is mentioned by Sahib (2019), who claims that it has occurred outside the classroom. However, in this study, the focus is on the educational context, thereby omitting spontaneous translanguaging.</w:t>
      </w:r>
    </w:p>
    <w:p w14:paraId="19020196" w14:textId="77777777" w:rsidR="00CD7377" w:rsidRDefault="00000000">
      <w:pPr>
        <w:spacing w:after="120" w:line="480" w:lineRule="auto"/>
        <w:jc w:val="both"/>
        <w:rPr>
          <w:rFonts w:ascii="Times New Roman" w:hAnsi="Times New Roman" w:cs="Times New Roman"/>
          <w:b/>
          <w:bCs/>
          <w:i/>
          <w:iCs/>
        </w:rPr>
      </w:pPr>
      <w:bookmarkStart w:id="14" w:name="_Toc229133247"/>
      <w:bookmarkStart w:id="15" w:name="_Toc3558"/>
      <w:bookmarkStart w:id="16" w:name="_Toc14873"/>
      <w:r>
        <w:rPr>
          <w:rFonts w:ascii="Times New Roman" w:hAnsi="Times New Roman" w:cs="Times New Roman"/>
          <w:b/>
          <w:bCs/>
          <w:i/>
          <w:iCs/>
        </w:rPr>
        <w:t>2.4 Translanguaging and Code-Switching </w:t>
      </w:r>
      <w:bookmarkEnd w:id="14"/>
      <w:r>
        <w:rPr>
          <w:rFonts w:ascii="Times New Roman" w:hAnsi="Times New Roman" w:cs="Times New Roman"/>
          <w:b/>
          <w:bCs/>
          <w:i/>
          <w:iCs/>
        </w:rPr>
        <w:t> </w:t>
      </w:r>
      <w:bookmarkEnd w:id="15"/>
      <w:bookmarkEnd w:id="16"/>
    </w:p>
    <w:p w14:paraId="7D03A9C3"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Sahib (2019) claimed that translanguaging and code-switching share certain similarities, such as both involving the use of students’ first language to support second-language learning in the classroom and both entailing shifting between languages during communication. However, Cahyani et al. (2016) clarified that translanguaging differs from code-switching in that it is not simply a conversion between two separate monolingual languages but rather combines the two languages into a unified whole to achieve effective communication. </w:t>
      </w:r>
    </w:p>
    <w:p w14:paraId="1094889E"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This study focuses solely on translanguaging practices, as they provide a more comprehensive and holistic framework for understanding multilingual meaning-making in EMI classrooms.</w:t>
      </w:r>
    </w:p>
    <w:p w14:paraId="2D49C2BB" w14:textId="77777777" w:rsidR="00CD7377" w:rsidRDefault="00000000">
      <w:pPr>
        <w:pStyle w:val="Heading3"/>
        <w:spacing w:beforeAutospacing="0" w:after="120" w:afterAutospacing="0" w:line="480" w:lineRule="auto"/>
        <w:rPr>
          <w:i/>
          <w:iCs/>
        </w:rPr>
      </w:pPr>
      <w:r>
        <w:rPr>
          <w:i/>
          <w:iCs/>
        </w:rPr>
        <w:t xml:space="preserve">2.5. Pedagogical Translanguaging </w:t>
      </w:r>
    </w:p>
    <w:p w14:paraId="01C055A8"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 xml:space="preserve">Translanguaging pedagogy has increasingly attracted attention as it facilitates teaching and learning while allowing both learners and teachers greater flexibility in their language use for expression (Romanowski, 2020). Moraczewska (2024) stated that translanguaging pedagogy intentionally draws on students’ existing linguistic resources to support knowledge construction and active participation in meaning-making. </w:t>
      </w:r>
    </w:p>
    <w:p w14:paraId="4AA2B9B7"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Specifically, in this study, pedagogical translanguaging refers to the intentional classroom practice in which a teacher actively values students' full linguistic repertoires as a fundamental right, designs lessons that purposefully connect home languages to ensure complete comprehension and flexibly utilises spontaneous language shifts during interactions to support meaningful learning.  </w:t>
      </w:r>
    </w:p>
    <w:p w14:paraId="5FBB7759"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Cenoz and Gorter (2021) stated some characteristics of pedagogical translanguaging. First, this approach offers a wide range of practices and activities that draw on elements from the entire linguistic repertoire. It has different functions, such as gaining a deeper understanding of academic texts, accessing more information, developing metalinguistic awareness, and reinforcing skills through coordinated activities across different languages. Second, it can be applied to more programmes and a wide range of students at all levels of education (Cenoz &amp; Gorter, 2021). </w:t>
      </w:r>
    </w:p>
    <w:p w14:paraId="35DE8852" w14:textId="77777777" w:rsidR="00CD7377" w:rsidRDefault="00000000">
      <w:pPr>
        <w:spacing w:after="120" w:line="480" w:lineRule="auto"/>
        <w:jc w:val="both"/>
        <w:rPr>
          <w:rFonts w:ascii="Times New Roman" w:hAnsi="Times New Roman" w:cs="Times New Roman"/>
          <w:i/>
          <w:iCs/>
        </w:rPr>
      </w:pPr>
      <w:bookmarkStart w:id="17" w:name="_Toc25263"/>
      <w:bookmarkStart w:id="18" w:name="_Toc28877"/>
      <w:bookmarkStart w:id="19" w:name="_Toc229133249"/>
      <w:r>
        <w:rPr>
          <w:rFonts w:ascii="Times New Roman" w:hAnsi="Times New Roman" w:cs="Times New Roman"/>
          <w:i/>
          <w:iCs/>
        </w:rPr>
        <w:t>2.5.1. Benefits of Pedagogical Translanguaging</w:t>
      </w:r>
      <w:bookmarkEnd w:id="17"/>
      <w:bookmarkEnd w:id="18"/>
      <w:bookmarkEnd w:id="19"/>
    </w:p>
    <w:p w14:paraId="35207659"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In the educational context, translanguaging is viewed as a scaffolding strategy but a holistic meaning-making process of language and learning (Pantalleresco, 2021). Baker (2011) emphasised four educational advantages of translanguaging in the classroom. First, he asserted that translanguaging helps learners better understand the subject matter through interdependence and language transfer between their native language (L1) and the target language (TL). Baker claimed that L1 offers learners </w:t>
      </w:r>
      <w:r>
        <w:rPr>
          <w:rFonts w:ascii="Times New Roman" w:hAnsi="Times New Roman" w:cs="Times New Roman"/>
          <w:color w:val="000000"/>
          <w:shd w:val="clear" w:color="auto" w:fill="FFFFFF"/>
        </w:rPr>
        <w:lastRenderedPageBreak/>
        <w:t xml:space="preserve">greater comfort and a sense of safety. It is the strongest language, which can help develop skills in TL. These two benefits align well with the first dimension of the framework of García et al. (2017), which focuses on the Teacher’s Stance. The third advantage mentioned by Baker is that multilingualism facilitates communication between school and family, especially when parents do not understand the target language their child is being taught. Finally, integrating both languages in the classroom allows learners to develop their second-language skills while learning the subject matter. </w:t>
      </w:r>
    </w:p>
    <w:p w14:paraId="396915E4" w14:textId="77777777" w:rsidR="00CD7377" w:rsidRDefault="00000000">
      <w:pPr>
        <w:spacing w:after="120" w:line="480" w:lineRule="auto"/>
        <w:jc w:val="both"/>
        <w:rPr>
          <w:rFonts w:ascii="Times New Roman" w:hAnsi="Times New Roman" w:cs="Times New Roman"/>
          <w:i/>
          <w:iCs/>
        </w:rPr>
      </w:pPr>
      <w:bookmarkStart w:id="20" w:name="_Toc229133250"/>
      <w:bookmarkStart w:id="21" w:name="_Toc22220"/>
      <w:bookmarkStart w:id="22" w:name="_Toc25689"/>
      <w:r>
        <w:rPr>
          <w:rFonts w:ascii="Times New Roman" w:hAnsi="Times New Roman" w:cs="Times New Roman"/>
          <w:i/>
          <w:iCs/>
        </w:rPr>
        <w:t>2.5.2. Disadvantages of Pedagogical Translanguaging</w:t>
      </w:r>
      <w:bookmarkEnd w:id="20"/>
      <w:bookmarkEnd w:id="21"/>
      <w:bookmarkEnd w:id="22"/>
    </w:p>
    <w:p w14:paraId="0F799257"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Allard (2017) found that participants had negative attitudes toward translanguaging because it distracted them and reduced their ability to absorb knowledge in the target language, leading them to prefer English-language instruction. </w:t>
      </w:r>
    </w:p>
    <w:p w14:paraId="45EFC429"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The overuse of the mother tongue in the classroom can hinder students' language development, as they have not been adequately exposed to the target language (Yuvayapan, 2019). </w:t>
      </w:r>
    </w:p>
    <w:p w14:paraId="1A452759"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Furthermore, translanguaging can lead to some misunderstandings between languages, as students may misuse vocabulary by relying on inappropriate Vietnamese equivalents (Bui &amp; Nguyen, 2014).</w:t>
      </w:r>
    </w:p>
    <w:p w14:paraId="6A033BA0" w14:textId="77777777" w:rsidR="00CD7377" w:rsidRDefault="00000000">
      <w:pPr>
        <w:spacing w:after="120" w:line="480" w:lineRule="auto"/>
        <w:jc w:val="both"/>
        <w:rPr>
          <w:rFonts w:ascii="Times New Roman" w:hAnsi="Times New Roman" w:cs="Times New Roman"/>
          <w:i/>
          <w:iCs/>
        </w:rPr>
      </w:pPr>
      <w:bookmarkStart w:id="23" w:name="_Toc229133251"/>
      <w:bookmarkStart w:id="24" w:name="_Toc14823"/>
      <w:bookmarkStart w:id="25" w:name="_Toc9746"/>
      <w:r>
        <w:rPr>
          <w:rFonts w:ascii="Times New Roman" w:hAnsi="Times New Roman" w:cs="Times New Roman"/>
          <w:i/>
          <w:iCs/>
        </w:rPr>
        <w:t>2.5.3. Translanguaging Practices </w:t>
      </w:r>
      <w:bookmarkEnd w:id="23"/>
      <w:r>
        <w:rPr>
          <w:rFonts w:ascii="Times New Roman" w:hAnsi="Times New Roman" w:cs="Times New Roman"/>
          <w:i/>
          <w:iCs/>
        </w:rPr>
        <w:t> </w:t>
      </w:r>
      <w:bookmarkEnd w:id="24"/>
      <w:bookmarkEnd w:id="25"/>
    </w:p>
    <w:p w14:paraId="19134F1B"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Regarding pedagogical translanguaging practices, Cenoz and Gorter (2021) stated that they aimed to activate prior multilingual knowledge in different forms. There are five pedagogical purposes in this study: explaining concepts, checking comprehension, localising content, reinforcing instructions, and building relationships (Fang &amp; Liu, 2020).</w:t>
      </w:r>
    </w:p>
    <w:p w14:paraId="14CE7A74" w14:textId="77777777" w:rsidR="00CD7377" w:rsidRDefault="00000000">
      <w:pPr>
        <w:pStyle w:val="Heading3"/>
        <w:spacing w:beforeAutospacing="0" w:after="120" w:afterAutospacing="0" w:line="480" w:lineRule="auto"/>
        <w:rPr>
          <w:i/>
          <w:iCs/>
        </w:rPr>
      </w:pPr>
      <w:r>
        <w:rPr>
          <w:i/>
          <w:iCs/>
        </w:rPr>
        <w:t>2.6. Conceptual framework</w:t>
      </w:r>
    </w:p>
    <w:p w14:paraId="503C7E18"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 xml:space="preserve">This study employed a pedagogical framework of García et al. (2017), which formulated three components: translanguaging Stance, translanguaging Design, and translanguaging Shift. </w:t>
      </w:r>
    </w:p>
    <w:p w14:paraId="3BBE4346" w14:textId="77777777" w:rsidR="00CD7377" w:rsidRDefault="00000000">
      <w:pPr>
        <w:pStyle w:val="Heading3"/>
        <w:spacing w:beforeAutospacing="0" w:after="120" w:afterAutospacing="0" w:line="480" w:lineRule="auto"/>
        <w:rPr>
          <w:shd w:val="clear" w:color="auto" w:fill="FFFFFF"/>
        </w:rPr>
      </w:pPr>
      <w:r>
        <w:rPr>
          <w:shd w:val="clear" w:color="auto" w:fill="FFFFFF"/>
        </w:rPr>
        <w:t>Figure 1</w:t>
      </w:r>
    </w:p>
    <w:p w14:paraId="0D27A522" w14:textId="77777777" w:rsidR="00CD7377" w:rsidRDefault="00000000">
      <w:pPr>
        <w:spacing w:after="120" w:line="480" w:lineRule="auto"/>
        <w:jc w:val="both"/>
        <w:rPr>
          <w:rFonts w:ascii="Times New Roman" w:hAnsi="Times New Roman" w:cs="Times New Roman"/>
          <w:i/>
          <w:iCs/>
          <w:color w:val="000000"/>
          <w:shd w:val="clear" w:color="auto" w:fill="FFFFFF"/>
        </w:rPr>
      </w:pPr>
      <w:r>
        <w:rPr>
          <w:rFonts w:ascii="Times New Roman" w:hAnsi="Times New Roman" w:cs="Times New Roman"/>
          <w:i/>
          <w:iCs/>
          <w:color w:val="000000"/>
          <w:shd w:val="clear" w:color="auto" w:fill="FFFFFF"/>
        </w:rPr>
        <w:t>Pedagogical Translanguaging framework by García et al. (2017)</w:t>
      </w:r>
    </w:p>
    <w:p w14:paraId="44F6AE84" w14:textId="77777777" w:rsidR="00CD7377" w:rsidRDefault="00000000">
      <w:pPr>
        <w:spacing w:after="120" w:line="480" w:lineRule="auto"/>
        <w:ind w:firstLine="720"/>
        <w:jc w:val="center"/>
        <w:rPr>
          <w:rFonts w:ascii="Times New Roman" w:hAnsi="Times New Roman" w:cs="Times New Roman"/>
          <w:color w:val="000000"/>
          <w:shd w:val="clear" w:color="auto" w:fill="FFFFFF"/>
        </w:rPr>
      </w:pPr>
      <w:r>
        <w:rPr>
          <w:rFonts w:ascii="Times New Roman" w:hAnsi="Times New Roman" w:cs="Times New Roman"/>
          <w:noProof/>
          <w:color w:val="000000"/>
          <w:shd w:val="clear" w:color="auto" w:fill="FFFFFF"/>
        </w:rPr>
        <w:drawing>
          <wp:inline distT="0" distB="0" distL="0" distR="0" wp14:anchorId="4A250D17" wp14:editId="0A73F829">
            <wp:extent cx="3878580" cy="1242060"/>
            <wp:effectExtent l="0" t="0" r="7620" b="0"/>
            <wp:docPr id="205942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2343" name="Picture 1"/>
                    <pic:cNvPicPr>
                      <a:picLocks noChangeAspect="1"/>
                    </pic:cNvPicPr>
                  </pic:nvPicPr>
                  <pic:blipFill>
                    <a:blip r:embed="rId8"/>
                    <a:stretch>
                      <a:fillRect/>
                    </a:stretch>
                  </pic:blipFill>
                  <pic:spPr>
                    <a:xfrm>
                      <a:off x="0" y="0"/>
                      <a:ext cx="3889790" cy="1245725"/>
                    </a:xfrm>
                    <a:prstGeom prst="rect">
                      <a:avLst/>
                    </a:prstGeom>
                  </pic:spPr>
                </pic:pic>
              </a:graphicData>
            </a:graphic>
          </wp:inline>
        </w:drawing>
      </w:r>
    </w:p>
    <w:p w14:paraId="4691DB63" w14:textId="77777777" w:rsidR="00CD7377" w:rsidRDefault="00000000">
      <w:pPr>
        <w:spacing w:after="120" w:line="480" w:lineRule="auto"/>
        <w:ind w:firstLine="720"/>
        <w:jc w:val="both"/>
        <w:rPr>
          <w:rFonts w:ascii="Times New Roman" w:hAnsi="Times New Roman" w:cs="Times New Roman"/>
          <w:color w:val="FF0000"/>
          <w:shd w:val="clear" w:color="auto" w:fill="FFFFFF"/>
        </w:rPr>
      </w:pPr>
      <w:r>
        <w:rPr>
          <w:rFonts w:ascii="Times New Roman" w:hAnsi="Times New Roman" w:cs="Times New Roman"/>
          <w:color w:val="FF0000"/>
          <w:shd w:val="clear" w:color="auto" w:fill="FFFFFF"/>
        </w:rPr>
        <w:t xml:space="preserve">To be more specific, the Stance refers to “teacher’s belief that a bilingual student has one holistic language repertoire that he or she draws on at school” (Turnbull, 2017, p.1). The Design involves the deliberate integration of students' native and school languages into classroom activities, while the Shift represents the emergence of unplanned, spontaneous translanguaging, with the teacher making immediate decisions that demonstrate flexibility and a willingness to support students' voices (Moraczewska, 2024). </w:t>
      </w:r>
    </w:p>
    <w:p w14:paraId="649A5235"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In general, these three dimensions will be used in this study to address the two research questions mentioned above.</w:t>
      </w:r>
    </w:p>
    <w:p w14:paraId="0F50B504" w14:textId="77777777" w:rsidR="00CD7377" w:rsidRDefault="00000000">
      <w:pPr>
        <w:pStyle w:val="Heading3"/>
        <w:spacing w:beforeAutospacing="0" w:after="120" w:afterAutospacing="0" w:line="480" w:lineRule="auto"/>
        <w:rPr>
          <w:i/>
          <w:iCs/>
        </w:rPr>
      </w:pPr>
      <w:r>
        <w:rPr>
          <w:i/>
          <w:iCs/>
        </w:rPr>
        <w:t>2.7. Previous studies  </w:t>
      </w:r>
    </w:p>
    <w:p w14:paraId="263D144D"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color w:val="000000"/>
          <w:shd w:val="clear" w:color="auto" w:fill="FFFFFF"/>
        </w:rPr>
        <w:t xml:space="preserve">Several previous studies have explored subjects' perceptions of translanguaging in various countries worldwide, including students and teachers. Romanowski (2020) conducted research to explore students' and teachers' perceptions of translanguaging in EMI classrooms in Poland. Almatrafi (2023) conducted a study of Saudi EFL students to investigate their perceptions of pedagogical translanguaging in English-Medium </w:t>
      </w:r>
      <w:r>
        <w:rPr>
          <w:rFonts w:ascii="Times New Roman" w:hAnsi="Times New Roman" w:cs="Times New Roman"/>
          <w:color w:val="000000"/>
          <w:shd w:val="clear" w:color="auto" w:fill="FFFFFF"/>
        </w:rPr>
        <w:lastRenderedPageBreak/>
        <w:t xml:space="preserve">Instruction. Both studies found that teachers and students had a positive outlook on classroom translanguaging. However, they mostly focus on teachers, who actively apply translanguaging in their teaching, neglecting in-depth research on students, who are the direct recipients of this practice. </w:t>
      </w:r>
    </w:p>
    <w:p w14:paraId="10408A25"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In the Vietnamese context, the use of translanguaging has recently attracted researchers’ attention; however, it remains understudied. A study conducted by Pham and Vu (2023) examined EFL secondary school teachers in both public and private schools in Hanoi. With a convergent mixed-methods study, the results showed that most teachers had positive attitudes toward translanguaging. They acknowledged its role in scaffolding students’ learning, particularly for cognitive functions such as explaining grammar and vocabulary. Moreover, Ngo (2025) conducted research on EFL Learners’ Perceptions of translanguaging in English classes at an HCM English Centre and found that students with lower levels of competence are more receptive to its use. </w:t>
      </w:r>
    </w:p>
    <w:p w14:paraId="17005B73"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However, there is still little research on EMI in the university setting, where students' perspectives are considered important. In general, very few studies have sought to gather perspectives from linguistics students on how they perceive the use of translanguaging at the university level. These shortcomings in previous studies, along with the lack of research in the Vietnamese context, serve as inspiration for this study, which explores first-year English-majored students’ perceptions of pedagogical translanguaging in an EMI context. This study is significant to conduct to enrich the literature on translanguaging.</w:t>
      </w:r>
    </w:p>
    <w:p w14:paraId="03C1127D" w14:textId="77777777" w:rsidR="00CD7377" w:rsidRDefault="00000000">
      <w:pPr>
        <w:pStyle w:val="Heading1"/>
        <w:numPr>
          <w:ilvl w:val="0"/>
          <w:numId w:val="1"/>
        </w:numPr>
        <w:spacing w:beforeAutospacing="0" w:after="120" w:afterAutospacing="0" w:line="480" w:lineRule="auto"/>
      </w:pPr>
      <w:r>
        <w:t>Methodology</w:t>
      </w:r>
    </w:p>
    <w:p w14:paraId="20EEF25F" w14:textId="77777777" w:rsidR="00CD7377" w:rsidRDefault="00000000">
      <w:pPr>
        <w:pStyle w:val="Heading3"/>
        <w:spacing w:beforeAutospacing="0" w:after="120" w:afterAutospacing="0" w:line="480" w:lineRule="auto"/>
        <w:rPr>
          <w:i/>
          <w:iCs/>
        </w:rPr>
      </w:pPr>
      <w:bookmarkStart w:id="26" w:name="_Toc4916"/>
      <w:bookmarkStart w:id="27" w:name="_Toc4523"/>
      <w:bookmarkStart w:id="28" w:name="_Toc229133255"/>
      <w:r>
        <w:rPr>
          <w:i/>
          <w:iCs/>
        </w:rPr>
        <w:t>3.1. Study design  </w:t>
      </w:r>
    </w:p>
    <w:bookmarkEnd w:id="26"/>
    <w:bookmarkEnd w:id="27"/>
    <w:bookmarkEnd w:id="28"/>
    <w:p w14:paraId="09D4D964"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 xml:space="preserve">The study employs a quantitative design to investigate students' perceptions of teachers' translanguaging practices in EMI classrooms. Rahman (2017) noted that an advantage of quantitative research is that quantitative results can potentially be generalised to the entire population or to a smaller population group. </w:t>
      </w:r>
      <w:bookmarkStart w:id="29" w:name="_Toc6982"/>
      <w:bookmarkStart w:id="30" w:name="_Toc229133256"/>
      <w:bookmarkStart w:id="31" w:name="_Toc14937"/>
      <w:r>
        <w:rPr>
          <w:rFonts w:ascii="Times New Roman" w:hAnsi="Times New Roman" w:cs="Times New Roman"/>
          <w:color w:val="000000"/>
          <w:shd w:val="clear" w:color="auto" w:fill="FFFFFF"/>
        </w:rPr>
        <w:t xml:space="preserve"> </w:t>
      </w:r>
    </w:p>
    <w:bookmarkEnd w:id="29"/>
    <w:bookmarkEnd w:id="30"/>
    <w:bookmarkEnd w:id="31"/>
    <w:p w14:paraId="45A4919E" w14:textId="77777777" w:rsidR="00CD7377" w:rsidRDefault="00000000">
      <w:pPr>
        <w:pStyle w:val="Heading3"/>
        <w:spacing w:beforeAutospacing="0" w:after="120" w:afterAutospacing="0" w:line="480" w:lineRule="auto"/>
        <w:rPr>
          <w:i/>
          <w:iCs/>
        </w:rPr>
      </w:pPr>
      <w:r>
        <w:rPr>
          <w:i/>
          <w:iCs/>
        </w:rPr>
        <w:t>3.2. Participants  </w:t>
      </w:r>
    </w:p>
    <w:p w14:paraId="55732E64"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EE0000"/>
          <w:shd w:val="clear" w:color="auto" w:fill="FFFFFF"/>
        </w:rPr>
        <w:t>The study sample consisted of 50 first-year English Linguistics and Literature students at an EMI university in Ho Chi Minh City</w:t>
      </w:r>
      <w:r>
        <w:rPr>
          <w:rFonts w:ascii="Times New Roman" w:hAnsi="Times New Roman" w:cs="Times New Roman"/>
          <w:color w:val="000000"/>
          <w:shd w:val="clear" w:color="auto" w:fill="FFFFFF"/>
        </w:rPr>
        <w:t xml:space="preserve">. The participants were recent high school graduates who were gradually adapting to a teaching and learning environment conducted entirely in English. Therefore, many first-year students may feel overwhelmed by the amount of information they receive in English. </w:t>
      </w:r>
    </w:p>
    <w:p w14:paraId="3EC7A3EB"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Altheyab and Alalwi (2022) reported that EMI implementation can yield disappointing results, especially for students whose English proficiency is not yet sufficient. More specifically, linguistics students were selected because the research aimed to understand their perceptions of teachers' pedagogical translanguaging practices in light of the changing language-learning environment. </w:t>
      </w:r>
    </w:p>
    <w:p w14:paraId="0BE8564D"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The study was conducted after first-year students of the 2025-2026 cohort had completed their first semester. In their first semester of university, students who had spent sufficient time in an EMI environment were able to recognise the pedagogical translanguaging techniques instructors used to support learning. </w:t>
      </w:r>
      <w:bookmarkStart w:id="32" w:name="_Toc17350"/>
      <w:bookmarkStart w:id="33" w:name="_Toc24484"/>
      <w:bookmarkStart w:id="34" w:name="_Toc229133257"/>
    </w:p>
    <w:p w14:paraId="6B4378F9" w14:textId="77777777" w:rsidR="00CD7377" w:rsidRDefault="00000000">
      <w:pPr>
        <w:pStyle w:val="Heading3"/>
        <w:spacing w:beforeAutospacing="0" w:after="120" w:afterAutospacing="0" w:line="480" w:lineRule="auto"/>
        <w:rPr>
          <w:i/>
          <w:iCs/>
        </w:rPr>
      </w:pPr>
      <w:r>
        <w:rPr>
          <w:i/>
          <w:iCs/>
        </w:rPr>
        <w:t>3.3. Sampling  </w:t>
      </w:r>
    </w:p>
    <w:p w14:paraId="1684E0B8" w14:textId="77777777" w:rsidR="00CD7377" w:rsidRDefault="00000000">
      <w:pPr>
        <w:spacing w:after="120" w:line="480" w:lineRule="auto"/>
        <w:ind w:firstLine="720"/>
        <w:jc w:val="both"/>
        <w:rPr>
          <w:rFonts w:ascii="Times New Roman" w:hAnsi="Times New Roman" w:cs="Times New Roman"/>
          <w:color w:val="000000" w:themeColor="text1"/>
        </w:rPr>
      </w:pPr>
      <w:r>
        <w:rPr>
          <w:rFonts w:ascii="Times New Roman" w:hAnsi="Times New Roman" w:cs="Times New Roman"/>
          <w:color w:val="000000"/>
          <w:shd w:val="clear" w:color="auto" w:fill="FFFFFF"/>
        </w:rPr>
        <w:t xml:space="preserve">This study utilises a non-probability purposive sampling method to ensure that all participants are first-year English-majored students experiencing the phenomenon under study. The purposive sampling technique involves selecting candidates across a broad spectrum relating to the topic of study (Etikan </w:t>
      </w:r>
      <w:r>
        <w:rPr>
          <w:rFonts w:ascii="Times New Roman" w:hAnsi="Times New Roman" w:cs="Times New Roman"/>
          <w:color w:val="000000" w:themeColor="text1"/>
        </w:rPr>
        <w:t>et al.</w:t>
      </w:r>
      <w:r>
        <w:rPr>
          <w:rFonts w:ascii="Times New Roman" w:hAnsi="Times New Roman" w:cs="Times New Roman"/>
          <w:color w:val="000000"/>
          <w:shd w:val="clear" w:color="auto" w:fill="FFFFFF"/>
        </w:rPr>
        <w:t xml:space="preserve">, 2016). The primary goal of </w:t>
      </w:r>
      <w:r>
        <w:rPr>
          <w:rFonts w:ascii="Times New Roman" w:hAnsi="Times New Roman" w:cs="Times New Roman"/>
          <w:color w:val="000000"/>
          <w:shd w:val="clear" w:color="auto" w:fill="FFFFFF"/>
        </w:rPr>
        <w:lastRenderedPageBreak/>
        <w:t>targeted sampling is to focus on specific characteristics of the population of interest, thereby providing reliable responses (Rai &amp; Thapa, 2015).</w:t>
      </w:r>
    </w:p>
    <w:p w14:paraId="02ADBADB"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color w:val="000000"/>
          <w:shd w:val="clear" w:color="auto" w:fill="FFFFFF"/>
        </w:rPr>
        <w:t>In this study, participants had to be first-year English majors studying in an EMI environment with pedagogical translanguaging applied by the instructors.</w:t>
      </w:r>
    </w:p>
    <w:p w14:paraId="5DE60606" w14:textId="77777777" w:rsidR="00CD7377" w:rsidRDefault="00000000">
      <w:pPr>
        <w:pStyle w:val="Heading3"/>
        <w:spacing w:beforeAutospacing="0" w:after="120" w:afterAutospacing="0" w:line="480" w:lineRule="auto"/>
        <w:rPr>
          <w:i/>
          <w:iCs/>
        </w:rPr>
      </w:pPr>
      <w:r>
        <w:rPr>
          <w:i/>
          <w:iCs/>
        </w:rPr>
        <w:t>3.4. Instruments  </w:t>
      </w:r>
    </w:p>
    <w:bookmarkEnd w:id="32"/>
    <w:bookmarkEnd w:id="33"/>
    <w:bookmarkEnd w:id="34"/>
    <w:p w14:paraId="5C82034D"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color w:val="000000"/>
          <w:shd w:val="clear" w:color="auto" w:fill="FFFFFF"/>
        </w:rPr>
        <w:t>A structured questionnaire was designed to collect data on first-year English majors' perceptions of pedagogical translanguaging in EMI classrooms. The questionnaire is based on the theoretical framework of pedagogical translanguaging proposed by García et al. (2017), encompassing three components: Stance, Design, and Shifts.</w:t>
      </w:r>
    </w:p>
    <w:p w14:paraId="02C579C4" w14:textId="080B2A24"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The first section gathered demographic information about participants. The second section included </w:t>
      </w:r>
      <w:r w:rsidRPr="008B021B">
        <w:rPr>
          <w:rFonts w:ascii="Times New Roman" w:hAnsi="Times New Roman" w:cs="Times New Roman"/>
          <w:shd w:val="clear" w:color="auto" w:fill="FFFFFF"/>
        </w:rPr>
        <w:t>1</w:t>
      </w:r>
      <w:r w:rsidR="008B021B" w:rsidRPr="008B021B">
        <w:rPr>
          <w:rFonts w:ascii="Times New Roman" w:hAnsi="Times New Roman" w:cs="Times New Roman"/>
          <w:shd w:val="clear" w:color="auto" w:fill="FFFFFF"/>
        </w:rPr>
        <w:t>5</w:t>
      </w:r>
      <w:r w:rsidRPr="008B021B">
        <w:rPr>
          <w:rFonts w:ascii="Times New Roman" w:hAnsi="Times New Roman" w:cs="Times New Roman"/>
          <w:color w:val="EE0000"/>
          <w:shd w:val="clear" w:color="auto" w:fill="FFFFFF"/>
        </w:rPr>
        <w:t xml:space="preserve"> </w:t>
      </w:r>
      <w:r>
        <w:rPr>
          <w:rFonts w:ascii="Times New Roman" w:hAnsi="Times New Roman" w:cs="Times New Roman"/>
          <w:color w:val="000000"/>
          <w:shd w:val="clear" w:color="auto" w:fill="FFFFFF"/>
        </w:rPr>
        <w:t xml:space="preserve">Likert-scale items rated on a 5-point scale (1 = Strongly Disagree, 5 = Strongly Agree) regarding students’ perceptions of the three dimensions mentioned above.  </w:t>
      </w:r>
      <w:r w:rsidR="008B021B" w:rsidRPr="008B021B">
        <w:rPr>
          <w:rFonts w:ascii="Times New Roman" w:hAnsi="Times New Roman" w:cs="Times New Roman"/>
          <w:color w:val="EE0000"/>
          <w:shd w:val="clear" w:color="auto" w:fill="FFFFFF"/>
        </w:rPr>
        <w:t xml:space="preserve">To be specific, items B1-B3 were used to explore </w:t>
      </w:r>
      <w:r w:rsidR="008B021B" w:rsidRPr="008B021B">
        <w:rPr>
          <w:rFonts w:ascii="Times New Roman" w:hAnsi="Times New Roman" w:cs="Times New Roman"/>
          <w:color w:val="EE0000"/>
        </w:rPr>
        <w:t xml:space="preserve">student perceptions of Translanguaging Practices </w:t>
      </w:r>
      <w:r w:rsidR="008B021B">
        <w:rPr>
          <w:rFonts w:ascii="Times New Roman" w:hAnsi="Times New Roman" w:cs="Times New Roman"/>
          <w:color w:val="EE0000"/>
        </w:rPr>
        <w:t>–</w:t>
      </w:r>
      <w:r w:rsidR="008B021B" w:rsidRPr="008B021B">
        <w:rPr>
          <w:rFonts w:ascii="Times New Roman" w:hAnsi="Times New Roman" w:cs="Times New Roman"/>
          <w:color w:val="EE0000"/>
        </w:rPr>
        <w:t xml:space="preserve"> </w:t>
      </w:r>
      <w:r w:rsidR="008B021B">
        <w:rPr>
          <w:rFonts w:ascii="Times New Roman" w:hAnsi="Times New Roman" w:cs="Times New Roman"/>
          <w:color w:val="EE0000"/>
        </w:rPr>
        <w:t xml:space="preserve">dimension </w:t>
      </w:r>
      <w:r w:rsidR="008B021B" w:rsidRPr="008B021B">
        <w:rPr>
          <w:rFonts w:ascii="Times New Roman" w:hAnsi="Times New Roman" w:cs="Times New Roman"/>
          <w:color w:val="EE0000"/>
        </w:rPr>
        <w:t>Stance</w:t>
      </w:r>
      <w:r w:rsidR="008B021B">
        <w:rPr>
          <w:rFonts w:ascii="Times New Roman" w:hAnsi="Times New Roman" w:cs="Times New Roman"/>
          <w:color w:val="EE0000"/>
        </w:rPr>
        <w:t xml:space="preserve">; </w:t>
      </w:r>
      <w:r w:rsidR="008B021B" w:rsidRPr="008B021B">
        <w:rPr>
          <w:rFonts w:ascii="Times New Roman" w:hAnsi="Times New Roman" w:cs="Times New Roman"/>
          <w:color w:val="EE0000"/>
          <w:shd w:val="clear" w:color="auto" w:fill="FFFFFF"/>
        </w:rPr>
        <w:t>items B</w:t>
      </w:r>
      <w:r w:rsidR="008B021B">
        <w:rPr>
          <w:rFonts w:ascii="Times New Roman" w:hAnsi="Times New Roman" w:cs="Times New Roman"/>
          <w:color w:val="EE0000"/>
          <w:shd w:val="clear" w:color="auto" w:fill="FFFFFF"/>
        </w:rPr>
        <w:t>4</w:t>
      </w:r>
      <w:r w:rsidR="008B021B" w:rsidRPr="008B021B">
        <w:rPr>
          <w:rFonts w:ascii="Times New Roman" w:hAnsi="Times New Roman" w:cs="Times New Roman"/>
          <w:color w:val="EE0000"/>
          <w:shd w:val="clear" w:color="auto" w:fill="FFFFFF"/>
        </w:rPr>
        <w:t>-B</w:t>
      </w:r>
      <w:r w:rsidR="008B021B">
        <w:rPr>
          <w:rFonts w:ascii="Times New Roman" w:hAnsi="Times New Roman" w:cs="Times New Roman"/>
          <w:color w:val="EE0000"/>
          <w:shd w:val="clear" w:color="auto" w:fill="FFFFFF"/>
        </w:rPr>
        <w:t>9</w:t>
      </w:r>
      <w:r w:rsidR="008B021B" w:rsidRPr="008B021B">
        <w:rPr>
          <w:rFonts w:ascii="Times New Roman" w:hAnsi="Times New Roman" w:cs="Times New Roman"/>
          <w:color w:val="EE0000"/>
          <w:shd w:val="clear" w:color="auto" w:fill="FFFFFF"/>
        </w:rPr>
        <w:t xml:space="preserve"> </w:t>
      </w:r>
      <w:r w:rsidR="00FB545A">
        <w:rPr>
          <w:rFonts w:ascii="Times New Roman" w:hAnsi="Times New Roman" w:cs="Times New Roman"/>
          <w:color w:val="EE0000"/>
          <w:shd w:val="clear" w:color="auto" w:fill="FFFFFF"/>
        </w:rPr>
        <w:t xml:space="preserve">were used to explore the dimension Design; and items B10-B15 were used </w:t>
      </w:r>
      <w:r w:rsidR="008B021B">
        <w:rPr>
          <w:rFonts w:ascii="Times New Roman" w:hAnsi="Times New Roman" w:cs="Times New Roman"/>
          <w:color w:val="EE0000"/>
        </w:rPr>
        <w:t>to examine the dimension Shift.</w:t>
      </w:r>
      <w:r w:rsidR="008B021B">
        <w:rPr>
          <w:rFonts w:ascii="Times New Roman" w:hAnsi="Times New Roman" w:cs="Times New Roman"/>
          <w:i/>
          <w:iCs/>
          <w:color w:val="EE0000"/>
        </w:rPr>
        <w:t xml:space="preserve"> </w:t>
      </w:r>
      <w:r w:rsidRPr="008B021B">
        <w:rPr>
          <w:rFonts w:ascii="Times New Roman" w:hAnsi="Times New Roman" w:cs="Times New Roman"/>
          <w:shd w:val="clear" w:color="auto" w:fill="FFFFFF"/>
        </w:rPr>
        <w:t xml:space="preserve">The </w:t>
      </w:r>
      <w:r>
        <w:rPr>
          <w:rFonts w:ascii="Times New Roman" w:hAnsi="Times New Roman" w:cs="Times New Roman"/>
          <w:color w:val="000000"/>
          <w:shd w:val="clear" w:color="auto" w:fill="FFFFFF"/>
        </w:rPr>
        <w:t xml:space="preserve">third section comprised 3 questions, which aimed to explore overall perceptions of teachers’ pedagogical translanguaging. </w:t>
      </w:r>
    </w:p>
    <w:p w14:paraId="6CDD110B"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color w:val="000000"/>
          <w:shd w:val="clear" w:color="auto" w:fill="FFFFFF"/>
        </w:rPr>
        <w:t>The questionnaires were conducted via Google Forms because it enables reaching many participants within a limited time. It ensures anonymity, encouraging more honest and objective responses. Besides, the digital format minimises data-entry errors and facilitates automatic sorting and export to SPSS for statistical analysis. Additionally, Google Forms is more cost-effective and accessible, as students can conveniently complete the questionnaire using their personal devices.</w:t>
      </w:r>
    </w:p>
    <w:p w14:paraId="77E3BFB7" w14:textId="77777777" w:rsidR="00CD7377" w:rsidRDefault="00000000">
      <w:pPr>
        <w:pStyle w:val="Heading3"/>
        <w:spacing w:beforeAutospacing="0" w:after="120" w:afterAutospacing="0" w:line="480" w:lineRule="auto"/>
        <w:rPr>
          <w:i/>
          <w:iCs/>
        </w:rPr>
      </w:pPr>
      <w:r>
        <w:rPr>
          <w:i/>
          <w:iCs/>
        </w:rPr>
        <w:lastRenderedPageBreak/>
        <w:t>3.5. Data collection  </w:t>
      </w:r>
    </w:p>
    <w:p w14:paraId="773ED5D3"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As illustrated in Figure 2, the data collection process began with selecting a research topic, followed by the development of a structured questionnaire and a study outline. The questionnaire was based on the conceptual framework grounded in the García et al. (2017) study, which includes three dimensions: Stance, Design, and Shift. </w:t>
      </w:r>
    </w:p>
    <w:p w14:paraId="409DF3B7" w14:textId="77777777" w:rsidR="00CD7377" w:rsidRDefault="00000000">
      <w:pPr>
        <w:pStyle w:val="Heading3"/>
        <w:spacing w:beforeAutospacing="0" w:after="120" w:afterAutospacing="0" w:line="480" w:lineRule="auto"/>
        <w:rPr>
          <w:shd w:val="clear" w:color="auto" w:fill="FFFFFF"/>
        </w:rPr>
      </w:pPr>
      <w:r>
        <w:rPr>
          <w:shd w:val="clear" w:color="auto" w:fill="FFFFFF"/>
        </w:rPr>
        <w:t>Figure 2</w:t>
      </w:r>
    </w:p>
    <w:p w14:paraId="069B9B43" w14:textId="77777777" w:rsidR="00CD7377" w:rsidRDefault="00000000">
      <w:pPr>
        <w:spacing w:after="120" w:line="480" w:lineRule="auto"/>
        <w:jc w:val="both"/>
        <w:rPr>
          <w:rFonts w:ascii="Times New Roman" w:hAnsi="Times New Roman" w:cs="Times New Roman"/>
          <w:i/>
          <w:iCs/>
          <w:color w:val="000000"/>
          <w:shd w:val="clear" w:color="auto" w:fill="FFFFFF"/>
        </w:rPr>
      </w:pPr>
      <w:r>
        <w:rPr>
          <w:rFonts w:ascii="Times New Roman" w:hAnsi="Times New Roman" w:cs="Times New Roman"/>
          <w:i/>
          <w:iCs/>
          <w:color w:val="000000"/>
          <w:shd w:val="clear" w:color="auto" w:fill="FFFFFF"/>
        </w:rPr>
        <w:t>Data collection procedure</w:t>
      </w:r>
    </w:p>
    <w:p w14:paraId="1A9FFC69" w14:textId="77777777" w:rsidR="00CD7377" w:rsidRDefault="00000000">
      <w:pPr>
        <w:spacing w:after="120" w:line="480" w:lineRule="auto"/>
        <w:ind w:firstLine="720"/>
        <w:jc w:val="center"/>
        <w:rPr>
          <w:rFonts w:ascii="Times New Roman" w:hAnsi="Times New Roman" w:cs="Times New Roman"/>
          <w:color w:val="000000"/>
          <w:shd w:val="clear" w:color="auto" w:fill="FFFFFF"/>
        </w:rPr>
      </w:pPr>
      <w:r>
        <w:rPr>
          <w:rFonts w:ascii="Times New Roman" w:hAnsi="Times New Roman" w:cs="Times New Roman"/>
          <w:noProof/>
          <w:color w:val="000000"/>
          <w:shd w:val="clear" w:color="auto" w:fill="FFFFFF"/>
        </w:rPr>
        <w:drawing>
          <wp:inline distT="0" distB="0" distL="0" distR="0" wp14:anchorId="1E03F757" wp14:editId="19349229">
            <wp:extent cx="1226820" cy="2423160"/>
            <wp:effectExtent l="0" t="0" r="0" b="0"/>
            <wp:docPr id="1685505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05055" name="Picture 1"/>
                    <pic:cNvPicPr>
                      <a:picLocks noChangeAspect="1"/>
                    </pic:cNvPicPr>
                  </pic:nvPicPr>
                  <pic:blipFill>
                    <a:blip r:embed="rId9"/>
                    <a:stretch>
                      <a:fillRect/>
                    </a:stretch>
                  </pic:blipFill>
                  <pic:spPr>
                    <a:xfrm>
                      <a:off x="0" y="0"/>
                      <a:ext cx="1233971" cy="2437723"/>
                    </a:xfrm>
                    <a:prstGeom prst="rect">
                      <a:avLst/>
                    </a:prstGeom>
                  </pic:spPr>
                </pic:pic>
              </a:graphicData>
            </a:graphic>
          </wp:inline>
        </w:drawing>
      </w:r>
    </w:p>
    <w:p w14:paraId="06A2FBEC"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 pilot survey was conducted to assess the clarity, validity, and reliability of the instrument. The questionnaire was pilot-tested with 16 first-year English-majored students and demonstrated strong internal consistency and acceptable reliability (Cronbach’s alpha = </w:t>
      </w:r>
      <w:r>
        <w:rPr>
          <w:rFonts w:ascii="Times New Roman" w:hAnsi="Times New Roman" w:cs="Times New Roman"/>
          <w:color w:val="EE0000"/>
          <w:shd w:val="clear" w:color="auto" w:fill="FFFFFF"/>
        </w:rPr>
        <w:t>.93</w:t>
      </w:r>
      <w:r>
        <w:rPr>
          <w:rFonts w:ascii="Times New Roman" w:hAnsi="Times New Roman" w:cs="Times New Roman"/>
          <w:color w:val="000000"/>
          <w:shd w:val="clear" w:color="auto" w:fill="FFFFFF"/>
        </w:rPr>
        <w:t xml:space="preserve">). The questionnaires were conducted via Google Forms, which were cost-saving and easy to analyse. Pilot feedback led to minor changes in question wording to improve clarity. For example, the previous statements I wrote: “My teachers </w:t>
      </w:r>
      <w:r>
        <w:rPr>
          <w:rFonts w:ascii="Times New Roman" w:hAnsi="Times New Roman" w:cs="Times New Roman"/>
          <w:i/>
          <w:iCs/>
          <w:color w:val="000000"/>
          <w:shd w:val="clear" w:color="auto" w:fill="FFFFFF"/>
        </w:rPr>
        <w:t>show</w:t>
      </w:r>
      <w:r>
        <w:rPr>
          <w:rFonts w:ascii="Times New Roman" w:hAnsi="Times New Roman" w:cs="Times New Roman"/>
          <w:color w:val="000000"/>
          <w:shd w:val="clear" w:color="auto" w:fill="FFFFFF"/>
        </w:rPr>
        <w:t xml:space="preserve"> </w:t>
      </w:r>
      <w:r>
        <w:rPr>
          <w:rFonts w:ascii="Times New Roman" w:hAnsi="Times New Roman" w:cs="Times New Roman"/>
          <w:i/>
          <w:iCs/>
          <w:color w:val="000000"/>
          <w:shd w:val="clear" w:color="auto" w:fill="FFFFFF"/>
        </w:rPr>
        <w:t>openness</w:t>
      </w:r>
      <w:r>
        <w:rPr>
          <w:rFonts w:ascii="Times New Roman" w:hAnsi="Times New Roman" w:cs="Times New Roman"/>
          <w:color w:val="000000"/>
          <w:shd w:val="clear" w:color="auto" w:fill="FFFFFF"/>
        </w:rPr>
        <w:t xml:space="preserve"> to students using Vietnamese to clarify or negotiate meaning.” The pilot respondents hesitated to rate this item because of the phrase “show openness.” Therefore, I changed it to “My teachers </w:t>
      </w:r>
      <w:r>
        <w:rPr>
          <w:rFonts w:ascii="Times New Roman" w:hAnsi="Times New Roman" w:cs="Times New Roman"/>
          <w:i/>
          <w:iCs/>
          <w:color w:val="000000"/>
          <w:shd w:val="clear" w:color="auto" w:fill="FFFFFF"/>
        </w:rPr>
        <w:t>allow students to use Vietnamese</w:t>
      </w:r>
      <w:r>
        <w:rPr>
          <w:rFonts w:ascii="Times New Roman" w:hAnsi="Times New Roman" w:cs="Times New Roman"/>
          <w:color w:val="000000"/>
          <w:shd w:val="clear" w:color="auto" w:fill="FFFFFF"/>
        </w:rPr>
        <w:t xml:space="preserve"> to clarify or negotiate meaning,” which helps the statement be clearer for participants to rate. </w:t>
      </w:r>
    </w:p>
    <w:p w14:paraId="35A753EB" w14:textId="324414FD"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 xml:space="preserve">For the main data collection stage, a consent form was included at the beginning, outlining participants’ rights and ethical considerations. </w:t>
      </w:r>
      <w:r>
        <w:rPr>
          <w:rFonts w:ascii="Times New Roman" w:hAnsi="Times New Roman" w:cs="Times New Roman"/>
          <w:color w:val="FF0000"/>
          <w:shd w:val="clear" w:color="auto" w:fill="FFFFFF"/>
        </w:rPr>
        <w:t xml:space="preserve">After collecting responses, the internal consistency of the main dataset was evaluated using Cronbach’s alpha coefficients to ensure instrument reliability. The overall questionnaire demonstrated </w:t>
      </w:r>
      <w:r w:rsidR="009E73EA">
        <w:rPr>
          <w:rFonts w:ascii="Times New Roman" w:hAnsi="Times New Roman" w:cs="Times New Roman"/>
          <w:color w:val="FF0000"/>
          <w:shd w:val="clear" w:color="auto" w:fill="FFFFFF"/>
        </w:rPr>
        <w:t>high</w:t>
      </w:r>
      <w:r>
        <w:rPr>
          <w:rFonts w:ascii="Times New Roman" w:hAnsi="Times New Roman" w:cs="Times New Roman"/>
          <w:color w:val="FF0000"/>
          <w:shd w:val="clear" w:color="auto" w:fill="FFFFFF"/>
        </w:rPr>
        <w:t xml:space="preserve"> reliability with an alpha value of .95, while the individual subscales for Stance, Design, and Shift yielded acceptable internal consistency values of .83, .8</w:t>
      </w:r>
      <w:r w:rsidR="009E73EA">
        <w:rPr>
          <w:rFonts w:ascii="Times New Roman" w:hAnsi="Times New Roman" w:cs="Times New Roman"/>
          <w:color w:val="FF0000"/>
          <w:shd w:val="clear" w:color="auto" w:fill="FFFFFF"/>
        </w:rPr>
        <w:t>9</w:t>
      </w:r>
      <w:r>
        <w:rPr>
          <w:rFonts w:ascii="Times New Roman" w:hAnsi="Times New Roman" w:cs="Times New Roman"/>
          <w:color w:val="FF0000"/>
          <w:shd w:val="clear" w:color="auto" w:fill="FFFFFF"/>
        </w:rPr>
        <w:t xml:space="preserve">, and .83, respectively. These values </w:t>
      </w:r>
      <w:r w:rsidR="009E73EA">
        <w:rPr>
          <w:rFonts w:ascii="Times New Roman" w:hAnsi="Times New Roman" w:cs="Times New Roman"/>
          <w:color w:val="FF0000"/>
          <w:shd w:val="clear" w:color="auto" w:fill="FFFFFF"/>
        </w:rPr>
        <w:t>suggested</w:t>
      </w:r>
      <w:r>
        <w:rPr>
          <w:rFonts w:ascii="Times New Roman" w:hAnsi="Times New Roman" w:cs="Times New Roman"/>
          <w:color w:val="FF0000"/>
          <w:shd w:val="clear" w:color="auto" w:fill="FFFFFF"/>
        </w:rPr>
        <w:t xml:space="preserve"> that the adapted instrument was reliable for further descriptive statistical analysis.</w:t>
      </w:r>
      <w:r>
        <w:rPr>
          <w:rFonts w:ascii="Times New Roman" w:hAnsi="Times New Roman" w:cs="Times New Roman"/>
          <w:color w:val="000000"/>
          <w:shd w:val="clear" w:color="auto" w:fill="FFFFFF"/>
        </w:rPr>
        <w:t xml:space="preserve"> </w:t>
      </w:r>
      <w:r w:rsidR="009E73EA" w:rsidRPr="009E73EA">
        <w:rPr>
          <w:rFonts w:ascii="Times New Roman" w:hAnsi="Times New Roman" w:cs="Times New Roman"/>
          <w:color w:val="EE0000"/>
          <w:shd w:val="clear" w:color="auto" w:fill="FFFFFF"/>
        </w:rPr>
        <w:t>After reliability was checked</w:t>
      </w:r>
      <w:r w:rsidRPr="009E73EA">
        <w:rPr>
          <w:rFonts w:ascii="Times New Roman" w:hAnsi="Times New Roman" w:cs="Times New Roman"/>
          <w:color w:val="EE0000"/>
          <w:shd w:val="clear" w:color="auto" w:fill="FFFFFF"/>
        </w:rPr>
        <w:t xml:space="preserve">, </w:t>
      </w:r>
      <w:r>
        <w:rPr>
          <w:rFonts w:ascii="Times New Roman" w:hAnsi="Times New Roman" w:cs="Times New Roman"/>
          <w:color w:val="000000"/>
          <w:shd w:val="clear" w:color="auto" w:fill="FFFFFF"/>
        </w:rPr>
        <w:t>the researcher conducted a descriptive statistical analysis. Sloman (2010) stated that the most used descriptive analysis approach for research purposes involves recording behaviour and environmental events through continuous or interval recording procedures. Therefore, this technique is appropriate in this research.</w:t>
      </w:r>
    </w:p>
    <w:p w14:paraId="6F4B2746" w14:textId="77777777" w:rsidR="00CD7377" w:rsidRDefault="00000000">
      <w:pPr>
        <w:pStyle w:val="Heading3"/>
        <w:spacing w:beforeAutospacing="0" w:after="120" w:afterAutospacing="0" w:line="480" w:lineRule="auto"/>
        <w:rPr>
          <w:i/>
          <w:iCs/>
        </w:rPr>
      </w:pPr>
      <w:r>
        <w:rPr>
          <w:i/>
          <w:iCs/>
        </w:rPr>
        <w:t>3.6. Data analysis  </w:t>
      </w:r>
    </w:p>
    <w:p w14:paraId="312E9E85"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rPr>
        <w:t xml:space="preserve">After completing the online survey, responses were exported directly from Google Forms to Google Sheets. The dataset was then transferred to Microsoft Excel for initial screening, during which inappropriate submissions were checked and invalid responses removed to ensure data reliability. </w:t>
      </w:r>
    </w:p>
    <w:p w14:paraId="648411FB"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rPr>
        <w:t xml:space="preserve">The data were analysed using IBM SPSS Statistics Version 26 (SPSS) for quantitative analysis. The mean (M) and standard deviation (SD) were calculated for each item. SPSS was chosen because it is widely used in quantitative research in applied linguistics and education. </w:t>
      </w:r>
    </w:p>
    <w:p w14:paraId="39B2B6D5"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rPr>
        <w:t xml:space="preserve">Descriptive statistics were used to summarise participants' perceptions of pedagogical </w:t>
      </w:r>
      <w:r>
        <w:rPr>
          <w:rFonts w:ascii="Times New Roman" w:hAnsi="Times New Roman" w:cs="Times New Roman"/>
          <w:color w:val="000000"/>
          <w:shd w:val="clear" w:color="auto" w:fill="FFFFFF"/>
        </w:rPr>
        <w:t>translanguaging</w:t>
      </w:r>
      <w:r>
        <w:rPr>
          <w:rFonts w:ascii="Times New Roman" w:hAnsi="Times New Roman" w:cs="Times New Roman"/>
        </w:rPr>
        <w:t xml:space="preserve">. This procedure may address how students perceive </w:t>
      </w:r>
      <w:r>
        <w:rPr>
          <w:rFonts w:ascii="Times New Roman" w:hAnsi="Times New Roman" w:cs="Times New Roman"/>
        </w:rPr>
        <w:lastRenderedPageBreak/>
        <w:t>teachers’ PT practices and which PT practices are most frequently used in EMI classrooms</w:t>
      </w:r>
      <w:r>
        <w:rPr>
          <w:rFonts w:ascii="Times New Roman" w:hAnsi="Times New Roman" w:cs="Times New Roman"/>
          <w:color w:val="000000"/>
          <w:shd w:val="clear" w:color="auto" w:fill="FFFFFF"/>
        </w:rPr>
        <w:t>.</w:t>
      </w:r>
    </w:p>
    <w:p w14:paraId="181CCB65" w14:textId="77777777" w:rsidR="00CD7377" w:rsidRDefault="00000000">
      <w:pPr>
        <w:pStyle w:val="Heading1"/>
        <w:numPr>
          <w:ilvl w:val="0"/>
          <w:numId w:val="1"/>
        </w:numPr>
        <w:spacing w:beforeAutospacing="0" w:after="120" w:afterAutospacing="0" w:line="480" w:lineRule="auto"/>
      </w:pPr>
      <w:r>
        <w:t>Results</w:t>
      </w:r>
    </w:p>
    <w:p w14:paraId="23B39625" w14:textId="77777777" w:rsidR="00CD7377" w:rsidRDefault="00000000">
      <w:pPr>
        <w:pStyle w:val="Heading3"/>
        <w:spacing w:beforeAutospacing="0" w:after="120" w:afterAutospacing="0" w:line="480" w:lineRule="auto"/>
        <w:rPr>
          <w:i/>
          <w:iCs/>
        </w:rPr>
      </w:pPr>
      <w:bookmarkStart w:id="35" w:name="_Toc17226"/>
      <w:bookmarkStart w:id="36" w:name="_Toc31390"/>
      <w:bookmarkStart w:id="37" w:name="_Toc228887262"/>
      <w:bookmarkStart w:id="38" w:name="_Toc229133264"/>
      <w:r>
        <w:rPr>
          <w:i/>
          <w:iCs/>
        </w:rPr>
        <w:t>4.1. Students’ perceptions of pedagogical translanguaging in EMI classes </w:t>
      </w:r>
    </w:p>
    <w:bookmarkEnd w:id="35"/>
    <w:bookmarkEnd w:id="36"/>
    <w:bookmarkEnd w:id="37"/>
    <w:bookmarkEnd w:id="38"/>
    <w:p w14:paraId="3B93C29D"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rPr>
        <w:t xml:space="preserve">The descriptive statistical analysis indicates a positive tendency toward pedagogical translanguaging in EMI classes. The overall mean for the 21 items was 4.16 (SD = 0.88), suggesting that the strategic use of Vietnamese alongside English is a beneficial instructional approach. </w:t>
      </w:r>
    </w:p>
    <w:p w14:paraId="2E9DCB37"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rPr>
        <w:t>Table 1 presents the four mean scores for pedagogical implementation.</w:t>
      </w:r>
    </w:p>
    <w:p w14:paraId="7689D013" w14:textId="77777777" w:rsidR="00CD7377" w:rsidRDefault="00000000">
      <w:pPr>
        <w:pStyle w:val="Heading3"/>
        <w:spacing w:beforeAutospacing="0" w:after="120" w:afterAutospacing="0" w:line="480" w:lineRule="auto"/>
      </w:pPr>
      <w:bookmarkStart w:id="39" w:name="_Toc229075927"/>
      <w:r>
        <w:t xml:space="preserve">Table </w:t>
      </w:r>
      <w:r>
        <w:fldChar w:fldCharType="begin"/>
      </w:r>
      <w:r>
        <w:instrText>SEQ Table \* ARABIC</w:instrText>
      </w:r>
      <w:r>
        <w:fldChar w:fldCharType="separate"/>
      </w:r>
      <w:r>
        <w:t>1</w:t>
      </w:r>
      <w:r>
        <w:fldChar w:fldCharType="end"/>
      </w:r>
      <w:r>
        <w:t xml:space="preserve">. </w:t>
      </w:r>
    </w:p>
    <w:p w14:paraId="2000539A" w14:textId="77777777" w:rsidR="00CD7377" w:rsidRDefault="00000000">
      <w:pPr>
        <w:spacing w:after="120" w:line="480" w:lineRule="auto"/>
        <w:jc w:val="both"/>
        <w:rPr>
          <w:rFonts w:ascii="Times New Roman" w:hAnsi="Times New Roman" w:cs="Times New Roman"/>
          <w:i/>
        </w:rPr>
      </w:pPr>
      <w:r>
        <w:rPr>
          <w:rFonts w:ascii="Times New Roman" w:hAnsi="Times New Roman" w:cs="Times New Roman"/>
          <w:i/>
          <w:iCs/>
        </w:rPr>
        <w:t>Students’ perceptions of pedagogical translanguaging in EMI classes</w:t>
      </w:r>
      <w:bookmarkEnd w:id="39"/>
      <w:r>
        <w:rPr>
          <w:rFonts w:ascii="Times New Roman" w:hAnsi="Times New Roman" w:cs="Times New Roman"/>
          <w:i/>
          <w:iCs/>
        </w:rPr>
        <w:t xml:space="preserve"> (N = 50)</w:t>
      </w:r>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2765"/>
        <w:gridCol w:w="2765"/>
        <w:gridCol w:w="2765"/>
      </w:tblGrid>
      <w:tr w:rsidR="00CD7377" w14:paraId="358287D7" w14:textId="77777777">
        <w:trPr>
          <w:trHeight w:val="465"/>
          <w:jc w:val="center"/>
        </w:trPr>
        <w:tc>
          <w:tcPr>
            <w:tcW w:w="2765" w:type="dxa"/>
            <w:tcBorders>
              <w:top w:val="single" w:sz="12" w:space="0" w:color="000000" w:themeColor="text1"/>
              <w:bottom w:val="single" w:sz="12" w:space="0" w:color="000000" w:themeColor="text1"/>
            </w:tcBorders>
          </w:tcPr>
          <w:p w14:paraId="47940799" w14:textId="77777777" w:rsidR="00CD7377" w:rsidRDefault="00000000">
            <w:pPr>
              <w:jc w:val="center"/>
              <w:rPr>
                <w:rFonts w:ascii="Times New Roman" w:hAnsi="Times New Roman" w:cs="Times New Roman"/>
                <w:b/>
                <w:bCs/>
              </w:rPr>
            </w:pPr>
            <w:r>
              <w:rPr>
                <w:rFonts w:ascii="Times New Roman" w:hAnsi="Times New Roman" w:cs="Times New Roman"/>
                <w:b/>
                <w:bCs/>
              </w:rPr>
              <w:t>Dimension</w:t>
            </w:r>
          </w:p>
        </w:tc>
        <w:tc>
          <w:tcPr>
            <w:tcW w:w="2765" w:type="dxa"/>
            <w:tcBorders>
              <w:top w:val="single" w:sz="12" w:space="0" w:color="000000" w:themeColor="text1"/>
              <w:bottom w:val="single" w:sz="12" w:space="0" w:color="000000" w:themeColor="text1"/>
            </w:tcBorders>
          </w:tcPr>
          <w:p w14:paraId="14F44B75" w14:textId="77777777" w:rsidR="00CD7377" w:rsidRDefault="00000000">
            <w:pPr>
              <w:jc w:val="center"/>
              <w:rPr>
                <w:rFonts w:ascii="Times New Roman" w:hAnsi="Times New Roman" w:cs="Times New Roman"/>
                <w:b/>
                <w:bCs/>
              </w:rPr>
            </w:pPr>
            <w:r>
              <w:rPr>
                <w:rFonts w:ascii="Times New Roman" w:hAnsi="Times New Roman" w:cs="Times New Roman"/>
                <w:b/>
                <w:bCs/>
              </w:rPr>
              <w:t>Mean</w:t>
            </w:r>
          </w:p>
        </w:tc>
        <w:tc>
          <w:tcPr>
            <w:tcW w:w="2765" w:type="dxa"/>
            <w:tcBorders>
              <w:top w:val="single" w:sz="12" w:space="0" w:color="000000" w:themeColor="text1"/>
              <w:bottom w:val="single" w:sz="12" w:space="0" w:color="000000" w:themeColor="text1"/>
            </w:tcBorders>
          </w:tcPr>
          <w:p w14:paraId="7AFF76EE" w14:textId="77777777" w:rsidR="00CD7377" w:rsidRDefault="00000000">
            <w:pPr>
              <w:jc w:val="center"/>
              <w:rPr>
                <w:rFonts w:ascii="Times New Roman" w:hAnsi="Times New Roman" w:cs="Times New Roman"/>
                <w:b/>
                <w:bCs/>
              </w:rPr>
            </w:pPr>
            <w:r>
              <w:rPr>
                <w:rFonts w:ascii="Times New Roman" w:hAnsi="Times New Roman" w:cs="Times New Roman"/>
                <w:b/>
                <w:bCs/>
              </w:rPr>
              <w:t>SD</w:t>
            </w:r>
          </w:p>
        </w:tc>
      </w:tr>
      <w:tr w:rsidR="00CD7377" w14:paraId="663EC62B" w14:textId="77777777">
        <w:trPr>
          <w:trHeight w:val="525"/>
          <w:jc w:val="center"/>
        </w:trPr>
        <w:tc>
          <w:tcPr>
            <w:tcW w:w="2765" w:type="dxa"/>
            <w:tcBorders>
              <w:top w:val="single" w:sz="12" w:space="0" w:color="000000" w:themeColor="text1"/>
            </w:tcBorders>
          </w:tcPr>
          <w:p w14:paraId="6BA214DA" w14:textId="77777777" w:rsidR="00CD7377" w:rsidRDefault="00000000">
            <w:pPr>
              <w:jc w:val="center"/>
              <w:rPr>
                <w:rFonts w:ascii="Times New Roman" w:hAnsi="Times New Roman" w:cs="Times New Roman"/>
              </w:rPr>
            </w:pPr>
            <w:r>
              <w:rPr>
                <w:rFonts w:ascii="Times New Roman" w:hAnsi="Times New Roman" w:cs="Times New Roman"/>
              </w:rPr>
              <w:t>Stance</w:t>
            </w:r>
          </w:p>
        </w:tc>
        <w:tc>
          <w:tcPr>
            <w:tcW w:w="2765" w:type="dxa"/>
            <w:tcBorders>
              <w:top w:val="single" w:sz="12" w:space="0" w:color="000000" w:themeColor="text1"/>
            </w:tcBorders>
          </w:tcPr>
          <w:p w14:paraId="4406CF8E" w14:textId="77777777" w:rsidR="00CD7377" w:rsidRDefault="00000000">
            <w:pPr>
              <w:jc w:val="center"/>
              <w:rPr>
                <w:rFonts w:ascii="Times New Roman" w:hAnsi="Times New Roman" w:cs="Times New Roman"/>
              </w:rPr>
            </w:pPr>
            <w:r>
              <w:rPr>
                <w:rFonts w:ascii="Times New Roman" w:hAnsi="Times New Roman" w:cs="Times New Roman"/>
              </w:rPr>
              <w:t>4.0</w:t>
            </w:r>
          </w:p>
        </w:tc>
        <w:tc>
          <w:tcPr>
            <w:tcW w:w="2765" w:type="dxa"/>
            <w:tcBorders>
              <w:top w:val="single" w:sz="12" w:space="0" w:color="000000" w:themeColor="text1"/>
            </w:tcBorders>
          </w:tcPr>
          <w:p w14:paraId="545544D7" w14:textId="77777777" w:rsidR="00CD7377" w:rsidRDefault="00000000">
            <w:pPr>
              <w:jc w:val="center"/>
              <w:rPr>
                <w:rFonts w:ascii="Times New Roman" w:hAnsi="Times New Roman" w:cs="Times New Roman"/>
              </w:rPr>
            </w:pPr>
            <w:r>
              <w:rPr>
                <w:rFonts w:ascii="Times New Roman" w:hAnsi="Times New Roman" w:cs="Times New Roman"/>
              </w:rPr>
              <w:t>0.91</w:t>
            </w:r>
          </w:p>
        </w:tc>
      </w:tr>
      <w:tr w:rsidR="00CD7377" w14:paraId="565ACD60" w14:textId="77777777">
        <w:trPr>
          <w:trHeight w:val="510"/>
          <w:jc w:val="center"/>
        </w:trPr>
        <w:tc>
          <w:tcPr>
            <w:tcW w:w="2765" w:type="dxa"/>
          </w:tcPr>
          <w:p w14:paraId="11454633" w14:textId="77777777" w:rsidR="00CD7377" w:rsidRDefault="00000000">
            <w:pPr>
              <w:jc w:val="center"/>
              <w:rPr>
                <w:rFonts w:ascii="Times New Roman" w:hAnsi="Times New Roman" w:cs="Times New Roman"/>
              </w:rPr>
            </w:pPr>
            <w:r>
              <w:rPr>
                <w:rFonts w:ascii="Times New Roman" w:hAnsi="Times New Roman" w:cs="Times New Roman"/>
              </w:rPr>
              <w:t xml:space="preserve">Design </w:t>
            </w:r>
          </w:p>
        </w:tc>
        <w:tc>
          <w:tcPr>
            <w:tcW w:w="2765" w:type="dxa"/>
          </w:tcPr>
          <w:p w14:paraId="29A2DF8E" w14:textId="77777777" w:rsidR="00CD7377" w:rsidRDefault="00000000">
            <w:pPr>
              <w:jc w:val="center"/>
              <w:rPr>
                <w:rFonts w:ascii="Times New Roman" w:hAnsi="Times New Roman" w:cs="Times New Roman"/>
              </w:rPr>
            </w:pPr>
            <w:r>
              <w:rPr>
                <w:rFonts w:ascii="Times New Roman" w:hAnsi="Times New Roman" w:cs="Times New Roman"/>
              </w:rPr>
              <w:t>4.20</w:t>
            </w:r>
          </w:p>
        </w:tc>
        <w:tc>
          <w:tcPr>
            <w:tcW w:w="2765" w:type="dxa"/>
          </w:tcPr>
          <w:p w14:paraId="686719EF" w14:textId="77777777" w:rsidR="00CD7377" w:rsidRDefault="00000000">
            <w:pPr>
              <w:jc w:val="center"/>
              <w:rPr>
                <w:rFonts w:ascii="Times New Roman" w:hAnsi="Times New Roman" w:cs="Times New Roman"/>
              </w:rPr>
            </w:pPr>
            <w:r>
              <w:rPr>
                <w:rFonts w:ascii="Times New Roman" w:hAnsi="Times New Roman" w:cs="Times New Roman"/>
              </w:rPr>
              <w:t>0.91</w:t>
            </w:r>
          </w:p>
        </w:tc>
      </w:tr>
      <w:tr w:rsidR="00CD7377" w14:paraId="1AC22304" w14:textId="77777777">
        <w:trPr>
          <w:trHeight w:val="495"/>
          <w:jc w:val="center"/>
        </w:trPr>
        <w:tc>
          <w:tcPr>
            <w:tcW w:w="2765" w:type="dxa"/>
          </w:tcPr>
          <w:p w14:paraId="7485B6C3" w14:textId="77777777" w:rsidR="00CD7377" w:rsidRDefault="00000000">
            <w:pPr>
              <w:jc w:val="center"/>
              <w:rPr>
                <w:rFonts w:ascii="Times New Roman" w:hAnsi="Times New Roman" w:cs="Times New Roman"/>
              </w:rPr>
            </w:pPr>
            <w:r>
              <w:rPr>
                <w:rFonts w:ascii="Times New Roman" w:hAnsi="Times New Roman" w:cs="Times New Roman"/>
              </w:rPr>
              <w:t>Shift</w:t>
            </w:r>
          </w:p>
        </w:tc>
        <w:tc>
          <w:tcPr>
            <w:tcW w:w="2765" w:type="dxa"/>
          </w:tcPr>
          <w:p w14:paraId="48C13D57" w14:textId="77777777" w:rsidR="00CD7377" w:rsidRDefault="00000000">
            <w:pPr>
              <w:jc w:val="center"/>
              <w:rPr>
                <w:rFonts w:ascii="Times New Roman" w:hAnsi="Times New Roman" w:cs="Times New Roman"/>
              </w:rPr>
            </w:pPr>
            <w:r>
              <w:rPr>
                <w:rFonts w:ascii="Times New Roman" w:hAnsi="Times New Roman" w:cs="Times New Roman"/>
              </w:rPr>
              <w:t>4.24</w:t>
            </w:r>
          </w:p>
        </w:tc>
        <w:tc>
          <w:tcPr>
            <w:tcW w:w="2765" w:type="dxa"/>
          </w:tcPr>
          <w:p w14:paraId="385B1F07" w14:textId="77777777" w:rsidR="00CD7377" w:rsidRDefault="00000000">
            <w:pPr>
              <w:jc w:val="center"/>
              <w:rPr>
                <w:rFonts w:ascii="Times New Roman" w:hAnsi="Times New Roman" w:cs="Times New Roman"/>
              </w:rPr>
            </w:pPr>
            <w:r>
              <w:rPr>
                <w:rFonts w:ascii="Times New Roman" w:hAnsi="Times New Roman" w:cs="Times New Roman"/>
              </w:rPr>
              <w:t>0.84</w:t>
            </w:r>
          </w:p>
        </w:tc>
      </w:tr>
      <w:tr w:rsidR="00CD7377" w14:paraId="71570357" w14:textId="77777777">
        <w:trPr>
          <w:trHeight w:val="495"/>
          <w:jc w:val="center"/>
        </w:trPr>
        <w:tc>
          <w:tcPr>
            <w:tcW w:w="2765" w:type="dxa"/>
            <w:tcBorders>
              <w:bottom w:val="single" w:sz="12" w:space="0" w:color="000000" w:themeColor="text1"/>
            </w:tcBorders>
          </w:tcPr>
          <w:p w14:paraId="24C61145" w14:textId="77777777" w:rsidR="00CD7377" w:rsidRDefault="00000000">
            <w:pPr>
              <w:jc w:val="center"/>
              <w:rPr>
                <w:rFonts w:ascii="Times New Roman" w:hAnsi="Times New Roman" w:cs="Times New Roman"/>
              </w:rPr>
            </w:pPr>
            <w:r>
              <w:rPr>
                <w:rFonts w:ascii="Times New Roman" w:hAnsi="Times New Roman" w:cs="Times New Roman"/>
              </w:rPr>
              <w:t>Overall</w:t>
            </w:r>
          </w:p>
        </w:tc>
        <w:tc>
          <w:tcPr>
            <w:tcW w:w="2765" w:type="dxa"/>
            <w:tcBorders>
              <w:bottom w:val="single" w:sz="12" w:space="0" w:color="000000" w:themeColor="text1"/>
            </w:tcBorders>
          </w:tcPr>
          <w:p w14:paraId="5D913C1C" w14:textId="77777777" w:rsidR="00CD7377" w:rsidRDefault="00000000">
            <w:pPr>
              <w:jc w:val="center"/>
              <w:rPr>
                <w:rFonts w:ascii="Times New Roman" w:hAnsi="Times New Roman" w:cs="Times New Roman"/>
              </w:rPr>
            </w:pPr>
            <w:r>
              <w:rPr>
                <w:rFonts w:ascii="Times New Roman" w:hAnsi="Times New Roman" w:cs="Times New Roman"/>
              </w:rPr>
              <w:t>4.20</w:t>
            </w:r>
          </w:p>
        </w:tc>
        <w:tc>
          <w:tcPr>
            <w:tcW w:w="2765" w:type="dxa"/>
            <w:tcBorders>
              <w:bottom w:val="single" w:sz="12" w:space="0" w:color="000000" w:themeColor="text1"/>
            </w:tcBorders>
          </w:tcPr>
          <w:p w14:paraId="27BBF948" w14:textId="77777777" w:rsidR="00CD7377" w:rsidRDefault="00000000">
            <w:pPr>
              <w:jc w:val="center"/>
              <w:rPr>
                <w:rFonts w:ascii="Times New Roman" w:hAnsi="Times New Roman" w:cs="Times New Roman"/>
              </w:rPr>
            </w:pPr>
            <w:r>
              <w:rPr>
                <w:rFonts w:ascii="Times New Roman" w:hAnsi="Times New Roman" w:cs="Times New Roman"/>
              </w:rPr>
              <w:t>0.86</w:t>
            </w:r>
          </w:p>
        </w:tc>
      </w:tr>
      <w:tr w:rsidR="00CD7377" w14:paraId="2D919822" w14:textId="77777777">
        <w:trPr>
          <w:trHeight w:val="450"/>
          <w:jc w:val="center"/>
        </w:trPr>
        <w:tc>
          <w:tcPr>
            <w:tcW w:w="2765" w:type="dxa"/>
            <w:tcBorders>
              <w:top w:val="single" w:sz="12" w:space="0" w:color="000000" w:themeColor="text1"/>
              <w:bottom w:val="single" w:sz="12" w:space="0" w:color="000000" w:themeColor="text1"/>
            </w:tcBorders>
          </w:tcPr>
          <w:p w14:paraId="322805AF" w14:textId="77777777" w:rsidR="00CD7377" w:rsidRDefault="00000000">
            <w:pPr>
              <w:jc w:val="center"/>
              <w:rPr>
                <w:rFonts w:ascii="Times New Roman" w:hAnsi="Times New Roman" w:cs="Times New Roman"/>
              </w:rPr>
            </w:pPr>
            <w:r>
              <w:rPr>
                <w:rFonts w:ascii="Times New Roman" w:hAnsi="Times New Roman" w:cs="Times New Roman"/>
              </w:rPr>
              <w:t>Total</w:t>
            </w:r>
          </w:p>
        </w:tc>
        <w:tc>
          <w:tcPr>
            <w:tcW w:w="2765" w:type="dxa"/>
            <w:tcBorders>
              <w:top w:val="single" w:sz="12" w:space="0" w:color="000000" w:themeColor="text1"/>
              <w:bottom w:val="single" w:sz="12" w:space="0" w:color="000000" w:themeColor="text1"/>
            </w:tcBorders>
          </w:tcPr>
          <w:p w14:paraId="446EE5C3" w14:textId="77777777" w:rsidR="00CD7377" w:rsidRDefault="00000000">
            <w:pPr>
              <w:jc w:val="center"/>
              <w:rPr>
                <w:rFonts w:ascii="Times New Roman" w:hAnsi="Times New Roman" w:cs="Times New Roman"/>
              </w:rPr>
            </w:pPr>
            <w:r>
              <w:rPr>
                <w:rFonts w:ascii="Times New Roman" w:hAnsi="Times New Roman" w:cs="Times New Roman"/>
              </w:rPr>
              <w:t>4.16</w:t>
            </w:r>
          </w:p>
        </w:tc>
        <w:tc>
          <w:tcPr>
            <w:tcW w:w="2765" w:type="dxa"/>
            <w:tcBorders>
              <w:top w:val="single" w:sz="12" w:space="0" w:color="000000" w:themeColor="text1"/>
              <w:bottom w:val="single" w:sz="12" w:space="0" w:color="000000" w:themeColor="text1"/>
            </w:tcBorders>
          </w:tcPr>
          <w:p w14:paraId="6D7145D9" w14:textId="77777777" w:rsidR="00CD7377" w:rsidRDefault="00000000">
            <w:pPr>
              <w:jc w:val="center"/>
              <w:rPr>
                <w:rFonts w:ascii="Times New Roman" w:hAnsi="Times New Roman" w:cs="Times New Roman"/>
              </w:rPr>
            </w:pPr>
            <w:r>
              <w:rPr>
                <w:rFonts w:ascii="Times New Roman" w:hAnsi="Times New Roman" w:cs="Times New Roman"/>
              </w:rPr>
              <w:t>0.88</w:t>
            </w:r>
          </w:p>
        </w:tc>
      </w:tr>
    </w:tbl>
    <w:p w14:paraId="45862565" w14:textId="77777777" w:rsidR="00CD7377" w:rsidRDefault="00CD7377">
      <w:pPr>
        <w:spacing w:after="120" w:line="480" w:lineRule="auto"/>
        <w:ind w:firstLine="720"/>
        <w:jc w:val="both"/>
        <w:rPr>
          <w:rFonts w:ascii="Times New Roman" w:hAnsi="Times New Roman" w:cs="Times New Roman"/>
        </w:rPr>
      </w:pPr>
    </w:p>
    <w:p w14:paraId="465573C0"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rPr>
        <w:t xml:space="preserve">The Shift dimension received the highest mean score (M = 4.24), followed closely by Design (M = 4.20), indicating that the implementation of pedagogical translanguaging in EMI classrooms is an appreciably recognised and valued practice among the participants. </w:t>
      </w:r>
    </w:p>
    <w:p w14:paraId="57466158" w14:textId="77777777" w:rsidR="00CD7377" w:rsidRDefault="00000000">
      <w:pPr>
        <w:pStyle w:val="Heading3"/>
        <w:spacing w:beforeAutospacing="0" w:after="120" w:afterAutospacing="0" w:line="480" w:lineRule="auto"/>
        <w:rPr>
          <w:i/>
          <w:iCs/>
        </w:rPr>
      </w:pPr>
      <w:r>
        <w:rPr>
          <w:i/>
          <w:iCs/>
        </w:rPr>
        <w:t xml:space="preserve">4.2. Overall students’ perceptions </w:t>
      </w:r>
    </w:p>
    <w:p w14:paraId="42114995" w14:textId="5DEE89DB" w:rsidR="00CD7377" w:rsidRDefault="009E73EA">
      <w:pPr>
        <w:spacing w:after="120" w:line="480" w:lineRule="auto"/>
        <w:ind w:firstLine="720"/>
        <w:jc w:val="both"/>
        <w:rPr>
          <w:rFonts w:ascii="Times New Roman" w:hAnsi="Times New Roman" w:cs="Times New Roman"/>
        </w:rPr>
      </w:pPr>
      <w:r>
        <w:rPr>
          <w:rFonts w:ascii="Times New Roman" w:hAnsi="Times New Roman" w:cs="Times New Roman"/>
        </w:rPr>
        <w:lastRenderedPageBreak/>
        <w:t>Table 2 below shows a general view of students’ perceptions of pedagogical translanguaging in EMI classes. The overview of students’ perceptions of pedagogical translanguaging in EMI classrooms was evaluated using three main items (C1-C3). The overall mean score was 4.20 (SD = 0.86), indicating that students responded positively to the implementation of pedagogical translanguaging in EMI classrooms. </w:t>
      </w:r>
    </w:p>
    <w:p w14:paraId="464A465B" w14:textId="77777777" w:rsidR="00CD7377" w:rsidRDefault="00000000">
      <w:pPr>
        <w:pStyle w:val="Heading3"/>
        <w:spacing w:beforeAutospacing="0" w:after="120" w:afterAutospacing="0" w:line="480" w:lineRule="auto"/>
      </w:pPr>
      <w:bookmarkStart w:id="40" w:name="_Toc229075928"/>
      <w:r>
        <w:t xml:space="preserve">Table </w:t>
      </w:r>
      <w:r>
        <w:fldChar w:fldCharType="begin"/>
      </w:r>
      <w:r>
        <w:instrText>SEQ Table \* ARABIC</w:instrText>
      </w:r>
      <w:r>
        <w:fldChar w:fldCharType="separate"/>
      </w:r>
      <w:r>
        <w:t>2</w:t>
      </w:r>
      <w:r>
        <w:fldChar w:fldCharType="end"/>
      </w:r>
      <w:r>
        <w:t xml:space="preserve">. </w:t>
      </w:r>
    </w:p>
    <w:p w14:paraId="2A79ED26" w14:textId="77777777" w:rsidR="00CD7377" w:rsidRDefault="00000000">
      <w:pPr>
        <w:spacing w:after="120" w:line="480" w:lineRule="auto"/>
        <w:jc w:val="both"/>
        <w:rPr>
          <w:rFonts w:ascii="Times New Roman" w:hAnsi="Times New Roman" w:cs="Times New Roman"/>
          <w:i/>
          <w:iCs/>
        </w:rPr>
      </w:pPr>
      <w:r>
        <w:rPr>
          <w:rFonts w:ascii="Times New Roman" w:hAnsi="Times New Roman" w:cs="Times New Roman"/>
          <w:i/>
          <w:iCs/>
        </w:rPr>
        <w:t>Overall perceptions</w:t>
      </w:r>
      <w:bookmarkEnd w:id="40"/>
      <w:r>
        <w:rPr>
          <w:rFonts w:ascii="Times New Roman" w:hAnsi="Times New Roman" w:cs="Times New Roman"/>
          <w:i/>
          <w:iCs/>
        </w:rPr>
        <w:t xml:space="preserve"> </w:t>
      </w:r>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870"/>
        <w:gridCol w:w="5029"/>
        <w:gridCol w:w="1250"/>
        <w:gridCol w:w="1145"/>
      </w:tblGrid>
      <w:tr w:rsidR="00CD7377" w14:paraId="430B2B21" w14:textId="77777777">
        <w:trPr>
          <w:trHeight w:val="465"/>
          <w:jc w:val="center"/>
        </w:trPr>
        <w:tc>
          <w:tcPr>
            <w:tcW w:w="870" w:type="dxa"/>
            <w:tcBorders>
              <w:top w:val="single" w:sz="12" w:space="0" w:color="000000" w:themeColor="text1"/>
              <w:bottom w:val="single" w:sz="12" w:space="0" w:color="000000" w:themeColor="text1"/>
            </w:tcBorders>
          </w:tcPr>
          <w:p w14:paraId="228B8759" w14:textId="77777777" w:rsidR="00CD7377" w:rsidRDefault="00000000">
            <w:pPr>
              <w:jc w:val="center"/>
            </w:pPr>
            <w:r>
              <w:rPr>
                <w:rFonts w:ascii="Times New Roman" w:hAnsi="Times New Roman" w:cs="Times New Roman"/>
                <w:b/>
                <w:bCs/>
              </w:rPr>
              <w:t>No.</w:t>
            </w:r>
          </w:p>
        </w:tc>
        <w:tc>
          <w:tcPr>
            <w:tcW w:w="5029" w:type="dxa"/>
            <w:tcBorders>
              <w:top w:val="single" w:sz="12" w:space="0" w:color="000000" w:themeColor="text1"/>
              <w:bottom w:val="single" w:sz="12" w:space="0" w:color="000000" w:themeColor="text1"/>
            </w:tcBorders>
          </w:tcPr>
          <w:p w14:paraId="5DD4322E" w14:textId="77777777" w:rsidR="00CD7377" w:rsidRDefault="00000000">
            <w:pPr>
              <w:jc w:val="center"/>
              <w:rPr>
                <w:rFonts w:ascii="Times New Roman" w:hAnsi="Times New Roman" w:cs="Times New Roman"/>
                <w:b/>
                <w:bCs/>
              </w:rPr>
            </w:pPr>
            <w:r>
              <w:rPr>
                <w:rFonts w:ascii="Times New Roman" w:hAnsi="Times New Roman" w:cs="Times New Roman"/>
                <w:b/>
                <w:bCs/>
              </w:rPr>
              <w:t>Item</w:t>
            </w:r>
          </w:p>
        </w:tc>
        <w:tc>
          <w:tcPr>
            <w:tcW w:w="1250" w:type="dxa"/>
            <w:tcBorders>
              <w:top w:val="single" w:sz="12" w:space="0" w:color="000000" w:themeColor="text1"/>
              <w:bottom w:val="single" w:sz="12" w:space="0" w:color="000000" w:themeColor="text1"/>
            </w:tcBorders>
          </w:tcPr>
          <w:p w14:paraId="3095E82D" w14:textId="77777777" w:rsidR="00CD7377" w:rsidRDefault="00000000">
            <w:pPr>
              <w:jc w:val="center"/>
            </w:pPr>
            <w:r>
              <w:rPr>
                <w:rFonts w:ascii="Times New Roman" w:hAnsi="Times New Roman" w:cs="Times New Roman"/>
                <w:b/>
                <w:bCs/>
              </w:rPr>
              <w:t>Mean</w:t>
            </w:r>
          </w:p>
        </w:tc>
        <w:tc>
          <w:tcPr>
            <w:tcW w:w="1145" w:type="dxa"/>
            <w:tcBorders>
              <w:top w:val="single" w:sz="12" w:space="0" w:color="000000" w:themeColor="text1"/>
              <w:bottom w:val="single" w:sz="12" w:space="0" w:color="000000" w:themeColor="text1"/>
            </w:tcBorders>
          </w:tcPr>
          <w:p w14:paraId="01F8DB8C" w14:textId="77777777" w:rsidR="00CD7377" w:rsidRDefault="00000000">
            <w:pPr>
              <w:jc w:val="center"/>
              <w:rPr>
                <w:rFonts w:ascii="Times New Roman" w:hAnsi="Times New Roman" w:cs="Times New Roman"/>
                <w:b/>
                <w:bCs/>
              </w:rPr>
            </w:pPr>
            <w:r>
              <w:rPr>
                <w:rFonts w:ascii="Times New Roman" w:hAnsi="Times New Roman" w:cs="Times New Roman"/>
                <w:b/>
                <w:bCs/>
              </w:rPr>
              <w:t>SD</w:t>
            </w:r>
          </w:p>
        </w:tc>
      </w:tr>
      <w:tr w:rsidR="00CD7377" w14:paraId="71B5919A" w14:textId="77777777">
        <w:trPr>
          <w:trHeight w:val="798"/>
          <w:jc w:val="center"/>
        </w:trPr>
        <w:tc>
          <w:tcPr>
            <w:tcW w:w="870" w:type="dxa"/>
            <w:tcBorders>
              <w:top w:val="single" w:sz="12" w:space="0" w:color="000000" w:themeColor="text1"/>
            </w:tcBorders>
          </w:tcPr>
          <w:p w14:paraId="1E825D58" w14:textId="77777777" w:rsidR="00CD7377" w:rsidRDefault="00000000">
            <w:pPr>
              <w:jc w:val="center"/>
            </w:pPr>
            <w:r>
              <w:rPr>
                <w:rFonts w:ascii="Times New Roman" w:hAnsi="Times New Roman" w:cs="Times New Roman"/>
              </w:rPr>
              <w:t>C1</w:t>
            </w:r>
          </w:p>
        </w:tc>
        <w:tc>
          <w:tcPr>
            <w:tcW w:w="5029" w:type="dxa"/>
            <w:tcBorders>
              <w:top w:val="single" w:sz="12" w:space="0" w:color="000000" w:themeColor="text1"/>
            </w:tcBorders>
          </w:tcPr>
          <w:p w14:paraId="0A43C6F9" w14:textId="77777777" w:rsidR="00CD7377" w:rsidRDefault="00000000">
            <w:r>
              <w:rPr>
                <w:rFonts w:ascii="Times New Roman" w:hAnsi="Times New Roman" w:cs="Times New Roman"/>
              </w:rPr>
              <w:t>Pedagogical translanguaging helps me learn more effectively in EMI classes</w:t>
            </w:r>
          </w:p>
        </w:tc>
        <w:tc>
          <w:tcPr>
            <w:tcW w:w="1250" w:type="dxa"/>
            <w:tcBorders>
              <w:top w:val="single" w:sz="12" w:space="0" w:color="000000" w:themeColor="text1"/>
            </w:tcBorders>
          </w:tcPr>
          <w:p w14:paraId="6534F54D" w14:textId="77777777" w:rsidR="00CD7377" w:rsidRDefault="00000000">
            <w:pPr>
              <w:jc w:val="center"/>
            </w:pPr>
            <w:r>
              <w:rPr>
                <w:rFonts w:ascii="Times New Roman" w:hAnsi="Times New Roman" w:cs="Times New Roman"/>
              </w:rPr>
              <w:t>4.24</w:t>
            </w:r>
          </w:p>
        </w:tc>
        <w:tc>
          <w:tcPr>
            <w:tcW w:w="1145" w:type="dxa"/>
            <w:tcBorders>
              <w:top w:val="single" w:sz="12" w:space="0" w:color="000000" w:themeColor="text1"/>
            </w:tcBorders>
          </w:tcPr>
          <w:p w14:paraId="3BB389AD" w14:textId="77777777" w:rsidR="00CD7377" w:rsidRDefault="00000000">
            <w:pPr>
              <w:jc w:val="center"/>
              <w:rPr>
                <w:rFonts w:ascii="Times New Roman" w:hAnsi="Times New Roman" w:cs="Times New Roman"/>
              </w:rPr>
            </w:pPr>
            <w:r>
              <w:rPr>
                <w:rFonts w:ascii="Times New Roman" w:hAnsi="Times New Roman" w:cs="Times New Roman"/>
              </w:rPr>
              <w:t>0.92</w:t>
            </w:r>
          </w:p>
        </w:tc>
      </w:tr>
      <w:tr w:rsidR="00CD7377" w14:paraId="1C84D002" w14:textId="77777777">
        <w:trPr>
          <w:trHeight w:val="300"/>
          <w:jc w:val="center"/>
        </w:trPr>
        <w:tc>
          <w:tcPr>
            <w:tcW w:w="870" w:type="dxa"/>
          </w:tcPr>
          <w:p w14:paraId="5D9FC664" w14:textId="77777777" w:rsidR="00CD7377" w:rsidRDefault="00000000">
            <w:pPr>
              <w:jc w:val="center"/>
              <w:rPr>
                <w:rFonts w:ascii="Times New Roman" w:hAnsi="Times New Roman" w:cs="Times New Roman"/>
              </w:rPr>
            </w:pPr>
            <w:r>
              <w:rPr>
                <w:rFonts w:ascii="Times New Roman" w:hAnsi="Times New Roman" w:cs="Times New Roman"/>
              </w:rPr>
              <w:t xml:space="preserve">C2 </w:t>
            </w:r>
          </w:p>
        </w:tc>
        <w:tc>
          <w:tcPr>
            <w:tcW w:w="5029" w:type="dxa"/>
          </w:tcPr>
          <w:p w14:paraId="558AD77F" w14:textId="77777777" w:rsidR="00CD7377" w:rsidRDefault="00000000">
            <w:r>
              <w:rPr>
                <w:rFonts w:ascii="Times New Roman" w:hAnsi="Times New Roman" w:cs="Times New Roman"/>
              </w:rPr>
              <w:t>Pedagogical translanguaging has had a positive impact on my learning experience in EMI classes</w:t>
            </w:r>
          </w:p>
          <w:p w14:paraId="4A7A15ED" w14:textId="77777777" w:rsidR="00CD7377" w:rsidRDefault="00CD7377">
            <w:pPr>
              <w:rPr>
                <w:rFonts w:ascii="Times New Roman" w:hAnsi="Times New Roman" w:cs="Times New Roman"/>
              </w:rPr>
            </w:pPr>
          </w:p>
        </w:tc>
        <w:tc>
          <w:tcPr>
            <w:tcW w:w="1250" w:type="dxa"/>
          </w:tcPr>
          <w:p w14:paraId="48A8096D" w14:textId="77777777" w:rsidR="00CD7377" w:rsidRDefault="00000000">
            <w:pPr>
              <w:jc w:val="center"/>
              <w:rPr>
                <w:rFonts w:ascii="Times New Roman" w:hAnsi="Times New Roman" w:cs="Times New Roman"/>
              </w:rPr>
            </w:pPr>
            <w:r>
              <w:rPr>
                <w:rFonts w:ascii="Times New Roman" w:hAnsi="Times New Roman" w:cs="Times New Roman"/>
              </w:rPr>
              <w:t>4.18</w:t>
            </w:r>
          </w:p>
        </w:tc>
        <w:tc>
          <w:tcPr>
            <w:tcW w:w="1145" w:type="dxa"/>
          </w:tcPr>
          <w:p w14:paraId="717E7CC0" w14:textId="77777777" w:rsidR="00CD7377" w:rsidRDefault="00000000">
            <w:pPr>
              <w:jc w:val="center"/>
              <w:rPr>
                <w:rFonts w:ascii="Times New Roman" w:hAnsi="Times New Roman" w:cs="Times New Roman"/>
              </w:rPr>
            </w:pPr>
            <w:r>
              <w:rPr>
                <w:rFonts w:ascii="Times New Roman" w:hAnsi="Times New Roman" w:cs="Times New Roman"/>
              </w:rPr>
              <w:t>0.80</w:t>
            </w:r>
          </w:p>
        </w:tc>
      </w:tr>
      <w:tr w:rsidR="00CD7377" w14:paraId="229A6F92" w14:textId="77777777">
        <w:trPr>
          <w:trHeight w:val="694"/>
          <w:jc w:val="center"/>
        </w:trPr>
        <w:tc>
          <w:tcPr>
            <w:tcW w:w="870" w:type="dxa"/>
          </w:tcPr>
          <w:p w14:paraId="2E2C92C0" w14:textId="77777777" w:rsidR="00CD7377" w:rsidRDefault="00000000">
            <w:pPr>
              <w:jc w:val="center"/>
              <w:rPr>
                <w:rFonts w:ascii="Times New Roman" w:hAnsi="Times New Roman" w:cs="Times New Roman"/>
              </w:rPr>
            </w:pPr>
            <w:r>
              <w:rPr>
                <w:rFonts w:ascii="Times New Roman" w:hAnsi="Times New Roman" w:cs="Times New Roman"/>
              </w:rPr>
              <w:t>C3</w:t>
            </w:r>
          </w:p>
        </w:tc>
        <w:tc>
          <w:tcPr>
            <w:tcW w:w="5029" w:type="dxa"/>
          </w:tcPr>
          <w:p w14:paraId="7F06A829" w14:textId="77777777" w:rsidR="00CD7377" w:rsidRDefault="00000000">
            <w:r>
              <w:rPr>
                <w:rFonts w:ascii="Times New Roman" w:hAnsi="Times New Roman" w:cs="Times New Roman"/>
              </w:rPr>
              <w:t>Pedagogical translanguaging practices should be applied in future EMI classes</w:t>
            </w:r>
          </w:p>
        </w:tc>
        <w:tc>
          <w:tcPr>
            <w:tcW w:w="1250" w:type="dxa"/>
          </w:tcPr>
          <w:p w14:paraId="3D6E39FC" w14:textId="77777777" w:rsidR="00CD7377" w:rsidRDefault="00000000">
            <w:pPr>
              <w:jc w:val="center"/>
              <w:rPr>
                <w:rFonts w:ascii="Times New Roman" w:hAnsi="Times New Roman" w:cs="Times New Roman"/>
              </w:rPr>
            </w:pPr>
            <w:r>
              <w:rPr>
                <w:rFonts w:ascii="Times New Roman" w:hAnsi="Times New Roman" w:cs="Times New Roman"/>
              </w:rPr>
              <w:t>4.18</w:t>
            </w:r>
          </w:p>
        </w:tc>
        <w:tc>
          <w:tcPr>
            <w:tcW w:w="1145" w:type="dxa"/>
          </w:tcPr>
          <w:p w14:paraId="48B35396" w14:textId="77777777" w:rsidR="00CD7377" w:rsidRDefault="00000000">
            <w:pPr>
              <w:jc w:val="center"/>
              <w:rPr>
                <w:rFonts w:ascii="Times New Roman" w:hAnsi="Times New Roman" w:cs="Times New Roman"/>
              </w:rPr>
            </w:pPr>
            <w:r>
              <w:rPr>
                <w:rFonts w:ascii="Times New Roman" w:hAnsi="Times New Roman" w:cs="Times New Roman"/>
              </w:rPr>
              <w:t>0.87</w:t>
            </w:r>
          </w:p>
        </w:tc>
      </w:tr>
      <w:tr w:rsidR="00CD7377" w14:paraId="048E1D2A" w14:textId="77777777">
        <w:trPr>
          <w:trHeight w:val="450"/>
          <w:jc w:val="center"/>
        </w:trPr>
        <w:tc>
          <w:tcPr>
            <w:tcW w:w="5899" w:type="dxa"/>
            <w:gridSpan w:val="2"/>
            <w:tcBorders>
              <w:top w:val="single" w:sz="12" w:space="0" w:color="000000" w:themeColor="text1"/>
              <w:bottom w:val="single" w:sz="12" w:space="0" w:color="000000" w:themeColor="text1"/>
            </w:tcBorders>
          </w:tcPr>
          <w:p w14:paraId="19B6F1DC" w14:textId="77777777" w:rsidR="00CD7377" w:rsidRDefault="00000000">
            <w:pPr>
              <w:jc w:val="center"/>
            </w:pPr>
            <w:r>
              <w:rPr>
                <w:rFonts w:ascii="Times New Roman" w:hAnsi="Times New Roman" w:cs="Times New Roman"/>
              </w:rPr>
              <w:t>Overall Mean</w:t>
            </w:r>
          </w:p>
        </w:tc>
        <w:tc>
          <w:tcPr>
            <w:tcW w:w="1250" w:type="dxa"/>
            <w:tcBorders>
              <w:top w:val="single" w:sz="12" w:space="0" w:color="000000" w:themeColor="text1"/>
              <w:bottom w:val="single" w:sz="12" w:space="0" w:color="000000" w:themeColor="text1"/>
            </w:tcBorders>
          </w:tcPr>
          <w:p w14:paraId="1A6932C8" w14:textId="77777777" w:rsidR="00CD7377" w:rsidRDefault="00000000">
            <w:pPr>
              <w:jc w:val="center"/>
              <w:rPr>
                <w:rFonts w:ascii="Times New Roman" w:hAnsi="Times New Roman" w:cs="Times New Roman"/>
              </w:rPr>
            </w:pPr>
            <w:r>
              <w:rPr>
                <w:rFonts w:ascii="Times New Roman" w:hAnsi="Times New Roman" w:cs="Times New Roman"/>
              </w:rPr>
              <w:t>4.2</w:t>
            </w:r>
          </w:p>
        </w:tc>
        <w:tc>
          <w:tcPr>
            <w:tcW w:w="1145" w:type="dxa"/>
            <w:tcBorders>
              <w:top w:val="single" w:sz="12" w:space="0" w:color="000000" w:themeColor="text1"/>
              <w:bottom w:val="single" w:sz="12" w:space="0" w:color="000000" w:themeColor="text1"/>
            </w:tcBorders>
          </w:tcPr>
          <w:p w14:paraId="50CDDC6D" w14:textId="77777777" w:rsidR="00CD7377" w:rsidRDefault="00000000">
            <w:pPr>
              <w:jc w:val="center"/>
              <w:rPr>
                <w:rFonts w:ascii="Times New Roman" w:hAnsi="Times New Roman" w:cs="Times New Roman"/>
              </w:rPr>
            </w:pPr>
            <w:r>
              <w:rPr>
                <w:rFonts w:ascii="Times New Roman" w:hAnsi="Times New Roman" w:cs="Times New Roman"/>
              </w:rPr>
              <w:t>0.86</w:t>
            </w:r>
          </w:p>
        </w:tc>
      </w:tr>
    </w:tbl>
    <w:p w14:paraId="5B018662" w14:textId="77777777" w:rsidR="00CD7377" w:rsidRDefault="00CD7377">
      <w:pPr>
        <w:spacing w:after="120" w:line="480" w:lineRule="auto"/>
        <w:ind w:firstLine="720"/>
        <w:jc w:val="both"/>
        <w:rPr>
          <w:rFonts w:ascii="Times New Roman" w:hAnsi="Times New Roman" w:cs="Times New Roman"/>
        </w:rPr>
      </w:pPr>
    </w:p>
    <w:p w14:paraId="648D4B4B"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rPr>
        <w:t>Both C2 and C3 received a mean score of 4.18. These statistics show that students view pedagogical translanguaging as useful to their learning. Item C1 has the highest mean of 4.24 (SD = 0.92), indicating that first-year students consider pedagogical translanguaging a helpful approach in EMI classrooms.</w:t>
      </w:r>
    </w:p>
    <w:p w14:paraId="1B8E7974" w14:textId="77777777" w:rsidR="00CD7377" w:rsidRDefault="00000000">
      <w:pPr>
        <w:pStyle w:val="Heading3"/>
        <w:spacing w:beforeAutospacing="0" w:after="120" w:afterAutospacing="0" w:line="480" w:lineRule="auto"/>
        <w:rPr>
          <w:i/>
          <w:iCs/>
        </w:rPr>
      </w:pPr>
      <w:r>
        <w:rPr>
          <w:i/>
          <w:iCs/>
        </w:rPr>
        <w:t xml:space="preserve">4.3. Perceptions of the teacher’s Stance </w:t>
      </w:r>
    </w:p>
    <w:p w14:paraId="43D61E9F" w14:textId="15504173" w:rsidR="00CD7377" w:rsidRDefault="009E73EA">
      <w:pPr>
        <w:spacing w:after="120" w:line="480" w:lineRule="auto"/>
        <w:ind w:firstLine="720"/>
        <w:jc w:val="both"/>
        <w:rPr>
          <w:rFonts w:ascii="Times New Roman" w:hAnsi="Times New Roman" w:cs="Times New Roman"/>
        </w:rPr>
      </w:pPr>
      <w:r>
        <w:rPr>
          <w:rFonts w:ascii="Times New Roman" w:hAnsi="Times New Roman" w:cs="Times New Roman"/>
        </w:rPr>
        <w:t>Regarding the first dimension, Stance</w:t>
      </w:r>
      <w:r w:rsidR="003F4EBD">
        <w:rPr>
          <w:rFonts w:ascii="Times New Roman" w:hAnsi="Times New Roman" w:cs="Times New Roman"/>
        </w:rPr>
        <w:t xml:space="preserve"> (Table 3)</w:t>
      </w:r>
      <w:r>
        <w:rPr>
          <w:rFonts w:ascii="Times New Roman" w:hAnsi="Times New Roman" w:cs="Times New Roman"/>
        </w:rPr>
        <w:t xml:space="preserve">, the data collected from questions B1-B3 </w:t>
      </w:r>
      <w:r w:rsidR="003F4EBD">
        <w:rPr>
          <w:rFonts w:ascii="Times New Roman" w:hAnsi="Times New Roman" w:cs="Times New Roman"/>
        </w:rPr>
        <w:t>reveal</w:t>
      </w:r>
      <w:r>
        <w:rPr>
          <w:rFonts w:ascii="Times New Roman" w:hAnsi="Times New Roman" w:cs="Times New Roman"/>
        </w:rPr>
        <w:t xml:space="preserve"> most respondents</w:t>
      </w:r>
      <w:r w:rsidR="003F4EBD">
        <w:rPr>
          <w:rFonts w:ascii="Times New Roman" w:hAnsi="Times New Roman" w:cs="Times New Roman"/>
        </w:rPr>
        <w:t>’ perception that</w:t>
      </w:r>
      <w:r>
        <w:rPr>
          <w:rFonts w:ascii="Times New Roman" w:hAnsi="Times New Roman" w:cs="Times New Roman"/>
        </w:rPr>
        <w:t xml:space="preserve"> their teachers positively support the use of Vietnamese in EMI classes. </w:t>
      </w:r>
    </w:p>
    <w:p w14:paraId="08619E8B" w14:textId="77777777" w:rsidR="00CD7377" w:rsidRDefault="00000000">
      <w:pPr>
        <w:spacing w:after="120" w:line="480" w:lineRule="auto"/>
        <w:ind w:firstLine="720"/>
        <w:jc w:val="both"/>
        <w:rPr>
          <w:rFonts w:ascii="Times New Roman" w:hAnsi="Times New Roman" w:cs="Times New Roman"/>
        </w:rPr>
      </w:pPr>
      <w:r>
        <w:rPr>
          <w:rFonts w:ascii="Times New Roman" w:hAnsi="Times New Roman" w:cs="Times New Roman"/>
        </w:rPr>
        <w:t xml:space="preserve">Item B1 received the highest mean score of 4.20 (SD = 0.81), indicating that many students reported that their teachers allow the use of Vietnamese to enhance </w:t>
      </w:r>
      <w:r>
        <w:rPr>
          <w:rFonts w:ascii="Times New Roman" w:hAnsi="Times New Roman" w:cs="Times New Roman"/>
        </w:rPr>
        <w:lastRenderedPageBreak/>
        <w:t xml:space="preserve">understanding and clarify meaning during lessons. Moreover, respondents agreed that their teachers view the use of Vietnamese in class as part of the EMI learning environment, emphasising the vital role of pedagogical translanguaging in the classroom. </w:t>
      </w:r>
    </w:p>
    <w:p w14:paraId="7A7886D2" w14:textId="77777777" w:rsidR="00CD7377" w:rsidRDefault="00000000">
      <w:pPr>
        <w:pStyle w:val="Heading3"/>
        <w:spacing w:beforeAutospacing="0" w:after="120" w:afterAutospacing="0" w:line="480" w:lineRule="auto"/>
      </w:pPr>
      <w:bookmarkStart w:id="41" w:name="_Toc229075929"/>
      <w:r>
        <w:t xml:space="preserve">Table 3. </w:t>
      </w:r>
    </w:p>
    <w:p w14:paraId="7CD92B35" w14:textId="77777777" w:rsidR="00CD7377" w:rsidRDefault="00000000">
      <w:pPr>
        <w:spacing w:after="120" w:line="480" w:lineRule="auto"/>
        <w:jc w:val="both"/>
        <w:rPr>
          <w:rFonts w:ascii="Times New Roman" w:hAnsi="Times New Roman" w:cs="Times New Roman"/>
          <w:i/>
        </w:rPr>
      </w:pPr>
      <w:r>
        <w:rPr>
          <w:rFonts w:ascii="Times New Roman" w:hAnsi="Times New Roman" w:cs="Times New Roman"/>
          <w:i/>
          <w:iCs/>
        </w:rPr>
        <w:t xml:space="preserve">Perceptions of the Teacher’s Stance </w:t>
      </w:r>
      <w:bookmarkEnd w:id="41"/>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870"/>
        <w:gridCol w:w="5029"/>
        <w:gridCol w:w="1250"/>
        <w:gridCol w:w="1145"/>
      </w:tblGrid>
      <w:tr w:rsidR="00CD7377" w14:paraId="740B5570" w14:textId="77777777">
        <w:trPr>
          <w:trHeight w:val="465"/>
          <w:jc w:val="center"/>
        </w:trPr>
        <w:tc>
          <w:tcPr>
            <w:tcW w:w="870" w:type="dxa"/>
            <w:tcBorders>
              <w:top w:val="single" w:sz="12" w:space="0" w:color="000000" w:themeColor="text1"/>
              <w:bottom w:val="single" w:sz="12" w:space="0" w:color="000000" w:themeColor="text1"/>
            </w:tcBorders>
          </w:tcPr>
          <w:p w14:paraId="325B9973" w14:textId="77777777" w:rsidR="00CD7377" w:rsidRDefault="00000000">
            <w:pPr>
              <w:jc w:val="center"/>
            </w:pPr>
            <w:r>
              <w:rPr>
                <w:rFonts w:ascii="Times New Roman" w:hAnsi="Times New Roman" w:cs="Times New Roman"/>
                <w:b/>
                <w:bCs/>
              </w:rPr>
              <w:t>No.</w:t>
            </w:r>
          </w:p>
        </w:tc>
        <w:tc>
          <w:tcPr>
            <w:tcW w:w="5029" w:type="dxa"/>
            <w:tcBorders>
              <w:top w:val="single" w:sz="12" w:space="0" w:color="000000" w:themeColor="text1"/>
              <w:bottom w:val="single" w:sz="12" w:space="0" w:color="000000" w:themeColor="text1"/>
            </w:tcBorders>
          </w:tcPr>
          <w:p w14:paraId="7F1A9ABA" w14:textId="77777777" w:rsidR="00CD7377" w:rsidRDefault="00000000">
            <w:pPr>
              <w:jc w:val="center"/>
              <w:rPr>
                <w:rFonts w:ascii="Times New Roman" w:hAnsi="Times New Roman" w:cs="Times New Roman"/>
                <w:b/>
                <w:bCs/>
              </w:rPr>
            </w:pPr>
            <w:r>
              <w:rPr>
                <w:rFonts w:ascii="Times New Roman" w:hAnsi="Times New Roman" w:cs="Times New Roman"/>
                <w:b/>
                <w:bCs/>
              </w:rPr>
              <w:t>Item</w:t>
            </w:r>
          </w:p>
        </w:tc>
        <w:tc>
          <w:tcPr>
            <w:tcW w:w="1250" w:type="dxa"/>
            <w:tcBorders>
              <w:top w:val="single" w:sz="12" w:space="0" w:color="000000" w:themeColor="text1"/>
              <w:bottom w:val="single" w:sz="12" w:space="0" w:color="000000" w:themeColor="text1"/>
            </w:tcBorders>
          </w:tcPr>
          <w:p w14:paraId="3AAEDC7D" w14:textId="77777777" w:rsidR="00CD7377" w:rsidRDefault="00000000">
            <w:pPr>
              <w:jc w:val="center"/>
            </w:pPr>
            <w:r>
              <w:rPr>
                <w:rFonts w:ascii="Times New Roman" w:hAnsi="Times New Roman" w:cs="Times New Roman"/>
                <w:b/>
                <w:bCs/>
              </w:rPr>
              <w:t>Mean</w:t>
            </w:r>
          </w:p>
        </w:tc>
        <w:tc>
          <w:tcPr>
            <w:tcW w:w="1145" w:type="dxa"/>
            <w:tcBorders>
              <w:top w:val="single" w:sz="12" w:space="0" w:color="000000" w:themeColor="text1"/>
              <w:bottom w:val="single" w:sz="12" w:space="0" w:color="000000" w:themeColor="text1"/>
            </w:tcBorders>
          </w:tcPr>
          <w:p w14:paraId="614D7842" w14:textId="77777777" w:rsidR="00CD7377" w:rsidRDefault="00000000">
            <w:pPr>
              <w:jc w:val="center"/>
              <w:rPr>
                <w:rFonts w:ascii="Times New Roman" w:hAnsi="Times New Roman" w:cs="Times New Roman"/>
                <w:b/>
                <w:bCs/>
              </w:rPr>
            </w:pPr>
            <w:r>
              <w:rPr>
                <w:rFonts w:ascii="Times New Roman" w:hAnsi="Times New Roman" w:cs="Times New Roman"/>
                <w:b/>
                <w:bCs/>
              </w:rPr>
              <w:t>SD</w:t>
            </w:r>
          </w:p>
        </w:tc>
      </w:tr>
      <w:tr w:rsidR="00CD7377" w14:paraId="0B814F0F" w14:textId="77777777">
        <w:trPr>
          <w:trHeight w:val="798"/>
          <w:jc w:val="center"/>
        </w:trPr>
        <w:tc>
          <w:tcPr>
            <w:tcW w:w="870" w:type="dxa"/>
            <w:tcBorders>
              <w:top w:val="single" w:sz="12" w:space="0" w:color="000000" w:themeColor="text1"/>
            </w:tcBorders>
          </w:tcPr>
          <w:p w14:paraId="71D9A53E" w14:textId="77777777" w:rsidR="00CD7377" w:rsidRDefault="00000000">
            <w:pPr>
              <w:jc w:val="center"/>
            </w:pPr>
            <w:r>
              <w:rPr>
                <w:rFonts w:ascii="Times New Roman" w:hAnsi="Times New Roman" w:cs="Times New Roman"/>
              </w:rPr>
              <w:t>B1</w:t>
            </w:r>
          </w:p>
        </w:tc>
        <w:tc>
          <w:tcPr>
            <w:tcW w:w="5029" w:type="dxa"/>
            <w:tcBorders>
              <w:top w:val="single" w:sz="12" w:space="0" w:color="000000" w:themeColor="text1"/>
            </w:tcBorders>
          </w:tcPr>
          <w:p w14:paraId="45A52998" w14:textId="77777777" w:rsidR="00CD7377" w:rsidRDefault="00000000">
            <w:r>
              <w:rPr>
                <w:rFonts w:ascii="Times New Roman" w:hAnsi="Times New Roman" w:cs="Times New Roman"/>
              </w:rPr>
              <w:t>My teachers respond positively when Vietnamese is used to support understanding in class</w:t>
            </w:r>
          </w:p>
        </w:tc>
        <w:tc>
          <w:tcPr>
            <w:tcW w:w="1250" w:type="dxa"/>
            <w:tcBorders>
              <w:top w:val="single" w:sz="12" w:space="0" w:color="000000" w:themeColor="text1"/>
            </w:tcBorders>
          </w:tcPr>
          <w:p w14:paraId="6C397F9D" w14:textId="77777777" w:rsidR="00CD7377" w:rsidRDefault="00000000">
            <w:pPr>
              <w:jc w:val="center"/>
            </w:pPr>
            <w:r>
              <w:rPr>
                <w:rFonts w:ascii="Times New Roman" w:eastAsia="Times New Roman" w:hAnsi="Times New Roman" w:cs="Times New Roman"/>
              </w:rPr>
              <w:t>4.20</w:t>
            </w:r>
          </w:p>
        </w:tc>
        <w:tc>
          <w:tcPr>
            <w:tcW w:w="1145" w:type="dxa"/>
            <w:tcBorders>
              <w:top w:val="single" w:sz="12" w:space="0" w:color="000000" w:themeColor="text1"/>
            </w:tcBorders>
          </w:tcPr>
          <w:p w14:paraId="74E18A3D" w14:textId="77777777" w:rsidR="00CD7377" w:rsidRDefault="00000000">
            <w:pPr>
              <w:jc w:val="center"/>
            </w:pPr>
            <w:r>
              <w:rPr>
                <w:rFonts w:ascii="Times New Roman" w:eastAsia="Times New Roman" w:hAnsi="Times New Roman" w:cs="Times New Roman"/>
              </w:rPr>
              <w:t xml:space="preserve">0.81  </w:t>
            </w:r>
          </w:p>
        </w:tc>
      </w:tr>
      <w:tr w:rsidR="00CD7377" w14:paraId="13556C8F" w14:textId="77777777">
        <w:trPr>
          <w:trHeight w:val="300"/>
          <w:jc w:val="center"/>
        </w:trPr>
        <w:tc>
          <w:tcPr>
            <w:tcW w:w="870" w:type="dxa"/>
          </w:tcPr>
          <w:p w14:paraId="7AC2A087" w14:textId="77777777" w:rsidR="00CD7377" w:rsidRDefault="00000000">
            <w:pPr>
              <w:jc w:val="center"/>
              <w:rPr>
                <w:rFonts w:ascii="Times New Roman" w:hAnsi="Times New Roman" w:cs="Times New Roman"/>
              </w:rPr>
            </w:pPr>
            <w:r>
              <w:rPr>
                <w:rFonts w:ascii="Times New Roman" w:hAnsi="Times New Roman" w:cs="Times New Roman"/>
              </w:rPr>
              <w:t xml:space="preserve">B2 </w:t>
            </w:r>
          </w:p>
        </w:tc>
        <w:tc>
          <w:tcPr>
            <w:tcW w:w="5029" w:type="dxa"/>
          </w:tcPr>
          <w:p w14:paraId="17955015" w14:textId="77777777" w:rsidR="00CD7377" w:rsidRDefault="00000000">
            <w:r>
              <w:rPr>
                <w:rFonts w:ascii="Times New Roman" w:hAnsi="Times New Roman" w:cs="Times New Roman"/>
              </w:rPr>
              <w:t>My teachers allow students to use Vietnamese to clarify negotiating meaning</w:t>
            </w:r>
          </w:p>
          <w:p w14:paraId="562E04FA" w14:textId="77777777" w:rsidR="00CD7377" w:rsidRDefault="00CD7377">
            <w:pPr>
              <w:rPr>
                <w:rFonts w:ascii="Times New Roman" w:hAnsi="Times New Roman" w:cs="Times New Roman"/>
              </w:rPr>
            </w:pPr>
          </w:p>
        </w:tc>
        <w:tc>
          <w:tcPr>
            <w:tcW w:w="1250" w:type="dxa"/>
          </w:tcPr>
          <w:p w14:paraId="3E81D25F" w14:textId="77777777" w:rsidR="00CD7377" w:rsidRDefault="00000000">
            <w:pPr>
              <w:jc w:val="center"/>
            </w:pPr>
            <w:r>
              <w:rPr>
                <w:rFonts w:ascii="Times New Roman" w:eastAsia="Times New Roman" w:hAnsi="Times New Roman" w:cs="Times New Roman"/>
              </w:rPr>
              <w:t>3.98</w:t>
            </w:r>
          </w:p>
        </w:tc>
        <w:tc>
          <w:tcPr>
            <w:tcW w:w="1145" w:type="dxa"/>
          </w:tcPr>
          <w:p w14:paraId="15706167" w14:textId="77777777" w:rsidR="00CD7377" w:rsidRDefault="00000000">
            <w:pPr>
              <w:jc w:val="center"/>
            </w:pPr>
            <w:r>
              <w:rPr>
                <w:rFonts w:ascii="Times New Roman" w:eastAsia="Times New Roman" w:hAnsi="Times New Roman" w:cs="Times New Roman"/>
              </w:rPr>
              <w:t>0.94</w:t>
            </w:r>
          </w:p>
        </w:tc>
      </w:tr>
      <w:tr w:rsidR="00CD7377" w14:paraId="13FA1333" w14:textId="77777777">
        <w:trPr>
          <w:trHeight w:val="694"/>
          <w:jc w:val="center"/>
        </w:trPr>
        <w:tc>
          <w:tcPr>
            <w:tcW w:w="870" w:type="dxa"/>
          </w:tcPr>
          <w:p w14:paraId="4F327002" w14:textId="77777777" w:rsidR="00CD7377" w:rsidRDefault="00000000">
            <w:pPr>
              <w:jc w:val="center"/>
              <w:rPr>
                <w:rFonts w:ascii="Times New Roman" w:hAnsi="Times New Roman" w:cs="Times New Roman"/>
              </w:rPr>
            </w:pPr>
            <w:r>
              <w:rPr>
                <w:rFonts w:ascii="Times New Roman" w:hAnsi="Times New Roman" w:cs="Times New Roman"/>
              </w:rPr>
              <w:t>B3</w:t>
            </w:r>
          </w:p>
        </w:tc>
        <w:tc>
          <w:tcPr>
            <w:tcW w:w="5029" w:type="dxa"/>
          </w:tcPr>
          <w:p w14:paraId="5CFFD032" w14:textId="77777777" w:rsidR="00CD7377" w:rsidRDefault="00000000">
            <w:r>
              <w:rPr>
                <w:rFonts w:ascii="Times New Roman" w:hAnsi="Times New Roman" w:cs="Times New Roman"/>
              </w:rPr>
              <w:t>My teachers view the use of Vietnamese in class as part of the EMI learning environment</w:t>
            </w:r>
          </w:p>
        </w:tc>
        <w:tc>
          <w:tcPr>
            <w:tcW w:w="1250" w:type="dxa"/>
          </w:tcPr>
          <w:p w14:paraId="5CE2F557" w14:textId="77777777" w:rsidR="00CD7377" w:rsidRDefault="00000000">
            <w:pPr>
              <w:jc w:val="center"/>
            </w:pPr>
            <w:r>
              <w:rPr>
                <w:rFonts w:ascii="Times New Roman" w:eastAsia="Times New Roman" w:hAnsi="Times New Roman" w:cs="Times New Roman"/>
              </w:rPr>
              <w:t>3.84</w:t>
            </w:r>
          </w:p>
        </w:tc>
        <w:tc>
          <w:tcPr>
            <w:tcW w:w="1145" w:type="dxa"/>
          </w:tcPr>
          <w:p w14:paraId="09EAE905" w14:textId="77777777" w:rsidR="00CD7377" w:rsidRDefault="00000000">
            <w:pPr>
              <w:jc w:val="center"/>
            </w:pPr>
            <w:r>
              <w:rPr>
                <w:rFonts w:ascii="Times New Roman" w:eastAsia="Times New Roman" w:hAnsi="Times New Roman" w:cs="Times New Roman"/>
              </w:rPr>
              <w:t>0.99</w:t>
            </w:r>
          </w:p>
        </w:tc>
      </w:tr>
      <w:tr w:rsidR="00CD7377" w14:paraId="0371FBC9" w14:textId="77777777">
        <w:trPr>
          <w:trHeight w:val="450"/>
          <w:jc w:val="center"/>
        </w:trPr>
        <w:tc>
          <w:tcPr>
            <w:tcW w:w="5899" w:type="dxa"/>
            <w:gridSpan w:val="2"/>
            <w:tcBorders>
              <w:top w:val="single" w:sz="12" w:space="0" w:color="000000" w:themeColor="text1"/>
              <w:bottom w:val="single" w:sz="12" w:space="0" w:color="000000" w:themeColor="text1"/>
            </w:tcBorders>
          </w:tcPr>
          <w:p w14:paraId="7BBF4FB5" w14:textId="77777777" w:rsidR="00CD7377" w:rsidRDefault="00000000">
            <w:pPr>
              <w:jc w:val="center"/>
            </w:pPr>
            <w:r>
              <w:rPr>
                <w:rFonts w:ascii="Times New Roman" w:hAnsi="Times New Roman" w:cs="Times New Roman"/>
              </w:rPr>
              <w:t>Overall Mean</w:t>
            </w:r>
          </w:p>
        </w:tc>
        <w:tc>
          <w:tcPr>
            <w:tcW w:w="1250" w:type="dxa"/>
            <w:tcBorders>
              <w:top w:val="single" w:sz="12" w:space="0" w:color="000000" w:themeColor="text1"/>
              <w:bottom w:val="single" w:sz="12" w:space="0" w:color="000000" w:themeColor="text1"/>
            </w:tcBorders>
          </w:tcPr>
          <w:p w14:paraId="7561DE31" w14:textId="77777777" w:rsidR="00CD7377" w:rsidRDefault="00000000">
            <w:pPr>
              <w:jc w:val="center"/>
              <w:rPr>
                <w:rFonts w:ascii="Times New Roman" w:hAnsi="Times New Roman" w:cs="Times New Roman"/>
              </w:rPr>
            </w:pPr>
            <w:r>
              <w:rPr>
                <w:rFonts w:ascii="Times New Roman" w:hAnsi="Times New Roman" w:cs="Times New Roman"/>
              </w:rPr>
              <w:t>4.01</w:t>
            </w:r>
          </w:p>
        </w:tc>
        <w:tc>
          <w:tcPr>
            <w:tcW w:w="1145" w:type="dxa"/>
            <w:tcBorders>
              <w:top w:val="single" w:sz="12" w:space="0" w:color="000000" w:themeColor="text1"/>
              <w:bottom w:val="single" w:sz="12" w:space="0" w:color="000000" w:themeColor="text1"/>
            </w:tcBorders>
          </w:tcPr>
          <w:p w14:paraId="4695FF5A" w14:textId="77777777" w:rsidR="00CD7377" w:rsidRDefault="00000000">
            <w:pPr>
              <w:jc w:val="center"/>
              <w:rPr>
                <w:rFonts w:ascii="Times New Roman" w:hAnsi="Times New Roman" w:cs="Times New Roman"/>
              </w:rPr>
            </w:pPr>
            <w:r>
              <w:rPr>
                <w:rFonts w:ascii="Times New Roman" w:hAnsi="Times New Roman" w:cs="Times New Roman"/>
              </w:rPr>
              <w:t>0.91</w:t>
            </w:r>
          </w:p>
        </w:tc>
      </w:tr>
    </w:tbl>
    <w:p w14:paraId="46D50A90" w14:textId="77777777" w:rsidR="00CD7377" w:rsidRDefault="00CD7377">
      <w:pPr>
        <w:spacing w:after="120" w:line="480" w:lineRule="auto"/>
        <w:jc w:val="both"/>
      </w:pPr>
    </w:p>
    <w:p w14:paraId="76030728" w14:textId="77777777" w:rsidR="00CD7377" w:rsidRDefault="00000000">
      <w:pPr>
        <w:pStyle w:val="Heading3"/>
        <w:spacing w:beforeAutospacing="0" w:after="120" w:afterAutospacing="0" w:line="480" w:lineRule="auto"/>
        <w:rPr>
          <w:i/>
          <w:iCs/>
        </w:rPr>
      </w:pPr>
      <w:r>
        <w:rPr>
          <w:i/>
          <w:iCs/>
        </w:rPr>
        <w:t>4.4. Perceptions of the teacher’s Design</w:t>
      </w:r>
    </w:p>
    <w:p w14:paraId="6D36895B" w14:textId="078617FA"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The second dimension concerned the teacher's </w:t>
      </w:r>
      <w:r>
        <w:rPr>
          <w:rFonts w:ascii="Times New Roman" w:hAnsi="Times New Roman" w:cs="Times New Roman"/>
        </w:rPr>
        <w:t>Design</w:t>
      </w:r>
      <w:r>
        <w:rPr>
          <w:rFonts w:ascii="Times New Roman" w:hAnsi="Times New Roman" w:cs="Times New Roman"/>
          <w:color w:val="000000"/>
        </w:rPr>
        <w:t xml:space="preserve"> of pedagogical translanguaging, as </w:t>
      </w:r>
      <w:r w:rsidR="003F4EBD">
        <w:rPr>
          <w:rFonts w:ascii="Times New Roman" w:hAnsi="Times New Roman" w:cs="Times New Roman"/>
          <w:color w:val="000000"/>
        </w:rPr>
        <w:t>shown in Table 4</w:t>
      </w:r>
      <w:r>
        <w:rPr>
          <w:rFonts w:ascii="Times New Roman" w:hAnsi="Times New Roman" w:cs="Times New Roman"/>
          <w:color w:val="000000"/>
        </w:rPr>
        <w:t xml:space="preserve">. The teacher's Design was measured using six items </w:t>
      </w:r>
      <w:r w:rsidR="003F4EBD">
        <w:rPr>
          <w:rFonts w:ascii="Times New Roman" w:hAnsi="Times New Roman" w:cs="Times New Roman"/>
          <w:color w:val="000000"/>
        </w:rPr>
        <w:t xml:space="preserve">(B4-B9), each reflecting a different aspect of learners' perceptions of teachers’ pedagogical translanguaging in </w:t>
      </w:r>
      <w:r>
        <w:rPr>
          <w:rFonts w:ascii="Times New Roman" w:hAnsi="Times New Roman" w:cs="Times New Roman"/>
          <w:color w:val="000000"/>
        </w:rPr>
        <w:t>lessons. </w:t>
      </w:r>
    </w:p>
    <w:p w14:paraId="21402BD9" w14:textId="77777777" w:rsidR="00CD7377" w:rsidRDefault="00000000">
      <w:pPr>
        <w:pStyle w:val="Heading3"/>
        <w:spacing w:beforeAutospacing="0" w:after="120" w:afterAutospacing="0" w:line="480" w:lineRule="auto"/>
      </w:pPr>
      <w:bookmarkStart w:id="42" w:name="_Toc229075930"/>
      <w:r>
        <w:t xml:space="preserve">Table </w:t>
      </w:r>
      <w:r>
        <w:fldChar w:fldCharType="begin"/>
      </w:r>
      <w:r>
        <w:instrText>SEQ Table \* ARABIC</w:instrText>
      </w:r>
      <w:r>
        <w:fldChar w:fldCharType="separate"/>
      </w:r>
      <w:r>
        <w:t>4</w:t>
      </w:r>
      <w:r>
        <w:fldChar w:fldCharType="end"/>
      </w:r>
      <w:r>
        <w:t xml:space="preserve">. </w:t>
      </w:r>
    </w:p>
    <w:p w14:paraId="35DEEEE9" w14:textId="77777777" w:rsidR="00CD7377" w:rsidRDefault="00000000">
      <w:pPr>
        <w:spacing w:after="120" w:line="480" w:lineRule="auto"/>
        <w:jc w:val="both"/>
        <w:rPr>
          <w:rFonts w:ascii="Times New Roman" w:hAnsi="Times New Roman" w:cs="Times New Roman"/>
          <w:i/>
        </w:rPr>
      </w:pPr>
      <w:r>
        <w:rPr>
          <w:rFonts w:ascii="Times New Roman" w:hAnsi="Times New Roman" w:cs="Times New Roman"/>
          <w:i/>
          <w:iCs/>
        </w:rPr>
        <w:t>Perceptions of the Teacher’s Design</w:t>
      </w:r>
      <w:bookmarkEnd w:id="42"/>
      <w:r>
        <w:rPr>
          <w:rFonts w:ascii="Times New Roman" w:hAnsi="Times New Roman" w:cs="Times New Roman"/>
          <w:i/>
          <w:iCs/>
        </w:rPr>
        <w:t xml:space="preserve"> </w:t>
      </w:r>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580"/>
        <w:gridCol w:w="5320"/>
        <w:gridCol w:w="1250"/>
        <w:gridCol w:w="1145"/>
      </w:tblGrid>
      <w:tr w:rsidR="00CD7377" w14:paraId="5F4DA0AB" w14:textId="77777777">
        <w:trPr>
          <w:trHeight w:val="465"/>
          <w:jc w:val="center"/>
        </w:trPr>
        <w:tc>
          <w:tcPr>
            <w:tcW w:w="580" w:type="dxa"/>
            <w:tcBorders>
              <w:top w:val="single" w:sz="12" w:space="0" w:color="000000" w:themeColor="text1"/>
              <w:bottom w:val="single" w:sz="12" w:space="0" w:color="000000" w:themeColor="text1"/>
            </w:tcBorders>
          </w:tcPr>
          <w:p w14:paraId="44803AA2" w14:textId="77777777" w:rsidR="00CD7377" w:rsidRDefault="00000000">
            <w:pPr>
              <w:jc w:val="center"/>
            </w:pPr>
            <w:r>
              <w:rPr>
                <w:rFonts w:ascii="Times New Roman" w:hAnsi="Times New Roman" w:cs="Times New Roman"/>
                <w:b/>
                <w:bCs/>
              </w:rPr>
              <w:t>No.</w:t>
            </w:r>
          </w:p>
        </w:tc>
        <w:tc>
          <w:tcPr>
            <w:tcW w:w="5320" w:type="dxa"/>
            <w:tcBorders>
              <w:top w:val="single" w:sz="12" w:space="0" w:color="000000" w:themeColor="text1"/>
              <w:bottom w:val="single" w:sz="12" w:space="0" w:color="000000" w:themeColor="text1"/>
            </w:tcBorders>
          </w:tcPr>
          <w:p w14:paraId="06563877" w14:textId="77777777" w:rsidR="00CD7377" w:rsidRDefault="00000000">
            <w:pPr>
              <w:jc w:val="center"/>
              <w:rPr>
                <w:rFonts w:ascii="Times New Roman" w:hAnsi="Times New Roman" w:cs="Times New Roman"/>
                <w:b/>
                <w:bCs/>
              </w:rPr>
            </w:pPr>
            <w:r>
              <w:rPr>
                <w:rFonts w:ascii="Times New Roman" w:hAnsi="Times New Roman" w:cs="Times New Roman"/>
                <w:b/>
                <w:bCs/>
              </w:rPr>
              <w:t>Item</w:t>
            </w:r>
          </w:p>
        </w:tc>
        <w:tc>
          <w:tcPr>
            <w:tcW w:w="1250" w:type="dxa"/>
            <w:tcBorders>
              <w:top w:val="single" w:sz="12" w:space="0" w:color="000000" w:themeColor="text1"/>
              <w:bottom w:val="single" w:sz="12" w:space="0" w:color="000000" w:themeColor="text1"/>
            </w:tcBorders>
          </w:tcPr>
          <w:p w14:paraId="34C0D804" w14:textId="77777777" w:rsidR="00CD7377" w:rsidRDefault="00000000">
            <w:pPr>
              <w:jc w:val="center"/>
            </w:pPr>
            <w:r>
              <w:rPr>
                <w:rFonts w:ascii="Times New Roman" w:hAnsi="Times New Roman" w:cs="Times New Roman"/>
                <w:b/>
                <w:bCs/>
              </w:rPr>
              <w:t>Mean</w:t>
            </w:r>
          </w:p>
        </w:tc>
        <w:tc>
          <w:tcPr>
            <w:tcW w:w="1145" w:type="dxa"/>
            <w:tcBorders>
              <w:top w:val="single" w:sz="12" w:space="0" w:color="000000" w:themeColor="text1"/>
              <w:bottom w:val="single" w:sz="12" w:space="0" w:color="000000" w:themeColor="text1"/>
            </w:tcBorders>
          </w:tcPr>
          <w:p w14:paraId="652BE06D" w14:textId="77777777" w:rsidR="00CD7377" w:rsidRDefault="00000000">
            <w:pPr>
              <w:jc w:val="center"/>
              <w:rPr>
                <w:rFonts w:ascii="Times New Roman" w:hAnsi="Times New Roman" w:cs="Times New Roman"/>
                <w:b/>
                <w:bCs/>
              </w:rPr>
            </w:pPr>
            <w:r>
              <w:rPr>
                <w:rFonts w:ascii="Times New Roman" w:hAnsi="Times New Roman" w:cs="Times New Roman"/>
                <w:b/>
                <w:bCs/>
              </w:rPr>
              <w:t>SD</w:t>
            </w:r>
          </w:p>
        </w:tc>
      </w:tr>
      <w:tr w:rsidR="00CD7377" w14:paraId="07801C2D" w14:textId="77777777">
        <w:trPr>
          <w:trHeight w:val="995"/>
          <w:jc w:val="center"/>
        </w:trPr>
        <w:tc>
          <w:tcPr>
            <w:tcW w:w="580" w:type="dxa"/>
            <w:tcBorders>
              <w:top w:val="single" w:sz="12" w:space="0" w:color="000000" w:themeColor="text1"/>
            </w:tcBorders>
          </w:tcPr>
          <w:p w14:paraId="4019AF9D" w14:textId="77777777" w:rsidR="00CD7377" w:rsidRDefault="00000000">
            <w:pPr>
              <w:jc w:val="center"/>
              <w:rPr>
                <w:rFonts w:ascii="Times New Roman" w:hAnsi="Times New Roman" w:cs="Times New Roman"/>
              </w:rPr>
            </w:pPr>
            <w:r>
              <w:rPr>
                <w:rFonts w:ascii="Times New Roman" w:hAnsi="Times New Roman" w:cs="Times New Roman"/>
              </w:rPr>
              <w:t>B4</w:t>
            </w:r>
          </w:p>
        </w:tc>
        <w:tc>
          <w:tcPr>
            <w:tcW w:w="5320" w:type="dxa"/>
            <w:tcBorders>
              <w:top w:val="single" w:sz="12" w:space="0" w:color="000000" w:themeColor="text1"/>
            </w:tcBorders>
          </w:tcPr>
          <w:p w14:paraId="3472FEAA" w14:textId="77777777" w:rsidR="00CD7377" w:rsidRDefault="00000000">
            <w:r>
              <w:rPr>
                <w:rFonts w:ascii="Times New Roman" w:hAnsi="Times New Roman" w:cs="Times New Roman"/>
              </w:rPr>
              <w:t>It helps me learn better when my teacher intentionally uses both Vietnamese and English to explain complex academic content.</w:t>
            </w:r>
          </w:p>
        </w:tc>
        <w:tc>
          <w:tcPr>
            <w:tcW w:w="1250" w:type="dxa"/>
            <w:tcBorders>
              <w:top w:val="single" w:sz="12" w:space="0" w:color="000000" w:themeColor="text1"/>
            </w:tcBorders>
          </w:tcPr>
          <w:p w14:paraId="3AA0976D" w14:textId="77777777" w:rsidR="00CD7377" w:rsidRDefault="00000000">
            <w:pPr>
              <w:jc w:val="center"/>
            </w:pPr>
            <w:r>
              <w:rPr>
                <w:rFonts w:ascii="Times New Roman" w:hAnsi="Times New Roman" w:cs="Times New Roman"/>
              </w:rPr>
              <w:t>4.48</w:t>
            </w:r>
          </w:p>
        </w:tc>
        <w:tc>
          <w:tcPr>
            <w:tcW w:w="1145" w:type="dxa"/>
            <w:tcBorders>
              <w:top w:val="single" w:sz="12" w:space="0" w:color="000000" w:themeColor="text1"/>
            </w:tcBorders>
          </w:tcPr>
          <w:p w14:paraId="3DDDF801" w14:textId="77777777" w:rsidR="00CD7377" w:rsidRDefault="00000000">
            <w:pPr>
              <w:jc w:val="center"/>
              <w:rPr>
                <w:rFonts w:ascii="Times New Roman" w:hAnsi="Times New Roman" w:cs="Times New Roman"/>
              </w:rPr>
            </w:pPr>
            <w:r>
              <w:rPr>
                <w:rFonts w:ascii="Times New Roman" w:hAnsi="Times New Roman" w:cs="Times New Roman"/>
              </w:rPr>
              <w:t>0.68</w:t>
            </w:r>
          </w:p>
        </w:tc>
      </w:tr>
      <w:tr w:rsidR="00CD7377" w14:paraId="053C6731" w14:textId="77777777">
        <w:trPr>
          <w:trHeight w:val="940"/>
          <w:jc w:val="center"/>
        </w:trPr>
        <w:tc>
          <w:tcPr>
            <w:tcW w:w="580" w:type="dxa"/>
          </w:tcPr>
          <w:p w14:paraId="58C5ADB5" w14:textId="77777777" w:rsidR="00CD7377" w:rsidRDefault="00000000">
            <w:pPr>
              <w:jc w:val="center"/>
              <w:rPr>
                <w:rFonts w:ascii="Times New Roman" w:hAnsi="Times New Roman" w:cs="Times New Roman"/>
              </w:rPr>
            </w:pPr>
            <w:r>
              <w:rPr>
                <w:rFonts w:ascii="Times New Roman" w:hAnsi="Times New Roman" w:cs="Times New Roman"/>
              </w:rPr>
              <w:lastRenderedPageBreak/>
              <w:t xml:space="preserve">B5 </w:t>
            </w:r>
          </w:p>
        </w:tc>
        <w:tc>
          <w:tcPr>
            <w:tcW w:w="5320" w:type="dxa"/>
          </w:tcPr>
          <w:p w14:paraId="32A5DDE9" w14:textId="77777777" w:rsidR="00CD7377" w:rsidRDefault="00000000">
            <w:r>
              <w:rPr>
                <w:rFonts w:ascii="Times New Roman" w:hAnsi="Times New Roman" w:cs="Times New Roman"/>
              </w:rPr>
              <w:t>It helps me learn better when my teacher designs activities that allow discussion in both Vietnamese and English.</w:t>
            </w:r>
          </w:p>
        </w:tc>
        <w:tc>
          <w:tcPr>
            <w:tcW w:w="1250" w:type="dxa"/>
          </w:tcPr>
          <w:p w14:paraId="203EEF5D" w14:textId="77777777" w:rsidR="00CD7377" w:rsidRDefault="00000000">
            <w:pPr>
              <w:jc w:val="center"/>
              <w:rPr>
                <w:rFonts w:ascii="Times New Roman" w:hAnsi="Times New Roman" w:cs="Times New Roman"/>
              </w:rPr>
            </w:pPr>
            <w:r>
              <w:rPr>
                <w:rFonts w:ascii="Times New Roman" w:hAnsi="Times New Roman" w:cs="Times New Roman"/>
              </w:rPr>
              <w:t>4.22</w:t>
            </w:r>
          </w:p>
        </w:tc>
        <w:tc>
          <w:tcPr>
            <w:tcW w:w="1145" w:type="dxa"/>
          </w:tcPr>
          <w:p w14:paraId="297193B6" w14:textId="77777777" w:rsidR="00CD7377" w:rsidRDefault="00000000">
            <w:pPr>
              <w:jc w:val="center"/>
              <w:rPr>
                <w:rFonts w:ascii="Times New Roman" w:hAnsi="Times New Roman" w:cs="Times New Roman"/>
              </w:rPr>
            </w:pPr>
            <w:r>
              <w:rPr>
                <w:rFonts w:ascii="Times New Roman" w:hAnsi="Times New Roman" w:cs="Times New Roman"/>
              </w:rPr>
              <w:t>0.93</w:t>
            </w:r>
          </w:p>
        </w:tc>
      </w:tr>
      <w:tr w:rsidR="00CD7377" w14:paraId="1DF14B54" w14:textId="77777777">
        <w:trPr>
          <w:trHeight w:val="755"/>
          <w:jc w:val="center"/>
        </w:trPr>
        <w:tc>
          <w:tcPr>
            <w:tcW w:w="580" w:type="dxa"/>
          </w:tcPr>
          <w:p w14:paraId="794F6D82" w14:textId="77777777" w:rsidR="00CD7377" w:rsidRDefault="00000000">
            <w:pPr>
              <w:jc w:val="center"/>
              <w:rPr>
                <w:rFonts w:ascii="Times New Roman" w:hAnsi="Times New Roman" w:cs="Times New Roman"/>
              </w:rPr>
            </w:pPr>
            <w:r>
              <w:rPr>
                <w:rFonts w:ascii="Times New Roman" w:hAnsi="Times New Roman" w:cs="Times New Roman"/>
              </w:rPr>
              <w:t>B6</w:t>
            </w:r>
          </w:p>
        </w:tc>
        <w:tc>
          <w:tcPr>
            <w:tcW w:w="5320" w:type="dxa"/>
          </w:tcPr>
          <w:p w14:paraId="77290298" w14:textId="77777777" w:rsidR="00CD7377" w:rsidRDefault="00000000">
            <w:r>
              <w:rPr>
                <w:rFonts w:ascii="Times New Roman" w:hAnsi="Times New Roman" w:cs="Times New Roman"/>
              </w:rPr>
              <w:t>It helps me learn better when my teacher encourages group work using both Vietnamese and English.</w:t>
            </w:r>
          </w:p>
        </w:tc>
        <w:tc>
          <w:tcPr>
            <w:tcW w:w="1250" w:type="dxa"/>
          </w:tcPr>
          <w:p w14:paraId="7B55707C" w14:textId="77777777" w:rsidR="00CD7377" w:rsidRDefault="00000000">
            <w:pPr>
              <w:jc w:val="center"/>
              <w:rPr>
                <w:rFonts w:ascii="Times New Roman" w:hAnsi="Times New Roman" w:cs="Times New Roman"/>
              </w:rPr>
            </w:pPr>
            <w:r>
              <w:rPr>
                <w:rFonts w:ascii="Times New Roman" w:hAnsi="Times New Roman" w:cs="Times New Roman"/>
              </w:rPr>
              <w:t>4.14</w:t>
            </w:r>
          </w:p>
        </w:tc>
        <w:tc>
          <w:tcPr>
            <w:tcW w:w="1145" w:type="dxa"/>
          </w:tcPr>
          <w:p w14:paraId="17C93B36" w14:textId="77777777" w:rsidR="00CD7377" w:rsidRDefault="00000000">
            <w:pPr>
              <w:jc w:val="center"/>
              <w:rPr>
                <w:rFonts w:ascii="Times New Roman" w:hAnsi="Times New Roman" w:cs="Times New Roman"/>
              </w:rPr>
            </w:pPr>
            <w:r>
              <w:rPr>
                <w:rFonts w:ascii="Times New Roman" w:hAnsi="Times New Roman" w:cs="Times New Roman"/>
              </w:rPr>
              <w:t>0.7</w:t>
            </w:r>
          </w:p>
        </w:tc>
      </w:tr>
      <w:tr w:rsidR="00CD7377" w14:paraId="5C8879B4" w14:textId="77777777">
        <w:trPr>
          <w:trHeight w:val="997"/>
          <w:jc w:val="center"/>
        </w:trPr>
        <w:tc>
          <w:tcPr>
            <w:tcW w:w="580" w:type="dxa"/>
          </w:tcPr>
          <w:p w14:paraId="4CE39EA5" w14:textId="77777777" w:rsidR="00CD7377" w:rsidRDefault="00000000">
            <w:pPr>
              <w:jc w:val="center"/>
              <w:rPr>
                <w:rFonts w:ascii="Times New Roman" w:hAnsi="Times New Roman" w:cs="Times New Roman"/>
              </w:rPr>
            </w:pPr>
            <w:r>
              <w:rPr>
                <w:rFonts w:ascii="Times New Roman" w:hAnsi="Times New Roman" w:cs="Times New Roman"/>
              </w:rPr>
              <w:t>B7</w:t>
            </w:r>
          </w:p>
        </w:tc>
        <w:tc>
          <w:tcPr>
            <w:tcW w:w="5320" w:type="dxa"/>
          </w:tcPr>
          <w:p w14:paraId="534A0492" w14:textId="77777777" w:rsidR="00CD7377" w:rsidRDefault="00000000">
            <w:pPr>
              <w:rPr>
                <w:rFonts w:ascii="Times New Roman" w:hAnsi="Times New Roman" w:cs="Times New Roman"/>
              </w:rPr>
            </w:pPr>
            <w:r>
              <w:rPr>
                <w:rFonts w:ascii="Times New Roman" w:hAnsi="Times New Roman" w:cs="Times New Roman"/>
              </w:rPr>
              <w:t>It helps me learn better when my teacher allows students to ask and answer questions using both Vietnamese and English.</w:t>
            </w:r>
          </w:p>
        </w:tc>
        <w:tc>
          <w:tcPr>
            <w:tcW w:w="1250" w:type="dxa"/>
          </w:tcPr>
          <w:p w14:paraId="599E2CB4" w14:textId="77777777" w:rsidR="00CD7377" w:rsidRDefault="00000000">
            <w:pPr>
              <w:jc w:val="center"/>
              <w:rPr>
                <w:rFonts w:ascii="Times New Roman" w:hAnsi="Times New Roman" w:cs="Times New Roman"/>
              </w:rPr>
            </w:pPr>
            <w:r>
              <w:rPr>
                <w:rFonts w:ascii="Times New Roman" w:hAnsi="Times New Roman" w:cs="Times New Roman"/>
              </w:rPr>
              <w:t>4.12</w:t>
            </w:r>
          </w:p>
        </w:tc>
        <w:tc>
          <w:tcPr>
            <w:tcW w:w="1145" w:type="dxa"/>
          </w:tcPr>
          <w:p w14:paraId="2425E32A" w14:textId="77777777" w:rsidR="00CD7377" w:rsidRDefault="00000000">
            <w:pPr>
              <w:jc w:val="center"/>
              <w:rPr>
                <w:rFonts w:ascii="Times New Roman" w:hAnsi="Times New Roman" w:cs="Times New Roman"/>
              </w:rPr>
            </w:pPr>
            <w:r>
              <w:rPr>
                <w:rFonts w:ascii="Times New Roman" w:hAnsi="Times New Roman" w:cs="Times New Roman"/>
              </w:rPr>
              <w:t>0.94</w:t>
            </w:r>
          </w:p>
        </w:tc>
      </w:tr>
      <w:tr w:rsidR="00CD7377" w14:paraId="59A7B1DF" w14:textId="77777777">
        <w:trPr>
          <w:trHeight w:val="952"/>
          <w:jc w:val="center"/>
        </w:trPr>
        <w:tc>
          <w:tcPr>
            <w:tcW w:w="580" w:type="dxa"/>
          </w:tcPr>
          <w:p w14:paraId="7AB1D81C" w14:textId="77777777" w:rsidR="00CD7377" w:rsidRDefault="00000000">
            <w:pPr>
              <w:jc w:val="center"/>
              <w:rPr>
                <w:rFonts w:ascii="Times New Roman" w:hAnsi="Times New Roman" w:cs="Times New Roman"/>
              </w:rPr>
            </w:pPr>
            <w:r>
              <w:rPr>
                <w:rFonts w:ascii="Times New Roman" w:hAnsi="Times New Roman" w:cs="Times New Roman"/>
              </w:rPr>
              <w:t>B8</w:t>
            </w:r>
          </w:p>
        </w:tc>
        <w:tc>
          <w:tcPr>
            <w:tcW w:w="5320" w:type="dxa"/>
          </w:tcPr>
          <w:p w14:paraId="13BCB5B1" w14:textId="77777777" w:rsidR="00CD7377" w:rsidRDefault="00000000">
            <w:pPr>
              <w:rPr>
                <w:rFonts w:ascii="Times New Roman" w:hAnsi="Times New Roman" w:cs="Times New Roman"/>
              </w:rPr>
            </w:pPr>
            <w:r>
              <w:rPr>
                <w:rFonts w:ascii="Times New Roman" w:hAnsi="Times New Roman" w:cs="Times New Roman"/>
              </w:rPr>
              <w:t>It helps me learn better when my teacher uses Vietnamese to support understanding of materials in English (slides, textbooks, tasks).</w:t>
            </w:r>
          </w:p>
        </w:tc>
        <w:tc>
          <w:tcPr>
            <w:tcW w:w="1250" w:type="dxa"/>
          </w:tcPr>
          <w:p w14:paraId="4993032B" w14:textId="77777777" w:rsidR="00CD7377" w:rsidRDefault="00000000">
            <w:pPr>
              <w:jc w:val="center"/>
              <w:rPr>
                <w:rFonts w:ascii="Times New Roman" w:hAnsi="Times New Roman" w:cs="Times New Roman"/>
              </w:rPr>
            </w:pPr>
            <w:r>
              <w:rPr>
                <w:rFonts w:ascii="Times New Roman" w:hAnsi="Times New Roman" w:cs="Times New Roman"/>
              </w:rPr>
              <w:t>4.14</w:t>
            </w:r>
          </w:p>
        </w:tc>
        <w:tc>
          <w:tcPr>
            <w:tcW w:w="1145" w:type="dxa"/>
          </w:tcPr>
          <w:p w14:paraId="27ED677B" w14:textId="77777777" w:rsidR="00CD7377" w:rsidRDefault="00000000">
            <w:pPr>
              <w:jc w:val="center"/>
              <w:rPr>
                <w:rFonts w:ascii="Times New Roman" w:hAnsi="Times New Roman" w:cs="Times New Roman"/>
              </w:rPr>
            </w:pPr>
            <w:r>
              <w:rPr>
                <w:rFonts w:ascii="Times New Roman" w:hAnsi="Times New Roman" w:cs="Times New Roman"/>
              </w:rPr>
              <w:t>1.03</w:t>
            </w:r>
          </w:p>
        </w:tc>
      </w:tr>
      <w:tr w:rsidR="00CD7377" w14:paraId="57BDD01E" w14:textId="77777777">
        <w:trPr>
          <w:trHeight w:val="980"/>
          <w:jc w:val="center"/>
        </w:trPr>
        <w:tc>
          <w:tcPr>
            <w:tcW w:w="580" w:type="dxa"/>
          </w:tcPr>
          <w:p w14:paraId="115FB033" w14:textId="77777777" w:rsidR="00CD7377" w:rsidRDefault="00000000">
            <w:pPr>
              <w:jc w:val="center"/>
              <w:rPr>
                <w:rFonts w:ascii="Times New Roman" w:hAnsi="Times New Roman" w:cs="Times New Roman"/>
              </w:rPr>
            </w:pPr>
            <w:r>
              <w:rPr>
                <w:rFonts w:ascii="Times New Roman" w:hAnsi="Times New Roman" w:cs="Times New Roman"/>
              </w:rPr>
              <w:t>B9</w:t>
            </w:r>
          </w:p>
        </w:tc>
        <w:tc>
          <w:tcPr>
            <w:tcW w:w="5320" w:type="dxa"/>
          </w:tcPr>
          <w:p w14:paraId="1EF7557E" w14:textId="77777777" w:rsidR="00CD7377" w:rsidRDefault="00000000">
            <w:pPr>
              <w:rPr>
                <w:rFonts w:ascii="Times New Roman" w:hAnsi="Times New Roman" w:cs="Times New Roman"/>
              </w:rPr>
            </w:pPr>
            <w:r>
              <w:rPr>
                <w:rFonts w:ascii="Times New Roman" w:hAnsi="Times New Roman" w:cs="Times New Roman"/>
              </w:rPr>
              <w:t>It helps me learn better when my teacher integrates students’ life experiences into lessons through both Vietnamese and English.</w:t>
            </w:r>
          </w:p>
        </w:tc>
        <w:tc>
          <w:tcPr>
            <w:tcW w:w="1250" w:type="dxa"/>
          </w:tcPr>
          <w:p w14:paraId="119788C2" w14:textId="77777777" w:rsidR="00CD7377" w:rsidRDefault="00000000">
            <w:pPr>
              <w:jc w:val="center"/>
              <w:rPr>
                <w:rFonts w:ascii="Times New Roman" w:hAnsi="Times New Roman" w:cs="Times New Roman"/>
              </w:rPr>
            </w:pPr>
            <w:r>
              <w:rPr>
                <w:rFonts w:ascii="Times New Roman" w:hAnsi="Times New Roman" w:cs="Times New Roman"/>
              </w:rPr>
              <w:t>4.08</w:t>
            </w:r>
          </w:p>
        </w:tc>
        <w:tc>
          <w:tcPr>
            <w:tcW w:w="1145" w:type="dxa"/>
          </w:tcPr>
          <w:p w14:paraId="7D6646FA" w14:textId="77777777" w:rsidR="00CD7377" w:rsidRDefault="00000000">
            <w:pPr>
              <w:jc w:val="center"/>
              <w:rPr>
                <w:rFonts w:ascii="Times New Roman" w:hAnsi="Times New Roman" w:cs="Times New Roman"/>
              </w:rPr>
            </w:pPr>
            <w:r>
              <w:rPr>
                <w:rFonts w:ascii="Times New Roman" w:hAnsi="Times New Roman" w:cs="Times New Roman"/>
              </w:rPr>
              <w:t>0.92</w:t>
            </w:r>
          </w:p>
        </w:tc>
      </w:tr>
      <w:tr w:rsidR="00CD7377" w14:paraId="23F6FAA6" w14:textId="77777777">
        <w:trPr>
          <w:trHeight w:val="540"/>
          <w:jc w:val="center"/>
        </w:trPr>
        <w:tc>
          <w:tcPr>
            <w:tcW w:w="5900" w:type="dxa"/>
            <w:gridSpan w:val="2"/>
            <w:tcBorders>
              <w:top w:val="single" w:sz="12" w:space="0" w:color="000000" w:themeColor="text1"/>
              <w:bottom w:val="single" w:sz="12" w:space="0" w:color="000000" w:themeColor="text1"/>
            </w:tcBorders>
          </w:tcPr>
          <w:p w14:paraId="27E5ECEF" w14:textId="77777777" w:rsidR="00CD7377" w:rsidRDefault="00000000">
            <w:pPr>
              <w:jc w:val="center"/>
            </w:pPr>
            <w:r>
              <w:rPr>
                <w:rFonts w:ascii="Times New Roman" w:hAnsi="Times New Roman" w:cs="Times New Roman"/>
              </w:rPr>
              <w:t>Overall Mean</w:t>
            </w:r>
          </w:p>
        </w:tc>
        <w:tc>
          <w:tcPr>
            <w:tcW w:w="1250" w:type="dxa"/>
            <w:tcBorders>
              <w:top w:val="single" w:sz="12" w:space="0" w:color="000000" w:themeColor="text1"/>
              <w:bottom w:val="single" w:sz="12" w:space="0" w:color="000000" w:themeColor="text1"/>
            </w:tcBorders>
          </w:tcPr>
          <w:p w14:paraId="3ABF6517" w14:textId="77777777" w:rsidR="00CD7377" w:rsidRDefault="00000000">
            <w:pPr>
              <w:jc w:val="center"/>
              <w:rPr>
                <w:rFonts w:ascii="Times New Roman" w:hAnsi="Times New Roman" w:cs="Times New Roman"/>
              </w:rPr>
            </w:pPr>
            <w:r>
              <w:rPr>
                <w:rFonts w:ascii="Times New Roman" w:hAnsi="Times New Roman" w:cs="Times New Roman"/>
              </w:rPr>
              <w:t>4.19</w:t>
            </w:r>
          </w:p>
        </w:tc>
        <w:tc>
          <w:tcPr>
            <w:tcW w:w="1145" w:type="dxa"/>
            <w:tcBorders>
              <w:top w:val="single" w:sz="12" w:space="0" w:color="000000" w:themeColor="text1"/>
              <w:bottom w:val="single" w:sz="12" w:space="0" w:color="000000" w:themeColor="text1"/>
            </w:tcBorders>
          </w:tcPr>
          <w:p w14:paraId="5B95FC25" w14:textId="77777777" w:rsidR="00CD7377" w:rsidRDefault="00000000">
            <w:pPr>
              <w:jc w:val="center"/>
              <w:rPr>
                <w:rFonts w:ascii="Times New Roman" w:hAnsi="Times New Roman" w:cs="Times New Roman"/>
              </w:rPr>
            </w:pPr>
            <w:r>
              <w:rPr>
                <w:rFonts w:ascii="Times New Roman" w:hAnsi="Times New Roman" w:cs="Times New Roman"/>
              </w:rPr>
              <w:t>0.89</w:t>
            </w:r>
          </w:p>
        </w:tc>
      </w:tr>
    </w:tbl>
    <w:p w14:paraId="54FA78A9" w14:textId="77777777" w:rsidR="00CD7377" w:rsidRDefault="00CD7377">
      <w:pPr>
        <w:spacing w:after="120" w:line="480" w:lineRule="auto"/>
        <w:jc w:val="both"/>
      </w:pPr>
    </w:p>
    <w:p w14:paraId="27F3DABD" w14:textId="68626122"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Item B4 had the highest mean score of 4.48 (SD = 0.68). This showed that students strongly agree</w:t>
      </w:r>
      <w:r w:rsidR="003F4EBD">
        <w:rPr>
          <w:rFonts w:ascii="Times New Roman" w:hAnsi="Times New Roman" w:cs="Times New Roman"/>
          <w:color w:val="000000"/>
        </w:rPr>
        <w:t>d</w:t>
      </w:r>
      <w:r>
        <w:rPr>
          <w:rFonts w:ascii="Times New Roman" w:hAnsi="Times New Roman" w:cs="Times New Roman"/>
          <w:color w:val="000000"/>
        </w:rPr>
        <w:t xml:space="preserve"> </w:t>
      </w:r>
      <w:r w:rsidR="003F4EBD">
        <w:rPr>
          <w:rFonts w:ascii="Times New Roman" w:hAnsi="Times New Roman" w:cs="Times New Roman"/>
          <w:color w:val="000000"/>
        </w:rPr>
        <w:t>that intentional bilingual explanation effectively facilitated their understanding of complex academic content, and the low standard deviation indicated that this perception was</w:t>
      </w:r>
      <w:r>
        <w:rPr>
          <w:rFonts w:ascii="Times New Roman" w:hAnsi="Times New Roman" w:cs="Times New Roman"/>
          <w:color w:val="000000"/>
        </w:rPr>
        <w:t xml:space="preserve"> consistent across participants. This was followed by B5 (M = 4.22), B6 and B8 (M = 4.14), and B7 (M = 4.12), suggesting that implementing a multilingual approach in EMI classes helps students better understand the lessons. </w:t>
      </w:r>
    </w:p>
    <w:p w14:paraId="511B5B5A"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In contrast, item B9 has the lowest mean at 4.08 (SD = 0.92), revealing that some students may view the integration of personal life experiences as less relevant to their learning. </w:t>
      </w:r>
    </w:p>
    <w:p w14:paraId="218C6B9B" w14:textId="77777777" w:rsidR="00CD7377" w:rsidRDefault="00000000">
      <w:pPr>
        <w:pStyle w:val="Heading3"/>
        <w:spacing w:beforeAutospacing="0" w:after="120" w:afterAutospacing="0" w:line="480" w:lineRule="auto"/>
        <w:rPr>
          <w:i/>
          <w:iCs/>
        </w:rPr>
      </w:pPr>
      <w:r>
        <w:rPr>
          <w:i/>
          <w:iCs/>
        </w:rPr>
        <w:t>4.5. Perceptions of the teacher’s Shift</w:t>
      </w:r>
    </w:p>
    <w:p w14:paraId="2308DFF8"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Regarding students’ perceptions of the teacher's shift from item B10 to B15, </w:t>
      </w:r>
      <w:r>
        <w:rPr>
          <w:rFonts w:ascii="Times New Roman" w:hAnsi="Times New Roman" w:cs="Times New Roman"/>
          <w:color w:val="EE0000"/>
        </w:rPr>
        <w:t>as shown in Table 5</w:t>
      </w:r>
      <w:r>
        <w:rPr>
          <w:rFonts w:ascii="Times New Roman" w:hAnsi="Times New Roman" w:cs="Times New Roman"/>
          <w:color w:val="000000"/>
        </w:rPr>
        <w:t xml:space="preserve">, the statistics showed high overall scores, indicating that first-year students valued the spontaneous shift between English and Vietnamese during classes. </w:t>
      </w:r>
    </w:p>
    <w:p w14:paraId="2684EB96"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lastRenderedPageBreak/>
        <w:t xml:space="preserve">Item B10 had the highest mean of 4.50 (SD = 0.68), indicating that students learn better when their teacher uses Vietnamese to clarify difficult concepts in lessons. Additionally, item B13 has a high mean of 4.38 (SD = 0.86), indicating that students strongly value the use of both Vietnamese and English to explain unfamiliar vocabulary and grammar. This was followed by B13 (M = 4.38), B14 (M = 4.26), B12 (M = 4.16), and B11 (M = 4.10), suggesting that the flexibility between using the target language and the native language enhances students’ comprehension and creates a safer environment for first-year students. </w:t>
      </w:r>
    </w:p>
    <w:p w14:paraId="544E9FB3"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In contrast, item B15 had the lowest mean at 4.06 (SD = 0.98), suggesting that some students may disagree with the use of PT for their learning. </w:t>
      </w:r>
    </w:p>
    <w:p w14:paraId="6751776F" w14:textId="77777777" w:rsidR="00CD7377" w:rsidRDefault="00000000">
      <w:pPr>
        <w:pStyle w:val="Heading3"/>
        <w:spacing w:beforeAutospacing="0" w:after="120" w:afterAutospacing="0" w:line="480" w:lineRule="auto"/>
      </w:pPr>
      <w:bookmarkStart w:id="43" w:name="_Toc229075931"/>
      <w:r>
        <w:t xml:space="preserve">Table </w:t>
      </w:r>
      <w:r>
        <w:fldChar w:fldCharType="begin"/>
      </w:r>
      <w:r>
        <w:instrText>SEQ Table \* ARABIC</w:instrText>
      </w:r>
      <w:r>
        <w:fldChar w:fldCharType="separate"/>
      </w:r>
      <w:r>
        <w:t>5</w:t>
      </w:r>
      <w:r>
        <w:fldChar w:fldCharType="end"/>
      </w:r>
      <w:r>
        <w:t xml:space="preserve">. </w:t>
      </w:r>
    </w:p>
    <w:p w14:paraId="3B5FBC42" w14:textId="77777777" w:rsidR="00CD7377" w:rsidRDefault="00000000">
      <w:pPr>
        <w:spacing w:after="120" w:line="480" w:lineRule="auto"/>
        <w:jc w:val="both"/>
        <w:rPr>
          <w:rFonts w:ascii="Times New Roman" w:hAnsi="Times New Roman" w:cs="Times New Roman"/>
          <w:i/>
        </w:rPr>
      </w:pPr>
      <w:r>
        <w:rPr>
          <w:rFonts w:ascii="Times New Roman" w:hAnsi="Times New Roman" w:cs="Times New Roman"/>
          <w:i/>
          <w:iCs/>
        </w:rPr>
        <w:t xml:space="preserve">Perceptions of the teacher’s Shift </w:t>
      </w:r>
      <w:bookmarkEnd w:id="43"/>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652"/>
        <w:gridCol w:w="5607"/>
        <w:gridCol w:w="1096"/>
        <w:gridCol w:w="940"/>
      </w:tblGrid>
      <w:tr w:rsidR="00CD7377" w14:paraId="03312488" w14:textId="77777777">
        <w:trPr>
          <w:trHeight w:val="465"/>
          <w:jc w:val="center"/>
        </w:trPr>
        <w:tc>
          <w:tcPr>
            <w:tcW w:w="652" w:type="dxa"/>
            <w:tcBorders>
              <w:top w:val="single" w:sz="12" w:space="0" w:color="000000" w:themeColor="text1"/>
              <w:bottom w:val="single" w:sz="12" w:space="0" w:color="000000" w:themeColor="text1"/>
            </w:tcBorders>
          </w:tcPr>
          <w:p w14:paraId="62C60F22" w14:textId="77777777" w:rsidR="00CD7377" w:rsidRDefault="00000000">
            <w:pPr>
              <w:jc w:val="center"/>
            </w:pPr>
            <w:r>
              <w:rPr>
                <w:rFonts w:ascii="Times New Roman" w:hAnsi="Times New Roman" w:cs="Times New Roman"/>
                <w:b/>
                <w:bCs/>
              </w:rPr>
              <w:t>No.</w:t>
            </w:r>
          </w:p>
        </w:tc>
        <w:tc>
          <w:tcPr>
            <w:tcW w:w="5607" w:type="dxa"/>
            <w:tcBorders>
              <w:top w:val="single" w:sz="12" w:space="0" w:color="000000" w:themeColor="text1"/>
              <w:bottom w:val="single" w:sz="12" w:space="0" w:color="000000" w:themeColor="text1"/>
            </w:tcBorders>
          </w:tcPr>
          <w:p w14:paraId="633F7F6A" w14:textId="77777777" w:rsidR="00CD7377" w:rsidRDefault="00000000">
            <w:pPr>
              <w:jc w:val="center"/>
              <w:rPr>
                <w:rFonts w:ascii="Times New Roman" w:hAnsi="Times New Roman" w:cs="Times New Roman"/>
                <w:b/>
                <w:bCs/>
              </w:rPr>
            </w:pPr>
            <w:r>
              <w:rPr>
                <w:rFonts w:ascii="Times New Roman" w:hAnsi="Times New Roman" w:cs="Times New Roman"/>
                <w:b/>
                <w:bCs/>
              </w:rPr>
              <w:t>Item</w:t>
            </w:r>
          </w:p>
        </w:tc>
        <w:tc>
          <w:tcPr>
            <w:tcW w:w="1096" w:type="dxa"/>
            <w:tcBorders>
              <w:top w:val="single" w:sz="12" w:space="0" w:color="000000" w:themeColor="text1"/>
              <w:bottom w:val="single" w:sz="12" w:space="0" w:color="000000" w:themeColor="text1"/>
            </w:tcBorders>
          </w:tcPr>
          <w:p w14:paraId="1607ED36" w14:textId="77777777" w:rsidR="00CD7377" w:rsidRDefault="00000000">
            <w:pPr>
              <w:jc w:val="center"/>
            </w:pPr>
            <w:r>
              <w:rPr>
                <w:rFonts w:ascii="Times New Roman" w:hAnsi="Times New Roman" w:cs="Times New Roman"/>
                <w:b/>
                <w:bCs/>
              </w:rPr>
              <w:t>Mean</w:t>
            </w:r>
          </w:p>
        </w:tc>
        <w:tc>
          <w:tcPr>
            <w:tcW w:w="940" w:type="dxa"/>
            <w:tcBorders>
              <w:top w:val="single" w:sz="12" w:space="0" w:color="000000" w:themeColor="text1"/>
              <w:bottom w:val="single" w:sz="12" w:space="0" w:color="000000" w:themeColor="text1"/>
            </w:tcBorders>
          </w:tcPr>
          <w:p w14:paraId="4923F314" w14:textId="77777777" w:rsidR="00CD7377" w:rsidRDefault="00000000">
            <w:pPr>
              <w:jc w:val="center"/>
              <w:rPr>
                <w:rFonts w:ascii="Times New Roman" w:hAnsi="Times New Roman" w:cs="Times New Roman"/>
                <w:b/>
                <w:bCs/>
              </w:rPr>
            </w:pPr>
            <w:r>
              <w:rPr>
                <w:rFonts w:ascii="Times New Roman" w:hAnsi="Times New Roman" w:cs="Times New Roman"/>
                <w:b/>
                <w:bCs/>
              </w:rPr>
              <w:t>SD</w:t>
            </w:r>
          </w:p>
        </w:tc>
      </w:tr>
      <w:tr w:rsidR="00CD7377" w14:paraId="00C6F562" w14:textId="77777777">
        <w:trPr>
          <w:trHeight w:val="695"/>
          <w:jc w:val="center"/>
        </w:trPr>
        <w:tc>
          <w:tcPr>
            <w:tcW w:w="652" w:type="dxa"/>
            <w:tcBorders>
              <w:top w:val="single" w:sz="12" w:space="0" w:color="000000" w:themeColor="text1"/>
            </w:tcBorders>
          </w:tcPr>
          <w:p w14:paraId="0F5315DA" w14:textId="77777777" w:rsidR="00CD7377" w:rsidRDefault="00000000">
            <w:pPr>
              <w:jc w:val="center"/>
              <w:rPr>
                <w:rFonts w:ascii="Times New Roman" w:hAnsi="Times New Roman" w:cs="Times New Roman"/>
              </w:rPr>
            </w:pPr>
            <w:r>
              <w:rPr>
                <w:rFonts w:ascii="Times New Roman" w:hAnsi="Times New Roman" w:cs="Times New Roman"/>
              </w:rPr>
              <w:t>B10</w:t>
            </w:r>
          </w:p>
        </w:tc>
        <w:tc>
          <w:tcPr>
            <w:tcW w:w="5607" w:type="dxa"/>
            <w:tcBorders>
              <w:top w:val="single" w:sz="12" w:space="0" w:color="000000" w:themeColor="text1"/>
            </w:tcBorders>
          </w:tcPr>
          <w:p w14:paraId="017A18A1" w14:textId="77777777" w:rsidR="00CD7377" w:rsidRDefault="00000000">
            <w:r>
              <w:rPr>
                <w:rFonts w:ascii="Times New Roman" w:hAnsi="Times New Roman" w:cs="Times New Roman"/>
              </w:rPr>
              <w:t>It helps me learn better when my teacher uses Vietnamese to clarify difficult concepts.</w:t>
            </w:r>
          </w:p>
        </w:tc>
        <w:tc>
          <w:tcPr>
            <w:tcW w:w="1096" w:type="dxa"/>
            <w:tcBorders>
              <w:top w:val="single" w:sz="12" w:space="0" w:color="000000" w:themeColor="text1"/>
            </w:tcBorders>
          </w:tcPr>
          <w:p w14:paraId="440F8718" w14:textId="77777777" w:rsidR="00CD7377" w:rsidRDefault="00000000">
            <w:pPr>
              <w:jc w:val="center"/>
            </w:pPr>
            <w:r>
              <w:rPr>
                <w:rFonts w:ascii="Times New Roman" w:hAnsi="Times New Roman" w:cs="Times New Roman"/>
              </w:rPr>
              <w:t>4.50</w:t>
            </w:r>
          </w:p>
        </w:tc>
        <w:tc>
          <w:tcPr>
            <w:tcW w:w="940" w:type="dxa"/>
            <w:tcBorders>
              <w:top w:val="single" w:sz="12" w:space="0" w:color="000000" w:themeColor="text1"/>
            </w:tcBorders>
          </w:tcPr>
          <w:p w14:paraId="22BE7CD0" w14:textId="77777777" w:rsidR="00CD7377" w:rsidRDefault="00000000">
            <w:pPr>
              <w:jc w:val="center"/>
              <w:rPr>
                <w:rFonts w:ascii="Times New Roman" w:hAnsi="Times New Roman" w:cs="Times New Roman"/>
              </w:rPr>
            </w:pPr>
            <w:r>
              <w:rPr>
                <w:rFonts w:ascii="Times New Roman" w:hAnsi="Times New Roman" w:cs="Times New Roman"/>
              </w:rPr>
              <w:t>0.68</w:t>
            </w:r>
          </w:p>
        </w:tc>
      </w:tr>
      <w:tr w:rsidR="00CD7377" w14:paraId="40AD1368" w14:textId="77777777">
        <w:trPr>
          <w:trHeight w:val="715"/>
          <w:jc w:val="center"/>
        </w:trPr>
        <w:tc>
          <w:tcPr>
            <w:tcW w:w="652" w:type="dxa"/>
          </w:tcPr>
          <w:p w14:paraId="6BC05E75" w14:textId="77777777" w:rsidR="00CD7377" w:rsidRDefault="00000000">
            <w:pPr>
              <w:jc w:val="center"/>
              <w:rPr>
                <w:rFonts w:ascii="Times New Roman" w:hAnsi="Times New Roman" w:cs="Times New Roman"/>
              </w:rPr>
            </w:pPr>
            <w:r>
              <w:rPr>
                <w:rFonts w:ascii="Times New Roman" w:hAnsi="Times New Roman" w:cs="Times New Roman"/>
              </w:rPr>
              <w:t xml:space="preserve">B11 </w:t>
            </w:r>
          </w:p>
        </w:tc>
        <w:tc>
          <w:tcPr>
            <w:tcW w:w="5607" w:type="dxa"/>
          </w:tcPr>
          <w:p w14:paraId="4DF48EA3" w14:textId="77777777" w:rsidR="00CD7377" w:rsidRDefault="00000000">
            <w:r>
              <w:rPr>
                <w:rFonts w:ascii="Times New Roman" w:eastAsia="Times New Roman" w:hAnsi="Times New Roman" w:cs="Times New Roman"/>
              </w:rPr>
              <w:t>It helps me learn better when my teacher allows Vietnamese support while I try to answer in English.</w:t>
            </w:r>
          </w:p>
        </w:tc>
        <w:tc>
          <w:tcPr>
            <w:tcW w:w="1096" w:type="dxa"/>
          </w:tcPr>
          <w:p w14:paraId="3A10EA64" w14:textId="77777777" w:rsidR="00CD7377" w:rsidRDefault="00000000">
            <w:pPr>
              <w:jc w:val="center"/>
              <w:rPr>
                <w:rFonts w:ascii="Times New Roman" w:hAnsi="Times New Roman" w:cs="Times New Roman"/>
              </w:rPr>
            </w:pPr>
            <w:r>
              <w:rPr>
                <w:rFonts w:ascii="Times New Roman" w:hAnsi="Times New Roman" w:cs="Times New Roman"/>
              </w:rPr>
              <w:t>4.10</w:t>
            </w:r>
          </w:p>
        </w:tc>
        <w:tc>
          <w:tcPr>
            <w:tcW w:w="940" w:type="dxa"/>
          </w:tcPr>
          <w:p w14:paraId="35FCDCBD" w14:textId="77777777" w:rsidR="00CD7377" w:rsidRDefault="00000000">
            <w:pPr>
              <w:jc w:val="center"/>
              <w:rPr>
                <w:rFonts w:ascii="Times New Roman" w:hAnsi="Times New Roman" w:cs="Times New Roman"/>
              </w:rPr>
            </w:pPr>
            <w:r>
              <w:rPr>
                <w:rFonts w:ascii="Times New Roman" w:hAnsi="Times New Roman" w:cs="Times New Roman"/>
              </w:rPr>
              <w:t>0.95</w:t>
            </w:r>
          </w:p>
        </w:tc>
      </w:tr>
      <w:tr w:rsidR="00CD7377" w14:paraId="476FDDDE" w14:textId="77777777">
        <w:trPr>
          <w:trHeight w:val="720"/>
          <w:jc w:val="center"/>
        </w:trPr>
        <w:tc>
          <w:tcPr>
            <w:tcW w:w="652" w:type="dxa"/>
          </w:tcPr>
          <w:p w14:paraId="4ACE40F7" w14:textId="77777777" w:rsidR="00CD7377" w:rsidRDefault="00000000">
            <w:pPr>
              <w:jc w:val="center"/>
              <w:rPr>
                <w:rFonts w:ascii="Times New Roman" w:hAnsi="Times New Roman" w:cs="Times New Roman"/>
              </w:rPr>
            </w:pPr>
            <w:r>
              <w:rPr>
                <w:rFonts w:ascii="Times New Roman" w:hAnsi="Times New Roman" w:cs="Times New Roman"/>
              </w:rPr>
              <w:t>B12</w:t>
            </w:r>
          </w:p>
        </w:tc>
        <w:tc>
          <w:tcPr>
            <w:tcW w:w="5607" w:type="dxa"/>
          </w:tcPr>
          <w:p w14:paraId="659F28CF" w14:textId="77777777" w:rsidR="00CD7377" w:rsidRDefault="00000000">
            <w:r>
              <w:rPr>
                <w:rFonts w:ascii="Times New Roman" w:eastAsia="Times New Roman" w:hAnsi="Times New Roman" w:cs="Times New Roman"/>
              </w:rPr>
              <w:t>It helps me learn better when my teacher adjusts language use depending on students’ proficiency levels.</w:t>
            </w:r>
          </w:p>
        </w:tc>
        <w:tc>
          <w:tcPr>
            <w:tcW w:w="1096" w:type="dxa"/>
          </w:tcPr>
          <w:p w14:paraId="25ED6850" w14:textId="77777777" w:rsidR="00CD7377" w:rsidRDefault="00000000">
            <w:pPr>
              <w:jc w:val="center"/>
              <w:rPr>
                <w:rFonts w:ascii="Times New Roman" w:hAnsi="Times New Roman" w:cs="Times New Roman"/>
              </w:rPr>
            </w:pPr>
            <w:r>
              <w:rPr>
                <w:rFonts w:ascii="Times New Roman" w:hAnsi="Times New Roman" w:cs="Times New Roman"/>
              </w:rPr>
              <w:t>4.16</w:t>
            </w:r>
          </w:p>
        </w:tc>
        <w:tc>
          <w:tcPr>
            <w:tcW w:w="940" w:type="dxa"/>
          </w:tcPr>
          <w:p w14:paraId="1FC79A1C" w14:textId="77777777" w:rsidR="00CD7377" w:rsidRDefault="00000000">
            <w:pPr>
              <w:jc w:val="center"/>
              <w:rPr>
                <w:rFonts w:ascii="Times New Roman" w:hAnsi="Times New Roman" w:cs="Times New Roman"/>
              </w:rPr>
            </w:pPr>
            <w:r>
              <w:rPr>
                <w:rFonts w:ascii="Times New Roman" w:hAnsi="Times New Roman" w:cs="Times New Roman"/>
              </w:rPr>
              <w:t>0.77</w:t>
            </w:r>
          </w:p>
        </w:tc>
      </w:tr>
      <w:tr w:rsidR="00CD7377" w14:paraId="544032EB" w14:textId="77777777">
        <w:trPr>
          <w:trHeight w:val="997"/>
          <w:jc w:val="center"/>
        </w:trPr>
        <w:tc>
          <w:tcPr>
            <w:tcW w:w="652" w:type="dxa"/>
          </w:tcPr>
          <w:p w14:paraId="299F623F" w14:textId="77777777" w:rsidR="00CD7377" w:rsidRDefault="00000000">
            <w:pPr>
              <w:jc w:val="center"/>
              <w:rPr>
                <w:rFonts w:ascii="Times New Roman" w:hAnsi="Times New Roman" w:cs="Times New Roman"/>
              </w:rPr>
            </w:pPr>
            <w:r>
              <w:rPr>
                <w:rFonts w:ascii="Times New Roman" w:hAnsi="Times New Roman" w:cs="Times New Roman"/>
              </w:rPr>
              <w:t>B13</w:t>
            </w:r>
          </w:p>
        </w:tc>
        <w:tc>
          <w:tcPr>
            <w:tcW w:w="5607" w:type="dxa"/>
          </w:tcPr>
          <w:p w14:paraId="6288C122" w14:textId="77777777" w:rsidR="00CD7377" w:rsidRDefault="00000000">
            <w:r>
              <w:rPr>
                <w:rFonts w:ascii="Times New Roman" w:eastAsia="Times New Roman" w:hAnsi="Times New Roman" w:cs="Times New Roman"/>
              </w:rPr>
              <w:t>It helps me learn better when my teacher explains unfamiliar vocabulary or grammar using both Vietnamese and English.</w:t>
            </w:r>
          </w:p>
        </w:tc>
        <w:tc>
          <w:tcPr>
            <w:tcW w:w="1096" w:type="dxa"/>
          </w:tcPr>
          <w:p w14:paraId="336622AC" w14:textId="77777777" w:rsidR="00CD7377" w:rsidRDefault="00000000">
            <w:pPr>
              <w:jc w:val="center"/>
              <w:rPr>
                <w:rFonts w:ascii="Times New Roman" w:hAnsi="Times New Roman" w:cs="Times New Roman"/>
              </w:rPr>
            </w:pPr>
            <w:r>
              <w:rPr>
                <w:rFonts w:ascii="Times New Roman" w:hAnsi="Times New Roman" w:cs="Times New Roman"/>
              </w:rPr>
              <w:t>4.38</w:t>
            </w:r>
          </w:p>
        </w:tc>
        <w:tc>
          <w:tcPr>
            <w:tcW w:w="940" w:type="dxa"/>
          </w:tcPr>
          <w:p w14:paraId="704CFAD8" w14:textId="77777777" w:rsidR="00CD7377" w:rsidRDefault="00000000">
            <w:pPr>
              <w:jc w:val="center"/>
              <w:rPr>
                <w:rFonts w:ascii="Times New Roman" w:hAnsi="Times New Roman" w:cs="Times New Roman"/>
              </w:rPr>
            </w:pPr>
            <w:r>
              <w:rPr>
                <w:rFonts w:ascii="Times New Roman" w:hAnsi="Times New Roman" w:cs="Times New Roman"/>
              </w:rPr>
              <w:t>0.86</w:t>
            </w:r>
          </w:p>
        </w:tc>
      </w:tr>
      <w:tr w:rsidR="00CD7377" w14:paraId="440EE2AC" w14:textId="77777777">
        <w:trPr>
          <w:trHeight w:val="952"/>
          <w:jc w:val="center"/>
        </w:trPr>
        <w:tc>
          <w:tcPr>
            <w:tcW w:w="652" w:type="dxa"/>
          </w:tcPr>
          <w:p w14:paraId="3DEE445A" w14:textId="77777777" w:rsidR="00CD7377" w:rsidRDefault="00000000">
            <w:pPr>
              <w:jc w:val="center"/>
              <w:rPr>
                <w:rFonts w:ascii="Times New Roman" w:hAnsi="Times New Roman" w:cs="Times New Roman"/>
              </w:rPr>
            </w:pPr>
            <w:r>
              <w:rPr>
                <w:rFonts w:ascii="Times New Roman" w:hAnsi="Times New Roman" w:cs="Times New Roman"/>
              </w:rPr>
              <w:t>B14</w:t>
            </w:r>
          </w:p>
        </w:tc>
        <w:tc>
          <w:tcPr>
            <w:tcW w:w="5607" w:type="dxa"/>
          </w:tcPr>
          <w:p w14:paraId="78C10882" w14:textId="77777777" w:rsidR="00CD7377" w:rsidRDefault="00000000">
            <w:r>
              <w:rPr>
                <w:rFonts w:ascii="Times New Roman" w:eastAsia="Times New Roman" w:hAnsi="Times New Roman" w:cs="Times New Roman"/>
              </w:rPr>
              <w:t>It helps me learn better when my teacher allows spontaneous discussions in Vietnamese and English during class to ensure complete comprehension.</w:t>
            </w:r>
          </w:p>
        </w:tc>
        <w:tc>
          <w:tcPr>
            <w:tcW w:w="1096" w:type="dxa"/>
          </w:tcPr>
          <w:p w14:paraId="20705EEF" w14:textId="77777777" w:rsidR="00CD7377" w:rsidRDefault="00000000">
            <w:pPr>
              <w:jc w:val="center"/>
              <w:rPr>
                <w:rFonts w:ascii="Times New Roman" w:hAnsi="Times New Roman" w:cs="Times New Roman"/>
              </w:rPr>
            </w:pPr>
            <w:r>
              <w:rPr>
                <w:rFonts w:ascii="Times New Roman" w:hAnsi="Times New Roman" w:cs="Times New Roman"/>
              </w:rPr>
              <w:t>4.26</w:t>
            </w:r>
          </w:p>
        </w:tc>
        <w:tc>
          <w:tcPr>
            <w:tcW w:w="940" w:type="dxa"/>
          </w:tcPr>
          <w:p w14:paraId="11F6CC78" w14:textId="77777777" w:rsidR="00CD7377" w:rsidRDefault="00000000">
            <w:pPr>
              <w:jc w:val="center"/>
              <w:rPr>
                <w:rFonts w:ascii="Times New Roman" w:hAnsi="Times New Roman" w:cs="Times New Roman"/>
              </w:rPr>
            </w:pPr>
            <w:r>
              <w:rPr>
                <w:rFonts w:ascii="Times New Roman" w:hAnsi="Times New Roman" w:cs="Times New Roman"/>
              </w:rPr>
              <w:t>0.83</w:t>
            </w:r>
          </w:p>
        </w:tc>
      </w:tr>
      <w:tr w:rsidR="00CD7377" w14:paraId="6A3F8058" w14:textId="77777777">
        <w:trPr>
          <w:trHeight w:val="980"/>
          <w:jc w:val="center"/>
        </w:trPr>
        <w:tc>
          <w:tcPr>
            <w:tcW w:w="652" w:type="dxa"/>
          </w:tcPr>
          <w:p w14:paraId="0A1ABA7A" w14:textId="77777777" w:rsidR="00CD7377" w:rsidRDefault="00000000">
            <w:pPr>
              <w:jc w:val="center"/>
              <w:rPr>
                <w:rFonts w:ascii="Times New Roman" w:hAnsi="Times New Roman" w:cs="Times New Roman"/>
              </w:rPr>
            </w:pPr>
            <w:r>
              <w:rPr>
                <w:rFonts w:ascii="Times New Roman" w:hAnsi="Times New Roman" w:cs="Times New Roman"/>
              </w:rPr>
              <w:t>B15</w:t>
            </w:r>
          </w:p>
        </w:tc>
        <w:tc>
          <w:tcPr>
            <w:tcW w:w="5607" w:type="dxa"/>
          </w:tcPr>
          <w:p w14:paraId="3E709391" w14:textId="77777777" w:rsidR="00CD7377" w:rsidRDefault="00000000">
            <w:r>
              <w:rPr>
                <w:rFonts w:ascii="Times New Roman" w:eastAsia="Times New Roman" w:hAnsi="Times New Roman" w:cs="Times New Roman"/>
              </w:rPr>
              <w:t>It helps me learn better when my teacher responds flexibly to students’ questions by using both Vietnamese and English.</w:t>
            </w:r>
          </w:p>
        </w:tc>
        <w:tc>
          <w:tcPr>
            <w:tcW w:w="1096" w:type="dxa"/>
          </w:tcPr>
          <w:p w14:paraId="7FD9F2D2" w14:textId="77777777" w:rsidR="00CD7377" w:rsidRDefault="00000000">
            <w:pPr>
              <w:jc w:val="center"/>
              <w:rPr>
                <w:rFonts w:ascii="Times New Roman" w:hAnsi="Times New Roman" w:cs="Times New Roman"/>
              </w:rPr>
            </w:pPr>
            <w:r>
              <w:rPr>
                <w:rFonts w:ascii="Times New Roman" w:hAnsi="Times New Roman" w:cs="Times New Roman"/>
              </w:rPr>
              <w:t>4.06</w:t>
            </w:r>
          </w:p>
        </w:tc>
        <w:tc>
          <w:tcPr>
            <w:tcW w:w="940" w:type="dxa"/>
          </w:tcPr>
          <w:p w14:paraId="674557A0" w14:textId="77777777" w:rsidR="00CD7377" w:rsidRDefault="00000000">
            <w:pPr>
              <w:jc w:val="center"/>
              <w:rPr>
                <w:rFonts w:ascii="Times New Roman" w:hAnsi="Times New Roman" w:cs="Times New Roman"/>
              </w:rPr>
            </w:pPr>
            <w:r>
              <w:rPr>
                <w:rFonts w:ascii="Times New Roman" w:hAnsi="Times New Roman" w:cs="Times New Roman"/>
              </w:rPr>
              <w:t>0.98</w:t>
            </w:r>
          </w:p>
        </w:tc>
      </w:tr>
      <w:tr w:rsidR="00CD7377" w14:paraId="67E674F4" w14:textId="77777777">
        <w:trPr>
          <w:trHeight w:val="450"/>
          <w:jc w:val="center"/>
        </w:trPr>
        <w:tc>
          <w:tcPr>
            <w:tcW w:w="6259" w:type="dxa"/>
            <w:gridSpan w:val="2"/>
            <w:tcBorders>
              <w:top w:val="single" w:sz="12" w:space="0" w:color="000000" w:themeColor="text1"/>
              <w:bottom w:val="single" w:sz="12" w:space="0" w:color="000000" w:themeColor="text1"/>
            </w:tcBorders>
          </w:tcPr>
          <w:p w14:paraId="212BAD67" w14:textId="77777777" w:rsidR="00CD7377" w:rsidRDefault="00000000">
            <w:pPr>
              <w:jc w:val="center"/>
            </w:pPr>
            <w:r>
              <w:rPr>
                <w:rFonts w:ascii="Times New Roman" w:hAnsi="Times New Roman" w:cs="Times New Roman"/>
              </w:rPr>
              <w:t>Overall Mean</w:t>
            </w:r>
          </w:p>
        </w:tc>
        <w:tc>
          <w:tcPr>
            <w:tcW w:w="1096" w:type="dxa"/>
            <w:tcBorders>
              <w:top w:val="single" w:sz="12" w:space="0" w:color="000000" w:themeColor="text1"/>
              <w:bottom w:val="single" w:sz="12" w:space="0" w:color="000000" w:themeColor="text1"/>
            </w:tcBorders>
          </w:tcPr>
          <w:p w14:paraId="23A7FE71" w14:textId="77777777" w:rsidR="00CD7377" w:rsidRDefault="00000000">
            <w:pPr>
              <w:jc w:val="center"/>
              <w:rPr>
                <w:rFonts w:ascii="Times New Roman" w:hAnsi="Times New Roman" w:cs="Times New Roman"/>
              </w:rPr>
            </w:pPr>
            <w:r>
              <w:rPr>
                <w:rFonts w:ascii="Times New Roman" w:hAnsi="Times New Roman" w:cs="Times New Roman"/>
              </w:rPr>
              <w:t>4.24</w:t>
            </w:r>
          </w:p>
        </w:tc>
        <w:tc>
          <w:tcPr>
            <w:tcW w:w="940" w:type="dxa"/>
            <w:tcBorders>
              <w:top w:val="single" w:sz="12" w:space="0" w:color="000000" w:themeColor="text1"/>
              <w:bottom w:val="single" w:sz="12" w:space="0" w:color="000000" w:themeColor="text1"/>
            </w:tcBorders>
          </w:tcPr>
          <w:p w14:paraId="7ED90D76" w14:textId="77777777" w:rsidR="00CD7377" w:rsidRDefault="00000000">
            <w:pPr>
              <w:jc w:val="center"/>
              <w:rPr>
                <w:rFonts w:ascii="Times New Roman" w:hAnsi="Times New Roman" w:cs="Times New Roman"/>
              </w:rPr>
            </w:pPr>
            <w:r>
              <w:rPr>
                <w:rFonts w:ascii="Times New Roman" w:hAnsi="Times New Roman" w:cs="Times New Roman"/>
              </w:rPr>
              <w:t>0.84</w:t>
            </w:r>
          </w:p>
        </w:tc>
      </w:tr>
    </w:tbl>
    <w:p w14:paraId="0F21B60C" w14:textId="77777777" w:rsidR="00CD7377" w:rsidRDefault="00CD7377">
      <w:pPr>
        <w:pStyle w:val="Heading1"/>
        <w:spacing w:beforeAutospacing="0" w:after="120" w:afterAutospacing="0" w:line="480" w:lineRule="auto"/>
        <w:ind w:left="720"/>
        <w:jc w:val="left"/>
      </w:pPr>
    </w:p>
    <w:p w14:paraId="1B519213" w14:textId="77777777" w:rsidR="00CD7377" w:rsidRDefault="00000000">
      <w:pPr>
        <w:pStyle w:val="Heading1"/>
        <w:numPr>
          <w:ilvl w:val="0"/>
          <w:numId w:val="1"/>
        </w:numPr>
        <w:spacing w:beforeAutospacing="0" w:after="120" w:afterAutospacing="0" w:line="480" w:lineRule="auto"/>
      </w:pPr>
      <w:r>
        <w:lastRenderedPageBreak/>
        <w:t>Discussion</w:t>
      </w:r>
    </w:p>
    <w:p w14:paraId="235DA0B8" w14:textId="77777777" w:rsidR="00CD7377" w:rsidRDefault="00000000">
      <w:pPr>
        <w:pStyle w:val="Heading3"/>
        <w:spacing w:beforeAutospacing="0" w:after="120" w:afterAutospacing="0" w:line="480" w:lineRule="auto"/>
        <w:rPr>
          <w:color w:val="000000"/>
        </w:rPr>
      </w:pPr>
      <w:bookmarkStart w:id="44" w:name="_Toc228887269"/>
      <w:bookmarkStart w:id="45" w:name="_Toc229133266"/>
      <w:bookmarkStart w:id="46" w:name="_Toc28948"/>
      <w:bookmarkStart w:id="47" w:name="_Toc32529"/>
      <w:r>
        <w:rPr>
          <w:color w:val="000000"/>
        </w:rPr>
        <w:t>5.</w:t>
      </w:r>
      <w:r>
        <w:t>1. RQ1: How do first-year English-majored students perceive teachers’ pedagogical translanguaging practices in EMI classes?</w:t>
      </w:r>
      <w:bookmarkEnd w:id="44"/>
      <w:bookmarkEnd w:id="45"/>
      <w:r>
        <w:t> </w:t>
      </w:r>
      <w:bookmarkEnd w:id="46"/>
      <w:bookmarkEnd w:id="47"/>
    </w:p>
    <w:p w14:paraId="59EB8710"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Results from the questionnaire revealed that first-year English-majored students hold a positive perception of pedagogical translanguaging in the EMI context. The overall mean score of 4.14 indicates that integrating Vietnamese and English is a supportive tool that enhances students’ understanding and fosters a supportive learning environment. </w:t>
      </w:r>
    </w:p>
    <w:p w14:paraId="3BA950F2" w14:textId="77777777" w:rsidR="00CD7377" w:rsidRDefault="00000000">
      <w:pPr>
        <w:spacing w:after="120" w:line="480" w:lineRule="auto"/>
        <w:jc w:val="both"/>
        <w:rPr>
          <w:rFonts w:ascii="Times New Roman" w:hAnsi="Times New Roman" w:cs="Times New Roman"/>
          <w:b/>
          <w:bCs/>
          <w:i/>
          <w:iCs/>
          <w:color w:val="000000"/>
        </w:rPr>
      </w:pPr>
      <w:r>
        <w:rPr>
          <w:rFonts w:ascii="Times New Roman" w:hAnsi="Times New Roman" w:cs="Times New Roman"/>
          <w:b/>
          <w:bCs/>
          <w:i/>
          <w:iCs/>
          <w:color w:val="000000"/>
        </w:rPr>
        <w:t xml:space="preserve">5.1.1 Perceived Teacher’s Stance </w:t>
      </w:r>
    </w:p>
    <w:p w14:paraId="69932F79" w14:textId="491ED06C"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Regarding </w:t>
      </w:r>
      <w:r>
        <w:rPr>
          <w:rFonts w:ascii="Times New Roman" w:hAnsi="Times New Roman" w:cs="Times New Roman"/>
          <w:color w:val="000000"/>
          <w:shd w:val="clear" w:color="auto" w:fill="FFFFFF"/>
        </w:rPr>
        <w:t>the stance dimension</w:t>
      </w:r>
      <w:r>
        <w:rPr>
          <w:rFonts w:ascii="Times New Roman" w:hAnsi="Times New Roman" w:cs="Times New Roman"/>
          <w:color w:val="000000"/>
        </w:rPr>
        <w:t xml:space="preserve">, many respondents revealed that their teachers responded positively when Vietnamese was used to support comprehension in class (M = 4.20). This finding aligns with Pantalleresco (2021)’s research, which showed that teachers' acknowledgement of learners' L1 facilitates understanding and fosters a comfortable classroom environment. The teachers’ view of Vietnamese as an essential component of the EMI learning environment </w:t>
      </w:r>
      <w:r w:rsidR="001D266B">
        <w:rPr>
          <w:rFonts w:ascii="Times New Roman" w:hAnsi="Times New Roman" w:cs="Times New Roman"/>
          <w:color w:val="000000"/>
        </w:rPr>
        <w:t>received a high mean score (M=3.84), highlighting a shift toward the "meaning-making" process, in which</w:t>
      </w:r>
      <w:r>
        <w:rPr>
          <w:rFonts w:ascii="Times New Roman" w:hAnsi="Times New Roman" w:cs="Times New Roman"/>
          <w:color w:val="000000"/>
        </w:rPr>
        <w:t xml:space="preserve"> L1 serves as a crucial tool for facilitating learning and understanding of the target language within a specific context (Liu, 2021). This practice helps narrow the gap between high- and low-proficiency students and first-year students, especially those with limited English proficiency, ensuring that all learners are accessible to the target knowledge (Pantalleresco, 2021).</w:t>
      </w:r>
    </w:p>
    <w:p w14:paraId="4E9133CF" w14:textId="77777777" w:rsidR="00CD7377" w:rsidRDefault="00000000">
      <w:pPr>
        <w:spacing w:after="120" w:line="480" w:lineRule="auto"/>
        <w:jc w:val="both"/>
        <w:rPr>
          <w:rFonts w:ascii="Times New Roman" w:hAnsi="Times New Roman" w:cs="Times New Roman"/>
          <w:b/>
          <w:bCs/>
          <w:i/>
          <w:iCs/>
          <w:color w:val="000000"/>
        </w:rPr>
      </w:pPr>
      <w:r>
        <w:rPr>
          <w:rFonts w:ascii="Times New Roman" w:hAnsi="Times New Roman" w:cs="Times New Roman"/>
          <w:b/>
          <w:bCs/>
          <w:i/>
          <w:iCs/>
          <w:color w:val="000000"/>
        </w:rPr>
        <w:t>5.1.2. Perceived Teacher’s Design</w:t>
      </w:r>
    </w:p>
    <w:p w14:paraId="337D79E5"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Within the design dimension, participants perceived the teachers’ intentional use of both Vietnamese and English to explain complex academic content as an </w:t>
      </w:r>
      <w:r>
        <w:rPr>
          <w:rFonts w:ascii="Times New Roman" w:hAnsi="Times New Roman" w:cs="Times New Roman"/>
          <w:color w:val="000000"/>
        </w:rPr>
        <w:lastRenderedPageBreak/>
        <w:t xml:space="preserve">effective scaffolding strategy that facilitates comprehension during cognitively demanding tasks. This result aligns with the suggestion by Alasmari et al. (2022) that using the mother tongue reinforces learning by clarifying complex concepts and terminology. Furthermore, many students expressed interest in activities that allowed discussion in both Vietnamese and English (M = 4.22). This result supports Pantalleresco’s (2021) view that L1 not only facilitates meaning negotiation but also enhances the transition to the target language. </w:t>
      </w:r>
    </w:p>
    <w:p w14:paraId="6FBA1D08" w14:textId="3B6AC870"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In contrast, some first-year students with high English proficiency expressed different views about using Vietnamese to aid understanding of English learning materials, such as slides, textbooks, and exercises (M = 4.14, SD = 1.03). This difference may be due to the overuse of L1 in the EMI environment, as noted by Phuong and Dang (2022). They found that over-reliance on the mother tongue can reduce learners' motivation to learn. While the mother tongue is a valuable pedagogical tool, its effectiveness depends more on the appropriate context used than on uncontrolled use (Phuong &amp; Dang, 2022). </w:t>
      </w:r>
    </w:p>
    <w:p w14:paraId="51F8A9C0" w14:textId="77777777" w:rsidR="00CD7377" w:rsidRDefault="00000000">
      <w:pPr>
        <w:spacing w:after="120" w:line="480" w:lineRule="auto"/>
        <w:jc w:val="both"/>
        <w:rPr>
          <w:rFonts w:ascii="Times New Roman" w:hAnsi="Times New Roman" w:cs="Times New Roman"/>
          <w:b/>
          <w:bCs/>
          <w:i/>
          <w:iCs/>
          <w:color w:val="000000"/>
        </w:rPr>
      </w:pPr>
      <w:r>
        <w:rPr>
          <w:rFonts w:ascii="Times New Roman" w:hAnsi="Times New Roman" w:cs="Times New Roman"/>
          <w:b/>
          <w:bCs/>
          <w:i/>
          <w:iCs/>
          <w:color w:val="000000"/>
        </w:rPr>
        <w:t xml:space="preserve">5.1.3. Perceived Teacher’s Shift </w:t>
      </w:r>
    </w:p>
    <w:p w14:paraId="4B950FAE" w14:textId="2B4AA411"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Regarding the shift dimension, the collected data show that most learners agreed with teachers' use of Vietnamese to clarify difficult concepts (M = 4.50). This result aligns with the research of Liu et al. (2022), which found that translanguaging activities help create a sense of “safety” in the classroom, reducing learner anxiety and promoting collaborative learning. In the same vein, many participants agreed that using both Vietnamese and English to explain unfamiliar vocabulary and grammatical structures </w:t>
      </w:r>
      <w:r w:rsidR="001D266B">
        <w:rPr>
          <w:rFonts w:ascii="Times New Roman" w:hAnsi="Times New Roman" w:cs="Times New Roman"/>
          <w:color w:val="000000"/>
        </w:rPr>
        <w:t>helps them</w:t>
      </w:r>
      <w:r>
        <w:rPr>
          <w:rFonts w:ascii="Times New Roman" w:hAnsi="Times New Roman" w:cs="Times New Roman"/>
          <w:color w:val="000000"/>
        </w:rPr>
        <w:t xml:space="preserve"> learn better (M = 4.38). This could help address problems related to limited language proficiency in an EMI environment. The use of translanguaging in teaching can be seen as a bridge to close the language gap and ensure equitable access to </w:t>
      </w:r>
      <w:r>
        <w:rPr>
          <w:rFonts w:ascii="Times New Roman" w:hAnsi="Times New Roman" w:cs="Times New Roman"/>
          <w:color w:val="000000"/>
        </w:rPr>
        <w:lastRenderedPageBreak/>
        <w:t xml:space="preserve">academic content. Almatrafi (2023) holds similar ideas, arguing that translanguaging helps lower-level learners feel more confident in participating and fully utilising their language skills. </w:t>
      </w:r>
    </w:p>
    <w:p w14:paraId="30875363"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lang w:val="en"/>
        </w:rPr>
        <w:t xml:space="preserve">However, not all participants supported teachers' flexible language switching. In contrast, some students reported that teachers’ language switching could distract from their acquisition of the target language. This perceptual phenomenon may be due to differences in language proficiency among freshmen. </w:t>
      </w:r>
      <w:r>
        <w:rPr>
          <w:rFonts w:ascii="Times New Roman" w:hAnsi="Times New Roman" w:cs="Times New Roman"/>
          <w:color w:val="000000"/>
        </w:rPr>
        <w:t xml:space="preserve">Furthermore, the collected data indicate a negative view of allowing students to answer questions in both languages, which contrasts with findings from Nguyen's (2022) study, which argued that bilingualism improved communication effectiveness, reduced anxiety, and increased classroom engagement. </w:t>
      </w:r>
    </w:p>
    <w:p w14:paraId="5296DA40" w14:textId="77777777" w:rsidR="00CD7377" w:rsidRDefault="00000000">
      <w:pPr>
        <w:pStyle w:val="Heading3"/>
        <w:spacing w:beforeAutospacing="0" w:after="120" w:afterAutospacing="0" w:line="480" w:lineRule="auto"/>
        <w:rPr>
          <w:color w:val="000000"/>
        </w:rPr>
      </w:pPr>
      <w:bookmarkStart w:id="48" w:name="_Toc229133267"/>
      <w:r>
        <w:t xml:space="preserve">5.2. </w:t>
      </w:r>
      <w:bookmarkStart w:id="49" w:name="_Toc228887270"/>
      <w:bookmarkStart w:id="50" w:name="_Toc14564"/>
      <w:bookmarkStart w:id="51" w:name="_Toc8056"/>
      <w:r>
        <w:t xml:space="preserve">RQ2: Which pedagogical translanguaging practices are most and least valued by </w:t>
      </w:r>
      <w:r>
        <w:rPr>
          <w:color w:val="000000"/>
          <w:shd w:val="clear" w:color="auto" w:fill="FFFFFF"/>
        </w:rPr>
        <w:t xml:space="preserve">first-year </w:t>
      </w:r>
      <w:r>
        <w:t>English-majored students in EMI classrooms?</w:t>
      </w:r>
      <w:bookmarkEnd w:id="48"/>
      <w:bookmarkEnd w:id="49"/>
      <w:r>
        <w:t>  </w:t>
      </w:r>
      <w:bookmarkEnd w:id="50"/>
      <w:bookmarkEnd w:id="51"/>
    </w:p>
    <w:p w14:paraId="003FA890" w14:textId="77777777" w:rsidR="00CD7377" w:rsidRDefault="00000000">
      <w:pPr>
        <w:spacing w:after="120" w:line="480" w:lineRule="auto"/>
        <w:ind w:firstLine="720"/>
        <w:jc w:val="both"/>
        <w:rPr>
          <w:rFonts w:ascii="Times New Roman" w:eastAsia="SimSun" w:hAnsi="Times New Roman" w:cs="Times New Roman"/>
          <w:color w:val="000000"/>
        </w:rPr>
      </w:pPr>
      <w:r>
        <w:rPr>
          <w:rFonts w:ascii="Times New Roman" w:eastAsia="SimSun" w:hAnsi="Times New Roman" w:cs="Times New Roman"/>
          <w:color w:val="000000"/>
        </w:rPr>
        <w:t>When ranked in descending order, the highest-rated practices were associated with the Shift aspect, followed by several selected practices within the Design aspect, all averaging above 4.3.</w:t>
      </w:r>
    </w:p>
    <w:p w14:paraId="25325197" w14:textId="77777777" w:rsidR="00CD7377" w:rsidRDefault="00000000">
      <w:pPr>
        <w:spacing w:after="120" w:line="480" w:lineRule="auto"/>
        <w:ind w:firstLine="720"/>
        <w:jc w:val="both"/>
        <w:rPr>
          <w:rFonts w:ascii="Times New Roman" w:eastAsia="SimSun" w:hAnsi="Times New Roman" w:cs="Times New Roman"/>
          <w:color w:val="000000"/>
        </w:rPr>
      </w:pPr>
      <w:r>
        <w:rPr>
          <w:rFonts w:ascii="Times New Roman" w:eastAsia="SimSun" w:hAnsi="Times New Roman" w:cs="Times New Roman"/>
          <w:color w:val="000000"/>
        </w:rPr>
        <w:t>Specifically, the highest-rated item was B10 (</w:t>
      </w:r>
      <w:r>
        <w:rPr>
          <w:rFonts w:ascii="Times New Roman" w:eastAsia="SimSun" w:hAnsi="Times New Roman" w:cs="Times New Roman"/>
          <w:i/>
          <w:iCs/>
          <w:color w:val="000000"/>
        </w:rPr>
        <w:t xml:space="preserve">“It helps me learn better when my teacher uses Vietnamese to clarify difficult concepts”) </w:t>
      </w:r>
      <w:r>
        <w:rPr>
          <w:rFonts w:ascii="Times New Roman" w:eastAsia="SimSun" w:hAnsi="Times New Roman" w:cs="Times New Roman"/>
          <w:color w:val="000000"/>
        </w:rPr>
        <w:t>(M = 4.50), which belongs to the Shift dimension. This was closely followed by B4 (</w:t>
      </w:r>
      <w:r>
        <w:rPr>
          <w:rFonts w:ascii="Times New Roman" w:eastAsia="SimSun" w:hAnsi="Times New Roman" w:cs="Times New Roman"/>
          <w:i/>
          <w:iCs/>
          <w:color w:val="000000"/>
        </w:rPr>
        <w:t xml:space="preserve">“It helps me learn better when my teacher intentionally uses both Vietnamese and English to explain complex academic content”) </w:t>
      </w:r>
      <w:r>
        <w:rPr>
          <w:rFonts w:ascii="Times New Roman" w:eastAsia="SimSun" w:hAnsi="Times New Roman" w:cs="Times New Roman"/>
          <w:color w:val="000000"/>
        </w:rPr>
        <w:t xml:space="preserve">(M = 4.48), which belongs to Design dimension, and B13 </w:t>
      </w:r>
      <w:r>
        <w:rPr>
          <w:rFonts w:ascii="Times New Roman" w:eastAsia="SimSun" w:hAnsi="Times New Roman" w:cs="Times New Roman"/>
          <w:i/>
          <w:iCs/>
          <w:color w:val="000000"/>
        </w:rPr>
        <w:t>(“It helps me learn better when my teacher explains unfamiliar vocabulary or grammar using both Vietnamese and English”)</w:t>
      </w:r>
      <w:r>
        <w:rPr>
          <w:rFonts w:ascii="Times New Roman" w:eastAsia="SimSun" w:hAnsi="Times New Roman" w:cs="Times New Roman"/>
          <w:color w:val="000000"/>
        </w:rPr>
        <w:t xml:space="preserve"> (M = 4.38), which belong to the Shift dimension. Overall, these highly ranked items highlight the crucial role of teachers' explanatory </w:t>
      </w:r>
      <w:r>
        <w:rPr>
          <w:rFonts w:ascii="Times New Roman" w:eastAsia="SimSun" w:hAnsi="Times New Roman" w:cs="Times New Roman"/>
          <w:color w:val="000000"/>
        </w:rPr>
        <w:lastRenderedPageBreak/>
        <w:t>activities, particularly those that involve the flexible use of language within context to facilitate student comprehension.</w:t>
      </w:r>
    </w:p>
    <w:p w14:paraId="1670C6F5" w14:textId="77777777" w:rsidR="00CD7377" w:rsidRDefault="00000000">
      <w:pPr>
        <w:spacing w:after="120" w:line="480" w:lineRule="auto"/>
        <w:ind w:firstLine="720"/>
        <w:jc w:val="both"/>
        <w:rPr>
          <w:rFonts w:ascii="Times New Roman" w:eastAsia="SimSun" w:hAnsi="Times New Roman" w:cs="Times New Roman"/>
          <w:color w:val="000000"/>
        </w:rPr>
      </w:pPr>
      <w:r>
        <w:rPr>
          <w:rFonts w:ascii="Times New Roman" w:eastAsia="SimSun" w:hAnsi="Times New Roman" w:cs="Times New Roman"/>
          <w:color w:val="000000"/>
        </w:rPr>
        <w:t xml:space="preserve">Regarding item B10, in the context of EMI, where first-year students' English proficiency is diverse, students with lower proficiency are more likely to rely on their mother tongue (L1) to meet cognitive and linguistic demands in their studies. The importance of using L1 as a resource for comprehension in bilingual environments is supported by Cenoz and Etxague (2013). From that perspective, teachers' immediate use of Vietnamese serves as an essential scaffold to bridge the comprehension gap in real time. </w:t>
      </w:r>
    </w:p>
    <w:p w14:paraId="7F8D503C" w14:textId="77777777" w:rsidR="00CD7377" w:rsidRDefault="00000000">
      <w:pPr>
        <w:spacing w:after="120" w:line="480" w:lineRule="auto"/>
        <w:ind w:firstLine="720"/>
        <w:jc w:val="both"/>
        <w:rPr>
          <w:rFonts w:ascii="Times New Roman" w:eastAsia="SimSun" w:hAnsi="Times New Roman" w:cs="Times New Roman"/>
          <w:color w:val="000000"/>
        </w:rPr>
      </w:pPr>
      <w:r>
        <w:rPr>
          <w:rFonts w:ascii="Times New Roman" w:eastAsia="SimSun" w:hAnsi="Times New Roman" w:cs="Times New Roman"/>
          <w:color w:val="000000" w:themeColor="text1"/>
        </w:rPr>
        <w:t>Items B4 and B13 belong to the Design and Shift dimension. These two practices were identified by Nguyen et al. (2025) as the most common pedagogical functions of pedagogical translanguaging. Both B4 and B13 receive the highest mean scores because explanation plays a crucial role in ensuring students’ comprehension in EMI. L1 not only enhances comprehension but also reduces cognitive load and anxiety in the classroom. This view is supported by As Yen and Danh (2021), who claimed that incorporating the native language can shorten explanation time and create a safe learning environment for students.</w:t>
      </w:r>
    </w:p>
    <w:p w14:paraId="6B4C0694" w14:textId="77777777" w:rsidR="00CD7377" w:rsidRDefault="00000000">
      <w:pPr>
        <w:spacing w:after="120" w:line="480" w:lineRule="auto"/>
        <w:ind w:firstLine="720"/>
        <w:jc w:val="both"/>
        <w:rPr>
          <w:rFonts w:ascii="Times New Roman" w:eastAsia="SimSun" w:hAnsi="Times New Roman" w:cs="Times New Roman"/>
          <w:color w:val="000000" w:themeColor="text1"/>
        </w:rPr>
      </w:pPr>
      <w:r>
        <w:rPr>
          <w:rFonts w:ascii="Times New Roman" w:eastAsia="SimSun" w:hAnsi="Times New Roman" w:cs="Times New Roman"/>
          <w:color w:val="000000" w:themeColor="text1"/>
        </w:rPr>
        <w:t>On the other hand, the two lowest-rated items were B2 and B3, which related to teachers' stance toward the use of Vietnamese in EMI classrooms. One possible explanation is that students enrolled in EMI classrooms often expect to study in a predominantly English environment. Some even associate this EMI environment with a learning condition like English immersion or study abroad programs, which helps to boost their language competence (</w:t>
      </w:r>
      <w:r>
        <w:rPr>
          <w:rFonts w:ascii="Times New Roman" w:eastAsia="SimSun" w:hAnsi="Times New Roman" w:cs="Times New Roman"/>
        </w:rPr>
        <w:t>Surtees, 2016)</w:t>
      </w:r>
      <w:r>
        <w:rPr>
          <w:rFonts w:ascii="Times New Roman" w:eastAsia="SimSun" w:hAnsi="Times New Roman" w:cs="Times New Roman"/>
          <w:color w:val="000000" w:themeColor="text1"/>
        </w:rPr>
        <w:t xml:space="preserve">. The above-mentioned viewpoint resonates with what Breeze and Roothooft (2021, p. 206) have found that some students might perceive the use of L1 as “dangerous territory”, reducing their exposure to </w:t>
      </w:r>
      <w:r>
        <w:rPr>
          <w:rFonts w:ascii="Times New Roman" w:eastAsia="SimSun" w:hAnsi="Times New Roman" w:cs="Times New Roman"/>
          <w:color w:val="000000" w:themeColor="text1"/>
        </w:rPr>
        <w:lastRenderedPageBreak/>
        <w:t>English. This finding suggests that students may value a balance between maintaining the full English learning environment and strategically using Vietnamese for pedagogical purposes.</w:t>
      </w:r>
    </w:p>
    <w:p w14:paraId="5EA55479" w14:textId="77777777" w:rsidR="00CD7377" w:rsidRDefault="00000000">
      <w:pPr>
        <w:pStyle w:val="Heading1"/>
        <w:numPr>
          <w:ilvl w:val="0"/>
          <w:numId w:val="1"/>
        </w:numPr>
        <w:spacing w:beforeAutospacing="0" w:after="120" w:afterAutospacing="0" w:line="480" w:lineRule="auto"/>
      </w:pPr>
      <w:r>
        <w:t>Conclusion and implications</w:t>
      </w:r>
    </w:p>
    <w:p w14:paraId="07A697C7"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This study sheds light on how first-year English-majored students perceived teachers' pedagogical translanguaging in EMI contexts. Overall, learners perceived pedagogical translanguaging as a useful tool to support comprehension. Additionally, students view the implementation of pedagogical translanguaging practices as a positive approach.  Among the three dimensions (Stance, Design, Shift), the most valued translanguaging practices aligned with the “explaining concepts” pedagogical purpose. </w:t>
      </w:r>
    </w:p>
    <w:p w14:paraId="1D195D66"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The findings carry practical implications. The study can help teachers, schools, and educational institutions understand the potential of pedagogical translanguaging to support learning. Specifically, teachers will know how to design and implement lesson plans and activities suitable for students at varying levels. Schools and educational institutions can develop and deepen their understanding of pedagogical translanguaging. </w:t>
      </w:r>
    </w:p>
    <w:p w14:paraId="7120DD0E" w14:textId="77777777" w:rsidR="00CD7377" w:rsidRDefault="00000000">
      <w:pPr>
        <w:spacing w:after="120" w:line="480" w:lineRule="auto"/>
        <w:ind w:firstLine="720"/>
        <w:jc w:val="both"/>
        <w:rPr>
          <w:rFonts w:ascii="Times New Roman" w:hAnsi="Times New Roman" w:cs="Times New Roman"/>
          <w:color w:val="000000"/>
        </w:rPr>
      </w:pPr>
      <w:r>
        <w:rPr>
          <w:rFonts w:ascii="Times New Roman" w:hAnsi="Times New Roman" w:cs="Times New Roman"/>
          <w:color w:val="000000"/>
          <w:shd w:val="clear" w:color="auto" w:fill="FFFFFF"/>
        </w:rPr>
        <w:t xml:space="preserve">Besides, the study has some limitations. A sample of 50 participants from one university may limit the generalizability of the findings, as it may not represent other educational settings in Vietnam. Besides, this study focuses solely on English majors, neglecting the perspectives of non-English majors. </w:t>
      </w:r>
      <w:r>
        <w:rPr>
          <w:rFonts w:ascii="Times New Roman" w:hAnsi="Times New Roman" w:cs="Times New Roman"/>
          <w:color w:val="000000"/>
        </w:rPr>
        <w:t xml:space="preserve">Future researchers should conduct research over longer periods, across diverse contexts, and with more varied participants to broaden the understanding of pedagogical translanguaging in EMI. Moreover, future studies should employ a mixed-methods approach rather than a quantitative approach </w:t>
      </w:r>
      <w:r>
        <w:rPr>
          <w:rFonts w:ascii="Times New Roman" w:hAnsi="Times New Roman" w:cs="Times New Roman"/>
          <w:color w:val="000000"/>
        </w:rPr>
        <w:lastRenderedPageBreak/>
        <w:t xml:space="preserve">alone to gain a deeper understanding of pedagogical </w:t>
      </w:r>
      <w:r>
        <w:rPr>
          <w:rFonts w:ascii="Times New Roman" w:hAnsi="Times New Roman" w:cs="Times New Roman"/>
          <w:color w:val="000000"/>
          <w:shd w:val="clear" w:color="auto" w:fill="FFFFFF"/>
        </w:rPr>
        <w:t xml:space="preserve">translanguaging </w:t>
      </w:r>
      <w:r>
        <w:rPr>
          <w:rFonts w:ascii="Times New Roman" w:hAnsi="Times New Roman" w:cs="Times New Roman"/>
          <w:color w:val="000000"/>
        </w:rPr>
        <w:t xml:space="preserve">use in the context of EMI. </w:t>
      </w:r>
    </w:p>
    <w:p w14:paraId="14CD5B79" w14:textId="77777777" w:rsidR="00CD7377" w:rsidRDefault="00000000">
      <w:pPr>
        <w:spacing w:after="120" w:line="48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rPr>
        <w:t xml:space="preserve">In conclusion, pedagogical translanguaging provides a promising approach to students' learning in an EMI environment. With appropriate instructional practices, this strategy has the potential to foster learners’ comprehension, aligning with effective teaching and learning. </w:t>
      </w:r>
    </w:p>
    <w:p w14:paraId="253AEE53" w14:textId="77777777" w:rsidR="00CD7377" w:rsidRDefault="00000000">
      <w:pPr>
        <w:pStyle w:val="Heading3"/>
        <w:spacing w:beforeAutospacing="0" w:after="120" w:afterAutospacing="0" w:line="480" w:lineRule="auto"/>
      </w:pPr>
      <w:r>
        <w:t>Acknowledgements</w:t>
      </w:r>
    </w:p>
    <w:p w14:paraId="60D5B6EC" w14:textId="77777777" w:rsidR="00CD7377" w:rsidRDefault="00000000">
      <w:pPr>
        <w:spacing w:after="120" w:line="480" w:lineRule="auto"/>
        <w:ind w:firstLine="720"/>
        <w:jc w:val="both"/>
        <w:rPr>
          <w:rFonts w:ascii="Times New Roman" w:eastAsia="SimSun" w:hAnsi="Times New Roman" w:cs="Times New Roman"/>
        </w:rPr>
      </w:pPr>
      <w:r>
        <w:rPr>
          <w:rFonts w:ascii="Times New Roman" w:eastAsia="SimSun" w:hAnsi="Times New Roman" w:cs="Times New Roman"/>
        </w:rPr>
        <w:t>First and foremost, we would like to extend our thanks to International University, VNU HCM, and the School of Languages for providing us with all the necessary conditions to conduct this study. We would also like to extend our heartfelt appreciation to all the students who participated in this study. Your honest responses and the valuable time you contributed to this research played a significant role in its success. We are also deeply grateful to the teachers who kindly permitted us to enter their classrooms to collect data. We also sincerely thank the conference chairs and reviewers for their constructive feedback on earlier versions of this article.</w:t>
      </w:r>
      <w:r>
        <w:rPr>
          <w:rFonts w:ascii="Times New Roman" w:eastAsia="SimSun" w:hAnsi="Times New Roman" w:cs="Times New Roman"/>
        </w:rPr>
        <w:br w:type="page"/>
      </w:r>
    </w:p>
    <w:p w14:paraId="01D77499" w14:textId="77777777" w:rsidR="00CD7377" w:rsidRDefault="00CD7377">
      <w:pPr>
        <w:jc w:val="both"/>
        <w:rPr>
          <w:rFonts w:ascii="Times New Roman" w:eastAsia="SimSun" w:hAnsi="Times New Roman" w:cs="Times New Roman"/>
        </w:rPr>
      </w:pPr>
    </w:p>
    <w:p w14:paraId="41A0C489" w14:textId="77777777" w:rsidR="00CD7377" w:rsidRDefault="00000000">
      <w:pPr>
        <w:pStyle w:val="Heading3"/>
      </w:pPr>
      <w:r>
        <w:t>References</w:t>
      </w:r>
    </w:p>
    <w:p w14:paraId="4FA08307"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Alasmari, M., Qasem, F., Ahmed, R., &amp; Alrayes, M. (2022). Bilingual teachers’ translanguaging practices and ideologies in online classrooms in Saudi Arabia</w:t>
      </w:r>
      <w:r>
        <w:rPr>
          <w:rFonts w:ascii="Times New Roman" w:eastAsia="SimSun" w:hAnsi="Times New Roman" w:cs="Times New Roman"/>
          <w:i/>
          <w:iCs/>
        </w:rPr>
        <w:t>. Heliyon, 8 (9), e10537</w:t>
      </w:r>
      <w:r>
        <w:rPr>
          <w:rFonts w:ascii="Times New Roman" w:eastAsia="SimSun" w:hAnsi="Times New Roman" w:cs="Times New Roman"/>
        </w:rPr>
        <w:t xml:space="preserve">. </w:t>
      </w:r>
      <w:hyperlink r:id="rId10" w:history="1">
        <w:r w:rsidR="00CD7377">
          <w:rPr>
            <w:rStyle w:val="Hyperlink"/>
            <w:rFonts w:ascii="Times New Roman" w:eastAsia="SimSun" w:hAnsi="Times New Roman" w:cs="Times New Roman"/>
          </w:rPr>
          <w:t>https://doi.org/10.1016/j.heliyon.2022.e10537</w:t>
        </w:r>
      </w:hyperlink>
      <w:r>
        <w:rPr>
          <w:rFonts w:ascii="Times New Roman" w:eastAsia="SimSun" w:hAnsi="Times New Roman" w:cs="Times New Roman"/>
        </w:rPr>
        <w:t> </w:t>
      </w:r>
    </w:p>
    <w:p w14:paraId="5BCF8A6B"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Allard, E. C. (2017). Re-examining teacher translanguaging: An ecological perspective. </w:t>
      </w:r>
      <w:r>
        <w:rPr>
          <w:rFonts w:ascii="Times New Roman" w:eastAsia="SimSun" w:hAnsi="Times New Roman" w:cs="Times New Roman"/>
          <w:i/>
          <w:iCs/>
        </w:rPr>
        <w:t>Bilingual Research Journal</w:t>
      </w:r>
      <w:r>
        <w:rPr>
          <w:rFonts w:ascii="Times New Roman" w:eastAsia="SimSun" w:hAnsi="Times New Roman" w:cs="Times New Roman"/>
        </w:rPr>
        <w:t xml:space="preserve">, </w:t>
      </w:r>
      <w:r>
        <w:rPr>
          <w:rFonts w:ascii="Times New Roman" w:eastAsia="SimSun" w:hAnsi="Times New Roman" w:cs="Times New Roman"/>
          <w:i/>
        </w:rPr>
        <w:t>40</w:t>
      </w:r>
      <w:r>
        <w:rPr>
          <w:rFonts w:ascii="Times New Roman" w:eastAsia="SimSun" w:hAnsi="Times New Roman" w:cs="Times New Roman"/>
        </w:rPr>
        <w:t xml:space="preserve">(2), 116-130. </w:t>
      </w:r>
      <w:hyperlink r:id="rId11" w:history="1">
        <w:r w:rsidR="00CD7377">
          <w:rPr>
            <w:rStyle w:val="Hyperlink"/>
            <w:rFonts w:ascii="Times New Roman" w:eastAsia="SimSun" w:hAnsi="Times New Roman" w:cs="Times New Roman"/>
          </w:rPr>
          <w:t>https://doi.org/10.1080/15235882.2017.1306597</w:t>
        </w:r>
      </w:hyperlink>
      <w:r>
        <w:rPr>
          <w:rFonts w:ascii="Times New Roman" w:eastAsia="SimSun" w:hAnsi="Times New Roman" w:cs="Times New Roman"/>
        </w:rPr>
        <w:t> </w:t>
      </w:r>
    </w:p>
    <w:p w14:paraId="43FE13C5"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Almatrafi, B. (2023). Saudi EFL Students’ Perceptions of Pedagogical Translanguaging in English Medium Instruction. </w:t>
      </w:r>
      <w:r>
        <w:rPr>
          <w:rFonts w:ascii="Times New Roman" w:eastAsia="SimSun" w:hAnsi="Times New Roman" w:cs="Times New Roman"/>
          <w:i/>
          <w:iCs/>
        </w:rPr>
        <w:t>International Journal of Language and Literary Studies</w:t>
      </w:r>
      <w:r>
        <w:rPr>
          <w:rFonts w:ascii="Times New Roman" w:eastAsia="SimSun" w:hAnsi="Times New Roman" w:cs="Times New Roman"/>
        </w:rPr>
        <w:t xml:space="preserve">, </w:t>
      </w:r>
      <w:r>
        <w:rPr>
          <w:rFonts w:ascii="Times New Roman" w:eastAsia="SimSun" w:hAnsi="Times New Roman" w:cs="Times New Roman"/>
          <w:i/>
        </w:rPr>
        <w:t>5</w:t>
      </w:r>
      <w:r>
        <w:rPr>
          <w:rFonts w:ascii="Times New Roman" w:eastAsia="SimSun" w:hAnsi="Times New Roman" w:cs="Times New Roman"/>
        </w:rPr>
        <w:t xml:space="preserve">(4), 172-191. </w:t>
      </w:r>
      <w:hyperlink r:id="rId12" w:history="1">
        <w:r w:rsidR="00CD7377">
          <w:rPr>
            <w:rStyle w:val="Hyperlink"/>
            <w:rFonts w:ascii="Times New Roman" w:eastAsia="SimSun" w:hAnsi="Times New Roman" w:cs="Times New Roman"/>
          </w:rPr>
          <w:t>https://doi.org/10.36892/ijlls.v5i4.1460</w:t>
        </w:r>
      </w:hyperlink>
      <w:r>
        <w:rPr>
          <w:rFonts w:ascii="Times New Roman" w:eastAsia="SimSun" w:hAnsi="Times New Roman" w:cs="Times New Roman"/>
        </w:rPr>
        <w:t> </w:t>
      </w:r>
    </w:p>
    <w:p w14:paraId="054951CC"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Altheyab, N. A., &amp; Alalwi, F. S. (2022). English-Medium Instruction and Content Learning in Freshman Year: An Investigation of a Saudi University Students’ Challenges and Learning Strategies. </w:t>
      </w:r>
      <w:r>
        <w:rPr>
          <w:rFonts w:ascii="Times New Roman" w:eastAsia="SimSun" w:hAnsi="Times New Roman" w:cs="Times New Roman"/>
          <w:i/>
          <w:iCs/>
        </w:rPr>
        <w:t>World Journal of English Language</w:t>
      </w:r>
      <w:r>
        <w:rPr>
          <w:rFonts w:ascii="Times New Roman" w:eastAsia="SimSun" w:hAnsi="Times New Roman" w:cs="Times New Roman"/>
        </w:rPr>
        <w:t xml:space="preserve">, </w:t>
      </w:r>
      <w:r>
        <w:rPr>
          <w:rFonts w:ascii="Times New Roman" w:eastAsia="SimSun" w:hAnsi="Times New Roman" w:cs="Times New Roman"/>
          <w:i/>
          <w:iCs/>
        </w:rPr>
        <w:t>12</w:t>
      </w:r>
      <w:r>
        <w:rPr>
          <w:rFonts w:ascii="Times New Roman" w:eastAsia="SimSun" w:hAnsi="Times New Roman" w:cs="Times New Roman"/>
        </w:rPr>
        <w:t xml:space="preserve">(6), 71-82. </w:t>
      </w:r>
      <w:hyperlink r:id="rId13">
        <w:r w:rsidR="00CD7377">
          <w:rPr>
            <w:rStyle w:val="Hyperlink"/>
            <w:rFonts w:ascii="Times New Roman" w:eastAsia="SimSun" w:hAnsi="Times New Roman" w:cs="Times New Roman"/>
          </w:rPr>
          <w:t>https://doi.org/10.5430/wjel.v12n6p71</w:t>
        </w:r>
      </w:hyperlink>
      <w:r>
        <w:rPr>
          <w:rFonts w:ascii="Times New Roman" w:eastAsia="SimSun" w:hAnsi="Times New Roman" w:cs="Times New Roman"/>
        </w:rPr>
        <w:t> </w:t>
      </w:r>
    </w:p>
    <w:p w14:paraId="68D3C1CB"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André, S., Maulana, R., Helms-Lorenz, M., Telli, S., Chun, S., Fernández-García, C.-M., De Jager, T., Irnidayanti, Y., Inda-Caro, M., Lee, O., Safrina, R., Coetzee, T., &amp; Jeon, M. (2020). Student Perceptions in Measuring Teaching Behavior Across Six Countries: A Multi-Group Confirmatory Factor Analysis Approach to Measurement Invariance. </w:t>
      </w:r>
      <w:r>
        <w:rPr>
          <w:rFonts w:ascii="Times New Roman" w:eastAsia="SimSun" w:hAnsi="Times New Roman" w:cs="Times New Roman"/>
          <w:i/>
          <w:iCs/>
        </w:rPr>
        <w:t>Frontiers in Psychology</w:t>
      </w:r>
      <w:r>
        <w:rPr>
          <w:rFonts w:ascii="Times New Roman" w:eastAsia="SimSun" w:hAnsi="Times New Roman" w:cs="Times New Roman"/>
        </w:rPr>
        <w:t xml:space="preserve">, </w:t>
      </w:r>
      <w:r>
        <w:rPr>
          <w:rFonts w:ascii="Times New Roman" w:eastAsia="SimSun" w:hAnsi="Times New Roman" w:cs="Times New Roman"/>
          <w:i/>
          <w:iCs/>
        </w:rPr>
        <w:t>11</w:t>
      </w:r>
      <w:r>
        <w:rPr>
          <w:rFonts w:ascii="Times New Roman" w:eastAsia="SimSun" w:hAnsi="Times New Roman" w:cs="Times New Roman"/>
        </w:rPr>
        <w:t xml:space="preserve">, 1-19. </w:t>
      </w:r>
      <w:hyperlink r:id="rId14">
        <w:r w:rsidR="00CD7377">
          <w:rPr>
            <w:rStyle w:val="Hyperlink"/>
            <w:rFonts w:ascii="Times New Roman" w:eastAsia="SimSun" w:hAnsi="Times New Roman" w:cs="Times New Roman"/>
          </w:rPr>
          <w:t>https://doi.org/10.3389/fpsyg.2020.00273</w:t>
        </w:r>
      </w:hyperlink>
      <w:r>
        <w:rPr>
          <w:rFonts w:ascii="Times New Roman" w:eastAsia="SimSun" w:hAnsi="Times New Roman" w:cs="Times New Roman"/>
        </w:rPr>
        <w:t> </w:t>
      </w:r>
    </w:p>
    <w:p w14:paraId="1EBE7BEA"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Baker, C. (2011). </w:t>
      </w:r>
      <w:r>
        <w:rPr>
          <w:rFonts w:ascii="Times New Roman" w:eastAsia="SimSun" w:hAnsi="Times New Roman" w:cs="Times New Roman"/>
          <w:i/>
          <w:iCs/>
        </w:rPr>
        <w:t>Foundations of bilingual education and bilingualism</w:t>
      </w:r>
      <w:r>
        <w:rPr>
          <w:rFonts w:ascii="Times New Roman" w:eastAsia="SimSun" w:hAnsi="Times New Roman" w:cs="Times New Roman"/>
        </w:rPr>
        <w:t>. Multilingual matters. </w:t>
      </w:r>
    </w:p>
    <w:p w14:paraId="0CA47A75"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Barahona, M. (2020). The potential of translanguaging as a core teaching practice in an EFL context. </w:t>
      </w:r>
      <w:r>
        <w:rPr>
          <w:rFonts w:ascii="Times New Roman" w:eastAsia="SimSun" w:hAnsi="Times New Roman" w:cs="Times New Roman"/>
          <w:i/>
          <w:iCs/>
        </w:rPr>
        <w:t>System</w:t>
      </w:r>
      <w:r>
        <w:rPr>
          <w:rFonts w:ascii="Times New Roman" w:eastAsia="SimSun" w:hAnsi="Times New Roman" w:cs="Times New Roman"/>
        </w:rPr>
        <w:t xml:space="preserve">, </w:t>
      </w:r>
      <w:r>
        <w:rPr>
          <w:rFonts w:ascii="Times New Roman" w:eastAsia="SimSun" w:hAnsi="Times New Roman" w:cs="Times New Roman"/>
          <w:i/>
          <w:iCs/>
        </w:rPr>
        <w:t>95</w:t>
      </w:r>
      <w:r>
        <w:rPr>
          <w:rFonts w:ascii="Times New Roman" w:eastAsia="SimSun" w:hAnsi="Times New Roman" w:cs="Times New Roman"/>
        </w:rPr>
        <w:t xml:space="preserve">, 102368. </w:t>
      </w:r>
      <w:hyperlink r:id="rId15">
        <w:r w:rsidR="00CD7377">
          <w:rPr>
            <w:rStyle w:val="Hyperlink"/>
            <w:rFonts w:ascii="Times New Roman" w:eastAsia="SimSun" w:hAnsi="Times New Roman" w:cs="Times New Roman"/>
          </w:rPr>
          <w:t>https://doi.org/10.1016/j.system.2020.102368</w:t>
        </w:r>
      </w:hyperlink>
      <w:r>
        <w:rPr>
          <w:rFonts w:ascii="Times New Roman" w:eastAsia="SimSun" w:hAnsi="Times New Roman" w:cs="Times New Roman"/>
        </w:rPr>
        <w:t> </w:t>
      </w:r>
    </w:p>
    <w:p w14:paraId="1CFA81B2"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Breeze, R., &amp; Roothooft, H. (2021). Using the L1 in university-level EMI: Attitudes among lecturers in Spain. </w:t>
      </w:r>
      <w:r>
        <w:rPr>
          <w:rFonts w:ascii="Times New Roman" w:eastAsia="SimSun" w:hAnsi="Times New Roman" w:cs="Times New Roman"/>
          <w:i/>
          <w:iCs/>
        </w:rPr>
        <w:t>Language awareness</w:t>
      </w:r>
      <w:r>
        <w:rPr>
          <w:rFonts w:ascii="Times New Roman" w:eastAsia="SimSun" w:hAnsi="Times New Roman" w:cs="Times New Roman"/>
        </w:rPr>
        <w:t xml:space="preserve">, </w:t>
      </w:r>
      <w:r>
        <w:rPr>
          <w:rFonts w:ascii="Times New Roman" w:eastAsia="SimSun" w:hAnsi="Times New Roman" w:cs="Times New Roman"/>
          <w:i/>
          <w:iCs/>
        </w:rPr>
        <w:t>30</w:t>
      </w:r>
      <w:r>
        <w:rPr>
          <w:rFonts w:ascii="Times New Roman" w:eastAsia="SimSun" w:hAnsi="Times New Roman" w:cs="Times New Roman"/>
        </w:rPr>
        <w:t xml:space="preserve">(2), 195-215. </w:t>
      </w:r>
      <w:hyperlink r:id="rId16">
        <w:r w:rsidR="00CD7377">
          <w:rPr>
            <w:rStyle w:val="Hyperlink"/>
            <w:rFonts w:ascii="Times New Roman" w:hAnsi="Times New Roman" w:cs="Times New Roman"/>
          </w:rPr>
          <w:t>https://doi.org/10.1080/09658416.2021.1903911</w:t>
        </w:r>
      </w:hyperlink>
      <w:r>
        <w:rPr>
          <w:rFonts w:ascii="Times New Roman" w:eastAsia="SimSun" w:hAnsi="Times New Roman" w:cs="Times New Roman"/>
        </w:rPr>
        <w:t xml:space="preserve"> </w:t>
      </w:r>
    </w:p>
    <w:p w14:paraId="514E3D10"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Bui, P. H., &amp; Nguyen, T. T. A.(2014). The use of Vietnamese in English language classes-benefits and drawbacks. </w:t>
      </w:r>
      <w:r>
        <w:rPr>
          <w:rFonts w:ascii="Times New Roman" w:eastAsia="SimSun" w:hAnsi="Times New Roman" w:cs="Times New Roman"/>
          <w:i/>
          <w:iCs/>
        </w:rPr>
        <w:t>International Journal on Studies in English Language and Literature</w:t>
      </w:r>
      <w:r>
        <w:rPr>
          <w:rFonts w:ascii="Times New Roman" w:eastAsia="SimSun" w:hAnsi="Times New Roman" w:cs="Times New Roman"/>
        </w:rPr>
        <w:t xml:space="preserve">, </w:t>
      </w:r>
      <w:r>
        <w:rPr>
          <w:rFonts w:ascii="Times New Roman" w:eastAsia="SimSun" w:hAnsi="Times New Roman" w:cs="Times New Roman"/>
          <w:i/>
          <w:iCs/>
        </w:rPr>
        <w:t>2</w:t>
      </w:r>
      <w:r>
        <w:rPr>
          <w:rFonts w:ascii="Times New Roman" w:eastAsia="SimSun" w:hAnsi="Times New Roman" w:cs="Times New Roman"/>
        </w:rPr>
        <w:t>(12), 24-26.</w:t>
      </w:r>
    </w:p>
    <w:p w14:paraId="41897FE1"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Cahyani, H., De Courcy, M., &amp; Barnett, J. (2016). Teachers’ code-switching in bilingual classrooms: Exploring pedagogical and sociocultural functions. </w:t>
      </w:r>
      <w:r>
        <w:rPr>
          <w:rFonts w:ascii="Times New Roman" w:eastAsia="SimSun" w:hAnsi="Times New Roman" w:cs="Times New Roman"/>
          <w:i/>
          <w:iCs/>
        </w:rPr>
        <w:t>International Journal of Bilingual Education and Bilingualism</w:t>
      </w:r>
      <w:r>
        <w:rPr>
          <w:rFonts w:ascii="Times New Roman" w:eastAsia="SimSun" w:hAnsi="Times New Roman" w:cs="Times New Roman"/>
        </w:rPr>
        <w:t xml:space="preserve">, </w:t>
      </w:r>
      <w:r>
        <w:rPr>
          <w:rFonts w:ascii="Times New Roman" w:eastAsia="SimSun" w:hAnsi="Times New Roman" w:cs="Times New Roman"/>
          <w:i/>
        </w:rPr>
        <w:t>21</w:t>
      </w:r>
      <w:r>
        <w:rPr>
          <w:rFonts w:ascii="Times New Roman" w:eastAsia="SimSun" w:hAnsi="Times New Roman" w:cs="Times New Roman"/>
        </w:rPr>
        <w:t xml:space="preserve">(4), 465-479. </w:t>
      </w:r>
      <w:hyperlink r:id="rId17" w:history="1">
        <w:r w:rsidR="00CD7377">
          <w:rPr>
            <w:rStyle w:val="Hyperlink"/>
            <w:rFonts w:ascii="Times New Roman" w:eastAsia="SimSun" w:hAnsi="Times New Roman" w:cs="Times New Roman"/>
          </w:rPr>
          <w:t>https://doi.org/10.1080/13670050.2016.1189509</w:t>
        </w:r>
      </w:hyperlink>
      <w:r>
        <w:rPr>
          <w:rFonts w:ascii="Times New Roman" w:eastAsia="SimSun" w:hAnsi="Times New Roman" w:cs="Times New Roman"/>
        </w:rPr>
        <w:t> </w:t>
      </w:r>
    </w:p>
    <w:p w14:paraId="52FBB83F"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Cenoz J, Gorter D (2021). </w:t>
      </w:r>
      <w:r>
        <w:rPr>
          <w:rFonts w:ascii="Times New Roman" w:eastAsia="SimSun" w:hAnsi="Times New Roman" w:cs="Times New Roman"/>
          <w:i/>
          <w:iCs/>
        </w:rPr>
        <w:t>Pedagogical Translanguaging</w:t>
      </w:r>
      <w:r>
        <w:rPr>
          <w:rFonts w:ascii="Times New Roman" w:eastAsia="SimSun" w:hAnsi="Times New Roman" w:cs="Times New Roman"/>
        </w:rPr>
        <w:t>. Cambridge University Press.</w:t>
      </w:r>
    </w:p>
    <w:p w14:paraId="1DD83D1A"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Cenoz, J., &amp; Etxague, X. (2013). Spanish and English in Higher Education. </w:t>
      </w:r>
      <w:r>
        <w:rPr>
          <w:rFonts w:ascii="Times New Roman" w:eastAsia="SimSun" w:hAnsi="Times New Roman" w:cs="Times New Roman"/>
          <w:i/>
          <w:iCs/>
        </w:rPr>
        <w:t>Bilingual and multilingual education in the 21st century: Building on experience</w:t>
      </w:r>
      <w:r>
        <w:rPr>
          <w:rFonts w:ascii="Times New Roman" w:eastAsia="SimSun" w:hAnsi="Times New Roman" w:cs="Times New Roman"/>
        </w:rPr>
        <w:t xml:space="preserve">, </w:t>
      </w:r>
      <w:r>
        <w:rPr>
          <w:rFonts w:ascii="Times New Roman" w:eastAsia="SimSun" w:hAnsi="Times New Roman" w:cs="Times New Roman"/>
          <w:i/>
          <w:iCs/>
        </w:rPr>
        <w:t>94</w:t>
      </w:r>
      <w:r>
        <w:rPr>
          <w:rFonts w:ascii="Times New Roman" w:eastAsia="SimSun" w:hAnsi="Times New Roman" w:cs="Times New Roman"/>
        </w:rPr>
        <w:t>, 85-106.</w:t>
      </w:r>
    </w:p>
    <w:p w14:paraId="0BACDDB9"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Dearden, J. (2014). </w:t>
      </w:r>
      <w:r>
        <w:rPr>
          <w:rFonts w:ascii="Times New Roman" w:eastAsia="SimSun" w:hAnsi="Times New Roman" w:cs="Times New Roman"/>
          <w:i/>
          <w:iCs/>
        </w:rPr>
        <w:t>English as a medium of instruction-a growing global phenomenon</w:t>
      </w:r>
      <w:r>
        <w:rPr>
          <w:rFonts w:ascii="Times New Roman" w:eastAsia="SimSun" w:hAnsi="Times New Roman" w:cs="Times New Roman"/>
        </w:rPr>
        <w:t>. British Council.</w:t>
      </w:r>
    </w:p>
    <w:p w14:paraId="01C2BC6E"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Etikan, I., Musa, S. A., &amp; Alkassim, R. S. (2016). Comparison of Convenience Sampling and Purposive Sampling. </w:t>
      </w:r>
      <w:r>
        <w:rPr>
          <w:rFonts w:ascii="Times New Roman" w:eastAsia="SimSun" w:hAnsi="Times New Roman" w:cs="Times New Roman"/>
          <w:i/>
          <w:iCs/>
        </w:rPr>
        <w:t>American Journal of Theoretical and Applied Statistics</w:t>
      </w:r>
      <w:r>
        <w:rPr>
          <w:rFonts w:ascii="Times New Roman" w:eastAsia="SimSun" w:hAnsi="Times New Roman" w:cs="Times New Roman"/>
        </w:rPr>
        <w:t xml:space="preserve">, </w:t>
      </w:r>
      <w:r>
        <w:rPr>
          <w:rFonts w:ascii="Times New Roman" w:eastAsia="SimSun" w:hAnsi="Times New Roman" w:cs="Times New Roman"/>
          <w:i/>
          <w:iCs/>
        </w:rPr>
        <w:t>5</w:t>
      </w:r>
      <w:r>
        <w:rPr>
          <w:rFonts w:ascii="Times New Roman" w:eastAsia="SimSun" w:hAnsi="Times New Roman" w:cs="Times New Roman"/>
        </w:rPr>
        <w:t xml:space="preserve">(1), 1-4. </w:t>
      </w:r>
      <w:hyperlink r:id="rId18">
        <w:r w:rsidR="00CD7377">
          <w:rPr>
            <w:rStyle w:val="Hyperlink"/>
            <w:rFonts w:ascii="Times New Roman" w:eastAsia="SimSun" w:hAnsi="Times New Roman" w:cs="Times New Roman"/>
          </w:rPr>
          <w:t>https://doi.org/10.11648/j.ajtas.20160501.11</w:t>
        </w:r>
      </w:hyperlink>
      <w:r>
        <w:rPr>
          <w:rFonts w:ascii="Times New Roman" w:eastAsia="SimSun" w:hAnsi="Times New Roman" w:cs="Times New Roman"/>
        </w:rPr>
        <w:t> </w:t>
      </w:r>
    </w:p>
    <w:p w14:paraId="26C3809C"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lastRenderedPageBreak/>
        <w:t xml:space="preserve">Fang, F., Zhang, L. J., &amp; Sah, P. K. (2022). </w:t>
      </w:r>
      <w:r>
        <w:rPr>
          <w:rFonts w:ascii="Times New Roman" w:eastAsia="SimSun" w:hAnsi="Times New Roman" w:cs="Times New Roman"/>
          <w:i/>
          <w:iCs/>
        </w:rPr>
        <w:t>Translanguaging in Language Teaching and Learning: Current Practices and Future Directions</w:t>
      </w:r>
      <w:r>
        <w:rPr>
          <w:rFonts w:ascii="Times New Roman" w:eastAsia="SimSun" w:hAnsi="Times New Roman" w:cs="Times New Roman"/>
        </w:rPr>
        <w:t xml:space="preserve">. </w:t>
      </w:r>
      <w:r>
        <w:rPr>
          <w:rFonts w:ascii="Times New Roman" w:eastAsia="SimSun" w:hAnsi="Times New Roman" w:cs="Times New Roman"/>
          <w:i/>
          <w:iCs/>
        </w:rPr>
        <w:t>RELC Journal</w:t>
      </w:r>
      <w:r>
        <w:rPr>
          <w:rFonts w:ascii="Times New Roman" w:eastAsia="SimSun" w:hAnsi="Times New Roman" w:cs="Times New Roman"/>
        </w:rPr>
        <w:t xml:space="preserve">, </w:t>
      </w:r>
      <w:r>
        <w:rPr>
          <w:rFonts w:ascii="Times New Roman" w:eastAsia="SimSun" w:hAnsi="Times New Roman" w:cs="Times New Roman"/>
          <w:i/>
          <w:iCs/>
        </w:rPr>
        <w:t>53</w:t>
      </w:r>
      <w:r>
        <w:rPr>
          <w:rFonts w:ascii="Times New Roman" w:eastAsia="SimSun" w:hAnsi="Times New Roman" w:cs="Times New Roman"/>
        </w:rPr>
        <w:t>(2), 305-312.</w:t>
      </w:r>
      <w:hyperlink r:id="rId19" w:history="1">
        <w:r w:rsidR="00CD7377">
          <w:rPr>
            <w:rStyle w:val="Hyperlink"/>
            <w:rFonts w:ascii="Times New Roman" w:eastAsia="SimSun" w:hAnsi="Times New Roman" w:cs="Times New Roman"/>
          </w:rPr>
          <w:t xml:space="preserve"> https://doi.org/10.1177/00336882221114478</w:t>
        </w:r>
      </w:hyperlink>
      <w:r>
        <w:rPr>
          <w:rFonts w:ascii="Times New Roman" w:eastAsia="SimSun" w:hAnsi="Times New Roman" w:cs="Times New Roman"/>
        </w:rPr>
        <w:t> </w:t>
      </w:r>
    </w:p>
    <w:p w14:paraId="3529A070"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Fang, F., &amp; Liu, Y. (2020). ‘Using all English is not always meaningful’: Stakeholders’ perspectives on the use of and attitudes towards translanguaging at a Chinese university. </w:t>
      </w:r>
      <w:r>
        <w:rPr>
          <w:rFonts w:ascii="Times New Roman" w:eastAsia="SimSun" w:hAnsi="Times New Roman" w:cs="Times New Roman"/>
          <w:i/>
          <w:iCs/>
        </w:rPr>
        <w:t>Lingua</w:t>
      </w:r>
      <w:r>
        <w:rPr>
          <w:rFonts w:ascii="Times New Roman" w:eastAsia="SimSun" w:hAnsi="Times New Roman" w:cs="Times New Roman"/>
        </w:rPr>
        <w:t xml:space="preserve">, </w:t>
      </w:r>
      <w:r>
        <w:rPr>
          <w:rFonts w:ascii="Times New Roman" w:eastAsia="SimSun" w:hAnsi="Times New Roman" w:cs="Times New Roman"/>
          <w:i/>
        </w:rPr>
        <w:t>247</w:t>
      </w:r>
      <w:r>
        <w:rPr>
          <w:rFonts w:ascii="Times New Roman" w:eastAsia="SimSun" w:hAnsi="Times New Roman" w:cs="Times New Roman"/>
        </w:rPr>
        <w:t xml:space="preserve">, 102959. </w:t>
      </w:r>
      <w:hyperlink r:id="rId20" w:history="1">
        <w:r w:rsidR="00CD7377">
          <w:rPr>
            <w:rStyle w:val="Hyperlink"/>
            <w:rFonts w:ascii="Times New Roman" w:eastAsia="SimSun" w:hAnsi="Times New Roman" w:cs="Times New Roman"/>
          </w:rPr>
          <w:t>https://doi.org/10.1016/j.lingua.2020.102959</w:t>
        </w:r>
      </w:hyperlink>
      <w:r>
        <w:rPr>
          <w:rFonts w:ascii="Times New Roman" w:eastAsia="SimSun" w:hAnsi="Times New Roman" w:cs="Times New Roman"/>
        </w:rPr>
        <w:t> </w:t>
      </w:r>
    </w:p>
    <w:p w14:paraId="18FCC946"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García, O., Ibarra-Johnson, S., &amp; Seltzer, K. (2017). </w:t>
      </w:r>
      <w:r>
        <w:rPr>
          <w:rFonts w:ascii="Times New Roman" w:eastAsia="SimSun" w:hAnsi="Times New Roman" w:cs="Times New Roman"/>
          <w:i/>
          <w:iCs/>
        </w:rPr>
        <w:t>The translanguaging classroom: Leveraging student bilingualism for learning</w:t>
      </w:r>
      <w:r>
        <w:rPr>
          <w:rFonts w:ascii="Times New Roman" w:eastAsia="SimSun" w:hAnsi="Times New Roman" w:cs="Times New Roman"/>
        </w:rPr>
        <w:t>. Caslon.</w:t>
      </w:r>
    </w:p>
    <w:p w14:paraId="34C23B14"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García, O., &amp; Wei, L. (2014). </w:t>
      </w:r>
      <w:r>
        <w:rPr>
          <w:rFonts w:ascii="Times New Roman" w:eastAsia="SimSun" w:hAnsi="Times New Roman" w:cs="Times New Roman"/>
          <w:i/>
          <w:iCs/>
        </w:rPr>
        <w:t>Translanguaging: Language, bilingualism and education</w:t>
      </w:r>
      <w:r>
        <w:rPr>
          <w:rFonts w:ascii="Times New Roman" w:eastAsia="SimSun" w:hAnsi="Times New Roman" w:cs="Times New Roman"/>
        </w:rPr>
        <w:t>. Palgrave.</w:t>
      </w:r>
    </w:p>
    <w:p w14:paraId="1A612E08" w14:textId="77777777" w:rsidR="00CD7377" w:rsidRDefault="00000000">
      <w:pPr>
        <w:ind w:left="720" w:hanging="720"/>
        <w:jc w:val="both"/>
        <w:rPr>
          <w:rFonts w:ascii="Times New Roman" w:eastAsia="SimSun" w:hAnsi="Times New Roman" w:cs="Times New Roman"/>
        </w:rPr>
      </w:pPr>
      <w:r>
        <w:rPr>
          <w:rFonts w:ascii="Times New Roman" w:eastAsia="SimSun" w:hAnsi="Times New Roman" w:cs="Times New Roman"/>
        </w:rPr>
        <w:t xml:space="preserve">Iversen, J. Y. (2019). Pre-service teachers’ translanguaging during field placement in multilingual, mainstream classrooms in Norway. </w:t>
      </w:r>
      <w:r>
        <w:rPr>
          <w:rFonts w:ascii="Times New Roman" w:eastAsia="SimSun" w:hAnsi="Times New Roman" w:cs="Times New Roman"/>
          <w:i/>
          <w:iCs/>
        </w:rPr>
        <w:t>Language and Education</w:t>
      </w:r>
      <w:r>
        <w:rPr>
          <w:rFonts w:ascii="Times New Roman" w:eastAsia="SimSun" w:hAnsi="Times New Roman" w:cs="Times New Roman"/>
        </w:rPr>
        <w:t xml:space="preserve">, </w:t>
      </w:r>
      <w:r>
        <w:rPr>
          <w:rFonts w:ascii="Times New Roman" w:eastAsia="SimSun" w:hAnsi="Times New Roman" w:cs="Times New Roman"/>
          <w:i/>
        </w:rPr>
        <w:t>34</w:t>
      </w:r>
      <w:r>
        <w:rPr>
          <w:rFonts w:ascii="Times New Roman" w:eastAsia="SimSun" w:hAnsi="Times New Roman" w:cs="Times New Roman"/>
        </w:rPr>
        <w:t xml:space="preserve">(1), 51-65. </w:t>
      </w:r>
      <w:hyperlink r:id="rId21" w:history="1">
        <w:r w:rsidR="00CD7377">
          <w:rPr>
            <w:rStyle w:val="Hyperlink"/>
            <w:rFonts w:ascii="Times New Roman" w:eastAsia="SimSun" w:hAnsi="Times New Roman" w:cs="Times New Roman"/>
          </w:rPr>
          <w:t>https://doi.org/10.1080/09500782.2019.1682599</w:t>
        </w:r>
      </w:hyperlink>
      <w:r>
        <w:rPr>
          <w:rFonts w:ascii="Times New Roman" w:eastAsia="SimSun" w:hAnsi="Times New Roman" w:cs="Times New Roman"/>
        </w:rPr>
        <w:t> </w:t>
      </w:r>
    </w:p>
    <w:p w14:paraId="1D2FB27D"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Khairunnisa, K., &amp; Lukmana, I. (2020). Teachers’ Attitudes towards Translanguaging in Indonesian EFL Classrooms. </w:t>
      </w:r>
      <w:r>
        <w:rPr>
          <w:rFonts w:ascii="Times New Roman" w:eastAsia="SimSun" w:hAnsi="Times New Roman" w:cs="Times New Roman"/>
          <w:i/>
          <w:iCs/>
        </w:rPr>
        <w:t>Jurnal Penelitian Pendidikan</w:t>
      </w:r>
      <w:r>
        <w:rPr>
          <w:rFonts w:ascii="Times New Roman" w:eastAsia="SimSun" w:hAnsi="Times New Roman" w:cs="Times New Roman"/>
        </w:rPr>
        <w:t xml:space="preserve">, </w:t>
      </w:r>
      <w:r>
        <w:rPr>
          <w:rFonts w:ascii="Times New Roman" w:eastAsia="SimSun" w:hAnsi="Times New Roman" w:cs="Times New Roman"/>
          <w:i/>
        </w:rPr>
        <w:t>20</w:t>
      </w:r>
      <w:r>
        <w:rPr>
          <w:rFonts w:ascii="Times New Roman" w:eastAsia="SimSun" w:hAnsi="Times New Roman" w:cs="Times New Roman"/>
        </w:rPr>
        <w:t xml:space="preserve">(2), 254-266. </w:t>
      </w:r>
      <w:hyperlink r:id="rId22" w:history="1">
        <w:r w:rsidR="00CD7377">
          <w:rPr>
            <w:rStyle w:val="Hyperlink"/>
            <w:rFonts w:ascii="Times New Roman" w:eastAsia="SimSun" w:hAnsi="Times New Roman" w:cs="Times New Roman"/>
          </w:rPr>
          <w:t>https://doi.org/10.17509/jpp.v20i2.27046</w:t>
        </w:r>
      </w:hyperlink>
      <w:r>
        <w:rPr>
          <w:rFonts w:ascii="Times New Roman" w:eastAsia="SimSun" w:hAnsi="Times New Roman" w:cs="Times New Roman"/>
        </w:rPr>
        <w:t> </w:t>
      </w:r>
    </w:p>
    <w:p w14:paraId="49DF271F"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Liu, D. (2021). A study of graduate students’ perceptions towards pedagogical translanguaging at an international university in Bangkok. </w:t>
      </w:r>
      <w:r>
        <w:rPr>
          <w:rFonts w:ascii="Times New Roman" w:eastAsia="SimSun" w:hAnsi="Times New Roman" w:cs="Times New Roman"/>
          <w:i/>
          <w:iCs/>
        </w:rPr>
        <w:t>Language in India</w:t>
      </w:r>
      <w:r>
        <w:rPr>
          <w:rFonts w:ascii="Times New Roman" w:eastAsia="SimSun" w:hAnsi="Times New Roman" w:cs="Times New Roman"/>
        </w:rPr>
        <w:t xml:space="preserve">, </w:t>
      </w:r>
      <w:r>
        <w:rPr>
          <w:rFonts w:ascii="Times New Roman" w:eastAsia="SimSun" w:hAnsi="Times New Roman" w:cs="Times New Roman"/>
          <w:i/>
          <w:iCs/>
        </w:rPr>
        <w:t>21</w:t>
      </w:r>
      <w:r>
        <w:rPr>
          <w:rFonts w:ascii="Times New Roman" w:eastAsia="SimSun" w:hAnsi="Times New Roman" w:cs="Times New Roman"/>
        </w:rPr>
        <w:t>(3), 1-36.</w:t>
      </w:r>
    </w:p>
    <w:p w14:paraId="10ECB591"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Liu, D., Deng, Y., &amp; Wimpenny, K. (2022). Students’ perceptions and experiences of translanguaging pedagogy in teaching English for academic purposes in China. </w:t>
      </w:r>
      <w:r>
        <w:rPr>
          <w:rFonts w:ascii="Times New Roman" w:eastAsia="SimSun" w:hAnsi="Times New Roman" w:cs="Times New Roman"/>
          <w:i/>
          <w:iCs/>
        </w:rPr>
        <w:t>Teaching in Higher Education</w:t>
      </w:r>
      <w:r>
        <w:rPr>
          <w:rFonts w:ascii="Times New Roman" w:eastAsia="SimSun" w:hAnsi="Times New Roman" w:cs="Times New Roman"/>
        </w:rPr>
        <w:t xml:space="preserve">, </w:t>
      </w:r>
      <w:r>
        <w:rPr>
          <w:rFonts w:ascii="Times New Roman" w:eastAsia="SimSun" w:hAnsi="Times New Roman" w:cs="Times New Roman"/>
          <w:i/>
        </w:rPr>
        <w:t>29</w:t>
      </w:r>
      <w:r>
        <w:rPr>
          <w:rFonts w:ascii="Times New Roman" w:eastAsia="SimSun" w:hAnsi="Times New Roman" w:cs="Times New Roman"/>
        </w:rPr>
        <w:t xml:space="preserve">(5), 1234-1252. </w:t>
      </w:r>
      <w:hyperlink r:id="rId23" w:history="1">
        <w:r w:rsidR="00CD7377">
          <w:rPr>
            <w:rStyle w:val="Hyperlink"/>
            <w:rFonts w:ascii="Times New Roman" w:eastAsia="SimSun" w:hAnsi="Times New Roman" w:cs="Times New Roman"/>
          </w:rPr>
          <w:t>https://doi.org/10.1080/13562517.2022.2129961</w:t>
        </w:r>
      </w:hyperlink>
      <w:r>
        <w:rPr>
          <w:rFonts w:ascii="Times New Roman" w:eastAsia="SimSun" w:hAnsi="Times New Roman" w:cs="Times New Roman"/>
        </w:rPr>
        <w:t> </w:t>
      </w:r>
    </w:p>
    <w:p w14:paraId="63FE4554"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Littlewood, W., &amp; Yu, B. (2009). First language and target language in the foreign language classroom. </w:t>
      </w:r>
      <w:r>
        <w:rPr>
          <w:rFonts w:ascii="Times New Roman" w:eastAsia="SimSun" w:hAnsi="Times New Roman" w:cs="Times New Roman"/>
          <w:i/>
          <w:iCs/>
        </w:rPr>
        <w:t>Language Teaching</w:t>
      </w:r>
      <w:r>
        <w:rPr>
          <w:rFonts w:ascii="Times New Roman" w:eastAsia="SimSun" w:hAnsi="Times New Roman" w:cs="Times New Roman"/>
        </w:rPr>
        <w:t xml:space="preserve">, </w:t>
      </w:r>
      <w:r>
        <w:rPr>
          <w:rFonts w:ascii="Times New Roman" w:eastAsia="SimSun" w:hAnsi="Times New Roman" w:cs="Times New Roman"/>
          <w:i/>
        </w:rPr>
        <w:t>44</w:t>
      </w:r>
      <w:r>
        <w:rPr>
          <w:rFonts w:ascii="Times New Roman" w:eastAsia="SimSun" w:hAnsi="Times New Roman" w:cs="Times New Roman"/>
        </w:rPr>
        <w:t xml:space="preserve">(1), 64-77. </w:t>
      </w:r>
      <w:hyperlink r:id="rId24" w:history="1">
        <w:r w:rsidR="00CD7377">
          <w:rPr>
            <w:rStyle w:val="Hyperlink"/>
            <w:rFonts w:ascii="Times New Roman" w:eastAsia="SimSun" w:hAnsi="Times New Roman" w:cs="Times New Roman"/>
          </w:rPr>
          <w:t>https://doi.org/10.1017/s0261444809990310</w:t>
        </w:r>
      </w:hyperlink>
      <w:r>
        <w:rPr>
          <w:rFonts w:ascii="Times New Roman" w:eastAsia="SimSun" w:hAnsi="Times New Roman" w:cs="Times New Roman"/>
        </w:rPr>
        <w:t> </w:t>
      </w:r>
    </w:p>
    <w:p w14:paraId="2CB69690"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Macaro, E. (2020). Exploring the role of language in English medium instruction. </w:t>
      </w:r>
      <w:r>
        <w:rPr>
          <w:rFonts w:ascii="Times New Roman" w:eastAsia="SimSun" w:hAnsi="Times New Roman" w:cs="Times New Roman"/>
          <w:i/>
          <w:iCs/>
        </w:rPr>
        <w:t>International Journal of Bilingual Education and Bilingualism</w:t>
      </w:r>
      <w:r>
        <w:rPr>
          <w:rFonts w:ascii="Times New Roman" w:eastAsia="SimSun" w:hAnsi="Times New Roman" w:cs="Times New Roman"/>
        </w:rPr>
        <w:t xml:space="preserve">. </w:t>
      </w:r>
      <w:hyperlink r:id="rId25" w:history="1">
        <w:r w:rsidR="00CD7377">
          <w:rPr>
            <w:rStyle w:val="Hyperlink"/>
            <w:rFonts w:ascii="Times New Roman" w:eastAsia="SimSun" w:hAnsi="Times New Roman" w:cs="Times New Roman"/>
          </w:rPr>
          <w:t>https://doi.org/10.1080/13670050.2019.1620678</w:t>
        </w:r>
      </w:hyperlink>
    </w:p>
    <w:p w14:paraId="73BACD21"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Moraczewska, A. (2024). Pedagogical Translanguaging for Epistemic Inclusion: Scaffolding Strategies in Bilingual Subject Instruction in Norway. </w:t>
      </w:r>
      <w:r>
        <w:rPr>
          <w:rFonts w:ascii="Times New Roman" w:eastAsia="SimSun" w:hAnsi="Times New Roman" w:cs="Times New Roman"/>
          <w:i/>
          <w:iCs/>
        </w:rPr>
        <w:t xml:space="preserve">International Journal of Applied Linguistics, 36, </w:t>
      </w:r>
      <w:r>
        <w:rPr>
          <w:rFonts w:ascii="Times New Roman" w:eastAsia="SimSun" w:hAnsi="Times New Roman" w:cs="Times New Roman"/>
        </w:rPr>
        <w:t xml:space="preserve">39-50. </w:t>
      </w:r>
      <w:hyperlink r:id="rId26">
        <w:r w:rsidR="00CD7377">
          <w:rPr>
            <w:rStyle w:val="Hyperlink"/>
            <w:rFonts w:ascii="Times New Roman" w:eastAsia="SimSun" w:hAnsi="Times New Roman" w:cs="Times New Roman"/>
          </w:rPr>
          <w:t>https://doi.org/10.1111/ijal.12661</w:t>
        </w:r>
      </w:hyperlink>
    </w:p>
    <w:p w14:paraId="605C5B61"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Ngo, K. T. (2025). EFL Learners’ Perceptions of Translanguaging in English classes at an HCM English Centre. </w:t>
      </w:r>
      <w:r>
        <w:rPr>
          <w:rFonts w:ascii="Times New Roman" w:eastAsia="SimSun" w:hAnsi="Times New Roman" w:cs="Times New Roman"/>
          <w:i/>
          <w:iCs/>
        </w:rPr>
        <w:t>International Journal of Language Instruction</w:t>
      </w:r>
      <w:r>
        <w:rPr>
          <w:rFonts w:ascii="Times New Roman" w:eastAsia="SimSun" w:hAnsi="Times New Roman" w:cs="Times New Roman"/>
        </w:rPr>
        <w:t xml:space="preserve">, </w:t>
      </w:r>
      <w:r>
        <w:rPr>
          <w:rFonts w:ascii="Times New Roman" w:eastAsia="SimSun" w:hAnsi="Times New Roman" w:cs="Times New Roman"/>
          <w:i/>
        </w:rPr>
        <w:t>4</w:t>
      </w:r>
      <w:r>
        <w:rPr>
          <w:rFonts w:ascii="Times New Roman" w:eastAsia="SimSun" w:hAnsi="Times New Roman" w:cs="Times New Roman"/>
        </w:rPr>
        <w:t xml:space="preserve">(1), 50-64. </w:t>
      </w:r>
      <w:hyperlink r:id="rId27" w:history="1">
        <w:r w:rsidR="00CD7377">
          <w:rPr>
            <w:rStyle w:val="Hyperlink"/>
            <w:rFonts w:ascii="Times New Roman" w:eastAsia="SimSun" w:hAnsi="Times New Roman" w:cs="Times New Roman"/>
          </w:rPr>
          <w:t>https://doi.org/10.54855/ijli.25414</w:t>
        </w:r>
      </w:hyperlink>
      <w:r>
        <w:rPr>
          <w:rFonts w:ascii="Times New Roman" w:eastAsia="SimSun" w:hAnsi="Times New Roman" w:cs="Times New Roman"/>
        </w:rPr>
        <w:t> </w:t>
      </w:r>
    </w:p>
    <w:p w14:paraId="522A83C2"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Nguyen, H. T., Nguyen, H. T., Gilanyi, L., Hoang, T. H., &amp; Gao, X. (2025). Content Language Integrated Learning (CLIL): Teachers’ metacognitive understanding of pedagogical translanguaging. </w:t>
      </w:r>
      <w:r>
        <w:rPr>
          <w:rFonts w:ascii="Times New Roman" w:eastAsia="SimSun" w:hAnsi="Times New Roman" w:cs="Times New Roman"/>
          <w:i/>
          <w:iCs/>
        </w:rPr>
        <w:t>Learning and Instruction</w:t>
      </w:r>
      <w:r>
        <w:rPr>
          <w:rFonts w:ascii="Times New Roman" w:eastAsia="SimSun" w:hAnsi="Times New Roman" w:cs="Times New Roman"/>
        </w:rPr>
        <w:t xml:space="preserve">, 97, 102085. </w:t>
      </w:r>
      <w:hyperlink r:id="rId28" w:history="1">
        <w:r w:rsidR="00CD7377">
          <w:rPr>
            <w:rStyle w:val="Hyperlink"/>
            <w:rFonts w:ascii="Times New Roman" w:eastAsia="SimSun" w:hAnsi="Times New Roman" w:cs="Times New Roman"/>
          </w:rPr>
          <w:t>https://doi.org/10.1016/j.learninstruc.2025.102085</w:t>
        </w:r>
      </w:hyperlink>
      <w:r>
        <w:rPr>
          <w:rFonts w:ascii="Times New Roman" w:eastAsia="SimSun" w:hAnsi="Times New Roman" w:cs="Times New Roman"/>
        </w:rPr>
        <w:t> </w:t>
      </w:r>
    </w:p>
    <w:p w14:paraId="440D9C6B"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Nguyen, T. N. T. (2022). A Review of Studies on EFL Teachers’ and Students’ Perceptions of Tranglanguaging as a Pedagogical Approach. </w:t>
      </w:r>
      <w:r>
        <w:rPr>
          <w:rFonts w:ascii="Times New Roman" w:eastAsia="SimSun" w:hAnsi="Times New Roman" w:cs="Times New Roman"/>
          <w:i/>
          <w:iCs/>
        </w:rPr>
        <w:t>International Journal of TESOL &amp; Education</w:t>
      </w:r>
      <w:r>
        <w:rPr>
          <w:rFonts w:ascii="Times New Roman" w:eastAsia="SimSun" w:hAnsi="Times New Roman" w:cs="Times New Roman"/>
        </w:rPr>
        <w:t xml:space="preserve">, </w:t>
      </w:r>
      <w:r>
        <w:rPr>
          <w:rFonts w:ascii="Times New Roman" w:eastAsia="SimSun" w:hAnsi="Times New Roman" w:cs="Times New Roman"/>
          <w:i/>
        </w:rPr>
        <w:t>2</w:t>
      </w:r>
      <w:r>
        <w:rPr>
          <w:rFonts w:ascii="Times New Roman" w:eastAsia="SimSun" w:hAnsi="Times New Roman" w:cs="Times New Roman"/>
        </w:rPr>
        <w:t xml:space="preserve">(3), 324-331. </w:t>
      </w:r>
      <w:hyperlink r:id="rId29" w:history="1">
        <w:r w:rsidR="00CD7377">
          <w:rPr>
            <w:rStyle w:val="Hyperlink"/>
            <w:rFonts w:ascii="Times New Roman" w:eastAsia="SimSun" w:hAnsi="Times New Roman" w:cs="Times New Roman"/>
          </w:rPr>
          <w:t>https://doi.org/10.54855/ijte.222322</w:t>
        </w:r>
      </w:hyperlink>
      <w:r>
        <w:rPr>
          <w:rFonts w:ascii="Times New Roman" w:eastAsia="SimSun" w:hAnsi="Times New Roman" w:cs="Times New Roman"/>
        </w:rPr>
        <w:t> </w:t>
      </w:r>
    </w:p>
    <w:p w14:paraId="593680C6"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Pantalleresco, J. (2021). </w:t>
      </w:r>
      <w:r>
        <w:rPr>
          <w:rFonts w:ascii="Times New Roman" w:eastAsia="SimSun" w:hAnsi="Times New Roman" w:cs="Times New Roman"/>
          <w:i/>
          <w:iCs/>
        </w:rPr>
        <w:t>The teachers’ beliefs on translanguaging practices during speaking tasks in the Spanish as a foreign language classroom</w:t>
      </w:r>
      <w:r>
        <w:rPr>
          <w:rFonts w:ascii="Times New Roman" w:eastAsia="SimSun" w:hAnsi="Times New Roman" w:cs="Times New Roman"/>
        </w:rPr>
        <w:t xml:space="preserve"> (Master’s dissertation, University of Malta). University of Malta Institutional Repository. </w:t>
      </w:r>
      <w:hyperlink r:id="rId30" w:history="1">
        <w:r w:rsidR="00CD7377">
          <w:rPr>
            <w:rStyle w:val="Hyperlink"/>
            <w:rFonts w:ascii="Times New Roman" w:eastAsia="SimSun" w:hAnsi="Times New Roman" w:cs="Times New Roman"/>
          </w:rPr>
          <w:t>https://www.um.edu.mt/library/oar/handle/123456789/102446</w:t>
        </w:r>
      </w:hyperlink>
    </w:p>
    <w:p w14:paraId="1AF705D9"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lastRenderedPageBreak/>
        <w:t xml:space="preserve">Phuong, H. Y., &amp; Dang, T. D. (2022). English - majored students’ perceptions on teachers’ use of Vietnamese in EFL classrooms. </w:t>
      </w:r>
      <w:r>
        <w:rPr>
          <w:rFonts w:ascii="Times New Roman" w:eastAsia="SimSun" w:hAnsi="Times New Roman" w:cs="Times New Roman"/>
          <w:i/>
          <w:iCs/>
        </w:rPr>
        <w:t>Journal of English Education and Linguistics Studies (JEELS)</w:t>
      </w:r>
      <w:r>
        <w:rPr>
          <w:rFonts w:ascii="Times New Roman" w:eastAsia="SimSun" w:hAnsi="Times New Roman" w:cs="Times New Roman"/>
        </w:rPr>
        <w:t xml:space="preserve">, </w:t>
      </w:r>
      <w:r>
        <w:rPr>
          <w:rFonts w:ascii="Times New Roman" w:eastAsia="SimSun" w:hAnsi="Times New Roman" w:cs="Times New Roman"/>
          <w:i/>
          <w:iCs/>
        </w:rPr>
        <w:t>8</w:t>
      </w:r>
      <w:r>
        <w:rPr>
          <w:rFonts w:ascii="Times New Roman" w:eastAsia="SimSun" w:hAnsi="Times New Roman" w:cs="Times New Roman"/>
        </w:rPr>
        <w:t xml:space="preserve">(2), 371-391. </w:t>
      </w:r>
      <w:hyperlink r:id="rId31" w:history="1">
        <w:r w:rsidR="00CD7377">
          <w:rPr>
            <w:rStyle w:val="Hyperlink"/>
            <w:rFonts w:ascii="Times New Roman" w:eastAsia="SimSun" w:hAnsi="Times New Roman" w:cs="Times New Roman"/>
          </w:rPr>
          <w:t>https://doi.org/10.30762/jeels.v8i2.3379</w:t>
        </w:r>
      </w:hyperlink>
      <w:r>
        <w:rPr>
          <w:rFonts w:ascii="Times New Roman" w:eastAsia="SimSun" w:hAnsi="Times New Roman" w:cs="Times New Roman"/>
        </w:rPr>
        <w:t xml:space="preserve">   </w:t>
      </w:r>
    </w:p>
    <w:p w14:paraId="11A8081D"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Rahman, M. S. (2017). The Advantages and Disadvantages of Using Qualitative and Quantitative Approaches and Methods in Language “Testing and Assessment” Research: A Literature Review. </w:t>
      </w:r>
      <w:r>
        <w:rPr>
          <w:rFonts w:ascii="Times New Roman" w:eastAsia="SimSun" w:hAnsi="Times New Roman" w:cs="Times New Roman"/>
          <w:i/>
          <w:iCs/>
        </w:rPr>
        <w:t>Journal of Education and Learning</w:t>
      </w:r>
      <w:r>
        <w:rPr>
          <w:rFonts w:ascii="Times New Roman" w:eastAsia="SimSun" w:hAnsi="Times New Roman" w:cs="Times New Roman"/>
        </w:rPr>
        <w:t xml:space="preserve">, </w:t>
      </w:r>
      <w:r>
        <w:rPr>
          <w:rFonts w:ascii="Times New Roman" w:eastAsia="SimSun" w:hAnsi="Times New Roman" w:cs="Times New Roman"/>
          <w:i/>
          <w:iCs/>
        </w:rPr>
        <w:t>6</w:t>
      </w:r>
      <w:r>
        <w:rPr>
          <w:rFonts w:ascii="Times New Roman" w:eastAsia="SimSun" w:hAnsi="Times New Roman" w:cs="Times New Roman"/>
        </w:rPr>
        <w:t xml:space="preserve">(1), 102-112. </w:t>
      </w:r>
      <w:hyperlink r:id="rId32">
        <w:r w:rsidR="00CD7377">
          <w:rPr>
            <w:rStyle w:val="Hyperlink"/>
            <w:rFonts w:ascii="Times New Roman" w:eastAsia="SimSun" w:hAnsi="Times New Roman" w:cs="Times New Roman"/>
          </w:rPr>
          <w:t>https://doi.org/10.5539/jel.v6n1p102</w:t>
        </w:r>
      </w:hyperlink>
      <w:r>
        <w:rPr>
          <w:rFonts w:ascii="Times New Roman" w:eastAsia="SimSun" w:hAnsi="Times New Roman" w:cs="Times New Roman"/>
        </w:rPr>
        <w:t> </w:t>
      </w:r>
    </w:p>
    <w:p w14:paraId="764BEF70"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Rai, N., &amp; Thapa, B. (2015). A study on purposive sampling method in research. </w:t>
      </w:r>
      <w:r>
        <w:rPr>
          <w:rFonts w:ascii="Times New Roman" w:eastAsia="SimSun" w:hAnsi="Times New Roman" w:cs="Times New Roman"/>
          <w:i/>
          <w:iCs/>
        </w:rPr>
        <w:t>Kathmandu: Kathmandu School of Law</w:t>
      </w:r>
      <w:r>
        <w:rPr>
          <w:rFonts w:ascii="Times New Roman" w:eastAsia="SimSun" w:hAnsi="Times New Roman" w:cs="Times New Roman"/>
        </w:rPr>
        <w:t xml:space="preserve">, </w:t>
      </w:r>
      <w:r>
        <w:rPr>
          <w:rFonts w:ascii="Times New Roman" w:eastAsia="SimSun" w:hAnsi="Times New Roman" w:cs="Times New Roman"/>
          <w:i/>
          <w:iCs/>
        </w:rPr>
        <w:t>5</w:t>
      </w:r>
      <w:r>
        <w:rPr>
          <w:rFonts w:ascii="Times New Roman" w:eastAsia="SimSun" w:hAnsi="Times New Roman" w:cs="Times New Roman"/>
        </w:rPr>
        <w:t>(1), 8-15.</w:t>
      </w:r>
    </w:p>
    <w:p w14:paraId="5A2D90A6"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Romanowski, P. (2020). Perceptions of translanguaging among the students and teachers of EMI classrooms in Poland. </w:t>
      </w:r>
      <w:r>
        <w:rPr>
          <w:rFonts w:ascii="Times New Roman" w:eastAsia="SimSun" w:hAnsi="Times New Roman" w:cs="Times New Roman"/>
          <w:i/>
          <w:iCs/>
        </w:rPr>
        <w:t>Lenguas Modernas</w:t>
      </w:r>
      <w:r>
        <w:rPr>
          <w:rFonts w:ascii="Times New Roman" w:eastAsia="SimSun" w:hAnsi="Times New Roman" w:cs="Times New Roman"/>
        </w:rPr>
        <w:t>, (55), 151-165.</w:t>
      </w:r>
    </w:p>
    <w:p w14:paraId="21131EFA"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Sahib, R. B. (2019). The use of translanguaging as a pedagogical strategy in efl classroom: A case study at bulukumba regency. </w:t>
      </w:r>
      <w:r>
        <w:rPr>
          <w:rFonts w:ascii="Times New Roman" w:eastAsia="SimSun" w:hAnsi="Times New Roman" w:cs="Times New Roman"/>
          <w:i/>
          <w:iCs/>
        </w:rPr>
        <w:t>LET: Linguistics, Literature and English Teaching Journal</w:t>
      </w:r>
      <w:r>
        <w:rPr>
          <w:rFonts w:ascii="Times New Roman" w:eastAsia="SimSun" w:hAnsi="Times New Roman" w:cs="Times New Roman"/>
        </w:rPr>
        <w:t xml:space="preserve">, </w:t>
      </w:r>
      <w:r>
        <w:rPr>
          <w:rFonts w:ascii="Times New Roman" w:eastAsia="SimSun" w:hAnsi="Times New Roman" w:cs="Times New Roman"/>
          <w:i/>
        </w:rPr>
        <w:t>9</w:t>
      </w:r>
      <w:r>
        <w:rPr>
          <w:rFonts w:ascii="Times New Roman" w:eastAsia="SimSun" w:hAnsi="Times New Roman" w:cs="Times New Roman"/>
        </w:rPr>
        <w:t xml:space="preserve">(2), 154-180. </w:t>
      </w:r>
      <w:hyperlink r:id="rId33" w:history="1">
        <w:r w:rsidR="00CD7377">
          <w:rPr>
            <w:rStyle w:val="Hyperlink"/>
            <w:rFonts w:ascii="Times New Roman" w:eastAsia="SimSun" w:hAnsi="Times New Roman" w:cs="Times New Roman"/>
          </w:rPr>
          <w:t>https://doi.org/10.18592/let.v9i2.3124</w:t>
        </w:r>
      </w:hyperlink>
      <w:r>
        <w:rPr>
          <w:rFonts w:ascii="Times New Roman" w:eastAsia="SimSun" w:hAnsi="Times New Roman" w:cs="Times New Roman"/>
        </w:rPr>
        <w:t> </w:t>
      </w:r>
    </w:p>
    <w:p w14:paraId="75981B28"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Sapitri, N. M., Batan, I. G., &amp; Myartawan, I. P. N. W. (2018). </w:t>
      </w:r>
      <w:r>
        <w:rPr>
          <w:rFonts w:ascii="Times New Roman" w:eastAsia="SimSun" w:hAnsi="Times New Roman" w:cs="Times New Roman"/>
          <w:i/>
          <w:iCs/>
        </w:rPr>
        <w:t>Functions of teachers’ translanguaging in the EFL classroom at two junior high schools in Singaraja. Jurnal Ilmiah Pendidikan dan Pembelajaran, 25</w:t>
      </w:r>
      <w:r>
        <w:rPr>
          <w:rFonts w:ascii="Times New Roman" w:eastAsia="SimSun" w:hAnsi="Times New Roman" w:cs="Times New Roman"/>
        </w:rPr>
        <w:t xml:space="preserve">(1). </w:t>
      </w:r>
      <w:hyperlink r:id="rId34" w:history="1">
        <w:r w:rsidR="00CD7377">
          <w:rPr>
            <w:rStyle w:val="Hyperlink"/>
            <w:rFonts w:ascii="Times New Roman" w:eastAsia="SimSun" w:hAnsi="Times New Roman" w:cs="Times New Roman"/>
          </w:rPr>
          <w:t>https://doi.org/10.23887/ls.v25i1.18821</w:t>
        </w:r>
      </w:hyperlink>
      <w:r>
        <w:rPr>
          <w:rFonts w:ascii="Times New Roman" w:eastAsia="SimSun" w:hAnsi="Times New Roman" w:cs="Times New Roman"/>
        </w:rPr>
        <w:t> </w:t>
      </w:r>
    </w:p>
    <w:p w14:paraId="6756D287"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Sloman, K. N. (2010). Research trends in descriptive analysis. </w:t>
      </w:r>
      <w:r>
        <w:rPr>
          <w:rFonts w:ascii="Times New Roman" w:eastAsia="SimSun" w:hAnsi="Times New Roman" w:cs="Times New Roman"/>
          <w:i/>
          <w:iCs/>
        </w:rPr>
        <w:t>The Behavior Analyst Today</w:t>
      </w:r>
      <w:r>
        <w:rPr>
          <w:rFonts w:ascii="Times New Roman" w:eastAsia="SimSun" w:hAnsi="Times New Roman" w:cs="Times New Roman"/>
        </w:rPr>
        <w:t xml:space="preserve">, </w:t>
      </w:r>
      <w:r>
        <w:rPr>
          <w:rFonts w:ascii="Times New Roman" w:eastAsia="SimSun" w:hAnsi="Times New Roman" w:cs="Times New Roman"/>
          <w:i/>
          <w:iCs/>
        </w:rPr>
        <w:t>11</w:t>
      </w:r>
      <w:r>
        <w:rPr>
          <w:rFonts w:ascii="Times New Roman" w:eastAsia="SimSun" w:hAnsi="Times New Roman" w:cs="Times New Roman"/>
        </w:rPr>
        <w:t xml:space="preserve">(1), 20-35. </w:t>
      </w:r>
      <w:hyperlink r:id="rId35">
        <w:r w:rsidR="00CD7377">
          <w:rPr>
            <w:rStyle w:val="Hyperlink"/>
            <w:rFonts w:ascii="Times New Roman" w:eastAsia="SimSun" w:hAnsi="Times New Roman" w:cs="Times New Roman"/>
          </w:rPr>
          <w:t>https://doi.org/10.1037/h0100686</w:t>
        </w:r>
      </w:hyperlink>
      <w:r>
        <w:rPr>
          <w:rFonts w:ascii="Times New Roman" w:eastAsia="SimSun" w:hAnsi="Times New Roman" w:cs="Times New Roman"/>
        </w:rPr>
        <w:t> </w:t>
      </w:r>
    </w:p>
    <w:p w14:paraId="08D76EC5"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Surtees, V. (2016). Beliefs about Language Learning in Study Abroad: Advocating for a Language Ideology Approach. </w:t>
      </w:r>
      <w:r>
        <w:rPr>
          <w:rFonts w:ascii="Times New Roman" w:eastAsia="SimSun" w:hAnsi="Times New Roman" w:cs="Times New Roman"/>
          <w:i/>
          <w:iCs/>
        </w:rPr>
        <w:t>Frontiers: The Interdisciplinary Journal of Study Abroad</w:t>
      </w:r>
      <w:r>
        <w:rPr>
          <w:rFonts w:ascii="Times New Roman" w:eastAsia="SimSun" w:hAnsi="Times New Roman" w:cs="Times New Roman"/>
        </w:rPr>
        <w:t xml:space="preserve">, </w:t>
      </w:r>
      <w:r>
        <w:rPr>
          <w:rFonts w:ascii="Times New Roman" w:eastAsia="SimSun" w:hAnsi="Times New Roman" w:cs="Times New Roman"/>
          <w:i/>
          <w:iCs/>
        </w:rPr>
        <w:t>27</w:t>
      </w:r>
      <w:r>
        <w:rPr>
          <w:rFonts w:ascii="Times New Roman" w:eastAsia="SimSun" w:hAnsi="Times New Roman" w:cs="Times New Roman"/>
        </w:rPr>
        <w:t xml:space="preserve">, 85-103. </w:t>
      </w:r>
      <w:hyperlink r:id="rId36">
        <w:r w:rsidR="00CD7377">
          <w:rPr>
            <w:rStyle w:val="Hyperlink"/>
            <w:rFonts w:ascii="Times New Roman" w:hAnsi="Times New Roman" w:cs="Times New Roman"/>
          </w:rPr>
          <w:t>https://doi.org/10.36366/frontiers.v27i1.376</w:t>
        </w:r>
      </w:hyperlink>
      <w:r>
        <w:rPr>
          <w:rFonts w:ascii="Times New Roman" w:eastAsia="SimSun" w:hAnsi="Times New Roman" w:cs="Times New Roman"/>
        </w:rPr>
        <w:t xml:space="preserve"> </w:t>
      </w:r>
    </w:p>
    <w:p w14:paraId="4BC13A5B"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Turnbull, B. (</w:t>
      </w:r>
      <w:r>
        <w:rPr>
          <w:rFonts w:ascii="Times New Roman" w:eastAsia="SimSun" w:hAnsi="Times New Roman" w:cs="Times New Roman"/>
          <w:color w:val="000000" w:themeColor="text1"/>
        </w:rPr>
        <w:t>2017</w:t>
      </w:r>
      <w:r>
        <w:rPr>
          <w:rFonts w:ascii="Times New Roman" w:eastAsia="SimSun" w:hAnsi="Times New Roman" w:cs="Times New Roman"/>
        </w:rPr>
        <w:t>). The translanguaging classroom: leveraging student bilingualism for learning. </w:t>
      </w:r>
      <w:r>
        <w:rPr>
          <w:rFonts w:ascii="Times New Roman" w:eastAsia="SimSun" w:hAnsi="Times New Roman" w:cs="Times New Roman"/>
          <w:i/>
          <w:iCs/>
        </w:rPr>
        <w:t>International Journal of Bilingual Education and Bilingualism</w:t>
      </w:r>
      <w:r>
        <w:rPr>
          <w:rFonts w:ascii="Times New Roman" w:eastAsia="SimSun" w:hAnsi="Times New Roman" w:cs="Times New Roman"/>
        </w:rPr>
        <w:t>, </w:t>
      </w:r>
      <w:r>
        <w:rPr>
          <w:rFonts w:ascii="Times New Roman" w:eastAsia="SimSun" w:hAnsi="Times New Roman" w:cs="Times New Roman"/>
          <w:i/>
          <w:iCs/>
        </w:rPr>
        <w:t>22</w:t>
      </w:r>
      <w:r>
        <w:rPr>
          <w:rFonts w:ascii="Times New Roman" w:eastAsia="SimSun" w:hAnsi="Times New Roman" w:cs="Times New Roman"/>
        </w:rPr>
        <w:t xml:space="preserve">(5), 639–640. </w:t>
      </w:r>
      <w:hyperlink r:id="rId37" w:history="1">
        <w:r w:rsidR="00CD7377">
          <w:rPr>
            <w:rStyle w:val="Hyperlink"/>
            <w:rFonts w:ascii="Times New Roman" w:eastAsia="SimSun" w:hAnsi="Times New Roman" w:cs="Times New Roman"/>
          </w:rPr>
          <w:t>https://doi.org/10.1080/13670050.2016.1275289</w:t>
        </w:r>
      </w:hyperlink>
      <w:r>
        <w:rPr>
          <w:rFonts w:ascii="Times New Roman" w:eastAsia="SimSun" w:hAnsi="Times New Roman" w:cs="Times New Roman"/>
        </w:rPr>
        <w:t xml:space="preserve"> </w:t>
      </w:r>
    </w:p>
    <w:p w14:paraId="4EE89724"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Vu, N. T., Chi, D. N., &amp; Nguyen, H. T. M. (2025). Exploring Students’ Intercultural Communicative Competence in the Light of English-Medium Instruction (EMI) in Higher Education in Vietnam. </w:t>
      </w:r>
      <w:r>
        <w:rPr>
          <w:rFonts w:ascii="Times New Roman" w:eastAsia="SimSun" w:hAnsi="Times New Roman" w:cs="Times New Roman"/>
          <w:i/>
          <w:iCs/>
        </w:rPr>
        <w:t>Journal of Ethnic and Cultural Studies</w:t>
      </w:r>
      <w:r>
        <w:rPr>
          <w:rFonts w:ascii="Times New Roman" w:eastAsia="SimSun" w:hAnsi="Times New Roman" w:cs="Times New Roman"/>
        </w:rPr>
        <w:t xml:space="preserve">, </w:t>
      </w:r>
      <w:r>
        <w:rPr>
          <w:rFonts w:ascii="Times New Roman" w:eastAsia="SimSun" w:hAnsi="Times New Roman" w:cs="Times New Roman"/>
          <w:i/>
        </w:rPr>
        <w:t>12</w:t>
      </w:r>
      <w:r>
        <w:rPr>
          <w:rFonts w:ascii="Times New Roman" w:eastAsia="SimSun" w:hAnsi="Times New Roman" w:cs="Times New Roman"/>
        </w:rPr>
        <w:t xml:space="preserve">(3), 152-175. </w:t>
      </w:r>
      <w:hyperlink r:id="rId38" w:history="1">
        <w:r w:rsidR="00CD7377">
          <w:rPr>
            <w:rStyle w:val="Hyperlink"/>
            <w:rFonts w:ascii="Times New Roman" w:eastAsia="SimSun" w:hAnsi="Times New Roman" w:cs="Times New Roman"/>
          </w:rPr>
          <w:t>https://doi.org/10.29333/ejecs/2168</w:t>
        </w:r>
      </w:hyperlink>
      <w:r>
        <w:rPr>
          <w:rFonts w:ascii="Times New Roman" w:eastAsia="SimSun" w:hAnsi="Times New Roman" w:cs="Times New Roman"/>
        </w:rPr>
        <w:t> </w:t>
      </w:r>
    </w:p>
    <w:p w14:paraId="4BFB1100"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Yen, P. H., &amp; Danh, D. T. (2021). English – Majored Students’ Perceptions on Teachers’ Use Of Vietnamese In EFL Classrooms. </w:t>
      </w:r>
      <w:r>
        <w:rPr>
          <w:rFonts w:ascii="Times New Roman" w:eastAsia="SimSun" w:hAnsi="Times New Roman" w:cs="Times New Roman"/>
          <w:i/>
          <w:iCs/>
        </w:rPr>
        <w:t>JEELS (Journal of English Education and Linguistics Studies)</w:t>
      </w:r>
      <w:r>
        <w:rPr>
          <w:rFonts w:ascii="Times New Roman" w:eastAsia="SimSun" w:hAnsi="Times New Roman" w:cs="Times New Roman"/>
        </w:rPr>
        <w:t xml:space="preserve">, </w:t>
      </w:r>
      <w:r>
        <w:rPr>
          <w:rFonts w:ascii="Times New Roman" w:eastAsia="SimSun" w:hAnsi="Times New Roman" w:cs="Times New Roman"/>
          <w:i/>
        </w:rPr>
        <w:t>8</w:t>
      </w:r>
      <w:r>
        <w:rPr>
          <w:rFonts w:ascii="Times New Roman" w:eastAsia="SimSun" w:hAnsi="Times New Roman" w:cs="Times New Roman"/>
        </w:rPr>
        <w:t xml:space="preserve">(2), 371-391. </w:t>
      </w:r>
      <w:hyperlink r:id="rId39" w:history="1">
        <w:r w:rsidR="00CD7377">
          <w:rPr>
            <w:rStyle w:val="Hyperlink"/>
            <w:rFonts w:ascii="Times New Roman" w:eastAsia="SimSun" w:hAnsi="Times New Roman" w:cs="Times New Roman"/>
          </w:rPr>
          <w:t>https://doi.org/10.30762/jeels.v8i2.3379</w:t>
        </w:r>
      </w:hyperlink>
      <w:r>
        <w:rPr>
          <w:rFonts w:ascii="Times New Roman" w:eastAsia="SimSun" w:hAnsi="Times New Roman" w:cs="Times New Roman"/>
        </w:rPr>
        <w:t> </w:t>
      </w:r>
    </w:p>
    <w:p w14:paraId="79C80D6E"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Yuvayapan, F. (2019). Translanguaging in EFL classrooms: Teachers’ perceptions and practices. </w:t>
      </w:r>
      <w:r>
        <w:rPr>
          <w:rFonts w:ascii="Times New Roman" w:eastAsia="SimSun" w:hAnsi="Times New Roman" w:cs="Times New Roman"/>
          <w:i/>
          <w:iCs/>
        </w:rPr>
        <w:t>Dil Ve Dilbilimi Çalışmaları Dergisi</w:t>
      </w:r>
      <w:r>
        <w:rPr>
          <w:rFonts w:ascii="Times New Roman" w:eastAsia="SimSun" w:hAnsi="Times New Roman" w:cs="Times New Roman"/>
        </w:rPr>
        <w:t xml:space="preserve">, 15(2), 678-694. </w:t>
      </w:r>
      <w:hyperlink r:id="rId40" w:history="1">
        <w:r w:rsidR="00CD7377">
          <w:rPr>
            <w:rStyle w:val="Hyperlink"/>
            <w:rFonts w:ascii="Times New Roman" w:eastAsia="SimSun" w:hAnsi="Times New Roman" w:cs="Times New Roman"/>
          </w:rPr>
          <w:t>https://doi.org/10.17263/jlls.586811</w:t>
        </w:r>
      </w:hyperlink>
      <w:r>
        <w:rPr>
          <w:rFonts w:ascii="Times New Roman" w:eastAsia="SimSun" w:hAnsi="Times New Roman" w:cs="Times New Roman"/>
        </w:rPr>
        <w:t> </w:t>
      </w:r>
    </w:p>
    <w:p w14:paraId="0AB82C66" w14:textId="77777777" w:rsidR="00CD7377" w:rsidRDefault="00000000">
      <w:pPr>
        <w:ind w:left="720" w:hanging="720"/>
        <w:rPr>
          <w:rFonts w:ascii="Times New Roman" w:eastAsia="SimSun" w:hAnsi="Times New Roman" w:cs="Times New Roman"/>
        </w:rPr>
      </w:pPr>
      <w:r>
        <w:rPr>
          <w:rFonts w:ascii="Times New Roman" w:eastAsia="SimSun" w:hAnsi="Times New Roman" w:cs="Times New Roman"/>
        </w:rPr>
        <w:t xml:space="preserve">Zumor, A., &amp; Qasem, A. (2019). Challenges of using EMI in teaching and learning of university scientific disciplines: Student voice. </w:t>
      </w:r>
      <w:r>
        <w:rPr>
          <w:rFonts w:ascii="Times New Roman" w:eastAsia="SimSun" w:hAnsi="Times New Roman" w:cs="Times New Roman"/>
          <w:i/>
          <w:iCs/>
        </w:rPr>
        <w:t>International Journal of Language Education</w:t>
      </w:r>
      <w:r>
        <w:rPr>
          <w:rFonts w:ascii="Times New Roman" w:eastAsia="SimSun" w:hAnsi="Times New Roman" w:cs="Times New Roman"/>
        </w:rPr>
        <w:t xml:space="preserve">, </w:t>
      </w:r>
      <w:r>
        <w:rPr>
          <w:rFonts w:ascii="Times New Roman" w:eastAsia="SimSun" w:hAnsi="Times New Roman" w:cs="Times New Roman"/>
          <w:i/>
          <w:iCs/>
        </w:rPr>
        <w:t>3</w:t>
      </w:r>
      <w:r>
        <w:rPr>
          <w:rFonts w:ascii="Times New Roman" w:eastAsia="SimSun" w:hAnsi="Times New Roman" w:cs="Times New Roman"/>
        </w:rPr>
        <w:t xml:space="preserve">(1), 74-90. </w:t>
      </w:r>
      <w:hyperlink r:id="rId41" w:history="1">
        <w:r w:rsidR="00CD7377">
          <w:rPr>
            <w:rStyle w:val="Hyperlink"/>
            <w:rFonts w:ascii="Times New Roman" w:eastAsia="SimSun" w:hAnsi="Times New Roman" w:cs="Times New Roman"/>
          </w:rPr>
          <w:t>https://doi.org/10.26858/ijole.v1i1.7510</w:t>
        </w:r>
      </w:hyperlink>
      <w:r>
        <w:rPr>
          <w:rFonts w:ascii="Times New Roman" w:eastAsia="SimSun" w:hAnsi="Times New Roman" w:cs="Times New Roman"/>
        </w:rPr>
        <w:t> </w:t>
      </w:r>
    </w:p>
    <w:p w14:paraId="568C0D36" w14:textId="77777777" w:rsidR="00CD7377" w:rsidRDefault="00CD7377">
      <w:pPr>
        <w:jc w:val="both"/>
        <w:rPr>
          <w:rFonts w:ascii="Times New Roman" w:eastAsia="SimSun" w:hAnsi="Times New Roman" w:cs="Times New Roman"/>
        </w:rPr>
      </w:pPr>
    </w:p>
    <w:p w14:paraId="55E3A762" w14:textId="77777777" w:rsidR="00CD7377" w:rsidRDefault="00000000">
      <w:pPr>
        <w:pStyle w:val="RALs-ReferencesList"/>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Bionote</w:t>
      </w:r>
    </w:p>
    <w:p w14:paraId="1999417B" w14:textId="77777777" w:rsidR="00CD7377" w:rsidRDefault="00000000">
      <w:pPr>
        <w:pStyle w:val="RALs-ReferencesList"/>
        <w:ind w:left="720" w:hanging="720"/>
        <w:rPr>
          <w:rFonts w:asciiTheme="majorBidi" w:hAnsiTheme="majorBidi" w:cstheme="majorBidi"/>
          <w:sz w:val="24"/>
          <w:szCs w:val="24"/>
        </w:rPr>
      </w:pPr>
      <w:r>
        <w:rPr>
          <w:rFonts w:asciiTheme="majorBidi" w:hAnsiTheme="majorBidi" w:cstheme="majorBidi"/>
          <w:sz w:val="24"/>
          <w:szCs w:val="24"/>
        </w:rPr>
        <w:t xml:space="preserve">Thinh Tien Vu is head of the Testing board and vice dean of the School of Languages, International University – VNU HCM. He received his M.A. in TESOL from the University of Canberra, Australia, and is currently a PhD candidate in English Language Studies and Teaching at NIDA, Thailand. He has 25 years of </w:t>
      </w:r>
      <w:r>
        <w:rPr>
          <w:rFonts w:asciiTheme="majorBidi" w:hAnsiTheme="majorBidi" w:cstheme="majorBidi"/>
          <w:sz w:val="24"/>
          <w:szCs w:val="24"/>
        </w:rPr>
        <w:lastRenderedPageBreak/>
        <w:t xml:space="preserve">experience in teaching academic English, ESP, test preparation, and TESOL courses, and more than 12 years of experience in the roles of course/program designer and developer, academic trainer, and manager. His current research interests include EMI, Applied methodologies, Autonomy development, Assessment and Testing, Education management, and TELL. </w:t>
      </w:r>
    </w:p>
    <w:p w14:paraId="2771CE39" w14:textId="77777777" w:rsidR="00CD7377" w:rsidRDefault="00000000">
      <w:pPr>
        <w:pStyle w:val="RALs-ReferencesList"/>
        <w:ind w:left="720" w:hanging="720"/>
        <w:rPr>
          <w:rFonts w:asciiTheme="majorBidi" w:hAnsiTheme="majorBidi" w:cstheme="majorBidi"/>
          <w:sz w:val="24"/>
          <w:szCs w:val="24"/>
        </w:rPr>
      </w:pPr>
      <w:r>
        <w:rPr>
          <w:rFonts w:asciiTheme="majorBidi" w:hAnsiTheme="majorBidi" w:cstheme="majorBidi"/>
          <w:sz w:val="24"/>
          <w:szCs w:val="24"/>
        </w:rPr>
        <w:t>Cam Diem Nhi Hoang is a senior undergraduate in English Linguistics and Literature at International University – VNU HCM. She currently teaches English to young learners and adults while actively engaging in academic inquiry. Her research interests involve EMI, teaching strategies, and the integration of 21st-century skills into language education.</w:t>
      </w:r>
    </w:p>
    <w:p w14:paraId="54011F92" w14:textId="77777777" w:rsidR="00CD7377" w:rsidRDefault="00CD7377">
      <w:pPr>
        <w:jc w:val="both"/>
        <w:rPr>
          <w:rFonts w:ascii="Times New Roman" w:eastAsia="SimSun" w:hAnsi="Times New Roman" w:cs="Times New Roman"/>
        </w:rPr>
      </w:pPr>
    </w:p>
    <w:sectPr w:rsidR="00CD7377">
      <w:headerReference w:type="default" r:id="rId42"/>
      <w:pgSz w:w="11909" w:h="16834"/>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5E42" w14:textId="77777777" w:rsidR="00BE1609" w:rsidRDefault="00BE1609">
      <w:r>
        <w:separator/>
      </w:r>
    </w:p>
  </w:endnote>
  <w:endnote w:type="continuationSeparator" w:id="0">
    <w:p w14:paraId="08CA0A65" w14:textId="77777777" w:rsidR="00BE1609" w:rsidRDefault="00BE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 Zar">
    <w:altName w:val="Segoe Print"/>
    <w:charset w:val="B2"/>
    <w:family w:val="auto"/>
    <w:pitch w:val="default"/>
    <w:sig w:usb0="00000000" w:usb1="0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06CDE" w14:textId="77777777" w:rsidR="00BE1609" w:rsidRDefault="00BE1609">
      <w:r>
        <w:separator/>
      </w:r>
    </w:p>
  </w:footnote>
  <w:footnote w:type="continuationSeparator" w:id="0">
    <w:p w14:paraId="1CA203F1" w14:textId="77777777" w:rsidR="00BE1609" w:rsidRDefault="00BE1609">
      <w:r>
        <w:continuationSeparator/>
      </w:r>
    </w:p>
  </w:footnote>
  <w:footnote w:id="1">
    <w:p w14:paraId="7B0FDF05" w14:textId="77777777" w:rsidR="00CD7377" w:rsidRDefault="00000000">
      <w:pPr>
        <w:pStyle w:val="FootnoteText"/>
        <w:rPr>
          <w:rFonts w:ascii="Times New Roman" w:hAnsi="Times New Roman" w:cs="Times New Roman"/>
          <w:spacing w:val="-2"/>
        </w:rPr>
      </w:pPr>
      <w:r>
        <w:rPr>
          <w:rStyle w:val="FootnoteReference"/>
        </w:rPr>
        <w:footnoteRef/>
      </w:r>
      <w:r>
        <w:t xml:space="preserve"> </w:t>
      </w:r>
      <w:r>
        <w:rPr>
          <w:rFonts w:ascii="Times New Roman" w:hAnsi="Times New Roman" w:cs="Times New Roman"/>
          <w:spacing w:val="-2"/>
        </w:rPr>
        <w:t xml:space="preserve">Corresponding author, </w:t>
      </w:r>
      <w:r>
        <w:rPr>
          <w:rFonts w:ascii="Times New Roman" w:hAnsi="Times New Roman" w:cs="Times New Roman"/>
        </w:rPr>
        <w:t>PhD candidate</w:t>
      </w:r>
      <w:r>
        <w:rPr>
          <w:rFonts w:ascii="Times New Roman" w:hAnsi="Times New Roman" w:cs="Times New Roman"/>
          <w:spacing w:val="-2"/>
        </w:rPr>
        <w:t xml:space="preserve">, School of Languages, International University - VNU HCM, HCMC, Vietnam; </w:t>
      </w:r>
      <w:hyperlink r:id="rId1" w:history="1">
        <w:r w:rsidR="00CD7377">
          <w:rPr>
            <w:rStyle w:val="Hyperlink"/>
            <w:rFonts w:ascii="Times New Roman" w:hAnsi="Times New Roman" w:cs="Times New Roman"/>
            <w:i/>
            <w:iCs/>
            <w:spacing w:val="-2"/>
          </w:rPr>
          <w:t>vtthinh@hcmiu.edu.vn</w:t>
        </w:r>
      </w:hyperlink>
    </w:p>
  </w:footnote>
  <w:footnote w:id="2">
    <w:p w14:paraId="2AEBB05D" w14:textId="77777777" w:rsidR="00CD7377" w:rsidRDefault="00000000">
      <w:pPr>
        <w:pStyle w:val="FootnoteText"/>
      </w:pPr>
      <w:r>
        <w:rPr>
          <w:rStyle w:val="FootnoteReference"/>
        </w:rPr>
        <w:footnoteRef/>
      </w:r>
      <w:r>
        <w:t xml:space="preserve"> </w:t>
      </w:r>
      <w:r>
        <w:rPr>
          <w:rFonts w:ascii="Times New Roman" w:hAnsi="Times New Roman" w:cs="Times New Roman"/>
        </w:rPr>
        <w:t>BA</w:t>
      </w:r>
      <w:r>
        <w:rPr>
          <w:rFonts w:ascii="Times New Roman" w:hAnsi="Times New Roman" w:cs="Times New Roman"/>
          <w:spacing w:val="-2"/>
        </w:rPr>
        <w:t>, School of Languages, International University - VNU HCM, HCMC, Vietnam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978BD" w14:textId="77777777" w:rsidR="00CD7377" w:rsidRDefault="00CD7377">
    <w:pPr>
      <w:pStyle w:val="Header"/>
      <w:jc w:val="right"/>
    </w:pPr>
  </w:p>
  <w:p w14:paraId="5B49B789" w14:textId="77777777" w:rsidR="00CD7377" w:rsidRDefault="00CD7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76C84"/>
    <w:multiLevelType w:val="multilevel"/>
    <w:tmpl w:val="3CB76C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FC04D8C"/>
    <w:multiLevelType w:val="multilevel"/>
    <w:tmpl w:val="7FC04D8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3481216">
    <w:abstractNumId w:val="0"/>
  </w:num>
  <w:num w:numId="2" w16cid:durableId="324674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B4"/>
    <w:rsid w:val="00005CFD"/>
    <w:rsid w:val="000165A8"/>
    <w:rsid w:val="00016E85"/>
    <w:rsid w:val="00016F8A"/>
    <w:rsid w:val="00035F08"/>
    <w:rsid w:val="00055E6B"/>
    <w:rsid w:val="0005695B"/>
    <w:rsid w:val="0006506E"/>
    <w:rsid w:val="00076AD6"/>
    <w:rsid w:val="000A19B7"/>
    <w:rsid w:val="000A5869"/>
    <w:rsid w:val="000A62D7"/>
    <w:rsid w:val="000B0AA5"/>
    <w:rsid w:val="000B48F5"/>
    <w:rsid w:val="000C2197"/>
    <w:rsid w:val="000C3366"/>
    <w:rsid w:val="000C4843"/>
    <w:rsid w:val="000C4D77"/>
    <w:rsid w:val="000D550F"/>
    <w:rsid w:val="000D6EC3"/>
    <w:rsid w:val="000D707E"/>
    <w:rsid w:val="000F2213"/>
    <w:rsid w:val="00100EC9"/>
    <w:rsid w:val="00102057"/>
    <w:rsid w:val="001136A9"/>
    <w:rsid w:val="00120089"/>
    <w:rsid w:val="00130A14"/>
    <w:rsid w:val="00131C1D"/>
    <w:rsid w:val="00133AC5"/>
    <w:rsid w:val="001352FF"/>
    <w:rsid w:val="00137930"/>
    <w:rsid w:val="00152E90"/>
    <w:rsid w:val="001532A2"/>
    <w:rsid w:val="00153847"/>
    <w:rsid w:val="00170485"/>
    <w:rsid w:val="0017120F"/>
    <w:rsid w:val="00180726"/>
    <w:rsid w:val="00182965"/>
    <w:rsid w:val="00192988"/>
    <w:rsid w:val="00192DB6"/>
    <w:rsid w:val="001A0BDE"/>
    <w:rsid w:val="001A2121"/>
    <w:rsid w:val="001A7591"/>
    <w:rsid w:val="001B791D"/>
    <w:rsid w:val="001C2F99"/>
    <w:rsid w:val="001D24A2"/>
    <w:rsid w:val="001D266B"/>
    <w:rsid w:val="001D74C3"/>
    <w:rsid w:val="001E453F"/>
    <w:rsid w:val="001E59B2"/>
    <w:rsid w:val="001E66C7"/>
    <w:rsid w:val="001F4303"/>
    <w:rsid w:val="001F4EE4"/>
    <w:rsid w:val="002055B5"/>
    <w:rsid w:val="002059B8"/>
    <w:rsid w:val="002140C3"/>
    <w:rsid w:val="00217673"/>
    <w:rsid w:val="00221C6B"/>
    <w:rsid w:val="0022251D"/>
    <w:rsid w:val="00234183"/>
    <w:rsid w:val="002444A2"/>
    <w:rsid w:val="0024539E"/>
    <w:rsid w:val="00257B8F"/>
    <w:rsid w:val="002636C1"/>
    <w:rsid w:val="002641E4"/>
    <w:rsid w:val="002667C2"/>
    <w:rsid w:val="0027265F"/>
    <w:rsid w:val="00282BE5"/>
    <w:rsid w:val="0028400B"/>
    <w:rsid w:val="002A579D"/>
    <w:rsid w:val="002B50E9"/>
    <w:rsid w:val="002C0BF7"/>
    <w:rsid w:val="002C3B5D"/>
    <w:rsid w:val="002D1BE9"/>
    <w:rsid w:val="002D5525"/>
    <w:rsid w:val="002D5B5D"/>
    <w:rsid w:val="002E666E"/>
    <w:rsid w:val="00316F37"/>
    <w:rsid w:val="00326E9F"/>
    <w:rsid w:val="00333DC5"/>
    <w:rsid w:val="00344478"/>
    <w:rsid w:val="003547DE"/>
    <w:rsid w:val="00361701"/>
    <w:rsid w:val="00366788"/>
    <w:rsid w:val="003740EB"/>
    <w:rsid w:val="00380EDF"/>
    <w:rsid w:val="00387951"/>
    <w:rsid w:val="0039632D"/>
    <w:rsid w:val="00396C3A"/>
    <w:rsid w:val="003A1779"/>
    <w:rsid w:val="003B2F61"/>
    <w:rsid w:val="003B4CC9"/>
    <w:rsid w:val="003C3A1B"/>
    <w:rsid w:val="003E337E"/>
    <w:rsid w:val="003E5E13"/>
    <w:rsid w:val="003E651C"/>
    <w:rsid w:val="003E7A8D"/>
    <w:rsid w:val="003F2E3D"/>
    <w:rsid w:val="003F4EBD"/>
    <w:rsid w:val="004025E5"/>
    <w:rsid w:val="00402D50"/>
    <w:rsid w:val="00405D1D"/>
    <w:rsid w:val="00421B12"/>
    <w:rsid w:val="004245B6"/>
    <w:rsid w:val="00432BF3"/>
    <w:rsid w:val="00434D18"/>
    <w:rsid w:val="0043662C"/>
    <w:rsid w:val="004368DC"/>
    <w:rsid w:val="004373CD"/>
    <w:rsid w:val="004460CA"/>
    <w:rsid w:val="00446F84"/>
    <w:rsid w:val="00450A45"/>
    <w:rsid w:val="00451D3D"/>
    <w:rsid w:val="00454D05"/>
    <w:rsid w:val="00474A20"/>
    <w:rsid w:val="0047562C"/>
    <w:rsid w:val="004840F0"/>
    <w:rsid w:val="004950AC"/>
    <w:rsid w:val="00497416"/>
    <w:rsid w:val="004B6F03"/>
    <w:rsid w:val="004C0204"/>
    <w:rsid w:val="004D104C"/>
    <w:rsid w:val="004D75E5"/>
    <w:rsid w:val="004E12B5"/>
    <w:rsid w:val="004F184D"/>
    <w:rsid w:val="004F2C3B"/>
    <w:rsid w:val="005014E1"/>
    <w:rsid w:val="00502E3D"/>
    <w:rsid w:val="0050543A"/>
    <w:rsid w:val="00532E07"/>
    <w:rsid w:val="00556C77"/>
    <w:rsid w:val="00562627"/>
    <w:rsid w:val="00567437"/>
    <w:rsid w:val="00576947"/>
    <w:rsid w:val="00586BD6"/>
    <w:rsid w:val="00591983"/>
    <w:rsid w:val="005A5A9F"/>
    <w:rsid w:val="005B2469"/>
    <w:rsid w:val="005C3A56"/>
    <w:rsid w:val="005D20A1"/>
    <w:rsid w:val="005D6C6B"/>
    <w:rsid w:val="006041B0"/>
    <w:rsid w:val="00610244"/>
    <w:rsid w:val="0061203F"/>
    <w:rsid w:val="00612803"/>
    <w:rsid w:val="00613A7B"/>
    <w:rsid w:val="0061638A"/>
    <w:rsid w:val="00630BDC"/>
    <w:rsid w:val="0064486B"/>
    <w:rsid w:val="00647287"/>
    <w:rsid w:val="00666A28"/>
    <w:rsid w:val="00670AAC"/>
    <w:rsid w:val="006711AB"/>
    <w:rsid w:val="00677940"/>
    <w:rsid w:val="00682B51"/>
    <w:rsid w:val="00693A43"/>
    <w:rsid w:val="00693DF6"/>
    <w:rsid w:val="006A3DD3"/>
    <w:rsid w:val="006A430B"/>
    <w:rsid w:val="006B1B15"/>
    <w:rsid w:val="006B22D8"/>
    <w:rsid w:val="006C3EA7"/>
    <w:rsid w:val="006C558E"/>
    <w:rsid w:val="006C79AE"/>
    <w:rsid w:val="006D76C3"/>
    <w:rsid w:val="006E35F7"/>
    <w:rsid w:val="006E6593"/>
    <w:rsid w:val="006E6C7B"/>
    <w:rsid w:val="006F4DDE"/>
    <w:rsid w:val="007027BD"/>
    <w:rsid w:val="00706D06"/>
    <w:rsid w:val="00707995"/>
    <w:rsid w:val="0071038B"/>
    <w:rsid w:val="00712CD0"/>
    <w:rsid w:val="007146D9"/>
    <w:rsid w:val="00727C67"/>
    <w:rsid w:val="00732F07"/>
    <w:rsid w:val="00742B54"/>
    <w:rsid w:val="007478BC"/>
    <w:rsid w:val="00771C8E"/>
    <w:rsid w:val="00771DDE"/>
    <w:rsid w:val="007724A3"/>
    <w:rsid w:val="007775AB"/>
    <w:rsid w:val="007807D8"/>
    <w:rsid w:val="00784AEA"/>
    <w:rsid w:val="00794593"/>
    <w:rsid w:val="007979B2"/>
    <w:rsid w:val="007C4BAF"/>
    <w:rsid w:val="007C57B1"/>
    <w:rsid w:val="007C692B"/>
    <w:rsid w:val="00820F83"/>
    <w:rsid w:val="00821D81"/>
    <w:rsid w:val="00833E92"/>
    <w:rsid w:val="008409ED"/>
    <w:rsid w:val="00845F1B"/>
    <w:rsid w:val="00850E93"/>
    <w:rsid w:val="00857B03"/>
    <w:rsid w:val="00867FB0"/>
    <w:rsid w:val="008712BB"/>
    <w:rsid w:val="00873907"/>
    <w:rsid w:val="0088375C"/>
    <w:rsid w:val="00887978"/>
    <w:rsid w:val="00892F64"/>
    <w:rsid w:val="00895588"/>
    <w:rsid w:val="008A102B"/>
    <w:rsid w:val="008A15EB"/>
    <w:rsid w:val="008A1BC2"/>
    <w:rsid w:val="008A67E1"/>
    <w:rsid w:val="008A7742"/>
    <w:rsid w:val="008B021B"/>
    <w:rsid w:val="008D519C"/>
    <w:rsid w:val="008E5FC0"/>
    <w:rsid w:val="008E61D7"/>
    <w:rsid w:val="008E6457"/>
    <w:rsid w:val="008F5C78"/>
    <w:rsid w:val="008F610C"/>
    <w:rsid w:val="00903368"/>
    <w:rsid w:val="00921E00"/>
    <w:rsid w:val="00940059"/>
    <w:rsid w:val="00943E66"/>
    <w:rsid w:val="009441D8"/>
    <w:rsid w:val="00945494"/>
    <w:rsid w:val="009467EE"/>
    <w:rsid w:val="009508E5"/>
    <w:rsid w:val="00954F71"/>
    <w:rsid w:val="009643A0"/>
    <w:rsid w:val="009864A2"/>
    <w:rsid w:val="00986A73"/>
    <w:rsid w:val="0099658A"/>
    <w:rsid w:val="009A2563"/>
    <w:rsid w:val="009B2636"/>
    <w:rsid w:val="009C17A0"/>
    <w:rsid w:val="009D2392"/>
    <w:rsid w:val="009D3562"/>
    <w:rsid w:val="009E1A13"/>
    <w:rsid w:val="009E43B4"/>
    <w:rsid w:val="009E4893"/>
    <w:rsid w:val="009E73EA"/>
    <w:rsid w:val="00A04113"/>
    <w:rsid w:val="00A058B5"/>
    <w:rsid w:val="00A07E4D"/>
    <w:rsid w:val="00A121CE"/>
    <w:rsid w:val="00A21035"/>
    <w:rsid w:val="00A22AEA"/>
    <w:rsid w:val="00A33F53"/>
    <w:rsid w:val="00A42C16"/>
    <w:rsid w:val="00A4796A"/>
    <w:rsid w:val="00A5362C"/>
    <w:rsid w:val="00A8451A"/>
    <w:rsid w:val="00A8495E"/>
    <w:rsid w:val="00A93421"/>
    <w:rsid w:val="00A95D4C"/>
    <w:rsid w:val="00AA7FAA"/>
    <w:rsid w:val="00AB5320"/>
    <w:rsid w:val="00AB594E"/>
    <w:rsid w:val="00AC28DD"/>
    <w:rsid w:val="00AC4387"/>
    <w:rsid w:val="00AD049F"/>
    <w:rsid w:val="00AD264D"/>
    <w:rsid w:val="00AD71BF"/>
    <w:rsid w:val="00B032EF"/>
    <w:rsid w:val="00B32D41"/>
    <w:rsid w:val="00B54B7D"/>
    <w:rsid w:val="00B56141"/>
    <w:rsid w:val="00B65147"/>
    <w:rsid w:val="00B65825"/>
    <w:rsid w:val="00B75DDE"/>
    <w:rsid w:val="00B7721D"/>
    <w:rsid w:val="00B85C62"/>
    <w:rsid w:val="00B90378"/>
    <w:rsid w:val="00BA4E75"/>
    <w:rsid w:val="00BA700F"/>
    <w:rsid w:val="00BA70AE"/>
    <w:rsid w:val="00BB4420"/>
    <w:rsid w:val="00BC0AD3"/>
    <w:rsid w:val="00BC1828"/>
    <w:rsid w:val="00BD1648"/>
    <w:rsid w:val="00BD3F3E"/>
    <w:rsid w:val="00BE1609"/>
    <w:rsid w:val="00BF557C"/>
    <w:rsid w:val="00C11B84"/>
    <w:rsid w:val="00C11C4F"/>
    <w:rsid w:val="00C12300"/>
    <w:rsid w:val="00C14542"/>
    <w:rsid w:val="00C14B6E"/>
    <w:rsid w:val="00C2273A"/>
    <w:rsid w:val="00C27349"/>
    <w:rsid w:val="00C410ED"/>
    <w:rsid w:val="00C47E47"/>
    <w:rsid w:val="00C67FBE"/>
    <w:rsid w:val="00C71D6D"/>
    <w:rsid w:val="00C80240"/>
    <w:rsid w:val="00C90508"/>
    <w:rsid w:val="00C96E82"/>
    <w:rsid w:val="00CB3B2F"/>
    <w:rsid w:val="00CC3A77"/>
    <w:rsid w:val="00CD5735"/>
    <w:rsid w:val="00CD7377"/>
    <w:rsid w:val="00CD7870"/>
    <w:rsid w:val="00CE1F91"/>
    <w:rsid w:val="00CE721F"/>
    <w:rsid w:val="00CF261F"/>
    <w:rsid w:val="00CF50C1"/>
    <w:rsid w:val="00CF5815"/>
    <w:rsid w:val="00CF7AEA"/>
    <w:rsid w:val="00D15B02"/>
    <w:rsid w:val="00D17E0F"/>
    <w:rsid w:val="00D23084"/>
    <w:rsid w:val="00D23DDB"/>
    <w:rsid w:val="00D2498B"/>
    <w:rsid w:val="00D24EF9"/>
    <w:rsid w:val="00D41927"/>
    <w:rsid w:val="00D47EAE"/>
    <w:rsid w:val="00D637BB"/>
    <w:rsid w:val="00D667D7"/>
    <w:rsid w:val="00D7003A"/>
    <w:rsid w:val="00D70AB3"/>
    <w:rsid w:val="00D7412A"/>
    <w:rsid w:val="00D749E0"/>
    <w:rsid w:val="00D84553"/>
    <w:rsid w:val="00DA779F"/>
    <w:rsid w:val="00DC582A"/>
    <w:rsid w:val="00DC7B5E"/>
    <w:rsid w:val="00DD11F3"/>
    <w:rsid w:val="00DD1BC7"/>
    <w:rsid w:val="00DF136F"/>
    <w:rsid w:val="00DF4330"/>
    <w:rsid w:val="00DF43C8"/>
    <w:rsid w:val="00DF470B"/>
    <w:rsid w:val="00DF53E0"/>
    <w:rsid w:val="00DF7ACD"/>
    <w:rsid w:val="00E07B84"/>
    <w:rsid w:val="00E10692"/>
    <w:rsid w:val="00E144C5"/>
    <w:rsid w:val="00E1790D"/>
    <w:rsid w:val="00E21A96"/>
    <w:rsid w:val="00E21C72"/>
    <w:rsid w:val="00E2638C"/>
    <w:rsid w:val="00E35BA0"/>
    <w:rsid w:val="00E6274C"/>
    <w:rsid w:val="00E83A5A"/>
    <w:rsid w:val="00E846F4"/>
    <w:rsid w:val="00E862FE"/>
    <w:rsid w:val="00E87B35"/>
    <w:rsid w:val="00E91E95"/>
    <w:rsid w:val="00EA22F2"/>
    <w:rsid w:val="00EA271E"/>
    <w:rsid w:val="00ED18D1"/>
    <w:rsid w:val="00EE0EE2"/>
    <w:rsid w:val="00EE1D03"/>
    <w:rsid w:val="00EE2E2B"/>
    <w:rsid w:val="00EF161C"/>
    <w:rsid w:val="00EF5230"/>
    <w:rsid w:val="00F12A7E"/>
    <w:rsid w:val="00F2492F"/>
    <w:rsid w:val="00F25F5B"/>
    <w:rsid w:val="00F47E4A"/>
    <w:rsid w:val="00F64ED0"/>
    <w:rsid w:val="00F660BB"/>
    <w:rsid w:val="00F67C98"/>
    <w:rsid w:val="00F81108"/>
    <w:rsid w:val="00FA691E"/>
    <w:rsid w:val="00FA7258"/>
    <w:rsid w:val="00FB545A"/>
    <w:rsid w:val="00FB681E"/>
    <w:rsid w:val="00FB7ABB"/>
    <w:rsid w:val="00FC22E4"/>
    <w:rsid w:val="00FD1E37"/>
    <w:rsid w:val="00FE3269"/>
    <w:rsid w:val="00FE5830"/>
    <w:rsid w:val="00FE7031"/>
    <w:rsid w:val="00FF037B"/>
    <w:rsid w:val="00FF5A93"/>
    <w:rsid w:val="0106443D"/>
    <w:rsid w:val="013DA326"/>
    <w:rsid w:val="01994200"/>
    <w:rsid w:val="02CC59A8"/>
    <w:rsid w:val="03CF6A9C"/>
    <w:rsid w:val="045C652A"/>
    <w:rsid w:val="04F42ACA"/>
    <w:rsid w:val="0615B05F"/>
    <w:rsid w:val="063501F9"/>
    <w:rsid w:val="06AA4941"/>
    <w:rsid w:val="06F84D7D"/>
    <w:rsid w:val="083A2839"/>
    <w:rsid w:val="0B596FB4"/>
    <w:rsid w:val="0BD4BF40"/>
    <w:rsid w:val="0C81309D"/>
    <w:rsid w:val="0D93C72C"/>
    <w:rsid w:val="0E4DA3E8"/>
    <w:rsid w:val="0E7DFC9D"/>
    <w:rsid w:val="0F851FC6"/>
    <w:rsid w:val="0F9C7B4E"/>
    <w:rsid w:val="10594FAC"/>
    <w:rsid w:val="122214CC"/>
    <w:rsid w:val="126992C3"/>
    <w:rsid w:val="12B35066"/>
    <w:rsid w:val="12F09CD5"/>
    <w:rsid w:val="14C40175"/>
    <w:rsid w:val="1569A371"/>
    <w:rsid w:val="15DA2931"/>
    <w:rsid w:val="169A70E4"/>
    <w:rsid w:val="16C1CB09"/>
    <w:rsid w:val="1717AA97"/>
    <w:rsid w:val="178CE1E5"/>
    <w:rsid w:val="183469FB"/>
    <w:rsid w:val="191F5F8B"/>
    <w:rsid w:val="1969D99E"/>
    <w:rsid w:val="1A7B1D43"/>
    <w:rsid w:val="1B3B3CBE"/>
    <w:rsid w:val="1C5B9F8F"/>
    <w:rsid w:val="1CC83883"/>
    <w:rsid w:val="1D812873"/>
    <w:rsid w:val="1E22F773"/>
    <w:rsid w:val="1F2DAB59"/>
    <w:rsid w:val="20862EEB"/>
    <w:rsid w:val="21A32326"/>
    <w:rsid w:val="21D5C839"/>
    <w:rsid w:val="228E14D4"/>
    <w:rsid w:val="2377EC36"/>
    <w:rsid w:val="238A3014"/>
    <w:rsid w:val="25E3FAC6"/>
    <w:rsid w:val="2682DBD5"/>
    <w:rsid w:val="27D87A25"/>
    <w:rsid w:val="2923D510"/>
    <w:rsid w:val="2B45218A"/>
    <w:rsid w:val="2C2624D2"/>
    <w:rsid w:val="2CF70464"/>
    <w:rsid w:val="2E5CDA9E"/>
    <w:rsid w:val="2EC06FB7"/>
    <w:rsid w:val="2EC2DBBB"/>
    <w:rsid w:val="2F92601C"/>
    <w:rsid w:val="3006055A"/>
    <w:rsid w:val="304FF251"/>
    <w:rsid w:val="30CED08E"/>
    <w:rsid w:val="317F0AE5"/>
    <w:rsid w:val="32790EE6"/>
    <w:rsid w:val="32970BA8"/>
    <w:rsid w:val="32C66F60"/>
    <w:rsid w:val="3377A115"/>
    <w:rsid w:val="34496A74"/>
    <w:rsid w:val="34946AB3"/>
    <w:rsid w:val="35407E5A"/>
    <w:rsid w:val="392ED483"/>
    <w:rsid w:val="39C2C3A5"/>
    <w:rsid w:val="3A63B583"/>
    <w:rsid w:val="3B499E9D"/>
    <w:rsid w:val="3C0DFA6C"/>
    <w:rsid w:val="3D89E8A9"/>
    <w:rsid w:val="3FFF5ACC"/>
    <w:rsid w:val="409EA6BB"/>
    <w:rsid w:val="40A7580E"/>
    <w:rsid w:val="41164A94"/>
    <w:rsid w:val="412D13FC"/>
    <w:rsid w:val="415C0634"/>
    <w:rsid w:val="438FEC09"/>
    <w:rsid w:val="43AAA7A3"/>
    <w:rsid w:val="43FE7B12"/>
    <w:rsid w:val="448D0DAB"/>
    <w:rsid w:val="45143A9B"/>
    <w:rsid w:val="45D6F572"/>
    <w:rsid w:val="4681D177"/>
    <w:rsid w:val="47069428"/>
    <w:rsid w:val="476A7E55"/>
    <w:rsid w:val="4825B3E3"/>
    <w:rsid w:val="48CDCFE0"/>
    <w:rsid w:val="49527CE8"/>
    <w:rsid w:val="499EC4A4"/>
    <w:rsid w:val="49EA776B"/>
    <w:rsid w:val="4A850750"/>
    <w:rsid w:val="4BA20CC4"/>
    <w:rsid w:val="4C4696D8"/>
    <w:rsid w:val="4D048A48"/>
    <w:rsid w:val="4D2A7599"/>
    <w:rsid w:val="4D314F0F"/>
    <w:rsid w:val="4DE0108E"/>
    <w:rsid w:val="4F8E7C5E"/>
    <w:rsid w:val="4FB6558A"/>
    <w:rsid w:val="50582257"/>
    <w:rsid w:val="51563A00"/>
    <w:rsid w:val="5198236F"/>
    <w:rsid w:val="51EC39EC"/>
    <w:rsid w:val="5470278B"/>
    <w:rsid w:val="549D2287"/>
    <w:rsid w:val="550225B3"/>
    <w:rsid w:val="568F4F0F"/>
    <w:rsid w:val="5793D2CD"/>
    <w:rsid w:val="579A4C83"/>
    <w:rsid w:val="59A146AB"/>
    <w:rsid w:val="5A9A27C2"/>
    <w:rsid w:val="5C3C41E3"/>
    <w:rsid w:val="5DFB2EDB"/>
    <w:rsid w:val="5E0F042E"/>
    <w:rsid w:val="5E201549"/>
    <w:rsid w:val="5EBAA500"/>
    <w:rsid w:val="5EEDA5E8"/>
    <w:rsid w:val="5F4C5D07"/>
    <w:rsid w:val="5FFA6A13"/>
    <w:rsid w:val="60E32902"/>
    <w:rsid w:val="61AD323E"/>
    <w:rsid w:val="620D32E9"/>
    <w:rsid w:val="6253C839"/>
    <w:rsid w:val="62D214F9"/>
    <w:rsid w:val="63281124"/>
    <w:rsid w:val="64AE3DD5"/>
    <w:rsid w:val="65BE47D2"/>
    <w:rsid w:val="65F45368"/>
    <w:rsid w:val="6607F435"/>
    <w:rsid w:val="66CA70C7"/>
    <w:rsid w:val="6765617A"/>
    <w:rsid w:val="678BCC09"/>
    <w:rsid w:val="689501BB"/>
    <w:rsid w:val="691E18AB"/>
    <w:rsid w:val="6A131BA2"/>
    <w:rsid w:val="6BA96FAE"/>
    <w:rsid w:val="6D097C0D"/>
    <w:rsid w:val="6ECDCFFF"/>
    <w:rsid w:val="6ED1CE5B"/>
    <w:rsid w:val="6F99BE36"/>
    <w:rsid w:val="6FFA767E"/>
    <w:rsid w:val="700837E4"/>
    <w:rsid w:val="7028B66A"/>
    <w:rsid w:val="70663389"/>
    <w:rsid w:val="712D2EBD"/>
    <w:rsid w:val="715F4991"/>
    <w:rsid w:val="72E2A703"/>
    <w:rsid w:val="734234AD"/>
    <w:rsid w:val="73748D50"/>
    <w:rsid w:val="73E03029"/>
    <w:rsid w:val="748A7B95"/>
    <w:rsid w:val="749F25B6"/>
    <w:rsid w:val="74B251D3"/>
    <w:rsid w:val="75F23892"/>
    <w:rsid w:val="75FBE383"/>
    <w:rsid w:val="7676B87D"/>
    <w:rsid w:val="767739AF"/>
    <w:rsid w:val="76BAAEC8"/>
    <w:rsid w:val="76BEE120"/>
    <w:rsid w:val="785D6A87"/>
    <w:rsid w:val="792C7E0B"/>
    <w:rsid w:val="79E44560"/>
    <w:rsid w:val="7C09E017"/>
    <w:rsid w:val="7CFFEA1C"/>
    <w:rsid w:val="7D392A7C"/>
    <w:rsid w:val="7E340105"/>
    <w:rsid w:val="7E36EE0C"/>
    <w:rsid w:val="7F6995C6"/>
    <w:rsid w:val="7F9C039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C3FD"/>
  <w15:docId w15:val="{370EC448-F2D4-4982-B912-68EF19496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sz w:val="24"/>
      <w:szCs w:val="24"/>
      <w:lang w:eastAsia="zh-CN"/>
    </w:rPr>
  </w:style>
  <w:style w:type="paragraph" w:styleId="Heading1">
    <w:name w:val="heading 1"/>
    <w:next w:val="Normal"/>
    <w:uiPriority w:val="9"/>
    <w:qFormat/>
    <w:pPr>
      <w:spacing w:beforeAutospacing="1" w:afterAutospacing="1"/>
      <w:jc w:val="center"/>
      <w:outlineLvl w:val="0"/>
    </w:pPr>
    <w:rPr>
      <w:b/>
      <w:bCs/>
      <w:kern w:val="44"/>
      <w:sz w:val="24"/>
      <w:szCs w:val="48"/>
      <w:lang w:eastAsia="zh-CN"/>
    </w:rPr>
  </w:style>
  <w:style w:type="paragraph" w:styleId="Heading2">
    <w:name w:val="heading 2"/>
    <w:next w:val="Normal"/>
    <w:uiPriority w:val="9"/>
    <w:unhideWhenUsed/>
    <w:qFormat/>
    <w:pPr>
      <w:spacing w:beforeAutospacing="1" w:afterAutospacing="1"/>
      <w:outlineLvl w:val="1"/>
    </w:pPr>
    <w:rPr>
      <w:b/>
      <w:bCs/>
      <w:sz w:val="24"/>
      <w:szCs w:val="36"/>
      <w:lang w:eastAsia="zh-CN"/>
    </w:rPr>
  </w:style>
  <w:style w:type="paragraph" w:styleId="Heading3">
    <w:name w:val="heading 3"/>
    <w:next w:val="Normal"/>
    <w:link w:val="Heading3Char"/>
    <w:uiPriority w:val="9"/>
    <w:unhideWhenUsed/>
    <w:qFormat/>
    <w:pPr>
      <w:spacing w:beforeAutospacing="1" w:afterAutospacing="1"/>
      <w:outlineLvl w:val="2"/>
    </w:pPr>
    <w:rPr>
      <w:b/>
      <w:bCs/>
      <w:sz w:val="24"/>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FootnoteReference">
    <w:name w:val="footnote reference"/>
    <w:basedOn w:val="DefaultParagraphFont"/>
    <w:uiPriority w:val="99"/>
    <w:semiHidden/>
    <w:unhideWhenUsed/>
    <w:qFormat/>
    <w:rPr>
      <w:vertAlign w:val="superscript"/>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Caption">
    <w:name w:val="caption"/>
    <w:basedOn w:val="Normal"/>
    <w:next w:val="Normal"/>
    <w:uiPriority w:val="35"/>
    <w:unhideWhenUsed/>
    <w:qFormat/>
    <w:pPr>
      <w:spacing w:after="200"/>
    </w:pPr>
    <w:rPr>
      <w:rFonts w:ascii="Times New Roman" w:hAnsi="Times New Roman"/>
      <w:iCs/>
      <w:color w:val="000000" w:themeColor="text1"/>
      <w:szCs w:val="18"/>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153"/>
        <w:tab w:val="right" w:pos="8306"/>
      </w:tabs>
      <w:snapToGrid w:val="0"/>
    </w:pPr>
    <w:rPr>
      <w:sz w:val="18"/>
      <w:szCs w:val="18"/>
    </w:rPr>
  </w:style>
  <w:style w:type="paragraph" w:styleId="TableofFigures">
    <w:name w:val="table of figures"/>
    <w:basedOn w:val="Normal"/>
    <w:next w:val="Normal"/>
    <w:uiPriority w:val="99"/>
    <w:unhideWhenUsed/>
    <w:qFormat/>
  </w:style>
  <w:style w:type="paragraph" w:styleId="Footer">
    <w:name w:val="footer"/>
    <w:basedOn w:val="Normal"/>
    <w:uiPriority w:val="99"/>
    <w:unhideWhenUsed/>
    <w:qFormat/>
    <w:pPr>
      <w:tabs>
        <w:tab w:val="center" w:pos="4153"/>
        <w:tab w:val="right" w:pos="8306"/>
      </w:tabs>
      <w:snapToGrid w:val="0"/>
    </w:pPr>
    <w:rPr>
      <w:sz w:val="18"/>
      <w:szCs w:val="18"/>
    </w:rPr>
  </w:style>
  <w:style w:type="paragraph" w:styleId="NormalWeb">
    <w:name w:val="Normal (Web)"/>
    <w:uiPriority w:val="99"/>
    <w:unhideWhenUsed/>
    <w:qFormat/>
    <w:pPr>
      <w:spacing w:beforeAutospacing="1" w:afterAutospacing="1"/>
    </w:pPr>
    <w:rPr>
      <w:sz w:val="24"/>
      <w:szCs w:val="24"/>
      <w:lang w:eastAsia="zh-CN"/>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ind w:leftChars="200" w:left="420"/>
    </w:pPr>
  </w:style>
  <w:style w:type="paragraph" w:styleId="TOC3">
    <w:name w:val="toc 3"/>
    <w:basedOn w:val="Normal"/>
    <w:next w:val="Normal"/>
    <w:uiPriority w:val="39"/>
    <w:unhideWhenUsed/>
    <w:qFormat/>
    <w:pPr>
      <w:ind w:leftChars="400" w:left="840"/>
    </w:p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TOCHeading1">
    <w:name w:val="TOC Heading1"/>
    <w:basedOn w:val="Heading1"/>
    <w:next w:val="Normal"/>
    <w:uiPriority w:val="39"/>
    <w:unhideWhenUsed/>
    <w:qFormat/>
    <w:pPr>
      <w:keepNext/>
      <w:keepLines/>
      <w:spacing w:before="240" w:beforeAutospacing="0" w:afterAutospacing="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en-US"/>
    </w:rPr>
  </w:style>
  <w:style w:type="character" w:customStyle="1" w:styleId="HeaderChar">
    <w:name w:val="Header Char"/>
    <w:basedOn w:val="DefaultParagraphFont"/>
    <w:link w:val="Header"/>
    <w:uiPriority w:val="99"/>
    <w:qFormat/>
    <w:rPr>
      <w:rFonts w:asciiTheme="minorHAnsi" w:eastAsiaTheme="minorEastAsia" w:hAnsiTheme="minorHAnsi" w:cstheme="minorBidi"/>
      <w:sz w:val="18"/>
      <w:szCs w:val="18"/>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font-claude-response-body">
    <w:name w:val="font-claude-response-body"/>
    <w:basedOn w:val="Normal"/>
    <w:qFormat/>
    <w:pPr>
      <w:spacing w:before="100" w:beforeAutospacing="1" w:after="100" w:afterAutospacing="1"/>
    </w:pPr>
    <w:rPr>
      <w:rFonts w:ascii="Times New Roman" w:eastAsia="Times New Roman" w:hAnsi="Times New Roman" w:cs="Times New Roman"/>
      <w:lang w:eastAsia="en-US"/>
    </w:rPr>
  </w:style>
  <w:style w:type="character" w:customStyle="1" w:styleId="Heading3Char">
    <w:name w:val="Heading 3 Char"/>
    <w:basedOn w:val="DefaultParagraphFont"/>
    <w:link w:val="Heading3"/>
    <w:uiPriority w:val="9"/>
    <w:qFormat/>
    <w:rPr>
      <w:b/>
      <w:bCs/>
      <w:sz w:val="24"/>
      <w:szCs w:val="27"/>
    </w:rPr>
  </w:style>
  <w:style w:type="character" w:customStyle="1" w:styleId="FootnoteTextChar">
    <w:name w:val="Footnote Text Char"/>
    <w:basedOn w:val="DefaultParagraphFont"/>
    <w:link w:val="FootnoteText"/>
    <w:uiPriority w:val="99"/>
    <w:semiHidden/>
    <w:qFormat/>
    <w:rPr>
      <w:rFonts w:asciiTheme="minorHAnsi" w:eastAsiaTheme="minorEastAsia" w:hAnsiTheme="minorHAnsi" w:cstheme="minorBidi"/>
    </w:rPr>
  </w:style>
  <w:style w:type="paragraph" w:customStyle="1" w:styleId="RALs-ReferencesList">
    <w:name w:val="RALs-ReferencesList"/>
    <w:basedOn w:val="Normal"/>
    <w:qFormat/>
    <w:pPr>
      <w:spacing w:before="120" w:after="100" w:line="276" w:lineRule="auto"/>
      <w:ind w:left="426" w:hanging="426"/>
      <w:jc w:val="both"/>
    </w:pPr>
    <w:rPr>
      <w:rFonts w:ascii="Times New Roman" w:eastAsia="Times New Roman" w:hAnsi="Times New Roman" w:cs="B Za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5430/wjel.v12n6p71" TargetMode="External"/><Relationship Id="rId18" Type="http://schemas.openxmlformats.org/officeDocument/2006/relationships/hyperlink" Target="https://doi.org/10.11648/j.ajtas.20160501.11" TargetMode="External"/><Relationship Id="rId26" Type="http://schemas.openxmlformats.org/officeDocument/2006/relationships/hyperlink" Target="https://doi.org/10.1111/ijal.12661" TargetMode="External"/><Relationship Id="rId39" Type="http://schemas.openxmlformats.org/officeDocument/2006/relationships/hyperlink" Target="https://doi.org/10.30762/jeels.v8i2.3379" TargetMode="External"/><Relationship Id="rId21" Type="http://schemas.openxmlformats.org/officeDocument/2006/relationships/hyperlink" Target="https://doi.org/10.1080/09500782.2019.1682599" TargetMode="External"/><Relationship Id="rId34" Type="http://schemas.openxmlformats.org/officeDocument/2006/relationships/hyperlink" Target="https://doi.org/10.23887/ls.v25i1.18821"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09658416.2021.1903911" TargetMode="External"/><Relationship Id="rId20" Type="http://schemas.openxmlformats.org/officeDocument/2006/relationships/hyperlink" Target="https://doi.org/10.1016/j.lingua.2020.102959" TargetMode="External"/><Relationship Id="rId29" Type="http://schemas.openxmlformats.org/officeDocument/2006/relationships/hyperlink" Target="https://doi.org/10.54855/ijte.222322" TargetMode="External"/><Relationship Id="rId41" Type="http://schemas.openxmlformats.org/officeDocument/2006/relationships/hyperlink" Target="https://doi.org/10.26858/ijole.v1i1.75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5235882.2017.1306597" TargetMode="External"/><Relationship Id="rId24" Type="http://schemas.openxmlformats.org/officeDocument/2006/relationships/hyperlink" Target="https://doi.org/10.1017/s0261444809990310" TargetMode="External"/><Relationship Id="rId32" Type="http://schemas.openxmlformats.org/officeDocument/2006/relationships/hyperlink" Target="https://doi.org/10.5539/jel.v6n1p102" TargetMode="External"/><Relationship Id="rId37" Type="http://schemas.openxmlformats.org/officeDocument/2006/relationships/hyperlink" Target="https://doi.org/10.1080/13670050.2016.1275289" TargetMode="External"/><Relationship Id="rId40" Type="http://schemas.openxmlformats.org/officeDocument/2006/relationships/hyperlink" Target="https://doi.org/10.17263/jlls.586811" TargetMode="External"/><Relationship Id="rId5" Type="http://schemas.openxmlformats.org/officeDocument/2006/relationships/webSettings" Target="webSettings.xml"/><Relationship Id="rId15" Type="http://schemas.openxmlformats.org/officeDocument/2006/relationships/hyperlink" Target="https://doi.org/10.1016/j.system.2020.102368" TargetMode="External"/><Relationship Id="rId23" Type="http://schemas.openxmlformats.org/officeDocument/2006/relationships/hyperlink" Target="https://doi.org/10.1080/13562517.2022.2129961" TargetMode="External"/><Relationship Id="rId28" Type="http://schemas.openxmlformats.org/officeDocument/2006/relationships/hyperlink" Target="https://doi.org/10.1016/j.learninstruc.2025.102085" TargetMode="External"/><Relationship Id="rId36" Type="http://schemas.openxmlformats.org/officeDocument/2006/relationships/hyperlink" Target="https://doi.org/10.36366/frontiers.v27i1.376" TargetMode="External"/><Relationship Id="rId10" Type="http://schemas.openxmlformats.org/officeDocument/2006/relationships/hyperlink" Target="https://doi.org/10.1016/j.heliyon.2022.e10537" TargetMode="External"/><Relationship Id="rId19" Type="http://schemas.openxmlformats.org/officeDocument/2006/relationships/hyperlink" Target="https://doi.org/10.1177/00336882221114478" TargetMode="External"/><Relationship Id="rId31" Type="http://schemas.openxmlformats.org/officeDocument/2006/relationships/hyperlink" Target="https://doi.org/10.30762/jeels.v8i2.337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389/fpsyg.2020.00273" TargetMode="External"/><Relationship Id="rId22" Type="http://schemas.openxmlformats.org/officeDocument/2006/relationships/hyperlink" Target="https://doi.org/10.17509/jpp.v20i2.27046" TargetMode="External"/><Relationship Id="rId27" Type="http://schemas.openxmlformats.org/officeDocument/2006/relationships/hyperlink" Target="https://doi.org/10.54855/ijli.25414" TargetMode="External"/><Relationship Id="rId30" Type="http://schemas.openxmlformats.org/officeDocument/2006/relationships/hyperlink" Target="https://www.um.edu.mt/library/oar/handle/123456789/102446" TargetMode="External"/><Relationship Id="rId35" Type="http://schemas.openxmlformats.org/officeDocument/2006/relationships/hyperlink" Target="https://doi.org/10.1037/h0100686"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36892/ijlls.v5i4.1460" TargetMode="External"/><Relationship Id="rId17" Type="http://schemas.openxmlformats.org/officeDocument/2006/relationships/hyperlink" Target="https://doi.org/10.1080/13670050.2016.1189509" TargetMode="External"/><Relationship Id="rId25" Type="http://schemas.openxmlformats.org/officeDocument/2006/relationships/hyperlink" Target="https://doi.org/10.1080/13670050.2019.1620678" TargetMode="External"/><Relationship Id="rId33" Type="http://schemas.openxmlformats.org/officeDocument/2006/relationships/hyperlink" Target="https://doi.org/10.18592/let.v9i2.3124" TargetMode="External"/><Relationship Id="rId38" Type="http://schemas.openxmlformats.org/officeDocument/2006/relationships/hyperlink" Target="https://doi.org/10.29333/ejecs/216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vtthinh@hcmi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file>

<file path=customXml/itemProps1.xml><?xml version="1.0" encoding="utf-8"?>
<ds:datastoreItem xmlns:ds="http://schemas.openxmlformats.org/officeDocument/2006/customXml" ds:itemID="{F2F52E1D-3CE5-4DAF-821A-774F55B1B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28</Pages>
  <Words>7660</Words>
  <Characters>43666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 Đỗ</dc:creator>
  <cp:lastModifiedBy>Reviewer</cp:lastModifiedBy>
  <cp:revision>112</cp:revision>
  <dcterms:created xsi:type="dcterms:W3CDTF">2026-05-25T03:34:00Z</dcterms:created>
  <dcterms:modified xsi:type="dcterms:W3CDTF">2026-07-13T08:53:00Z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1066-12.1.0.26880</vt:lpwstr>
  </property>
  <property fmtid="{D5CDD505-2E9C-101B-9397-08002B2CF9AE}" pid="3" name="ICV">
    <vt:lpwstr>61F25C6CE7B34DA1ABB75E10DCBE8854_12</vt:lpwstr>
  </property>
  <property fmtid="{D5CDD505-2E9C-101B-9397-08002B2CF9AE}" pid="4" name="KSOTemplateDocerSaveRecord">
    <vt:lpwstr>eyJoZGlkIjoiOWVjYzU5ZDdlNTYyN2U5ZTA2MDM5NDdlODkwOTBlYjAiLCJ1c2VySWQiOiIxMzkyMTQ3ODQ5MjMzIn0=</vt:lpwstr>
  </property>
  <property fmtid="{D5CDD505-2E9C-101B-9397-08002B2CF9AE}" pid="5" name="GrammarlyDocumentId">
    <vt:lpwstr>08b122e8-520f-4086-a2bd-bf3b92c7bdd9</vt:lpwstr>
  </property>
</Properties>
</file>