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9BD96" w14:textId="77777777" w:rsidR="00F078BF" w:rsidRDefault="00000000">
      <w:pPr>
        <w:spacing w:after="0"/>
        <w:ind w:firstLine="0"/>
        <w:jc w:val="center"/>
        <w:rPr>
          <w:b/>
          <w:bCs/>
          <w:color w:val="000000"/>
          <w:sz w:val="28"/>
          <w:szCs w:val="28"/>
        </w:rPr>
      </w:pPr>
      <w:r>
        <w:rPr>
          <w:b/>
          <w:bCs/>
          <w:sz w:val="28"/>
          <w:szCs w:val="28"/>
        </w:rPr>
        <w:t>The Perceived Use of Metacognitive Online Reading Strategies among Students at an EMI University in Vietnam</w:t>
      </w:r>
    </w:p>
    <w:p w14:paraId="712B24BE" w14:textId="77777777" w:rsidR="00F078BF" w:rsidRDefault="00000000">
      <w:pPr>
        <w:jc w:val="center"/>
        <w:rPr>
          <w:i/>
          <w:iCs/>
          <w:sz w:val="22"/>
          <w:szCs w:val="22"/>
        </w:rPr>
      </w:pPr>
      <w:r>
        <w:rPr>
          <w:i/>
          <w:iCs/>
          <w:sz w:val="22"/>
          <w:szCs w:val="22"/>
        </w:rPr>
        <w:t>Thinh Tien Vu</w:t>
      </w:r>
      <w:r>
        <w:rPr>
          <w:rStyle w:val="FootnoteReference"/>
          <w:i/>
          <w:iCs/>
          <w:sz w:val="22"/>
          <w:szCs w:val="22"/>
        </w:rPr>
        <w:footnoteReference w:id="1"/>
      </w:r>
      <w:r>
        <w:rPr>
          <w:i/>
          <w:iCs/>
          <w:sz w:val="22"/>
          <w:szCs w:val="22"/>
        </w:rPr>
        <w:t>, Thi Thuy Dung Dang</w:t>
      </w:r>
      <w:r>
        <w:rPr>
          <w:rStyle w:val="FootnoteReference"/>
          <w:i/>
          <w:iCs/>
          <w:sz w:val="22"/>
          <w:szCs w:val="22"/>
        </w:rPr>
        <w:footnoteReference w:id="2"/>
      </w:r>
    </w:p>
    <w:p w14:paraId="1F2D739A" w14:textId="77777777" w:rsidR="00F078BF" w:rsidRDefault="00F078BF">
      <w:pPr>
        <w:keepNext/>
        <w:spacing w:before="240"/>
        <w:ind w:firstLine="0"/>
        <w:rPr>
          <w:b/>
          <w:bCs/>
          <w:color w:val="000000"/>
          <w:sz w:val="24"/>
          <w:szCs w:val="24"/>
        </w:rPr>
      </w:pPr>
    </w:p>
    <w:p w14:paraId="2DB8A80C" w14:textId="77777777" w:rsidR="00F078BF" w:rsidRDefault="00000000">
      <w:pPr>
        <w:keepNext/>
        <w:spacing w:before="240"/>
        <w:ind w:firstLine="0"/>
        <w:rPr>
          <w:b/>
          <w:bCs/>
          <w:color w:val="000000"/>
          <w:sz w:val="24"/>
          <w:szCs w:val="24"/>
        </w:rPr>
      </w:pPr>
      <w:r>
        <w:rPr>
          <w:b/>
          <w:bCs/>
          <w:color w:val="000000"/>
          <w:sz w:val="24"/>
          <w:szCs w:val="24"/>
        </w:rPr>
        <w:t>Abstract</w:t>
      </w:r>
    </w:p>
    <w:p w14:paraId="2013AAAE" w14:textId="77777777" w:rsidR="00F078BF" w:rsidRDefault="00000000">
      <w:pPr>
        <w:shd w:val="clear" w:color="auto" w:fill="FFFFFF"/>
        <w:spacing w:before="0" w:after="0"/>
        <w:ind w:firstLine="285"/>
        <w:rPr>
          <w:sz w:val="24"/>
          <w:szCs w:val="24"/>
          <w:highlight w:val="white"/>
        </w:rPr>
      </w:pPr>
      <w:r>
        <w:rPr>
          <w:sz w:val="24"/>
          <w:szCs w:val="24"/>
          <w:highlight w:val="white"/>
        </w:rPr>
        <w:t>In the age of technology, reading online materials has become a fundamental skill for acquiring, storing, and retrieving information, particularly as higher education institutions increasingly rely on digital resources. Despite the growing popularity of online reading, the perception of Metacognitive Online Reading Strategies (MORS) among students, especially in English-medium instruction (EMI) settings in Vietnam, remains insufficiently examined. This quantitative study addressed this gap by investigating how students at an EMI university in Vietnam perceived the use of MORS. Participants were 124 students, evenly divided between English and non-English majors. Data were collected via a survey, focusing on three sub-categories of MORS: global, problem-solving, and support strategies. Descriptive analyses indicated that problem-solving strategies were most frequently employed, followed by global and support strategies. These findings contribute to a foundation for further investigation into the application of MORS in digitally mediated EMI higher education in Vietnam.</w:t>
      </w:r>
    </w:p>
    <w:p w14:paraId="2D879247" w14:textId="77777777" w:rsidR="00F078BF" w:rsidRDefault="00F078BF">
      <w:pPr>
        <w:shd w:val="clear" w:color="auto" w:fill="FFFFFF"/>
        <w:spacing w:before="0" w:after="0"/>
        <w:ind w:firstLine="0"/>
        <w:rPr>
          <w:b/>
          <w:bCs/>
          <w:i/>
          <w:iCs/>
          <w:sz w:val="24"/>
          <w:szCs w:val="24"/>
        </w:rPr>
      </w:pPr>
    </w:p>
    <w:p w14:paraId="4503890E" w14:textId="77777777" w:rsidR="00F078BF" w:rsidRDefault="00000000">
      <w:pPr>
        <w:shd w:val="clear" w:color="auto" w:fill="FFFFFF"/>
        <w:spacing w:before="0" w:after="0"/>
        <w:ind w:firstLine="0"/>
        <w:rPr>
          <w:sz w:val="24"/>
          <w:szCs w:val="24"/>
          <w:highlight w:val="white"/>
        </w:rPr>
      </w:pPr>
      <w:r>
        <w:rPr>
          <w:b/>
          <w:bCs/>
          <w:i/>
          <w:iCs/>
          <w:sz w:val="24"/>
          <w:szCs w:val="24"/>
        </w:rPr>
        <w:t>Keywords</w:t>
      </w:r>
      <w:r>
        <w:rPr>
          <w:b/>
          <w:bCs/>
          <w:sz w:val="24"/>
          <w:szCs w:val="24"/>
        </w:rPr>
        <w:t xml:space="preserve">: </w:t>
      </w:r>
      <w:r>
        <w:rPr>
          <w:sz w:val="24"/>
          <w:szCs w:val="24"/>
          <w:highlight w:val="white"/>
        </w:rPr>
        <w:t>EMI, digital reading, metacognitive online reading strategies, MORS</w:t>
      </w:r>
    </w:p>
    <w:p w14:paraId="33ADC111" w14:textId="77777777" w:rsidR="00F078BF" w:rsidRDefault="00F078BF">
      <w:pPr>
        <w:spacing w:before="0" w:after="120" w:line="480" w:lineRule="auto"/>
        <w:ind w:left="993" w:hanging="993"/>
        <w:rPr>
          <w:b/>
          <w:bCs/>
          <w:sz w:val="24"/>
          <w:szCs w:val="24"/>
        </w:rPr>
      </w:pPr>
    </w:p>
    <w:p w14:paraId="2BD480FE" w14:textId="77777777" w:rsidR="00F078BF" w:rsidRDefault="00000000">
      <w:pPr>
        <w:keepNext/>
        <w:spacing w:before="0" w:after="120" w:line="480" w:lineRule="auto"/>
        <w:ind w:left="284" w:hanging="284"/>
        <w:jc w:val="center"/>
        <w:rPr>
          <w:color w:val="000000"/>
          <w:sz w:val="24"/>
          <w:szCs w:val="24"/>
        </w:rPr>
      </w:pPr>
      <w:r>
        <w:rPr>
          <w:b/>
          <w:bCs/>
          <w:color w:val="000000"/>
          <w:sz w:val="24"/>
          <w:szCs w:val="24"/>
        </w:rPr>
        <w:t>1. Introduction</w:t>
      </w:r>
    </w:p>
    <w:p w14:paraId="1265659F" w14:textId="77777777" w:rsidR="00F078BF" w:rsidRDefault="00000000">
      <w:pPr>
        <w:spacing w:before="0" w:after="120" w:line="480" w:lineRule="auto"/>
        <w:ind w:firstLine="708"/>
        <w:rPr>
          <w:sz w:val="24"/>
          <w:szCs w:val="24"/>
        </w:rPr>
      </w:pPr>
      <w:r>
        <w:rPr>
          <w:sz w:val="24"/>
          <w:szCs w:val="24"/>
        </w:rPr>
        <w:t xml:space="preserve">Among the four skills in learning English, reading is considered the most important because it involves acquiring, storing, and retrieving information from texts (Amer et al., 2010; Pardede, 2022). Pardede (2022) stated three positive consequences of reading: increased input from daily interactions, enhanced learners’ competence in other language-related skills, and students’ personal development. Given the importance of reading skills, effectively applying reading strategies is vital for enhancing reading comprehension (Huang et al.,2009). Much research indicates that successful readers use a wider range of reading strategies more </w:t>
      </w:r>
      <w:r>
        <w:rPr>
          <w:sz w:val="24"/>
          <w:szCs w:val="24"/>
        </w:rPr>
        <w:lastRenderedPageBreak/>
        <w:t>frequently than less successful readers do. (</w:t>
      </w:r>
      <w:r>
        <w:rPr>
          <w:color w:val="EE0000"/>
          <w:sz w:val="24"/>
          <w:szCs w:val="24"/>
        </w:rPr>
        <w:t xml:space="preserve">Carrell et al., </w:t>
      </w:r>
      <w:r>
        <w:rPr>
          <w:sz w:val="24"/>
          <w:szCs w:val="24"/>
        </w:rPr>
        <w:t>1989; Wang, 2016; Kung, 2019; Aydinbek, 2021).</w:t>
      </w:r>
    </w:p>
    <w:p w14:paraId="56F833F7" w14:textId="77777777" w:rsidR="00F078BF" w:rsidRDefault="00000000">
      <w:pPr>
        <w:spacing w:before="0" w:after="120" w:line="480" w:lineRule="auto"/>
        <w:ind w:firstLine="708"/>
        <w:rPr>
          <w:sz w:val="24"/>
          <w:szCs w:val="24"/>
        </w:rPr>
      </w:pPr>
      <w:r>
        <w:rPr>
          <w:sz w:val="24"/>
          <w:szCs w:val="24"/>
        </w:rPr>
        <w:t>Since the COVID-19 outbreak in 2020, advances in information and communication technology have made the internet a significant factor in many aspects of education, particularly in foreign language learning (Pardede, 2022; Putera &amp; Anggrainy, 2024). In terms of technology use in the educational environment, its integration has led students to become more interactive and active rather than passive and reactive (Raja &amp; Nagasubramani, 2018). The benefits of emerging technologies for education include enhanced teaching and learning, globalisation, removal of geographical limitations, scalability, easy-to-update learning materials, access to materials, self-management of learning location, and various designs and delivery methods for mobile technology (</w:t>
      </w:r>
      <w:r>
        <w:rPr>
          <w:color w:val="0000FF"/>
          <w:sz w:val="24"/>
          <w:szCs w:val="24"/>
        </w:rPr>
        <w:t>Ally, 20</w:t>
      </w:r>
      <w:r>
        <w:rPr>
          <w:color w:val="0000FF"/>
          <w:sz w:val="24"/>
          <w:szCs w:val="24"/>
          <w:lang w:val="en-US"/>
        </w:rPr>
        <w:t>13</w:t>
      </w:r>
      <w:r>
        <w:rPr>
          <w:sz w:val="24"/>
          <w:szCs w:val="24"/>
        </w:rPr>
        <w:t xml:space="preserve">; Raja &amp; Nagasubramani, 2018). Thus, the use of electronic learning materials has become the norm in many countries </w:t>
      </w:r>
      <w:r>
        <w:rPr>
          <w:color w:val="0000FF"/>
          <w:sz w:val="24"/>
          <w:szCs w:val="24"/>
        </w:rPr>
        <w:t>(Parker et al.</w:t>
      </w:r>
      <w:r>
        <w:rPr>
          <w:color w:val="0000FF"/>
          <w:sz w:val="24"/>
          <w:szCs w:val="24"/>
          <w:lang w:val="en-US"/>
        </w:rPr>
        <w:t xml:space="preserve">, </w:t>
      </w:r>
      <w:r>
        <w:rPr>
          <w:color w:val="0000FF"/>
          <w:sz w:val="24"/>
          <w:szCs w:val="24"/>
        </w:rPr>
        <w:t>2011)</w:t>
      </w:r>
      <w:r>
        <w:rPr>
          <w:sz w:val="24"/>
          <w:szCs w:val="24"/>
        </w:rPr>
        <w:t>. Parker et al. (2011) stated that most textbooks may shift from offline materials to online materials within 10 years, so students need to apply online reading skills to obtain information from online resources. However, the transfer of reading skills from offline to online texts may be similar, but they differ significantly in purpose.</w:t>
      </w:r>
    </w:p>
    <w:p w14:paraId="0AEE7535" w14:textId="77777777" w:rsidR="00F078BF" w:rsidRDefault="00000000">
      <w:pPr>
        <w:spacing w:before="0" w:after="120" w:line="480" w:lineRule="auto"/>
        <w:ind w:firstLine="708"/>
        <w:rPr>
          <w:sz w:val="24"/>
          <w:szCs w:val="24"/>
        </w:rPr>
      </w:pPr>
      <w:r>
        <w:rPr>
          <w:sz w:val="24"/>
          <w:szCs w:val="24"/>
        </w:rPr>
        <w:t>In the context of EMI universities, reading academic texts is an important skill with university students</w:t>
      </w:r>
      <w:r>
        <w:rPr>
          <w:sz w:val="24"/>
          <w:szCs w:val="24"/>
          <w:lang w:val="en-US"/>
        </w:rPr>
        <w:t>.</w:t>
      </w:r>
      <w:r>
        <w:rPr>
          <w:sz w:val="24"/>
          <w:szCs w:val="24"/>
        </w:rPr>
        <w:t xml:space="preserve"> In particular, students are often required to read textbooks and learning materials which are not available in their mother tongue (Phuong &amp; Nguyen, 2019). These materials are usually available online rather than offline. Furthermore, EMI university students find it significantly challenging to comprehend English texts due to limited vocabulary and academic knowledge (Phuong &amp; Nguyen, 2019). Therefore, applying online reading strategies is remarkably essential in the EMI context.</w:t>
      </w:r>
    </w:p>
    <w:p w14:paraId="791329FF" w14:textId="77777777" w:rsidR="00F078BF" w:rsidRDefault="00000000">
      <w:pPr>
        <w:spacing w:before="0" w:after="120" w:line="480" w:lineRule="auto"/>
        <w:ind w:firstLine="708"/>
        <w:rPr>
          <w:sz w:val="24"/>
          <w:szCs w:val="24"/>
        </w:rPr>
      </w:pPr>
      <w:r>
        <w:rPr>
          <w:sz w:val="24"/>
          <w:szCs w:val="24"/>
        </w:rPr>
        <w:t xml:space="preserve">While much research focuses on metacognitive offline reading strategies, metacognitive online reading strategies (MORS) have received limited attention. Additionally, </w:t>
      </w:r>
      <w:r>
        <w:rPr>
          <w:sz w:val="24"/>
          <w:szCs w:val="24"/>
        </w:rPr>
        <w:lastRenderedPageBreak/>
        <w:t>existing literature has paid little attention to the use of online reading strategies in the English-as-a-Medium-of-Instruction (EMI) context. Given the above-mentioned problem, this study aims to explore students' online reading strategies at an EMI university in Vietnam through their perceptions. To achieve the research objective, this study focuses on the following question: How do students at an EMI university use metacognitive online reading strategies?</w:t>
      </w:r>
    </w:p>
    <w:p w14:paraId="6F3F213B" w14:textId="77777777" w:rsidR="00F078BF" w:rsidRDefault="00000000">
      <w:pPr>
        <w:keepNext/>
        <w:spacing w:before="0" w:after="120" w:line="480" w:lineRule="auto"/>
        <w:ind w:left="284" w:hanging="284"/>
        <w:jc w:val="center"/>
      </w:pPr>
      <w:r>
        <w:rPr>
          <w:b/>
          <w:bCs/>
          <w:color w:val="000000"/>
          <w:sz w:val="24"/>
          <w:szCs w:val="24"/>
        </w:rPr>
        <w:t>2. Literature Review</w:t>
      </w:r>
    </w:p>
    <w:p w14:paraId="63EACF8A" w14:textId="77777777" w:rsidR="00F078BF" w:rsidRDefault="00000000">
      <w:pPr>
        <w:keepNext/>
        <w:spacing w:before="0" w:after="120" w:line="480" w:lineRule="auto"/>
        <w:ind w:left="284" w:hanging="284"/>
        <w:rPr>
          <w:b/>
          <w:bCs/>
          <w:i/>
          <w:iCs/>
          <w:color w:val="000000"/>
          <w:sz w:val="24"/>
          <w:szCs w:val="24"/>
        </w:rPr>
      </w:pPr>
      <w:r>
        <w:rPr>
          <w:b/>
          <w:bCs/>
          <w:i/>
          <w:iCs/>
          <w:color w:val="000000"/>
          <w:sz w:val="24"/>
          <w:szCs w:val="24"/>
        </w:rPr>
        <w:t>2.1 Reading strategies</w:t>
      </w:r>
    </w:p>
    <w:p w14:paraId="4228CBC2" w14:textId="77777777" w:rsidR="00F078BF" w:rsidRDefault="00000000">
      <w:pPr>
        <w:spacing w:before="0" w:after="120" w:line="480" w:lineRule="auto"/>
        <w:ind w:firstLine="708"/>
        <w:rPr>
          <w:sz w:val="24"/>
          <w:szCs w:val="24"/>
          <w:highlight w:val="white"/>
        </w:rPr>
      </w:pPr>
      <w:r>
        <w:rPr>
          <w:sz w:val="24"/>
          <w:szCs w:val="24"/>
        </w:rPr>
        <w:t xml:space="preserve">As Par (2020) stated, reading strategies are deliberate plans that readers use flexibly and adaptively to reconstruct texts. These plans involve conscious techniques aimed at improving reading comprehension on reading tasks </w:t>
      </w:r>
      <w:r>
        <w:rPr>
          <w:color w:val="0000FF"/>
          <w:sz w:val="24"/>
          <w:szCs w:val="24"/>
        </w:rPr>
        <w:t>(Kulsum et al., 20</w:t>
      </w:r>
      <w:r>
        <w:rPr>
          <w:color w:val="0000FF"/>
          <w:sz w:val="24"/>
          <w:szCs w:val="24"/>
          <w:lang w:val="en-US"/>
        </w:rPr>
        <w:t>23</w:t>
      </w:r>
      <w:r>
        <w:rPr>
          <w:color w:val="0000FF"/>
          <w:sz w:val="24"/>
          <w:szCs w:val="24"/>
        </w:rPr>
        <w:t>)</w:t>
      </w:r>
      <w:r>
        <w:rPr>
          <w:sz w:val="24"/>
          <w:szCs w:val="24"/>
        </w:rPr>
        <w:t xml:space="preserve">. </w:t>
      </w:r>
      <w:r>
        <w:rPr>
          <w:sz w:val="24"/>
          <w:szCs w:val="24"/>
          <w:highlight w:val="white"/>
        </w:rPr>
        <w:t xml:space="preserve">Reading strategies are considered important factors in comprehending text. Students can monitor their own reading and make it more efficient, and teach those strategies to others </w:t>
      </w:r>
      <w:r>
        <w:rPr>
          <w:sz w:val="24"/>
          <w:szCs w:val="24"/>
        </w:rPr>
        <w:t xml:space="preserve">(Afflerbach et al., 2008). </w:t>
      </w:r>
      <w:r>
        <w:rPr>
          <w:sz w:val="24"/>
          <w:szCs w:val="24"/>
          <w:highlight w:val="white"/>
        </w:rPr>
        <w:t xml:space="preserve">Moreover, readers who apply reading strategies achieve higher scores on reading comprehension tests than those who do not </w:t>
      </w:r>
      <w:r>
        <w:rPr>
          <w:color w:val="0000FF"/>
          <w:sz w:val="24"/>
          <w:szCs w:val="24"/>
          <w:highlight w:val="white"/>
        </w:rPr>
        <w:t>(</w:t>
      </w:r>
      <w:r>
        <w:rPr>
          <w:rFonts w:eastAsia="SimSun"/>
          <w:color w:val="0000FF"/>
          <w:sz w:val="24"/>
          <w:szCs w:val="24"/>
        </w:rPr>
        <w:t>Karbalaee Kamran, 2013</w:t>
      </w:r>
      <w:r>
        <w:rPr>
          <w:color w:val="0000FF"/>
          <w:sz w:val="24"/>
          <w:szCs w:val="24"/>
          <w:highlight w:val="white"/>
        </w:rPr>
        <w:t>)</w:t>
      </w:r>
      <w:r>
        <w:rPr>
          <w:sz w:val="24"/>
          <w:szCs w:val="24"/>
          <w:highlight w:val="white"/>
        </w:rPr>
        <w:t>. To summarise, learners' use of the reading strategy can predict their reading proficiency, academic achievement, and learning success (Par, 2020).</w:t>
      </w:r>
    </w:p>
    <w:p w14:paraId="321D9729" w14:textId="77777777" w:rsidR="00F078BF" w:rsidRDefault="00000000">
      <w:pPr>
        <w:spacing w:before="0" w:after="120" w:line="480" w:lineRule="auto"/>
        <w:ind w:firstLine="0"/>
        <w:rPr>
          <w:b/>
          <w:bCs/>
          <w:i/>
          <w:iCs/>
          <w:sz w:val="24"/>
          <w:szCs w:val="24"/>
        </w:rPr>
      </w:pPr>
      <w:r>
        <w:rPr>
          <w:b/>
          <w:bCs/>
          <w:i/>
          <w:iCs/>
          <w:sz w:val="24"/>
          <w:szCs w:val="24"/>
        </w:rPr>
        <w:t>2.2 Offline reading strategies</w:t>
      </w:r>
    </w:p>
    <w:p w14:paraId="343CD6E3" w14:textId="77777777" w:rsidR="00F078BF" w:rsidRDefault="00000000">
      <w:pPr>
        <w:spacing w:before="0" w:after="120" w:line="480" w:lineRule="auto"/>
        <w:ind w:firstLine="708"/>
        <w:rPr>
          <w:sz w:val="24"/>
          <w:szCs w:val="24"/>
        </w:rPr>
      </w:pPr>
      <w:r>
        <w:rPr>
          <w:sz w:val="24"/>
          <w:szCs w:val="24"/>
        </w:rPr>
        <w:t>Offline reading strategies are divided into two sub-categories: cognitive strategies and metacognitive strategies (Sheorey &amp; Mokhtari, 2001)</w:t>
      </w:r>
    </w:p>
    <w:p w14:paraId="1D0C97E3" w14:textId="77777777" w:rsidR="00F078BF" w:rsidRDefault="00000000">
      <w:pPr>
        <w:spacing w:before="0" w:after="120" w:line="480" w:lineRule="auto"/>
        <w:ind w:firstLine="0"/>
        <w:rPr>
          <w:i/>
          <w:iCs/>
          <w:sz w:val="24"/>
          <w:szCs w:val="24"/>
        </w:rPr>
      </w:pPr>
      <w:r>
        <w:rPr>
          <w:i/>
          <w:iCs/>
          <w:color w:val="000000"/>
          <w:sz w:val="24"/>
          <w:szCs w:val="24"/>
        </w:rPr>
        <w:t>2.</w:t>
      </w:r>
      <w:r>
        <w:rPr>
          <w:i/>
          <w:iCs/>
          <w:sz w:val="24"/>
          <w:szCs w:val="24"/>
        </w:rPr>
        <w:t>2</w:t>
      </w:r>
      <w:r>
        <w:rPr>
          <w:i/>
          <w:iCs/>
          <w:color w:val="000000"/>
          <w:sz w:val="24"/>
          <w:szCs w:val="24"/>
        </w:rPr>
        <w:t>.1.</w:t>
      </w:r>
      <w:r>
        <w:rPr>
          <w:i/>
          <w:iCs/>
          <w:sz w:val="24"/>
          <w:szCs w:val="24"/>
        </w:rPr>
        <w:t xml:space="preserve"> Cognitive reading strategies</w:t>
      </w:r>
    </w:p>
    <w:p w14:paraId="072B95A4" w14:textId="77777777" w:rsidR="00F078BF" w:rsidRDefault="00000000">
      <w:pPr>
        <w:spacing w:before="0" w:after="120" w:line="480" w:lineRule="auto"/>
        <w:ind w:firstLine="708"/>
        <w:rPr>
          <w:sz w:val="24"/>
          <w:szCs w:val="24"/>
        </w:rPr>
      </w:pPr>
      <w:r>
        <w:rPr>
          <w:sz w:val="24"/>
          <w:szCs w:val="24"/>
        </w:rPr>
        <w:t xml:space="preserve">According to Sheorey and Mokhtari (2001), cognitive strategy refers to the actions or procedures used in the direct processing of text. For instance, guessing words and re-reading to better understand are two cognitive strategies. Gagne and Briggs (1979) supported this view, describing cognitive strategies as internal skills that influence the learner's intellectual </w:t>
      </w:r>
      <w:r>
        <w:rPr>
          <w:sz w:val="24"/>
          <w:szCs w:val="24"/>
        </w:rPr>
        <w:lastRenderedPageBreak/>
        <w:t xml:space="preserve">processes. These processes include understanding problems, learning, remembering, and thinking. </w:t>
      </w:r>
    </w:p>
    <w:p w14:paraId="2E187491" w14:textId="77777777" w:rsidR="00F078BF" w:rsidRDefault="00000000">
      <w:pPr>
        <w:spacing w:before="0" w:after="120" w:line="480" w:lineRule="auto"/>
        <w:ind w:firstLine="0"/>
        <w:rPr>
          <w:i/>
          <w:iCs/>
          <w:sz w:val="24"/>
          <w:szCs w:val="24"/>
        </w:rPr>
      </w:pPr>
      <w:r>
        <w:rPr>
          <w:i/>
          <w:iCs/>
          <w:sz w:val="24"/>
          <w:szCs w:val="24"/>
        </w:rPr>
        <w:t>2.2.2. Metacognitive reading strategies</w:t>
      </w:r>
    </w:p>
    <w:p w14:paraId="7B3CBD28" w14:textId="77777777" w:rsidR="00F078BF" w:rsidRDefault="00000000">
      <w:pPr>
        <w:spacing w:before="0" w:after="120" w:line="480" w:lineRule="auto"/>
        <w:ind w:firstLine="708"/>
        <w:rPr>
          <w:sz w:val="24"/>
          <w:szCs w:val="24"/>
        </w:rPr>
      </w:pPr>
      <w:r>
        <w:rPr>
          <w:sz w:val="24"/>
          <w:szCs w:val="24"/>
        </w:rPr>
        <w:t>Metacognitive strategies can be understood as higher-order executive skills that utilise learners’ knowledge of cognitive processes. These processes help learners control their learning through activities such as planning, monitoring, and evaluating, which involve both declarative and procedural knowledge. In the same vein, Sheorey and Mokhtari (2001) argued that metacognitive strategies are intentional, carefully planned techniques that involve monitoring and management. Generally, metacognitive strategies involve two elements: the conscious awareness of strategic reading processes and the actual application of reading strategies. These strategies may distinguish successful readers from less successful readers (Sheorey &amp; Mokhtari, 2001). In terms of categorising metacognitive reading strategies, Amer et al. (2010) classify them into three subcategories: global strategies, problem-solving strategies, and support categories. Global strategies are carefully planned to monitor students’ independent reading. Problem-solving strategies are the actions or procedures readers employ when reading the text directly. Support strategies are the actions employed to aid comprehension.</w:t>
      </w:r>
    </w:p>
    <w:p w14:paraId="6431A99B" w14:textId="77777777" w:rsidR="00F078BF" w:rsidRDefault="00000000">
      <w:pPr>
        <w:spacing w:before="0" w:after="120" w:line="480" w:lineRule="auto"/>
        <w:ind w:firstLine="0"/>
        <w:rPr>
          <w:b/>
          <w:bCs/>
          <w:i/>
          <w:iCs/>
          <w:sz w:val="24"/>
          <w:szCs w:val="24"/>
        </w:rPr>
      </w:pPr>
      <w:r>
        <w:rPr>
          <w:b/>
          <w:bCs/>
          <w:i/>
          <w:iCs/>
          <w:sz w:val="24"/>
          <w:szCs w:val="24"/>
        </w:rPr>
        <w:t>2.3 Online reading strategies</w:t>
      </w:r>
    </w:p>
    <w:p w14:paraId="604485BC" w14:textId="77777777" w:rsidR="00F078BF" w:rsidRDefault="00000000">
      <w:pPr>
        <w:spacing w:before="0" w:after="120" w:line="480" w:lineRule="auto"/>
        <w:ind w:firstLine="708"/>
        <w:rPr>
          <w:sz w:val="24"/>
          <w:szCs w:val="24"/>
        </w:rPr>
      </w:pPr>
      <w:r>
        <w:rPr>
          <w:sz w:val="24"/>
          <w:szCs w:val="24"/>
        </w:rPr>
        <w:t>Offline and online reading strategies differ due to the richness and depth of online texts (Preece, 1993). Coiro (2003) claimed that printed text is structured by the author and that readers need to follow the author's intended plot or expository structure. On the contrary, digital texts are multimodal, integrating text, static images, animations, embedded videos, and sound, and possess hyperlinks. This creates non-sequential page structures in digital texts, allowing readers to approach the content independently.</w:t>
      </w:r>
    </w:p>
    <w:p w14:paraId="3FCB62C0" w14:textId="77777777" w:rsidR="00F078BF" w:rsidRDefault="00000000">
      <w:pPr>
        <w:spacing w:before="0" w:after="120" w:line="480" w:lineRule="auto"/>
        <w:ind w:firstLine="708"/>
        <w:rPr>
          <w:sz w:val="24"/>
          <w:szCs w:val="24"/>
        </w:rPr>
      </w:pPr>
      <w:r>
        <w:rPr>
          <w:sz w:val="24"/>
          <w:szCs w:val="24"/>
        </w:rPr>
        <w:lastRenderedPageBreak/>
        <w:t>Due to the complexity of electronic texts, readers need metacognitive online reading strategies (MORS) to enhance reading comprehension. Behalova (2010) notes that online reading strategies are regarded as both learners’ conscious, intentional actions and behaviours when working with electronic texts. More specifically, electronic texts are those that appear on social media platforms, in newspapers, in articles, and so on (Pookcharoen, 2009). In this study, electronic texts for learning purposes may include e-books, online articles, journals, and related materials. Generally, I suggest that MORS are intentional, carefully planned techniques used for online learning texts, including monitoring or managing the online reading process.</w:t>
      </w:r>
    </w:p>
    <w:p w14:paraId="78983757" w14:textId="77777777" w:rsidR="00F078BF" w:rsidRDefault="00000000">
      <w:pPr>
        <w:spacing w:before="0" w:after="120" w:line="480" w:lineRule="auto"/>
        <w:ind w:firstLine="0"/>
        <w:rPr>
          <w:b/>
          <w:bCs/>
          <w:i/>
          <w:iCs/>
          <w:sz w:val="24"/>
          <w:szCs w:val="24"/>
        </w:rPr>
      </w:pPr>
      <w:r>
        <w:rPr>
          <w:b/>
          <w:bCs/>
          <w:i/>
          <w:iCs/>
          <w:sz w:val="24"/>
          <w:szCs w:val="24"/>
        </w:rPr>
        <w:t>2.4 Perception</w:t>
      </w:r>
    </w:p>
    <w:p w14:paraId="028FEB69" w14:textId="77777777" w:rsidR="00F078BF" w:rsidRDefault="00000000">
      <w:pPr>
        <w:spacing w:before="0" w:after="120" w:line="480" w:lineRule="auto"/>
        <w:ind w:firstLine="708"/>
        <w:rPr>
          <w:sz w:val="24"/>
          <w:szCs w:val="24"/>
        </w:rPr>
      </w:pPr>
      <w:r>
        <w:rPr>
          <w:sz w:val="24"/>
          <w:szCs w:val="24"/>
        </w:rPr>
        <w:t xml:space="preserve">Perception is the process by which we absorb sensory information from our environment and use it to engage with the environment </w:t>
      </w:r>
      <w:r>
        <w:rPr>
          <w:color w:val="0000FF"/>
          <w:sz w:val="24"/>
          <w:szCs w:val="24"/>
        </w:rPr>
        <w:t>(</w:t>
      </w:r>
      <w:r>
        <w:rPr>
          <w:color w:val="0000FF"/>
          <w:sz w:val="24"/>
          <w:szCs w:val="24"/>
          <w:lang w:val="en-US"/>
        </w:rPr>
        <w:t>Adi</w:t>
      </w:r>
      <w:r>
        <w:rPr>
          <w:color w:val="0000FF"/>
          <w:sz w:val="24"/>
          <w:szCs w:val="24"/>
        </w:rPr>
        <w:t>winata, 2017)</w:t>
      </w:r>
      <w:r>
        <w:rPr>
          <w:sz w:val="24"/>
          <w:szCs w:val="24"/>
        </w:rPr>
        <w:t>. Specifically, the American Psychological Association states that perception is the process or result of becoming aware through the senses, including tasks such as recognising, observing, and discriminating. In the context of foreign language learning, learner perception refers to how students interpret themselves. In this paper, perception is defined as the process or results of IU students’ self-awareness regarding the use of MORS.</w:t>
      </w:r>
    </w:p>
    <w:p w14:paraId="6646D6B6" w14:textId="77777777" w:rsidR="00F078BF" w:rsidRDefault="00000000">
      <w:pPr>
        <w:spacing w:before="0" w:after="120" w:line="480" w:lineRule="auto"/>
        <w:ind w:firstLine="0"/>
        <w:rPr>
          <w:b/>
          <w:bCs/>
          <w:i/>
          <w:iCs/>
          <w:color w:val="EE0000"/>
          <w:sz w:val="24"/>
          <w:szCs w:val="24"/>
        </w:rPr>
      </w:pPr>
      <w:r>
        <w:rPr>
          <w:b/>
          <w:bCs/>
          <w:i/>
          <w:iCs/>
          <w:color w:val="EE0000"/>
          <w:sz w:val="24"/>
          <w:szCs w:val="24"/>
        </w:rPr>
        <w:t>2.5 The framework</w:t>
      </w:r>
    </w:p>
    <w:p w14:paraId="46A7ED78" w14:textId="77777777" w:rsidR="00F078BF" w:rsidRDefault="00000000">
      <w:pPr>
        <w:spacing w:before="0" w:after="120" w:line="480" w:lineRule="auto"/>
        <w:rPr>
          <w:color w:val="EE0000"/>
          <w:sz w:val="24"/>
          <w:szCs w:val="24"/>
        </w:rPr>
      </w:pPr>
      <w:r>
        <w:rPr>
          <w:color w:val="EE0000"/>
          <w:sz w:val="24"/>
          <w:szCs w:val="24"/>
        </w:rPr>
        <w:t xml:space="preserve">Figure 2.1 presents the framework used in this study to examine the perception of MORS. The framework is grounded in Sheorey &amp; Mokhtari (2001) and later adapted by Amer et al. (2010). In this framework, metacognitive online reading strategies are classified into three subcategories: global, problem-solving, and support strategies. </w:t>
      </w:r>
    </w:p>
    <w:p w14:paraId="334DEDE9" w14:textId="77777777" w:rsidR="00F078BF" w:rsidRDefault="00000000">
      <w:pPr>
        <w:spacing w:before="0" w:after="120" w:line="480" w:lineRule="auto"/>
        <w:ind w:firstLine="708"/>
        <w:rPr>
          <w:sz w:val="24"/>
          <w:szCs w:val="24"/>
        </w:rPr>
      </w:pPr>
      <w:r>
        <w:rPr>
          <w:sz w:val="24"/>
          <w:szCs w:val="24"/>
        </w:rPr>
        <w:t xml:space="preserve">Global strategies refer to approaches to reading texts, aiming to plan, monitor, and evaluate comprehension (Sheorey &amp; Mokhtari, 2001). In detail, readers may apply these strategies to judge the content of the reading, attend to text features, and predict the reading </w:t>
      </w:r>
      <w:r>
        <w:rPr>
          <w:sz w:val="24"/>
          <w:szCs w:val="24"/>
        </w:rPr>
        <w:lastRenderedPageBreak/>
        <w:t xml:space="preserve">topic (Anderson, 2003). Using global strategies targets readers' ability to analyse the text globally, as these strategies are significant predictors of reading performance (Rastegar et al., 2017; </w:t>
      </w:r>
      <w:r>
        <w:rPr>
          <w:color w:val="0000FF"/>
          <w:sz w:val="24"/>
          <w:szCs w:val="24"/>
        </w:rPr>
        <w:t>Yang &amp; Sim, 201</w:t>
      </w:r>
      <w:r>
        <w:rPr>
          <w:color w:val="0000FF"/>
          <w:sz w:val="24"/>
          <w:szCs w:val="24"/>
          <w:lang w:val="en-US"/>
        </w:rPr>
        <w:t>7</w:t>
      </w:r>
      <w:r>
        <w:rPr>
          <w:sz w:val="24"/>
          <w:szCs w:val="24"/>
        </w:rPr>
        <w:t xml:space="preserve">). Problem-solving strategies are defined as strategies learners use to directly cope with challenges (Huang, 2013). As the name suggests, these strategies may provide readers with a specific plan to solve problems they may encounter while reading (Amer et al., 2010). Support strategies </w:t>
      </w:r>
      <w:r>
        <w:rPr>
          <w:color w:val="EE0000"/>
          <w:sz w:val="24"/>
          <w:szCs w:val="24"/>
        </w:rPr>
        <w:t xml:space="preserve">involve localised </w:t>
      </w:r>
      <w:r>
        <w:rPr>
          <w:sz w:val="24"/>
          <w:szCs w:val="24"/>
        </w:rPr>
        <w:t xml:space="preserve">techniques to aid reading comprehension (Huang, 2013). In other words, these strategies involve using external resources and materials, as well as specific, useful tips (Aman &amp; Lemu, 2023). </w:t>
      </w:r>
    </w:p>
    <w:p w14:paraId="4FACCAE7" w14:textId="77777777" w:rsidR="00F078BF" w:rsidRDefault="00000000">
      <w:pPr>
        <w:spacing w:before="0" w:after="120" w:line="480" w:lineRule="auto"/>
        <w:ind w:firstLine="0"/>
        <w:rPr>
          <w:b/>
          <w:bCs/>
          <w:color w:val="EE0000"/>
          <w:sz w:val="24"/>
          <w:szCs w:val="24"/>
        </w:rPr>
      </w:pPr>
      <w:r>
        <w:rPr>
          <w:b/>
          <w:bCs/>
          <w:color w:val="EE0000"/>
          <w:sz w:val="24"/>
          <w:szCs w:val="24"/>
        </w:rPr>
        <w:t>Figure 2.1</w:t>
      </w:r>
    </w:p>
    <w:p w14:paraId="32F0CFCB" w14:textId="77777777" w:rsidR="00F078BF" w:rsidRDefault="00000000">
      <w:pPr>
        <w:spacing w:before="0" w:after="120" w:line="480" w:lineRule="auto"/>
        <w:ind w:firstLine="0"/>
        <w:rPr>
          <w:i/>
          <w:iCs/>
          <w:color w:val="EE0000"/>
          <w:sz w:val="24"/>
          <w:szCs w:val="24"/>
        </w:rPr>
      </w:pPr>
      <w:r>
        <w:rPr>
          <w:i/>
          <w:iCs/>
          <w:color w:val="EE0000"/>
          <w:sz w:val="24"/>
          <w:szCs w:val="24"/>
        </w:rPr>
        <w:t>The framework of the study</w:t>
      </w:r>
    </w:p>
    <w:p w14:paraId="5B606A59" w14:textId="77777777" w:rsidR="00F078BF" w:rsidRDefault="00000000">
      <w:pPr>
        <w:pStyle w:val="Heading2"/>
        <w:spacing w:before="40" w:after="240" w:line="360" w:lineRule="auto"/>
        <w:rPr>
          <w:sz w:val="24"/>
          <w:szCs w:val="24"/>
        </w:rPr>
      </w:pPr>
      <w:bookmarkStart w:id="0" w:name="_heading=h.kinizhr1h3qf" w:colFirst="0" w:colLast="0"/>
      <w:bookmarkEnd w:id="0"/>
      <w:r>
        <w:rPr>
          <w:noProof/>
          <w:sz w:val="24"/>
          <w:szCs w:val="24"/>
        </w:rPr>
        <w:drawing>
          <wp:inline distT="114300" distB="114300" distL="114300" distR="114300" wp14:anchorId="711585DC" wp14:editId="61BD29BA">
            <wp:extent cx="4029075" cy="13049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7"/>
                    <a:srcRect l="11552" t="25818" r="12094" b="30320"/>
                    <a:stretch>
                      <a:fillRect/>
                    </a:stretch>
                  </pic:blipFill>
                  <pic:spPr>
                    <a:xfrm>
                      <a:off x="0" y="0"/>
                      <a:ext cx="4029075" cy="1304925"/>
                    </a:xfrm>
                    <a:prstGeom prst="rect">
                      <a:avLst/>
                    </a:prstGeom>
                  </pic:spPr>
                </pic:pic>
              </a:graphicData>
            </a:graphic>
          </wp:inline>
        </w:drawing>
      </w:r>
    </w:p>
    <w:p w14:paraId="1CDCBCBD" w14:textId="77777777" w:rsidR="00F078BF" w:rsidRDefault="00000000">
      <w:pPr>
        <w:spacing w:before="0" w:after="120" w:line="480" w:lineRule="auto"/>
        <w:ind w:firstLine="0"/>
        <w:rPr>
          <w:i/>
          <w:iCs/>
          <w:sz w:val="24"/>
          <w:szCs w:val="24"/>
        </w:rPr>
      </w:pPr>
      <w:r>
        <w:rPr>
          <w:b/>
          <w:bCs/>
          <w:i/>
          <w:iCs/>
          <w:sz w:val="24"/>
          <w:szCs w:val="24"/>
        </w:rPr>
        <w:t>2.5 Previous studies</w:t>
      </w:r>
    </w:p>
    <w:p w14:paraId="5B41616C" w14:textId="77777777" w:rsidR="00F078BF" w:rsidRDefault="00000000">
      <w:pPr>
        <w:spacing w:before="0" w:after="120" w:line="480" w:lineRule="auto"/>
        <w:ind w:firstLine="708"/>
        <w:rPr>
          <w:sz w:val="24"/>
          <w:szCs w:val="24"/>
        </w:rPr>
      </w:pPr>
      <w:r>
        <w:rPr>
          <w:sz w:val="24"/>
          <w:szCs w:val="24"/>
        </w:rPr>
        <w:t xml:space="preserve">Many previous studies have focused on the students’ use of metacognitive online reading strategies. A mixed-methods study by Pookcharoen (2009) identified differences in MORS use between proficient and less proficient readers. In a study of Thai EFL students, the researcher found that proficient readers most frequently use problem-solving strategies. This finding aligns with Anderson’s (2003), Omar's (2014), and </w:t>
      </w:r>
      <w:r>
        <w:rPr>
          <w:color w:val="0000FF"/>
          <w:sz w:val="24"/>
          <w:szCs w:val="24"/>
        </w:rPr>
        <w:t>Rianto's (202</w:t>
      </w:r>
      <w:r>
        <w:rPr>
          <w:color w:val="0000FF"/>
          <w:sz w:val="24"/>
          <w:szCs w:val="24"/>
          <w:lang w:val="en-US"/>
        </w:rPr>
        <w:t>2</w:t>
      </w:r>
      <w:r>
        <w:rPr>
          <w:color w:val="0000FF"/>
          <w:sz w:val="24"/>
          <w:szCs w:val="24"/>
        </w:rPr>
        <w:t>)</w:t>
      </w:r>
      <w:r>
        <w:rPr>
          <w:sz w:val="24"/>
          <w:szCs w:val="24"/>
        </w:rPr>
        <w:t xml:space="preserve"> studies, which reported that problem-solving strategies were the most commonly used across the three subcategories, though the populations in those studies do not share similar characteristics. As they concluded, the frequent use of problem-solving strategies is shared among proficient readers and less proficient readers, ESL and EFL readers, and male and female readers. In </w:t>
      </w:r>
      <w:r>
        <w:rPr>
          <w:sz w:val="24"/>
          <w:szCs w:val="24"/>
        </w:rPr>
        <w:lastRenderedPageBreak/>
        <w:t>contrast, Amer et al. (2010) investigated the use of online reading strategies among EFL students; the results revealed that global were most frequently used. Similarly, Harputra et al. (2023) found that global strategies were the most frequently used among EFL students. However, most studies similarly reported that support strategies are less frequently used than other strategies.</w:t>
      </w:r>
    </w:p>
    <w:p w14:paraId="76434000" w14:textId="77777777" w:rsidR="00F078BF" w:rsidRDefault="00000000">
      <w:pPr>
        <w:spacing w:before="0" w:after="120" w:line="480" w:lineRule="auto"/>
        <w:ind w:firstLine="708"/>
        <w:rPr>
          <w:sz w:val="24"/>
          <w:szCs w:val="24"/>
        </w:rPr>
      </w:pPr>
      <w:r>
        <w:rPr>
          <w:sz w:val="24"/>
          <w:szCs w:val="24"/>
        </w:rPr>
        <w:t>In addition, some studies have investigated the relation between the students’ use of MORS and other aspects. Firstly, both Poole (2005) and Amer et al. (2010) examined differences in gender use of MORS. The results indicated no statistically significant difference between males and females when applying MORS. Secondly, some papers have examined the relationship between MORS use and students’ reading comprehension. Most studies found a significant positive relationship between MORS use and reading comprehension (Aman &amp; Lemu, 2023; Rastegar et al., 2017; Rianto, 2022; Zare-ee, 2007). Evidently, using MORS is necessary for students to enhance reading comprehension when dealing with academic online texts. Thirdly, global strategies are considered powerful predictors for better comprehension (Huang et al., 2009; Yang &amp; Sim, 2017). In particular, global strategies are identified as a significant predictor of reading performance, and excellent reading performance may imply a high level of metacognitive awareness of their use (Yang &amp; Sim, 2017).</w:t>
      </w:r>
    </w:p>
    <w:p w14:paraId="0CFB430E" w14:textId="77777777" w:rsidR="00F078BF" w:rsidRDefault="00000000">
      <w:pPr>
        <w:spacing w:before="0" w:after="120" w:line="480" w:lineRule="auto"/>
        <w:rPr>
          <w:sz w:val="24"/>
          <w:szCs w:val="24"/>
        </w:rPr>
      </w:pPr>
      <w:r>
        <w:rPr>
          <w:sz w:val="24"/>
          <w:szCs w:val="24"/>
        </w:rPr>
        <w:t xml:space="preserve">In Vietnam, Do and Phan (2021) conducted a study to explore the frequency with which Vietnamese undergraduates use reading strategies in academic texts. Researchers found that problem-solving strategies are most frequently used, followed by support and global strategies. As they noted, the frequency of problem-solving strategies does not differ across contexts such as Vietnam, Indonesia, and Turkey. Another finding that aligns with previous studies is the relationship between the use of global strategies and reading performance. However, no research has yet explored the students’ perceived use of metacognitive online reading strategies in an EMI context. As EMI students who spend much time processing L2 texts through online </w:t>
      </w:r>
      <w:r>
        <w:rPr>
          <w:sz w:val="24"/>
          <w:szCs w:val="24"/>
        </w:rPr>
        <w:lastRenderedPageBreak/>
        <w:t>materials, identifying students’ perceptions may be significantly beneficial to them. Thus, this research aims to provide insights for future learners and educators to develop a comprehensive understanding of students’ perceived use of metacognitive online reading strategies.</w:t>
      </w:r>
    </w:p>
    <w:p w14:paraId="1E4817BA" w14:textId="77777777" w:rsidR="00F078BF" w:rsidRDefault="00000000">
      <w:pPr>
        <w:keepNext/>
        <w:spacing w:before="0" w:after="120" w:line="480" w:lineRule="auto"/>
        <w:ind w:left="284" w:hanging="284"/>
        <w:jc w:val="center"/>
        <w:rPr>
          <w:b/>
          <w:bCs/>
          <w:color w:val="000000"/>
          <w:sz w:val="24"/>
          <w:szCs w:val="24"/>
        </w:rPr>
      </w:pPr>
      <w:r>
        <w:rPr>
          <w:b/>
          <w:bCs/>
          <w:color w:val="000000"/>
          <w:sz w:val="24"/>
          <w:szCs w:val="24"/>
        </w:rPr>
        <w:t>3. Methodology</w:t>
      </w:r>
    </w:p>
    <w:p w14:paraId="4EC2F16B" w14:textId="77777777" w:rsidR="00F078BF" w:rsidRDefault="00000000">
      <w:pPr>
        <w:spacing w:before="0" w:after="120" w:line="480" w:lineRule="auto"/>
        <w:ind w:firstLine="0"/>
        <w:rPr>
          <w:b/>
          <w:bCs/>
          <w:i/>
          <w:iCs/>
          <w:sz w:val="24"/>
          <w:szCs w:val="24"/>
        </w:rPr>
      </w:pPr>
      <w:r>
        <w:rPr>
          <w:b/>
          <w:bCs/>
          <w:i/>
          <w:iCs/>
          <w:sz w:val="24"/>
          <w:szCs w:val="24"/>
        </w:rPr>
        <w:t>3.1 Study design</w:t>
      </w:r>
    </w:p>
    <w:p w14:paraId="27B46E37" w14:textId="77777777" w:rsidR="00F078BF" w:rsidRDefault="00000000">
      <w:pPr>
        <w:spacing w:before="0" w:after="120" w:line="480" w:lineRule="auto"/>
        <w:rPr>
          <w:sz w:val="24"/>
          <w:szCs w:val="24"/>
        </w:rPr>
      </w:pPr>
      <w:r>
        <w:rPr>
          <w:sz w:val="24"/>
          <w:szCs w:val="24"/>
        </w:rPr>
        <w:t>The study employed a quantitative research design because it generates reliable, factual outcome data (Casebeer &amp; Verhoef, 1997). This design helps researchers identify patterns and trends in the use of metacognitive online reading strategies (MORS) among students in an English-medium of Instruction (EMI) setting.</w:t>
      </w:r>
    </w:p>
    <w:p w14:paraId="4FF4ED60" w14:textId="77777777" w:rsidR="00F078BF" w:rsidRDefault="00000000">
      <w:pPr>
        <w:spacing w:before="0" w:after="120" w:line="480" w:lineRule="auto"/>
        <w:ind w:firstLine="0"/>
        <w:rPr>
          <w:b/>
          <w:bCs/>
          <w:i/>
          <w:iCs/>
          <w:sz w:val="24"/>
          <w:szCs w:val="24"/>
        </w:rPr>
      </w:pPr>
      <w:r>
        <w:rPr>
          <w:b/>
          <w:bCs/>
          <w:i/>
          <w:iCs/>
          <w:sz w:val="24"/>
          <w:szCs w:val="24"/>
        </w:rPr>
        <w:t>3.2 Participants</w:t>
      </w:r>
    </w:p>
    <w:p w14:paraId="02435AF7" w14:textId="77777777" w:rsidR="00F078BF" w:rsidRDefault="00000000">
      <w:pPr>
        <w:spacing w:before="0" w:after="120" w:line="480" w:lineRule="auto"/>
        <w:ind w:firstLine="0"/>
        <w:rPr>
          <w:sz w:val="24"/>
          <w:szCs w:val="24"/>
        </w:rPr>
      </w:pPr>
      <w:r>
        <w:rPr>
          <w:sz w:val="24"/>
          <w:szCs w:val="24"/>
        </w:rPr>
        <w:tab/>
        <w:t>The study population consists of students at an English-medium instruction (EMI) university, the International University - VNU HCMC. The study sample consisted of 124 students, evenly divided between English and non-English majors. The convenience sampling method is used in this paper because it is easy to obtain as many students as possible (Triola, 2010). All participants have sufficient experience with online materials at the EMI university, which was considered appropriate for the study. To confirm voluntary participation, participants were provided with informed consent that outlined the study purpose and procedures. Demographic information for all participants is presented in Table 3.1.</w:t>
      </w:r>
    </w:p>
    <w:p w14:paraId="6D055619" w14:textId="77777777" w:rsidR="00F078BF" w:rsidRDefault="00000000">
      <w:pPr>
        <w:keepNext/>
        <w:spacing w:before="0" w:after="120" w:line="480" w:lineRule="auto"/>
        <w:ind w:left="720" w:hanging="720"/>
        <w:rPr>
          <w:b/>
          <w:bCs/>
          <w:sz w:val="24"/>
          <w:szCs w:val="24"/>
        </w:rPr>
      </w:pPr>
      <w:r>
        <w:rPr>
          <w:b/>
          <w:bCs/>
          <w:sz w:val="24"/>
          <w:szCs w:val="24"/>
        </w:rPr>
        <w:t>Table 3.1</w:t>
      </w:r>
    </w:p>
    <w:p w14:paraId="00C4E8E9" w14:textId="77777777" w:rsidR="00F078BF" w:rsidRDefault="00000000">
      <w:pPr>
        <w:keepNext/>
        <w:spacing w:before="0" w:after="120" w:line="480" w:lineRule="auto"/>
        <w:ind w:firstLine="0"/>
        <w:rPr>
          <w:i/>
          <w:iCs/>
          <w:sz w:val="24"/>
          <w:szCs w:val="24"/>
        </w:rPr>
      </w:pPr>
      <w:r>
        <w:rPr>
          <w:i/>
          <w:iCs/>
          <w:sz w:val="24"/>
          <w:szCs w:val="24"/>
        </w:rPr>
        <w:t>Demographic information of participants</w:t>
      </w:r>
    </w:p>
    <w:tbl>
      <w:tblPr>
        <w:tblStyle w:val="Style13"/>
        <w:tblW w:w="62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075"/>
        <w:gridCol w:w="3180"/>
      </w:tblGrid>
      <w:tr w:rsidR="00F078BF" w14:paraId="2C6E06CF" w14:textId="77777777">
        <w:tc>
          <w:tcPr>
            <w:tcW w:w="3075" w:type="dxa"/>
            <w:tcBorders>
              <w:left w:val="nil"/>
              <w:right w:val="nil"/>
            </w:tcBorders>
            <w:tcMar>
              <w:top w:w="100" w:type="dxa"/>
              <w:left w:w="100" w:type="dxa"/>
              <w:bottom w:w="100" w:type="dxa"/>
              <w:right w:w="100" w:type="dxa"/>
            </w:tcMar>
          </w:tcPr>
          <w:p w14:paraId="1D27E560" w14:textId="77777777" w:rsidR="00F078BF" w:rsidRDefault="00000000">
            <w:pPr>
              <w:widowControl w:val="0"/>
              <w:spacing w:before="0" w:after="0" w:line="240" w:lineRule="auto"/>
              <w:ind w:firstLine="0"/>
              <w:jc w:val="left"/>
              <w:rPr>
                <w:b/>
                <w:bCs/>
                <w:sz w:val="24"/>
                <w:szCs w:val="24"/>
              </w:rPr>
            </w:pPr>
            <w:r>
              <w:rPr>
                <w:b/>
                <w:bCs/>
                <w:sz w:val="24"/>
                <w:szCs w:val="24"/>
              </w:rPr>
              <w:t>Major</w:t>
            </w:r>
          </w:p>
        </w:tc>
        <w:tc>
          <w:tcPr>
            <w:tcW w:w="3180" w:type="dxa"/>
            <w:tcBorders>
              <w:left w:val="nil"/>
              <w:right w:val="nil"/>
            </w:tcBorders>
            <w:tcMar>
              <w:top w:w="100" w:type="dxa"/>
              <w:left w:w="100" w:type="dxa"/>
              <w:bottom w:w="100" w:type="dxa"/>
              <w:right w:w="100" w:type="dxa"/>
            </w:tcMar>
          </w:tcPr>
          <w:p w14:paraId="1E97463B" w14:textId="77777777" w:rsidR="00F078BF" w:rsidRDefault="00000000">
            <w:pPr>
              <w:widowControl w:val="0"/>
              <w:spacing w:before="0" w:after="0" w:line="240" w:lineRule="auto"/>
              <w:ind w:firstLine="0"/>
              <w:jc w:val="left"/>
              <w:rPr>
                <w:b/>
                <w:bCs/>
                <w:sz w:val="24"/>
                <w:szCs w:val="24"/>
              </w:rPr>
            </w:pPr>
            <w:r>
              <w:rPr>
                <w:b/>
                <w:bCs/>
                <w:sz w:val="24"/>
                <w:szCs w:val="24"/>
              </w:rPr>
              <w:t>Number of participants</w:t>
            </w:r>
          </w:p>
        </w:tc>
      </w:tr>
      <w:tr w:rsidR="00F078BF" w14:paraId="56A03DC3" w14:textId="77777777">
        <w:tc>
          <w:tcPr>
            <w:tcW w:w="3075" w:type="dxa"/>
            <w:tcBorders>
              <w:left w:val="nil"/>
              <w:bottom w:val="nil"/>
              <w:right w:val="nil"/>
            </w:tcBorders>
            <w:tcMar>
              <w:top w:w="100" w:type="dxa"/>
              <w:left w:w="100" w:type="dxa"/>
              <w:bottom w:w="100" w:type="dxa"/>
              <w:right w:w="100" w:type="dxa"/>
            </w:tcMar>
          </w:tcPr>
          <w:p w14:paraId="14080C54" w14:textId="77777777" w:rsidR="00F078BF" w:rsidRDefault="00000000">
            <w:pPr>
              <w:widowControl w:val="0"/>
              <w:spacing w:before="0" w:after="0" w:line="240" w:lineRule="auto"/>
              <w:ind w:firstLine="0"/>
              <w:jc w:val="left"/>
              <w:rPr>
                <w:sz w:val="24"/>
                <w:szCs w:val="24"/>
              </w:rPr>
            </w:pPr>
            <w:r>
              <w:rPr>
                <w:sz w:val="24"/>
                <w:szCs w:val="24"/>
              </w:rPr>
              <w:t>English majors</w:t>
            </w:r>
          </w:p>
        </w:tc>
        <w:tc>
          <w:tcPr>
            <w:tcW w:w="3180" w:type="dxa"/>
            <w:tcBorders>
              <w:left w:val="nil"/>
              <w:bottom w:val="nil"/>
              <w:right w:val="nil"/>
            </w:tcBorders>
            <w:tcMar>
              <w:top w:w="100" w:type="dxa"/>
              <w:left w:w="100" w:type="dxa"/>
              <w:bottom w:w="100" w:type="dxa"/>
              <w:right w:w="100" w:type="dxa"/>
            </w:tcMar>
          </w:tcPr>
          <w:p w14:paraId="13CDBB89" w14:textId="77777777" w:rsidR="00F078BF" w:rsidRDefault="00000000">
            <w:pPr>
              <w:widowControl w:val="0"/>
              <w:spacing w:before="0" w:after="0" w:line="240" w:lineRule="auto"/>
              <w:ind w:firstLine="0"/>
              <w:jc w:val="left"/>
              <w:rPr>
                <w:sz w:val="24"/>
                <w:szCs w:val="24"/>
              </w:rPr>
            </w:pPr>
            <w:r>
              <w:rPr>
                <w:sz w:val="24"/>
                <w:szCs w:val="24"/>
              </w:rPr>
              <w:t>62</w:t>
            </w:r>
          </w:p>
        </w:tc>
      </w:tr>
      <w:tr w:rsidR="00F078BF" w14:paraId="09655397" w14:textId="77777777">
        <w:tc>
          <w:tcPr>
            <w:tcW w:w="3075" w:type="dxa"/>
            <w:tcBorders>
              <w:top w:val="nil"/>
              <w:left w:val="nil"/>
              <w:right w:val="nil"/>
            </w:tcBorders>
            <w:tcMar>
              <w:top w:w="100" w:type="dxa"/>
              <w:left w:w="100" w:type="dxa"/>
              <w:bottom w:w="100" w:type="dxa"/>
              <w:right w:w="100" w:type="dxa"/>
            </w:tcMar>
          </w:tcPr>
          <w:p w14:paraId="5C6E52DE" w14:textId="77777777" w:rsidR="00F078BF" w:rsidRDefault="00000000">
            <w:pPr>
              <w:widowControl w:val="0"/>
              <w:spacing w:before="0" w:after="0" w:line="240" w:lineRule="auto"/>
              <w:ind w:firstLine="0"/>
              <w:jc w:val="left"/>
              <w:rPr>
                <w:sz w:val="24"/>
                <w:szCs w:val="24"/>
              </w:rPr>
            </w:pPr>
            <w:r>
              <w:rPr>
                <w:sz w:val="24"/>
                <w:szCs w:val="24"/>
              </w:rPr>
              <w:t>Non-English majors</w:t>
            </w:r>
          </w:p>
        </w:tc>
        <w:tc>
          <w:tcPr>
            <w:tcW w:w="3180" w:type="dxa"/>
            <w:tcBorders>
              <w:top w:val="nil"/>
              <w:left w:val="nil"/>
              <w:right w:val="nil"/>
            </w:tcBorders>
            <w:tcMar>
              <w:top w:w="100" w:type="dxa"/>
              <w:left w:w="100" w:type="dxa"/>
              <w:bottom w:w="100" w:type="dxa"/>
              <w:right w:w="100" w:type="dxa"/>
            </w:tcMar>
          </w:tcPr>
          <w:p w14:paraId="0F6DFBE6" w14:textId="77777777" w:rsidR="00F078BF" w:rsidRDefault="00000000">
            <w:pPr>
              <w:widowControl w:val="0"/>
              <w:spacing w:before="0" w:after="0" w:line="240" w:lineRule="auto"/>
              <w:ind w:firstLine="0"/>
              <w:jc w:val="left"/>
              <w:rPr>
                <w:sz w:val="24"/>
                <w:szCs w:val="24"/>
              </w:rPr>
            </w:pPr>
            <w:r>
              <w:rPr>
                <w:sz w:val="24"/>
                <w:szCs w:val="24"/>
              </w:rPr>
              <w:t>62</w:t>
            </w:r>
          </w:p>
        </w:tc>
      </w:tr>
      <w:tr w:rsidR="00F078BF" w14:paraId="2C734C52" w14:textId="77777777">
        <w:tc>
          <w:tcPr>
            <w:tcW w:w="3075" w:type="dxa"/>
            <w:tcBorders>
              <w:top w:val="nil"/>
              <w:left w:val="nil"/>
              <w:right w:val="nil"/>
            </w:tcBorders>
            <w:tcMar>
              <w:top w:w="100" w:type="dxa"/>
              <w:left w:w="100" w:type="dxa"/>
              <w:bottom w:w="100" w:type="dxa"/>
              <w:right w:w="100" w:type="dxa"/>
            </w:tcMar>
          </w:tcPr>
          <w:p w14:paraId="0F4481B4" w14:textId="77777777" w:rsidR="00F078BF" w:rsidRDefault="00000000">
            <w:pPr>
              <w:widowControl w:val="0"/>
              <w:spacing w:before="0" w:after="0" w:line="240" w:lineRule="auto"/>
              <w:ind w:firstLine="0"/>
              <w:jc w:val="left"/>
              <w:rPr>
                <w:b/>
                <w:bCs/>
                <w:sz w:val="24"/>
                <w:szCs w:val="24"/>
              </w:rPr>
            </w:pPr>
            <w:r>
              <w:rPr>
                <w:b/>
                <w:bCs/>
                <w:sz w:val="24"/>
                <w:szCs w:val="24"/>
              </w:rPr>
              <w:lastRenderedPageBreak/>
              <w:t>Total</w:t>
            </w:r>
          </w:p>
        </w:tc>
        <w:tc>
          <w:tcPr>
            <w:tcW w:w="3180" w:type="dxa"/>
            <w:tcBorders>
              <w:top w:val="nil"/>
              <w:left w:val="nil"/>
              <w:right w:val="nil"/>
            </w:tcBorders>
            <w:tcMar>
              <w:top w:w="100" w:type="dxa"/>
              <w:left w:w="100" w:type="dxa"/>
              <w:bottom w:w="100" w:type="dxa"/>
              <w:right w:w="100" w:type="dxa"/>
            </w:tcMar>
          </w:tcPr>
          <w:p w14:paraId="5230928F" w14:textId="77777777" w:rsidR="00F078BF" w:rsidRDefault="00000000">
            <w:pPr>
              <w:widowControl w:val="0"/>
              <w:spacing w:before="0" w:after="0" w:line="240" w:lineRule="auto"/>
              <w:ind w:firstLine="0"/>
              <w:jc w:val="left"/>
              <w:rPr>
                <w:b/>
                <w:bCs/>
                <w:sz w:val="24"/>
                <w:szCs w:val="24"/>
              </w:rPr>
            </w:pPr>
            <w:r>
              <w:rPr>
                <w:b/>
                <w:bCs/>
                <w:sz w:val="24"/>
                <w:szCs w:val="24"/>
              </w:rPr>
              <w:t>124</w:t>
            </w:r>
          </w:p>
        </w:tc>
      </w:tr>
    </w:tbl>
    <w:p w14:paraId="5E43AD7E" w14:textId="77777777" w:rsidR="00F078BF" w:rsidRDefault="00F078BF">
      <w:pPr>
        <w:keepNext/>
        <w:spacing w:before="0" w:after="120" w:line="480" w:lineRule="auto"/>
        <w:ind w:firstLine="0"/>
        <w:rPr>
          <w:i/>
          <w:iCs/>
          <w:sz w:val="24"/>
          <w:szCs w:val="24"/>
        </w:rPr>
      </w:pPr>
    </w:p>
    <w:p w14:paraId="6563B474" w14:textId="77777777" w:rsidR="00F078BF" w:rsidRDefault="00000000">
      <w:pPr>
        <w:spacing w:before="0" w:after="120" w:line="480" w:lineRule="auto"/>
        <w:ind w:firstLine="0"/>
        <w:rPr>
          <w:sz w:val="24"/>
          <w:szCs w:val="24"/>
        </w:rPr>
      </w:pPr>
      <w:r>
        <w:rPr>
          <w:b/>
          <w:bCs/>
          <w:i/>
          <w:iCs/>
          <w:sz w:val="24"/>
          <w:szCs w:val="24"/>
        </w:rPr>
        <w:t>3.3 Data collection instrument</w:t>
      </w:r>
    </w:p>
    <w:p w14:paraId="3D0EC5BE" w14:textId="77777777" w:rsidR="00F078BF" w:rsidRDefault="00000000">
      <w:pPr>
        <w:spacing w:before="0" w:after="120" w:line="480" w:lineRule="auto"/>
        <w:rPr>
          <w:sz w:val="24"/>
          <w:szCs w:val="24"/>
        </w:rPr>
      </w:pPr>
      <w:r>
        <w:rPr>
          <w:sz w:val="24"/>
          <w:szCs w:val="24"/>
        </w:rPr>
        <w:t>The survey was used to collect data on students' perceived use of MORS. The Online Survey of Reading Strategies (OSORS) by Amer (2010) was employed in the present study. As Amer et al. (2010) noted, this tool was adapted from the Survey of Reading Strategies (SORS) (Sheorey &amp; Mokhtari, 2001). This adaptation was intended to differentiate offline from online reading strategies (Amer, 2010). This adaptation has made this tool appropriate for this study, which examines online rather than offline reading strategies.</w:t>
      </w:r>
    </w:p>
    <w:p w14:paraId="7AC4F0AC" w14:textId="77777777" w:rsidR="00F078BF" w:rsidRDefault="00000000">
      <w:pPr>
        <w:spacing w:before="0" w:after="120" w:line="480" w:lineRule="auto"/>
        <w:rPr>
          <w:color w:val="EE0000"/>
          <w:sz w:val="24"/>
          <w:szCs w:val="24"/>
        </w:rPr>
      </w:pPr>
      <w:r>
        <w:rPr>
          <w:sz w:val="24"/>
          <w:szCs w:val="24"/>
        </w:rPr>
        <w:t xml:space="preserve">In this paper, the researcher used a Five-point Likert Scale via Google Form. Google Forms was chosen because it helped target a wide range of participants at low cost, ensured anonymity, and facilitated automatic sorting and export to SPSS at subsequent stages (Bhalerao, 2015). </w:t>
      </w:r>
      <w:r>
        <w:rPr>
          <w:color w:val="EE0000"/>
          <w:sz w:val="24"/>
          <w:szCs w:val="24"/>
        </w:rPr>
        <w:t xml:space="preserve">The survey consisted of two parts: (A) demographic information and (B) the perceived use of MORS among EMI students. The first section included four questions about confirming enrollment at EMI University, using online materials for learning, major, and gender, while the second section asked participants to rate their frequency of MORS use based on their perceptions. In the second section, there are 34 questions that indicate 34 MORS strategies, categorised into three subcategories. Items </w:t>
      </w:r>
      <w:r>
        <w:rPr>
          <w:color w:val="EE0000"/>
          <w:sz w:val="24"/>
          <w:szCs w:val="24"/>
          <w:lang w:val="en-US"/>
        </w:rPr>
        <w:t>B1 - B17</w:t>
      </w:r>
      <w:r>
        <w:rPr>
          <w:color w:val="EE0000"/>
          <w:sz w:val="24"/>
          <w:szCs w:val="24"/>
        </w:rPr>
        <w:t xml:space="preserve"> surveyed students’ perception of the use of global strategies, while items </w:t>
      </w:r>
      <w:r>
        <w:rPr>
          <w:color w:val="EE0000"/>
          <w:sz w:val="24"/>
          <w:szCs w:val="24"/>
          <w:lang w:val="en-US"/>
        </w:rPr>
        <w:t>B18</w:t>
      </w:r>
      <w:r>
        <w:rPr>
          <w:color w:val="EE0000"/>
          <w:sz w:val="24"/>
          <w:szCs w:val="24"/>
        </w:rPr>
        <w:t xml:space="preserve"> - B25 recorded their use of problem-solving strategies, and items </w:t>
      </w:r>
      <w:r>
        <w:rPr>
          <w:color w:val="EE0000"/>
          <w:sz w:val="24"/>
          <w:szCs w:val="24"/>
          <w:lang w:val="en-US"/>
        </w:rPr>
        <w:t>B26</w:t>
      </w:r>
      <w:r>
        <w:rPr>
          <w:color w:val="EE0000"/>
          <w:sz w:val="24"/>
          <w:szCs w:val="24"/>
        </w:rPr>
        <w:t xml:space="preserve"> - </w:t>
      </w:r>
      <w:r>
        <w:rPr>
          <w:color w:val="EE0000"/>
          <w:sz w:val="24"/>
          <w:szCs w:val="24"/>
          <w:lang w:val="en-US"/>
        </w:rPr>
        <w:t>B</w:t>
      </w:r>
      <w:r>
        <w:rPr>
          <w:color w:val="EE0000"/>
          <w:sz w:val="24"/>
          <w:szCs w:val="24"/>
        </w:rPr>
        <w:t>3</w:t>
      </w:r>
      <w:r>
        <w:rPr>
          <w:color w:val="EE0000"/>
          <w:sz w:val="24"/>
          <w:szCs w:val="24"/>
          <w:lang w:val="en-US"/>
        </w:rPr>
        <w:t>4</w:t>
      </w:r>
      <w:r>
        <w:rPr>
          <w:color w:val="EE0000"/>
          <w:sz w:val="24"/>
          <w:szCs w:val="24"/>
        </w:rPr>
        <w:t xml:space="preserve"> examined their perceptions toward using support strategies. This structured distribution enabled targeted statistical analysis of each subcategory independently.</w:t>
      </w:r>
    </w:p>
    <w:p w14:paraId="7051F0D7" w14:textId="77777777" w:rsidR="00F078BF" w:rsidRDefault="00000000">
      <w:pPr>
        <w:spacing w:before="0" w:after="120" w:line="480" w:lineRule="auto"/>
        <w:ind w:firstLine="0"/>
        <w:rPr>
          <w:sz w:val="24"/>
          <w:szCs w:val="24"/>
        </w:rPr>
      </w:pPr>
      <w:r>
        <w:rPr>
          <w:b/>
          <w:bCs/>
          <w:i/>
          <w:iCs/>
          <w:sz w:val="24"/>
          <w:szCs w:val="24"/>
        </w:rPr>
        <w:t>3.4 Procedure of the study</w:t>
      </w:r>
    </w:p>
    <w:p w14:paraId="129159C6" w14:textId="77777777" w:rsidR="00F078BF" w:rsidRDefault="00000000">
      <w:pPr>
        <w:spacing w:before="0" w:after="120" w:line="480" w:lineRule="auto"/>
        <w:rPr>
          <w:sz w:val="24"/>
          <w:szCs w:val="24"/>
        </w:rPr>
      </w:pPr>
      <w:r>
        <w:rPr>
          <w:sz w:val="24"/>
          <w:szCs w:val="24"/>
        </w:rPr>
        <w:lastRenderedPageBreak/>
        <w:t xml:space="preserve">Figure 3.1 illustrates the data collection and analysis procedure. After adopting the framework and data collection instrument, the researcher conducted a pilot test to assess the clarity, validity and reliability of the instrument (Creswell &amp; Creswell, 2018). The questionnaire was distributed to 20 volunteer participants, who had characteristics similar to those of the study sample. After the pilot test, Cronbach’s alpha was calculated at </w:t>
      </w:r>
      <w:r>
        <w:rPr>
          <w:color w:val="0070C0"/>
          <w:sz w:val="24"/>
          <w:szCs w:val="24"/>
        </w:rPr>
        <w:t>.80</w:t>
      </w:r>
      <w:r>
        <w:rPr>
          <w:sz w:val="24"/>
          <w:szCs w:val="24"/>
        </w:rPr>
        <w:t xml:space="preserve">, confirming the instrument's reliability (Taber, 2018). Additionally, two items in the global strategies have been revised based on participants’ feedback to improve clarity and avoid ambiguity. In the official data collection, participants were provided with informed consent at the beginning of the survey, which outlined the nature of the study and their voluntary participation. After collecting data, Cronbach’s alpha was recalculated to reconfirm reliability before data analysis. </w:t>
      </w:r>
      <w:r>
        <w:rPr>
          <w:color w:val="EE0000"/>
          <w:sz w:val="24"/>
          <w:szCs w:val="24"/>
        </w:rPr>
        <w:t xml:space="preserve">The result revealed acceptable internal consistency for the overall scale (α = .89), confirming the survey's reliability </w:t>
      </w:r>
      <w:r>
        <w:rPr>
          <w:sz w:val="24"/>
          <w:szCs w:val="24"/>
        </w:rPr>
        <w:t>(Taber, 2018).</w:t>
      </w:r>
    </w:p>
    <w:p w14:paraId="6D2DC988" w14:textId="77777777" w:rsidR="00F078BF" w:rsidRDefault="00000000">
      <w:pPr>
        <w:spacing w:before="0" w:after="120" w:line="360" w:lineRule="auto"/>
        <w:ind w:firstLine="0"/>
        <w:rPr>
          <w:b/>
          <w:bCs/>
          <w:sz w:val="24"/>
          <w:szCs w:val="24"/>
        </w:rPr>
      </w:pPr>
      <w:r>
        <w:rPr>
          <w:b/>
          <w:bCs/>
          <w:sz w:val="24"/>
          <w:szCs w:val="24"/>
        </w:rPr>
        <w:t>Figure 3.1</w:t>
      </w:r>
    </w:p>
    <w:p w14:paraId="109966FD" w14:textId="77777777" w:rsidR="00F078BF" w:rsidRDefault="00000000">
      <w:pPr>
        <w:spacing w:before="0" w:after="120" w:line="360" w:lineRule="auto"/>
        <w:ind w:firstLine="0"/>
        <w:rPr>
          <w:i/>
          <w:iCs/>
          <w:sz w:val="24"/>
          <w:szCs w:val="24"/>
        </w:rPr>
      </w:pPr>
      <w:r>
        <w:rPr>
          <w:i/>
          <w:iCs/>
          <w:sz w:val="24"/>
          <w:szCs w:val="24"/>
        </w:rPr>
        <w:t>Data collection and analysis procedure</w:t>
      </w:r>
    </w:p>
    <w:p w14:paraId="68109FB2" w14:textId="77777777" w:rsidR="00F078BF" w:rsidRDefault="00000000">
      <w:pPr>
        <w:ind w:firstLine="0"/>
        <w:jc w:val="center"/>
        <w:rPr>
          <w:sz w:val="24"/>
          <w:szCs w:val="24"/>
        </w:rPr>
      </w:pPr>
      <w:r>
        <w:rPr>
          <w:noProof/>
          <w:sz w:val="24"/>
          <w:szCs w:val="24"/>
        </w:rPr>
        <w:drawing>
          <wp:inline distT="114300" distB="114300" distL="114300" distR="114300" wp14:anchorId="30F6B87C" wp14:editId="041046D1">
            <wp:extent cx="3032760" cy="2887980"/>
            <wp:effectExtent l="0" t="0" r="0" b="762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referRelativeResize="0"/>
                  </pic:nvPicPr>
                  <pic:blipFill>
                    <a:blip r:embed="rId8"/>
                    <a:srcRect/>
                    <a:stretch>
                      <a:fillRect/>
                    </a:stretch>
                  </pic:blipFill>
                  <pic:spPr>
                    <a:xfrm>
                      <a:off x="0" y="0"/>
                      <a:ext cx="3077389" cy="2930410"/>
                    </a:xfrm>
                    <a:prstGeom prst="rect">
                      <a:avLst/>
                    </a:prstGeom>
                  </pic:spPr>
                </pic:pic>
              </a:graphicData>
            </a:graphic>
          </wp:inline>
        </w:drawing>
      </w:r>
    </w:p>
    <w:p w14:paraId="60CB5ACF" w14:textId="77777777" w:rsidR="00F078BF" w:rsidRDefault="00F078BF">
      <w:pPr>
        <w:ind w:firstLine="0"/>
        <w:rPr>
          <w:sz w:val="24"/>
          <w:szCs w:val="24"/>
        </w:rPr>
      </w:pPr>
    </w:p>
    <w:p w14:paraId="7467ADA8" w14:textId="77777777" w:rsidR="00F078BF" w:rsidRDefault="00000000">
      <w:pPr>
        <w:spacing w:before="0" w:after="120" w:line="480" w:lineRule="auto"/>
        <w:ind w:firstLine="0"/>
        <w:rPr>
          <w:sz w:val="24"/>
          <w:szCs w:val="24"/>
        </w:rPr>
      </w:pPr>
      <w:r>
        <w:rPr>
          <w:b/>
          <w:bCs/>
          <w:i/>
          <w:iCs/>
          <w:sz w:val="24"/>
          <w:szCs w:val="24"/>
        </w:rPr>
        <w:t>3.5 Data analysis</w:t>
      </w:r>
    </w:p>
    <w:p w14:paraId="487E0CE7" w14:textId="77777777" w:rsidR="00F078BF" w:rsidRDefault="00000000">
      <w:pPr>
        <w:spacing w:before="0" w:after="120" w:line="480" w:lineRule="auto"/>
        <w:ind w:firstLine="0"/>
        <w:rPr>
          <w:sz w:val="24"/>
          <w:szCs w:val="24"/>
        </w:rPr>
      </w:pPr>
      <w:r>
        <w:rPr>
          <w:sz w:val="24"/>
          <w:szCs w:val="24"/>
        </w:rPr>
        <w:lastRenderedPageBreak/>
        <w:tab/>
        <w:t xml:space="preserve">As the study design is quantitative, this paper used </w:t>
      </w:r>
      <w:r>
        <w:rPr>
          <w:color w:val="EE0000"/>
          <w:sz w:val="24"/>
          <w:szCs w:val="24"/>
        </w:rPr>
        <w:t>the</w:t>
      </w:r>
      <w:r>
        <w:rPr>
          <w:color w:val="0070C0"/>
          <w:sz w:val="24"/>
          <w:szCs w:val="24"/>
        </w:rPr>
        <w:t xml:space="preserve"> </w:t>
      </w:r>
      <w:r>
        <w:rPr>
          <w:sz w:val="24"/>
          <w:szCs w:val="24"/>
        </w:rPr>
        <w:t xml:space="preserve">Statistical Package for the Social Sciences (SPSS) version 27 to analyse data from OSORS responses. The researcher aimed to describe the data numerically, using means (M) and standard deviations (SD) to identify trends in students’ perceived use of MORS (Okamoto &amp; Oanh, 2026). In terms of the mean, determining the central value generalises the sample mean to the population mean (Triola, 2010). </w:t>
      </w:r>
      <w:r>
        <w:rPr>
          <w:color w:val="EE0000"/>
          <w:sz w:val="24"/>
          <w:szCs w:val="24"/>
        </w:rPr>
        <w:t xml:space="preserve">By measuring the variation of values about the mean, the standard deviation indicates how much variation there is. </w:t>
      </w:r>
      <w:r>
        <w:rPr>
          <w:sz w:val="24"/>
          <w:szCs w:val="24"/>
        </w:rPr>
        <w:t>Using these values may offer the researcher an overall view of MORS use, including the most and least frequently used strategies across the 34 OSORS items and within each sub-category. This procedure may answer the question of how students perceive their use of MORS.</w:t>
      </w:r>
    </w:p>
    <w:p w14:paraId="26C1D1F6" w14:textId="77777777" w:rsidR="00F078BF" w:rsidRDefault="00000000">
      <w:pPr>
        <w:spacing w:before="0" w:after="120" w:line="480" w:lineRule="auto"/>
        <w:rPr>
          <w:sz w:val="24"/>
          <w:szCs w:val="24"/>
        </w:rPr>
      </w:pPr>
      <w:r>
        <w:rPr>
          <w:sz w:val="24"/>
          <w:szCs w:val="24"/>
        </w:rPr>
        <w:t>To interpret the frequency of students’ responses in the survey, this research uses the mean interpretation, as in Table 3.2, guided by Pimentel (2010). Regarding the interpretation of the standard deviation, Creswell's (2014) scale is used to assess variation in students’ frequency of use around the mean, as shown in Table 3.3.</w:t>
      </w:r>
    </w:p>
    <w:p w14:paraId="74A08E40" w14:textId="77777777" w:rsidR="00F078BF" w:rsidRDefault="00000000">
      <w:pPr>
        <w:spacing w:before="0" w:after="0" w:line="360" w:lineRule="auto"/>
        <w:ind w:firstLine="0"/>
        <w:rPr>
          <w:b/>
          <w:bCs/>
          <w:sz w:val="24"/>
          <w:szCs w:val="24"/>
        </w:rPr>
      </w:pPr>
      <w:r>
        <w:rPr>
          <w:b/>
          <w:bCs/>
          <w:sz w:val="24"/>
          <w:szCs w:val="24"/>
        </w:rPr>
        <w:t>Table 3.2</w:t>
      </w:r>
    </w:p>
    <w:p w14:paraId="4E7E1CD1" w14:textId="77777777" w:rsidR="00F078BF" w:rsidRDefault="00000000">
      <w:pPr>
        <w:spacing w:before="0" w:after="0" w:line="360" w:lineRule="auto"/>
        <w:ind w:firstLine="0"/>
        <w:rPr>
          <w:i/>
          <w:iCs/>
          <w:sz w:val="24"/>
          <w:szCs w:val="24"/>
        </w:rPr>
      </w:pPr>
      <w:r>
        <w:rPr>
          <w:i/>
          <w:iCs/>
          <w:sz w:val="24"/>
          <w:szCs w:val="24"/>
        </w:rPr>
        <w:t>Interpretation of the Mean Values</w:t>
      </w:r>
    </w:p>
    <w:tbl>
      <w:tblPr>
        <w:tblStyle w:val="Style14"/>
        <w:tblW w:w="45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980"/>
        <w:gridCol w:w="2595"/>
      </w:tblGrid>
      <w:tr w:rsidR="00F078BF" w14:paraId="6ADB9BBD" w14:textId="77777777">
        <w:tc>
          <w:tcPr>
            <w:tcW w:w="1980" w:type="dxa"/>
            <w:tcBorders>
              <w:left w:val="single" w:sz="8" w:space="0" w:color="FFFFFF"/>
              <w:right w:val="single" w:sz="8" w:space="0" w:color="FFFFFF"/>
            </w:tcBorders>
            <w:tcMar>
              <w:top w:w="100" w:type="dxa"/>
              <w:left w:w="100" w:type="dxa"/>
              <w:bottom w:w="100" w:type="dxa"/>
              <w:right w:w="100" w:type="dxa"/>
            </w:tcMar>
          </w:tcPr>
          <w:p w14:paraId="57246999" w14:textId="77777777" w:rsidR="00F078BF" w:rsidRDefault="00000000">
            <w:pPr>
              <w:widowControl w:val="0"/>
              <w:spacing w:before="0" w:after="0" w:line="240" w:lineRule="auto"/>
              <w:ind w:firstLine="0"/>
              <w:jc w:val="left"/>
              <w:rPr>
                <w:b/>
                <w:bCs/>
                <w:sz w:val="24"/>
                <w:szCs w:val="24"/>
              </w:rPr>
            </w:pPr>
            <w:r>
              <w:rPr>
                <w:b/>
                <w:bCs/>
                <w:sz w:val="24"/>
                <w:szCs w:val="24"/>
              </w:rPr>
              <w:t>Means interval</w:t>
            </w:r>
          </w:p>
        </w:tc>
        <w:tc>
          <w:tcPr>
            <w:tcW w:w="2595" w:type="dxa"/>
            <w:tcBorders>
              <w:left w:val="single" w:sz="8" w:space="0" w:color="FFFFFF"/>
              <w:right w:val="single" w:sz="8" w:space="0" w:color="FFFFFF"/>
            </w:tcBorders>
            <w:tcMar>
              <w:top w:w="100" w:type="dxa"/>
              <w:left w:w="100" w:type="dxa"/>
              <w:bottom w:w="100" w:type="dxa"/>
              <w:right w:w="100" w:type="dxa"/>
            </w:tcMar>
          </w:tcPr>
          <w:p w14:paraId="2AF3ED19" w14:textId="77777777" w:rsidR="00F078BF" w:rsidRDefault="00000000">
            <w:pPr>
              <w:widowControl w:val="0"/>
              <w:spacing w:before="0" w:after="0" w:line="240" w:lineRule="auto"/>
              <w:ind w:firstLine="0"/>
              <w:jc w:val="left"/>
              <w:rPr>
                <w:b/>
                <w:bCs/>
                <w:sz w:val="24"/>
                <w:szCs w:val="24"/>
              </w:rPr>
            </w:pPr>
            <w:r>
              <w:rPr>
                <w:b/>
                <w:bCs/>
                <w:sz w:val="24"/>
                <w:szCs w:val="24"/>
              </w:rPr>
              <w:t>Interpretation</w:t>
            </w:r>
          </w:p>
        </w:tc>
      </w:tr>
      <w:tr w:rsidR="00F078BF" w14:paraId="74C518EE" w14:textId="77777777">
        <w:tc>
          <w:tcPr>
            <w:tcW w:w="19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05F2A2B1" w14:textId="77777777" w:rsidR="00F078BF" w:rsidRDefault="00000000">
            <w:pPr>
              <w:widowControl w:val="0"/>
              <w:spacing w:before="0" w:after="0" w:line="240" w:lineRule="auto"/>
              <w:ind w:firstLine="0"/>
              <w:jc w:val="left"/>
              <w:rPr>
                <w:sz w:val="24"/>
                <w:szCs w:val="24"/>
              </w:rPr>
            </w:pPr>
            <w:r>
              <w:rPr>
                <w:sz w:val="24"/>
                <w:szCs w:val="24"/>
              </w:rPr>
              <w:t>1 - 1.50</w:t>
            </w:r>
          </w:p>
        </w:tc>
        <w:tc>
          <w:tcPr>
            <w:tcW w:w="2595"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48580BAF" w14:textId="77777777" w:rsidR="00F078BF" w:rsidRDefault="00000000">
            <w:pPr>
              <w:widowControl w:val="0"/>
              <w:spacing w:before="0" w:after="0" w:line="240" w:lineRule="auto"/>
              <w:ind w:firstLine="0"/>
              <w:jc w:val="left"/>
              <w:rPr>
                <w:sz w:val="24"/>
                <w:szCs w:val="24"/>
              </w:rPr>
            </w:pPr>
            <w:r>
              <w:rPr>
                <w:sz w:val="24"/>
                <w:szCs w:val="24"/>
              </w:rPr>
              <w:t>Never</w:t>
            </w:r>
          </w:p>
        </w:tc>
      </w:tr>
      <w:tr w:rsidR="00F078BF" w14:paraId="58B9892E" w14:textId="77777777">
        <w:tc>
          <w:tcPr>
            <w:tcW w:w="19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85A52EE" w14:textId="77777777" w:rsidR="00F078BF" w:rsidRDefault="00000000">
            <w:pPr>
              <w:widowControl w:val="0"/>
              <w:spacing w:before="0" w:after="0" w:line="240" w:lineRule="auto"/>
              <w:ind w:firstLine="0"/>
              <w:jc w:val="left"/>
              <w:rPr>
                <w:sz w:val="24"/>
                <w:szCs w:val="24"/>
              </w:rPr>
            </w:pPr>
            <w:r>
              <w:rPr>
                <w:sz w:val="24"/>
                <w:szCs w:val="24"/>
              </w:rPr>
              <w:t>1.51 - 2.50</w:t>
            </w:r>
          </w:p>
        </w:tc>
        <w:tc>
          <w:tcPr>
            <w:tcW w:w="259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C2C40AA" w14:textId="77777777" w:rsidR="00F078BF" w:rsidRDefault="00000000">
            <w:pPr>
              <w:widowControl w:val="0"/>
              <w:spacing w:before="0" w:after="0" w:line="240" w:lineRule="auto"/>
              <w:ind w:firstLine="0"/>
              <w:jc w:val="left"/>
              <w:rPr>
                <w:sz w:val="24"/>
                <w:szCs w:val="24"/>
              </w:rPr>
            </w:pPr>
            <w:r>
              <w:rPr>
                <w:sz w:val="24"/>
                <w:szCs w:val="24"/>
              </w:rPr>
              <w:t>Rarely</w:t>
            </w:r>
          </w:p>
        </w:tc>
      </w:tr>
      <w:tr w:rsidR="00F078BF" w14:paraId="15C81968" w14:textId="77777777">
        <w:tc>
          <w:tcPr>
            <w:tcW w:w="19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0D0983A" w14:textId="77777777" w:rsidR="00F078BF" w:rsidRDefault="00000000">
            <w:pPr>
              <w:widowControl w:val="0"/>
              <w:spacing w:before="0" w:after="0" w:line="240" w:lineRule="auto"/>
              <w:ind w:firstLine="0"/>
              <w:jc w:val="left"/>
              <w:rPr>
                <w:sz w:val="24"/>
                <w:szCs w:val="24"/>
              </w:rPr>
            </w:pPr>
            <w:r>
              <w:rPr>
                <w:sz w:val="24"/>
                <w:szCs w:val="24"/>
              </w:rPr>
              <w:t>2.51 - 3.50</w:t>
            </w:r>
          </w:p>
        </w:tc>
        <w:tc>
          <w:tcPr>
            <w:tcW w:w="259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D6CE633" w14:textId="77777777" w:rsidR="00F078BF" w:rsidRDefault="00000000">
            <w:pPr>
              <w:widowControl w:val="0"/>
              <w:spacing w:before="0" w:after="0" w:line="240" w:lineRule="auto"/>
              <w:ind w:firstLine="0"/>
              <w:jc w:val="left"/>
              <w:rPr>
                <w:sz w:val="24"/>
                <w:szCs w:val="24"/>
              </w:rPr>
            </w:pPr>
            <w:r>
              <w:rPr>
                <w:sz w:val="24"/>
                <w:szCs w:val="24"/>
              </w:rPr>
              <w:t>Sometimes</w:t>
            </w:r>
          </w:p>
        </w:tc>
      </w:tr>
      <w:tr w:rsidR="00F078BF" w14:paraId="64176CB7" w14:textId="77777777">
        <w:tc>
          <w:tcPr>
            <w:tcW w:w="1980" w:type="dxa"/>
            <w:tcBorders>
              <w:top w:val="single" w:sz="8" w:space="0" w:color="FFFFFF"/>
              <w:left w:val="single" w:sz="8" w:space="0" w:color="FFFFFF"/>
              <w:bottom w:val="nil"/>
              <w:right w:val="single" w:sz="8" w:space="0" w:color="FFFFFF"/>
            </w:tcBorders>
            <w:tcMar>
              <w:top w:w="100" w:type="dxa"/>
              <w:left w:w="100" w:type="dxa"/>
              <w:bottom w:w="100" w:type="dxa"/>
              <w:right w:w="100" w:type="dxa"/>
            </w:tcMar>
          </w:tcPr>
          <w:p w14:paraId="38836D51" w14:textId="77777777" w:rsidR="00F078BF" w:rsidRDefault="00000000">
            <w:pPr>
              <w:widowControl w:val="0"/>
              <w:spacing w:before="0" w:after="0" w:line="240" w:lineRule="auto"/>
              <w:ind w:firstLine="0"/>
              <w:jc w:val="left"/>
              <w:rPr>
                <w:sz w:val="24"/>
                <w:szCs w:val="24"/>
              </w:rPr>
            </w:pPr>
            <w:r>
              <w:rPr>
                <w:sz w:val="24"/>
                <w:szCs w:val="24"/>
              </w:rPr>
              <w:t>3.51 - 4.50</w:t>
            </w:r>
          </w:p>
        </w:tc>
        <w:tc>
          <w:tcPr>
            <w:tcW w:w="2595" w:type="dxa"/>
            <w:tcBorders>
              <w:top w:val="single" w:sz="8" w:space="0" w:color="FFFFFF"/>
              <w:left w:val="single" w:sz="8" w:space="0" w:color="FFFFFF"/>
              <w:bottom w:val="nil"/>
              <w:right w:val="single" w:sz="8" w:space="0" w:color="FFFFFF"/>
            </w:tcBorders>
            <w:tcMar>
              <w:top w:w="100" w:type="dxa"/>
              <w:left w:w="100" w:type="dxa"/>
              <w:bottom w:w="100" w:type="dxa"/>
              <w:right w:w="100" w:type="dxa"/>
            </w:tcMar>
          </w:tcPr>
          <w:p w14:paraId="2505A1A8" w14:textId="77777777" w:rsidR="00F078BF" w:rsidRDefault="00000000">
            <w:pPr>
              <w:widowControl w:val="0"/>
              <w:spacing w:before="0" w:after="0" w:line="240" w:lineRule="auto"/>
              <w:ind w:firstLine="0"/>
              <w:jc w:val="left"/>
              <w:rPr>
                <w:sz w:val="24"/>
                <w:szCs w:val="24"/>
              </w:rPr>
            </w:pPr>
            <w:r>
              <w:rPr>
                <w:sz w:val="24"/>
                <w:szCs w:val="24"/>
              </w:rPr>
              <w:t>Often</w:t>
            </w:r>
          </w:p>
        </w:tc>
      </w:tr>
      <w:tr w:rsidR="00F078BF" w14:paraId="5359384D" w14:textId="77777777">
        <w:tc>
          <w:tcPr>
            <w:tcW w:w="1980" w:type="dxa"/>
            <w:tcBorders>
              <w:top w:val="nil"/>
              <w:left w:val="single" w:sz="8" w:space="0" w:color="FFFFFF"/>
              <w:right w:val="single" w:sz="8" w:space="0" w:color="FFFFFF"/>
            </w:tcBorders>
            <w:tcMar>
              <w:top w:w="100" w:type="dxa"/>
              <w:left w:w="100" w:type="dxa"/>
              <w:bottom w:w="100" w:type="dxa"/>
              <w:right w:w="100" w:type="dxa"/>
            </w:tcMar>
          </w:tcPr>
          <w:p w14:paraId="71B29BA4" w14:textId="77777777" w:rsidR="00F078BF" w:rsidRDefault="00000000">
            <w:pPr>
              <w:widowControl w:val="0"/>
              <w:spacing w:before="0" w:after="0" w:line="240" w:lineRule="auto"/>
              <w:ind w:firstLine="0"/>
              <w:jc w:val="left"/>
              <w:rPr>
                <w:sz w:val="24"/>
                <w:szCs w:val="24"/>
              </w:rPr>
            </w:pPr>
            <w:r>
              <w:rPr>
                <w:sz w:val="24"/>
                <w:szCs w:val="24"/>
              </w:rPr>
              <w:t>4.51 - 5</w:t>
            </w:r>
          </w:p>
        </w:tc>
        <w:tc>
          <w:tcPr>
            <w:tcW w:w="2595" w:type="dxa"/>
            <w:tcBorders>
              <w:top w:val="nil"/>
              <w:left w:val="single" w:sz="8" w:space="0" w:color="FFFFFF"/>
              <w:right w:val="single" w:sz="8" w:space="0" w:color="FFFFFF"/>
            </w:tcBorders>
            <w:tcMar>
              <w:top w:w="100" w:type="dxa"/>
              <w:left w:w="100" w:type="dxa"/>
              <w:bottom w:w="100" w:type="dxa"/>
              <w:right w:w="100" w:type="dxa"/>
            </w:tcMar>
          </w:tcPr>
          <w:p w14:paraId="6C09E9BF" w14:textId="77777777" w:rsidR="00F078BF" w:rsidRDefault="00000000">
            <w:pPr>
              <w:widowControl w:val="0"/>
              <w:spacing w:before="0" w:after="0" w:line="240" w:lineRule="auto"/>
              <w:ind w:firstLine="0"/>
              <w:jc w:val="left"/>
              <w:rPr>
                <w:sz w:val="24"/>
                <w:szCs w:val="24"/>
              </w:rPr>
            </w:pPr>
            <w:r>
              <w:rPr>
                <w:sz w:val="24"/>
                <w:szCs w:val="24"/>
              </w:rPr>
              <w:t>Always</w:t>
            </w:r>
          </w:p>
        </w:tc>
      </w:tr>
    </w:tbl>
    <w:p w14:paraId="20D1BBD0" w14:textId="77777777" w:rsidR="00F078BF" w:rsidRDefault="00F078BF">
      <w:pPr>
        <w:spacing w:before="0" w:after="0" w:line="360" w:lineRule="auto"/>
        <w:ind w:firstLine="0"/>
        <w:rPr>
          <w:i/>
          <w:iCs/>
          <w:sz w:val="24"/>
          <w:szCs w:val="24"/>
        </w:rPr>
      </w:pPr>
    </w:p>
    <w:p w14:paraId="291EEC3C" w14:textId="77777777" w:rsidR="00F078BF" w:rsidRDefault="00000000">
      <w:pPr>
        <w:spacing w:before="0" w:after="0" w:line="360" w:lineRule="auto"/>
        <w:ind w:firstLine="0"/>
        <w:rPr>
          <w:b/>
          <w:bCs/>
          <w:sz w:val="24"/>
          <w:szCs w:val="24"/>
        </w:rPr>
      </w:pPr>
      <w:r>
        <w:rPr>
          <w:b/>
          <w:bCs/>
          <w:sz w:val="24"/>
          <w:szCs w:val="24"/>
        </w:rPr>
        <w:t>Table 3.3</w:t>
      </w:r>
    </w:p>
    <w:p w14:paraId="22599330" w14:textId="77777777" w:rsidR="00F078BF" w:rsidRDefault="00000000">
      <w:pPr>
        <w:tabs>
          <w:tab w:val="left" w:pos="5261"/>
        </w:tabs>
        <w:spacing w:before="0" w:after="0" w:line="360" w:lineRule="auto"/>
        <w:ind w:firstLine="0"/>
        <w:rPr>
          <w:i/>
          <w:iCs/>
          <w:sz w:val="24"/>
          <w:szCs w:val="24"/>
        </w:rPr>
      </w:pPr>
      <w:r>
        <w:rPr>
          <w:i/>
          <w:iCs/>
          <w:sz w:val="24"/>
          <w:szCs w:val="24"/>
        </w:rPr>
        <w:t>Interpretation of the Standard Deviation Values</w:t>
      </w:r>
      <w:r>
        <w:rPr>
          <w:i/>
          <w:iCs/>
          <w:sz w:val="24"/>
          <w:szCs w:val="24"/>
        </w:rPr>
        <w:tab/>
      </w:r>
    </w:p>
    <w:tbl>
      <w:tblPr>
        <w:tblStyle w:val="Style15"/>
        <w:tblW w:w="77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230"/>
        <w:gridCol w:w="4500"/>
      </w:tblGrid>
      <w:tr w:rsidR="00F078BF" w14:paraId="3CD39491" w14:textId="77777777">
        <w:tc>
          <w:tcPr>
            <w:tcW w:w="3230" w:type="dxa"/>
            <w:tcBorders>
              <w:left w:val="single" w:sz="8" w:space="0" w:color="FFFFFF"/>
              <w:right w:val="single" w:sz="8" w:space="0" w:color="FFFFFF"/>
            </w:tcBorders>
            <w:tcMar>
              <w:top w:w="100" w:type="dxa"/>
              <w:left w:w="100" w:type="dxa"/>
              <w:bottom w:w="100" w:type="dxa"/>
              <w:right w:w="100" w:type="dxa"/>
            </w:tcMar>
          </w:tcPr>
          <w:p w14:paraId="617066A9" w14:textId="77777777" w:rsidR="00F078BF" w:rsidRDefault="00000000">
            <w:pPr>
              <w:widowControl w:val="0"/>
              <w:spacing w:before="0" w:after="0" w:line="240" w:lineRule="auto"/>
              <w:ind w:firstLine="0"/>
              <w:jc w:val="left"/>
              <w:rPr>
                <w:b/>
                <w:bCs/>
                <w:sz w:val="24"/>
                <w:szCs w:val="24"/>
              </w:rPr>
            </w:pPr>
            <w:r>
              <w:rPr>
                <w:b/>
                <w:bCs/>
                <w:sz w:val="24"/>
                <w:szCs w:val="24"/>
              </w:rPr>
              <w:t>Standard deviations interval</w:t>
            </w:r>
          </w:p>
        </w:tc>
        <w:tc>
          <w:tcPr>
            <w:tcW w:w="4500" w:type="dxa"/>
            <w:tcBorders>
              <w:left w:val="single" w:sz="8" w:space="0" w:color="FFFFFF"/>
              <w:right w:val="single" w:sz="8" w:space="0" w:color="FFFFFF"/>
            </w:tcBorders>
            <w:tcMar>
              <w:top w:w="100" w:type="dxa"/>
              <w:left w:w="100" w:type="dxa"/>
              <w:bottom w:w="100" w:type="dxa"/>
              <w:right w:w="100" w:type="dxa"/>
            </w:tcMar>
          </w:tcPr>
          <w:p w14:paraId="301F5383" w14:textId="77777777" w:rsidR="00F078BF" w:rsidRDefault="00000000">
            <w:pPr>
              <w:widowControl w:val="0"/>
              <w:spacing w:before="0" w:after="0" w:line="240" w:lineRule="auto"/>
              <w:ind w:firstLine="0"/>
              <w:jc w:val="left"/>
              <w:rPr>
                <w:b/>
                <w:bCs/>
                <w:sz w:val="24"/>
                <w:szCs w:val="24"/>
              </w:rPr>
            </w:pPr>
            <w:r>
              <w:rPr>
                <w:b/>
                <w:bCs/>
                <w:sz w:val="24"/>
                <w:szCs w:val="24"/>
              </w:rPr>
              <w:t>Interpretation</w:t>
            </w:r>
          </w:p>
        </w:tc>
      </w:tr>
      <w:tr w:rsidR="00F078BF" w14:paraId="03B9623E" w14:textId="77777777">
        <w:tc>
          <w:tcPr>
            <w:tcW w:w="323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1BF75F90" w14:textId="77777777" w:rsidR="00F078BF" w:rsidRDefault="00000000">
            <w:pPr>
              <w:widowControl w:val="0"/>
              <w:spacing w:before="0" w:after="0" w:line="240" w:lineRule="auto"/>
              <w:ind w:firstLine="0"/>
              <w:jc w:val="left"/>
              <w:rPr>
                <w:sz w:val="24"/>
                <w:szCs w:val="24"/>
              </w:rPr>
            </w:pPr>
            <w:r>
              <w:rPr>
                <w:sz w:val="24"/>
                <w:szCs w:val="24"/>
              </w:rPr>
              <w:lastRenderedPageBreak/>
              <w:t>0.00 - 0.49</w:t>
            </w:r>
          </w:p>
        </w:tc>
        <w:tc>
          <w:tcPr>
            <w:tcW w:w="450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7C19C577" w14:textId="77777777" w:rsidR="00F078BF" w:rsidRDefault="00000000">
            <w:pPr>
              <w:widowControl w:val="0"/>
              <w:spacing w:before="0" w:after="0" w:line="240" w:lineRule="auto"/>
              <w:ind w:firstLine="0"/>
              <w:jc w:val="left"/>
              <w:rPr>
                <w:sz w:val="24"/>
                <w:szCs w:val="24"/>
              </w:rPr>
            </w:pPr>
            <w:r>
              <w:rPr>
                <w:sz w:val="24"/>
                <w:szCs w:val="24"/>
              </w:rPr>
              <w:t xml:space="preserve">Very Low Variation (High Agreement) </w:t>
            </w:r>
          </w:p>
        </w:tc>
      </w:tr>
      <w:tr w:rsidR="00F078BF" w14:paraId="17E4D275" w14:textId="77777777">
        <w:tc>
          <w:tcPr>
            <w:tcW w:w="323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9FA894F" w14:textId="77777777" w:rsidR="00F078BF" w:rsidRDefault="00000000">
            <w:pPr>
              <w:widowControl w:val="0"/>
              <w:spacing w:before="0" w:after="0" w:line="240" w:lineRule="auto"/>
              <w:ind w:firstLine="0"/>
              <w:jc w:val="left"/>
              <w:rPr>
                <w:sz w:val="24"/>
                <w:szCs w:val="24"/>
              </w:rPr>
            </w:pPr>
            <w:r>
              <w:rPr>
                <w:sz w:val="24"/>
                <w:szCs w:val="24"/>
              </w:rPr>
              <w:t>0.50 – 0.99</w:t>
            </w:r>
          </w:p>
        </w:tc>
        <w:tc>
          <w:tcPr>
            <w:tcW w:w="450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B72A306" w14:textId="77777777" w:rsidR="00F078BF" w:rsidRDefault="00000000">
            <w:pPr>
              <w:widowControl w:val="0"/>
              <w:spacing w:before="0" w:after="0" w:line="240" w:lineRule="auto"/>
              <w:ind w:firstLine="0"/>
              <w:jc w:val="left"/>
              <w:rPr>
                <w:sz w:val="24"/>
                <w:szCs w:val="24"/>
              </w:rPr>
            </w:pPr>
            <w:r>
              <w:rPr>
                <w:sz w:val="24"/>
                <w:szCs w:val="24"/>
              </w:rPr>
              <w:t xml:space="preserve">Low to Moderate Variation </w:t>
            </w:r>
          </w:p>
        </w:tc>
      </w:tr>
      <w:tr w:rsidR="00F078BF" w14:paraId="3A4813C0" w14:textId="77777777">
        <w:tc>
          <w:tcPr>
            <w:tcW w:w="323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06A8B99" w14:textId="77777777" w:rsidR="00F078BF" w:rsidRDefault="00000000">
            <w:pPr>
              <w:widowControl w:val="0"/>
              <w:spacing w:before="0" w:after="0" w:line="240" w:lineRule="auto"/>
              <w:ind w:firstLine="0"/>
              <w:jc w:val="left"/>
              <w:rPr>
                <w:sz w:val="24"/>
                <w:szCs w:val="24"/>
              </w:rPr>
            </w:pPr>
            <w:r>
              <w:rPr>
                <w:sz w:val="24"/>
                <w:szCs w:val="24"/>
              </w:rPr>
              <w:t>1.00 – 1.49</w:t>
            </w:r>
          </w:p>
        </w:tc>
        <w:tc>
          <w:tcPr>
            <w:tcW w:w="450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27A5628" w14:textId="77777777" w:rsidR="00F078BF" w:rsidRDefault="00000000">
            <w:pPr>
              <w:widowControl w:val="0"/>
              <w:spacing w:before="0" w:after="0" w:line="240" w:lineRule="auto"/>
              <w:ind w:firstLine="0"/>
              <w:jc w:val="left"/>
              <w:rPr>
                <w:sz w:val="24"/>
                <w:szCs w:val="24"/>
              </w:rPr>
            </w:pPr>
            <w:r>
              <w:rPr>
                <w:sz w:val="24"/>
                <w:szCs w:val="24"/>
              </w:rPr>
              <w:t>Moderate to High Variation</w:t>
            </w:r>
          </w:p>
        </w:tc>
      </w:tr>
      <w:tr w:rsidR="00F078BF" w14:paraId="3BEDEC82" w14:textId="77777777">
        <w:tc>
          <w:tcPr>
            <w:tcW w:w="323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7A2A70B5" w14:textId="77777777" w:rsidR="00F078BF" w:rsidRDefault="00000000">
            <w:pPr>
              <w:widowControl w:val="0"/>
              <w:spacing w:before="0" w:after="0" w:line="240" w:lineRule="auto"/>
              <w:ind w:firstLine="0"/>
              <w:jc w:val="left"/>
              <w:rPr>
                <w:sz w:val="24"/>
                <w:szCs w:val="24"/>
              </w:rPr>
            </w:pPr>
            <w:r>
              <w:rPr>
                <w:sz w:val="24"/>
                <w:szCs w:val="24"/>
              </w:rPr>
              <w:t>1.50 – 2.00</w:t>
            </w:r>
          </w:p>
        </w:tc>
        <w:tc>
          <w:tcPr>
            <w:tcW w:w="450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4932C64A" w14:textId="77777777" w:rsidR="00F078BF" w:rsidRDefault="00000000">
            <w:pPr>
              <w:widowControl w:val="0"/>
              <w:spacing w:before="0" w:after="0" w:line="240" w:lineRule="auto"/>
              <w:ind w:firstLine="0"/>
              <w:jc w:val="left"/>
              <w:rPr>
                <w:sz w:val="24"/>
                <w:szCs w:val="24"/>
              </w:rPr>
            </w:pPr>
            <w:r>
              <w:rPr>
                <w:sz w:val="24"/>
                <w:szCs w:val="24"/>
              </w:rPr>
              <w:t>High Variation (Diverse Opinion)</w:t>
            </w:r>
          </w:p>
        </w:tc>
      </w:tr>
    </w:tbl>
    <w:p w14:paraId="31971916" w14:textId="77777777" w:rsidR="00F078BF" w:rsidRDefault="00F078BF">
      <w:pPr>
        <w:tabs>
          <w:tab w:val="left" w:pos="5261"/>
        </w:tabs>
        <w:spacing w:before="0" w:after="0" w:line="360" w:lineRule="auto"/>
        <w:ind w:firstLine="0"/>
        <w:rPr>
          <w:i/>
          <w:iCs/>
          <w:sz w:val="24"/>
          <w:szCs w:val="24"/>
        </w:rPr>
      </w:pPr>
    </w:p>
    <w:p w14:paraId="0CAA1D03" w14:textId="77777777" w:rsidR="00F078BF" w:rsidRDefault="00000000">
      <w:pPr>
        <w:keepNext/>
        <w:spacing w:before="0" w:after="120" w:line="480" w:lineRule="auto"/>
        <w:ind w:firstLine="0"/>
        <w:jc w:val="center"/>
        <w:rPr>
          <w:b/>
          <w:bCs/>
          <w:color w:val="000000"/>
          <w:sz w:val="24"/>
          <w:szCs w:val="24"/>
        </w:rPr>
      </w:pPr>
      <w:r>
        <w:rPr>
          <w:b/>
          <w:bCs/>
          <w:color w:val="000000"/>
          <w:sz w:val="24"/>
          <w:szCs w:val="24"/>
        </w:rPr>
        <w:t>4. Results</w:t>
      </w:r>
    </w:p>
    <w:p w14:paraId="7527C285" w14:textId="77777777" w:rsidR="00F078BF" w:rsidRDefault="00000000">
      <w:pPr>
        <w:spacing w:before="0" w:after="120" w:line="480" w:lineRule="auto"/>
        <w:ind w:firstLine="0"/>
        <w:rPr>
          <w:sz w:val="24"/>
          <w:szCs w:val="24"/>
        </w:rPr>
      </w:pPr>
      <w:r>
        <w:rPr>
          <w:b/>
          <w:bCs/>
          <w:i/>
          <w:iCs/>
          <w:sz w:val="24"/>
          <w:szCs w:val="24"/>
        </w:rPr>
        <w:t>4.1 The perceived use of metacognitive online reading strategies</w:t>
      </w:r>
    </w:p>
    <w:p w14:paraId="115E5EA2" w14:textId="77777777" w:rsidR="00F078BF" w:rsidRDefault="00000000">
      <w:pPr>
        <w:shd w:val="clear" w:color="auto" w:fill="FFFFFF"/>
        <w:spacing w:before="0" w:after="120" w:line="480" w:lineRule="auto"/>
        <w:ind w:firstLine="0"/>
        <w:rPr>
          <w:sz w:val="24"/>
          <w:szCs w:val="24"/>
        </w:rPr>
      </w:pPr>
      <w:r>
        <w:rPr>
          <w:sz w:val="24"/>
          <w:szCs w:val="24"/>
        </w:rPr>
        <w:tab/>
        <w:t>An overview of the data characteristics is presented using mean scores and SDs. Each sub-category of the metacognitive online reading strategies (MORS) is demonstrated in Table 4.1 below. As shown in the table, the problem-solving strategies have the highest mean score of 3.83, indicating that this group is the most frequently used among the 3 groups. All 3 subcategories (global, problem-solving, and support strategies) are often used by students when reading online learning materials. In other words, there is little difference in students’ use of MORS at IU. Furthermore, students share a moderate perception of their use of global strategies (</w:t>
      </w:r>
      <w:r>
        <w:rPr>
          <w:color w:val="EE0000"/>
          <w:sz w:val="24"/>
          <w:szCs w:val="24"/>
        </w:rPr>
        <w:t>SD = 0.96</w:t>
      </w:r>
      <w:r>
        <w:rPr>
          <w:sz w:val="24"/>
          <w:szCs w:val="24"/>
        </w:rPr>
        <w:t>) and problem-solving strategies (</w:t>
      </w:r>
      <w:r>
        <w:rPr>
          <w:color w:val="EE0000"/>
          <w:sz w:val="24"/>
          <w:szCs w:val="24"/>
        </w:rPr>
        <w:t>SD = 0.98</w:t>
      </w:r>
      <w:r>
        <w:rPr>
          <w:sz w:val="24"/>
          <w:szCs w:val="24"/>
        </w:rPr>
        <w:t xml:space="preserve">). However, the SD value of </w:t>
      </w:r>
      <w:r>
        <w:rPr>
          <w:color w:val="0070C0"/>
          <w:sz w:val="24"/>
          <w:szCs w:val="24"/>
        </w:rPr>
        <w:t xml:space="preserve">1.17 </w:t>
      </w:r>
      <w:r>
        <w:rPr>
          <w:sz w:val="24"/>
          <w:szCs w:val="24"/>
        </w:rPr>
        <w:t>for support strategies indicates that the perceived use of support strategies falls within a different range than that of the other support strategies among IU students.</w:t>
      </w:r>
    </w:p>
    <w:p w14:paraId="6C611922" w14:textId="77777777" w:rsidR="00F078BF" w:rsidRDefault="00000000">
      <w:pPr>
        <w:spacing w:before="0" w:after="0" w:line="360" w:lineRule="auto"/>
        <w:ind w:firstLine="0"/>
        <w:jc w:val="left"/>
        <w:rPr>
          <w:b/>
          <w:bCs/>
          <w:sz w:val="24"/>
          <w:szCs w:val="24"/>
        </w:rPr>
      </w:pPr>
      <w:r>
        <w:rPr>
          <w:b/>
          <w:bCs/>
          <w:sz w:val="24"/>
          <w:szCs w:val="24"/>
        </w:rPr>
        <w:t>Table 4.1</w:t>
      </w:r>
    </w:p>
    <w:p w14:paraId="640E149A" w14:textId="77777777" w:rsidR="00F078BF" w:rsidRDefault="00000000">
      <w:pPr>
        <w:spacing w:before="0" w:after="0" w:line="360" w:lineRule="auto"/>
        <w:ind w:firstLine="0"/>
        <w:jc w:val="left"/>
        <w:rPr>
          <w:i/>
          <w:iCs/>
          <w:sz w:val="24"/>
          <w:szCs w:val="24"/>
        </w:rPr>
      </w:pPr>
      <w:r>
        <w:rPr>
          <w:i/>
          <w:iCs/>
          <w:sz w:val="24"/>
          <w:szCs w:val="24"/>
        </w:rPr>
        <w:t>Metacognitive Online Reading Strategies Means and Standard Deviations</w:t>
      </w:r>
    </w:p>
    <w:tbl>
      <w:tblPr>
        <w:tblStyle w:val="Style16"/>
        <w:tblW w:w="65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535"/>
        <w:gridCol w:w="1650"/>
        <w:gridCol w:w="2375"/>
      </w:tblGrid>
      <w:tr w:rsidR="00F078BF" w14:paraId="345C1C29" w14:textId="77777777">
        <w:tc>
          <w:tcPr>
            <w:tcW w:w="2535" w:type="dxa"/>
            <w:tcBorders>
              <w:left w:val="single" w:sz="8" w:space="0" w:color="FFFFFF"/>
              <w:bottom w:val="single" w:sz="8" w:space="0" w:color="000000"/>
              <w:right w:val="single" w:sz="8" w:space="0" w:color="FFFFFF"/>
            </w:tcBorders>
            <w:tcMar>
              <w:top w:w="100" w:type="dxa"/>
              <w:left w:w="100" w:type="dxa"/>
              <w:bottom w:w="100" w:type="dxa"/>
              <w:right w:w="100" w:type="dxa"/>
            </w:tcMar>
          </w:tcPr>
          <w:p w14:paraId="0B393D7A" w14:textId="77777777" w:rsidR="00F078BF" w:rsidRDefault="00000000">
            <w:pPr>
              <w:widowControl w:val="0"/>
              <w:spacing w:before="0" w:after="0" w:line="240" w:lineRule="auto"/>
              <w:ind w:firstLine="0"/>
              <w:jc w:val="left"/>
              <w:rPr>
                <w:b/>
                <w:bCs/>
                <w:sz w:val="24"/>
                <w:szCs w:val="24"/>
              </w:rPr>
            </w:pPr>
            <w:r>
              <w:rPr>
                <w:b/>
                <w:bCs/>
                <w:sz w:val="24"/>
                <w:szCs w:val="24"/>
              </w:rPr>
              <w:t>Sub-category</w:t>
            </w:r>
          </w:p>
        </w:tc>
        <w:tc>
          <w:tcPr>
            <w:tcW w:w="1650" w:type="dxa"/>
            <w:tcBorders>
              <w:left w:val="single" w:sz="8" w:space="0" w:color="FFFFFF"/>
              <w:bottom w:val="single" w:sz="8" w:space="0" w:color="000000"/>
              <w:right w:val="single" w:sz="8" w:space="0" w:color="FFFFFF"/>
            </w:tcBorders>
            <w:tcMar>
              <w:top w:w="100" w:type="dxa"/>
              <w:left w:w="100" w:type="dxa"/>
              <w:bottom w:w="100" w:type="dxa"/>
              <w:right w:w="100" w:type="dxa"/>
            </w:tcMar>
          </w:tcPr>
          <w:p w14:paraId="2DF82985" w14:textId="77777777" w:rsidR="00F078BF" w:rsidRDefault="00000000">
            <w:pPr>
              <w:widowControl w:val="0"/>
              <w:spacing w:before="0" w:after="0" w:line="240" w:lineRule="auto"/>
              <w:ind w:firstLine="0"/>
              <w:jc w:val="left"/>
              <w:rPr>
                <w:b/>
                <w:bCs/>
                <w:sz w:val="24"/>
                <w:szCs w:val="24"/>
              </w:rPr>
            </w:pPr>
            <w:r>
              <w:rPr>
                <w:b/>
                <w:bCs/>
                <w:sz w:val="24"/>
                <w:szCs w:val="24"/>
              </w:rPr>
              <w:t>Mean</w:t>
            </w:r>
          </w:p>
        </w:tc>
        <w:tc>
          <w:tcPr>
            <w:tcW w:w="2375" w:type="dxa"/>
            <w:tcBorders>
              <w:left w:val="single" w:sz="8" w:space="0" w:color="FFFFFF"/>
              <w:bottom w:val="single" w:sz="8" w:space="0" w:color="000000"/>
              <w:right w:val="single" w:sz="8" w:space="0" w:color="FFFFFF"/>
            </w:tcBorders>
            <w:tcMar>
              <w:top w:w="100" w:type="dxa"/>
              <w:left w:w="100" w:type="dxa"/>
              <w:bottom w:w="100" w:type="dxa"/>
              <w:right w:w="100" w:type="dxa"/>
            </w:tcMar>
          </w:tcPr>
          <w:p w14:paraId="245D8FA3" w14:textId="77777777" w:rsidR="00F078BF" w:rsidRDefault="00000000">
            <w:pPr>
              <w:spacing w:before="0" w:after="0"/>
              <w:ind w:firstLine="0"/>
              <w:jc w:val="left"/>
              <w:rPr>
                <w:b/>
                <w:bCs/>
                <w:color w:val="EE0000"/>
                <w:sz w:val="24"/>
                <w:szCs w:val="24"/>
              </w:rPr>
            </w:pPr>
            <w:r>
              <w:rPr>
                <w:b/>
                <w:bCs/>
                <w:color w:val="EE0000"/>
                <w:sz w:val="24"/>
                <w:szCs w:val="24"/>
              </w:rPr>
              <w:t>SD</w:t>
            </w:r>
          </w:p>
        </w:tc>
      </w:tr>
      <w:tr w:rsidR="00F078BF" w14:paraId="3F0BA9E6" w14:textId="77777777">
        <w:tc>
          <w:tcPr>
            <w:tcW w:w="2535" w:type="dxa"/>
            <w:tcBorders>
              <w:left w:val="single" w:sz="8" w:space="0" w:color="FFFFFF"/>
              <w:bottom w:val="nil"/>
              <w:right w:val="single" w:sz="8" w:space="0" w:color="FFFFFF"/>
            </w:tcBorders>
            <w:tcMar>
              <w:top w:w="100" w:type="dxa"/>
              <w:left w:w="100" w:type="dxa"/>
              <w:bottom w:w="100" w:type="dxa"/>
              <w:right w:w="100" w:type="dxa"/>
            </w:tcMar>
          </w:tcPr>
          <w:p w14:paraId="4CB1105C" w14:textId="77777777" w:rsidR="00F078BF" w:rsidRDefault="00000000">
            <w:pPr>
              <w:widowControl w:val="0"/>
              <w:spacing w:before="0" w:after="0" w:line="240" w:lineRule="auto"/>
              <w:ind w:firstLine="0"/>
              <w:jc w:val="left"/>
              <w:rPr>
                <w:sz w:val="24"/>
                <w:szCs w:val="24"/>
              </w:rPr>
            </w:pPr>
            <w:r>
              <w:rPr>
                <w:sz w:val="24"/>
                <w:szCs w:val="24"/>
              </w:rPr>
              <w:t>Problem-solving strategies</w:t>
            </w:r>
          </w:p>
        </w:tc>
        <w:tc>
          <w:tcPr>
            <w:tcW w:w="1650" w:type="dxa"/>
            <w:tcBorders>
              <w:left w:val="single" w:sz="8" w:space="0" w:color="FFFFFF"/>
              <w:bottom w:val="nil"/>
              <w:right w:val="single" w:sz="8" w:space="0" w:color="FFFFFF"/>
            </w:tcBorders>
            <w:tcMar>
              <w:top w:w="100" w:type="dxa"/>
              <w:left w:w="100" w:type="dxa"/>
              <w:bottom w:w="100" w:type="dxa"/>
              <w:right w:w="100" w:type="dxa"/>
            </w:tcMar>
          </w:tcPr>
          <w:p w14:paraId="3FCD6D7E" w14:textId="77777777" w:rsidR="00F078BF" w:rsidRDefault="00000000">
            <w:pPr>
              <w:widowControl w:val="0"/>
              <w:spacing w:before="0" w:after="0" w:line="240" w:lineRule="auto"/>
              <w:ind w:firstLine="0"/>
              <w:jc w:val="left"/>
              <w:rPr>
                <w:sz w:val="24"/>
                <w:szCs w:val="24"/>
              </w:rPr>
            </w:pPr>
            <w:r>
              <w:rPr>
                <w:sz w:val="24"/>
                <w:szCs w:val="24"/>
              </w:rPr>
              <w:t>3.83</w:t>
            </w:r>
          </w:p>
        </w:tc>
        <w:tc>
          <w:tcPr>
            <w:tcW w:w="2375" w:type="dxa"/>
            <w:tcBorders>
              <w:left w:val="single" w:sz="8" w:space="0" w:color="FFFFFF"/>
              <w:bottom w:val="nil"/>
              <w:right w:val="single" w:sz="8" w:space="0" w:color="FFFFFF"/>
            </w:tcBorders>
            <w:tcMar>
              <w:top w:w="100" w:type="dxa"/>
              <w:left w:w="100" w:type="dxa"/>
              <w:bottom w:w="100" w:type="dxa"/>
              <w:right w:w="100" w:type="dxa"/>
            </w:tcMar>
          </w:tcPr>
          <w:p w14:paraId="46EE4CF8" w14:textId="77777777" w:rsidR="00F078BF" w:rsidRDefault="00000000">
            <w:pPr>
              <w:widowControl w:val="0"/>
              <w:spacing w:before="0" w:after="0" w:line="240" w:lineRule="auto"/>
              <w:ind w:firstLine="0"/>
              <w:jc w:val="left"/>
              <w:rPr>
                <w:color w:val="EE0000"/>
                <w:sz w:val="24"/>
                <w:szCs w:val="24"/>
              </w:rPr>
            </w:pPr>
            <w:r>
              <w:rPr>
                <w:color w:val="EE0000"/>
                <w:sz w:val="24"/>
                <w:szCs w:val="24"/>
              </w:rPr>
              <w:t>0.99</w:t>
            </w:r>
          </w:p>
        </w:tc>
      </w:tr>
      <w:tr w:rsidR="00F078BF" w14:paraId="151AEDE6" w14:textId="77777777">
        <w:tc>
          <w:tcPr>
            <w:tcW w:w="2535" w:type="dxa"/>
            <w:tcBorders>
              <w:top w:val="nil"/>
              <w:left w:val="single" w:sz="8" w:space="0" w:color="FFFFFF"/>
              <w:bottom w:val="single" w:sz="8" w:space="0" w:color="FFFFFF"/>
              <w:right w:val="single" w:sz="8" w:space="0" w:color="FFFFFF"/>
            </w:tcBorders>
            <w:tcMar>
              <w:top w:w="100" w:type="dxa"/>
              <w:left w:w="100" w:type="dxa"/>
              <w:bottom w:w="100" w:type="dxa"/>
              <w:right w:w="100" w:type="dxa"/>
            </w:tcMar>
          </w:tcPr>
          <w:p w14:paraId="3D81B44C" w14:textId="77777777" w:rsidR="00F078BF" w:rsidRDefault="00000000">
            <w:pPr>
              <w:widowControl w:val="0"/>
              <w:spacing w:before="0" w:after="0" w:line="240" w:lineRule="auto"/>
              <w:ind w:firstLine="0"/>
              <w:jc w:val="left"/>
              <w:rPr>
                <w:sz w:val="24"/>
                <w:szCs w:val="24"/>
              </w:rPr>
            </w:pPr>
            <w:r>
              <w:rPr>
                <w:sz w:val="24"/>
                <w:szCs w:val="24"/>
              </w:rPr>
              <w:t>Global strategies</w:t>
            </w:r>
          </w:p>
        </w:tc>
        <w:tc>
          <w:tcPr>
            <w:tcW w:w="1650" w:type="dxa"/>
            <w:tcBorders>
              <w:top w:val="nil"/>
              <w:left w:val="single" w:sz="8" w:space="0" w:color="FFFFFF"/>
              <w:bottom w:val="single" w:sz="8" w:space="0" w:color="FFFFFF"/>
              <w:right w:val="single" w:sz="8" w:space="0" w:color="FFFFFF"/>
            </w:tcBorders>
            <w:tcMar>
              <w:top w:w="100" w:type="dxa"/>
              <w:left w:w="100" w:type="dxa"/>
              <w:bottom w:w="100" w:type="dxa"/>
              <w:right w:w="100" w:type="dxa"/>
            </w:tcMar>
          </w:tcPr>
          <w:p w14:paraId="33EE95FC" w14:textId="77777777" w:rsidR="00F078BF" w:rsidRDefault="00000000">
            <w:pPr>
              <w:widowControl w:val="0"/>
              <w:spacing w:before="0" w:after="0" w:line="240" w:lineRule="auto"/>
              <w:ind w:firstLine="0"/>
              <w:jc w:val="left"/>
              <w:rPr>
                <w:sz w:val="24"/>
                <w:szCs w:val="24"/>
              </w:rPr>
            </w:pPr>
            <w:r>
              <w:rPr>
                <w:sz w:val="24"/>
                <w:szCs w:val="24"/>
              </w:rPr>
              <w:t>3.78</w:t>
            </w:r>
          </w:p>
        </w:tc>
        <w:tc>
          <w:tcPr>
            <w:tcW w:w="2375" w:type="dxa"/>
            <w:tcBorders>
              <w:top w:val="nil"/>
              <w:left w:val="single" w:sz="8" w:space="0" w:color="FFFFFF"/>
              <w:bottom w:val="single" w:sz="8" w:space="0" w:color="FFFFFF"/>
              <w:right w:val="single" w:sz="8" w:space="0" w:color="FFFFFF"/>
            </w:tcBorders>
            <w:tcMar>
              <w:top w:w="100" w:type="dxa"/>
              <w:left w:w="100" w:type="dxa"/>
              <w:bottom w:w="100" w:type="dxa"/>
              <w:right w:w="100" w:type="dxa"/>
            </w:tcMar>
          </w:tcPr>
          <w:p w14:paraId="62FCBE3C" w14:textId="77777777" w:rsidR="00F078BF" w:rsidRDefault="00000000">
            <w:pPr>
              <w:widowControl w:val="0"/>
              <w:spacing w:before="0" w:after="0" w:line="240" w:lineRule="auto"/>
              <w:ind w:firstLine="0"/>
              <w:jc w:val="left"/>
              <w:rPr>
                <w:color w:val="EE0000"/>
                <w:sz w:val="24"/>
                <w:szCs w:val="24"/>
              </w:rPr>
            </w:pPr>
            <w:r>
              <w:rPr>
                <w:color w:val="EE0000"/>
                <w:sz w:val="24"/>
                <w:szCs w:val="24"/>
              </w:rPr>
              <w:t>0.97</w:t>
            </w:r>
          </w:p>
        </w:tc>
      </w:tr>
      <w:tr w:rsidR="00F078BF" w14:paraId="16A664D9" w14:textId="77777777">
        <w:tc>
          <w:tcPr>
            <w:tcW w:w="2535" w:type="dxa"/>
            <w:tcBorders>
              <w:top w:val="single" w:sz="8" w:space="0" w:color="FFFFFF"/>
              <w:left w:val="single" w:sz="8" w:space="0" w:color="FFFFFF"/>
              <w:bottom w:val="single" w:sz="4" w:space="0" w:color="auto"/>
              <w:right w:val="single" w:sz="8" w:space="0" w:color="FFFFFF"/>
            </w:tcBorders>
            <w:tcMar>
              <w:top w:w="100" w:type="dxa"/>
              <w:left w:w="100" w:type="dxa"/>
              <w:bottom w:w="100" w:type="dxa"/>
              <w:right w:w="100" w:type="dxa"/>
            </w:tcMar>
          </w:tcPr>
          <w:p w14:paraId="45254BD3" w14:textId="77777777" w:rsidR="00F078BF" w:rsidRDefault="00000000">
            <w:pPr>
              <w:widowControl w:val="0"/>
              <w:spacing w:before="0" w:after="0" w:line="240" w:lineRule="auto"/>
              <w:ind w:firstLine="0"/>
              <w:jc w:val="left"/>
              <w:rPr>
                <w:sz w:val="24"/>
                <w:szCs w:val="24"/>
              </w:rPr>
            </w:pPr>
            <w:r>
              <w:rPr>
                <w:sz w:val="24"/>
                <w:szCs w:val="24"/>
              </w:rPr>
              <w:t>Support strategies</w:t>
            </w:r>
          </w:p>
        </w:tc>
        <w:tc>
          <w:tcPr>
            <w:tcW w:w="1650" w:type="dxa"/>
            <w:tcBorders>
              <w:top w:val="single" w:sz="8" w:space="0" w:color="FFFFFF"/>
              <w:left w:val="single" w:sz="8" w:space="0" w:color="FFFFFF"/>
              <w:bottom w:val="single" w:sz="4" w:space="0" w:color="auto"/>
              <w:right w:val="single" w:sz="8" w:space="0" w:color="FFFFFF"/>
            </w:tcBorders>
            <w:tcMar>
              <w:top w:w="100" w:type="dxa"/>
              <w:left w:w="100" w:type="dxa"/>
              <w:bottom w:w="100" w:type="dxa"/>
              <w:right w:w="100" w:type="dxa"/>
            </w:tcMar>
          </w:tcPr>
          <w:p w14:paraId="42DAAB21" w14:textId="77777777" w:rsidR="00F078BF" w:rsidRDefault="00000000">
            <w:pPr>
              <w:widowControl w:val="0"/>
              <w:spacing w:before="0" w:after="0" w:line="240" w:lineRule="auto"/>
              <w:ind w:firstLine="0"/>
              <w:jc w:val="left"/>
              <w:rPr>
                <w:sz w:val="24"/>
                <w:szCs w:val="24"/>
              </w:rPr>
            </w:pPr>
            <w:r>
              <w:rPr>
                <w:sz w:val="24"/>
                <w:szCs w:val="24"/>
              </w:rPr>
              <w:t>3.51</w:t>
            </w:r>
          </w:p>
        </w:tc>
        <w:tc>
          <w:tcPr>
            <w:tcW w:w="2375" w:type="dxa"/>
            <w:tcBorders>
              <w:top w:val="single" w:sz="8" w:space="0" w:color="FFFFFF"/>
              <w:left w:val="single" w:sz="8" w:space="0" w:color="FFFFFF"/>
              <w:bottom w:val="single" w:sz="4" w:space="0" w:color="auto"/>
              <w:right w:val="single" w:sz="8" w:space="0" w:color="FFFFFF"/>
            </w:tcBorders>
            <w:tcMar>
              <w:top w:w="100" w:type="dxa"/>
              <w:left w:w="100" w:type="dxa"/>
              <w:bottom w:w="100" w:type="dxa"/>
              <w:right w:w="100" w:type="dxa"/>
            </w:tcMar>
          </w:tcPr>
          <w:p w14:paraId="59E3E3C8" w14:textId="77777777" w:rsidR="00F078BF" w:rsidRDefault="00000000">
            <w:pPr>
              <w:widowControl w:val="0"/>
              <w:spacing w:before="0" w:after="0" w:line="240" w:lineRule="auto"/>
              <w:ind w:firstLine="0"/>
              <w:jc w:val="left"/>
              <w:rPr>
                <w:color w:val="EE0000"/>
                <w:sz w:val="24"/>
                <w:szCs w:val="24"/>
              </w:rPr>
            </w:pPr>
            <w:r>
              <w:rPr>
                <w:color w:val="EE0000"/>
                <w:sz w:val="24"/>
                <w:szCs w:val="24"/>
              </w:rPr>
              <w:t>1.17</w:t>
            </w:r>
          </w:p>
        </w:tc>
      </w:tr>
      <w:tr w:rsidR="00F078BF" w14:paraId="505B7A24" w14:textId="77777777">
        <w:tc>
          <w:tcPr>
            <w:tcW w:w="2535" w:type="dxa"/>
            <w:tcBorders>
              <w:top w:val="single" w:sz="4" w:space="0" w:color="auto"/>
              <w:left w:val="single" w:sz="8" w:space="0" w:color="FFFFFF"/>
              <w:right w:val="single" w:sz="8" w:space="0" w:color="FFFFFF"/>
            </w:tcBorders>
            <w:tcMar>
              <w:top w:w="100" w:type="dxa"/>
              <w:left w:w="100" w:type="dxa"/>
              <w:bottom w:w="100" w:type="dxa"/>
              <w:right w:w="100" w:type="dxa"/>
            </w:tcMar>
          </w:tcPr>
          <w:p w14:paraId="08778F9C" w14:textId="77777777" w:rsidR="00F078BF" w:rsidRDefault="00000000">
            <w:pPr>
              <w:widowControl w:val="0"/>
              <w:spacing w:before="0" w:after="0" w:line="240" w:lineRule="auto"/>
              <w:ind w:firstLine="0"/>
              <w:jc w:val="left"/>
              <w:rPr>
                <w:b/>
                <w:bCs/>
                <w:sz w:val="24"/>
                <w:szCs w:val="24"/>
              </w:rPr>
            </w:pPr>
            <w:r>
              <w:rPr>
                <w:b/>
                <w:bCs/>
                <w:sz w:val="24"/>
                <w:szCs w:val="24"/>
              </w:rPr>
              <w:t>Total</w:t>
            </w:r>
          </w:p>
        </w:tc>
        <w:tc>
          <w:tcPr>
            <w:tcW w:w="1650" w:type="dxa"/>
            <w:tcBorders>
              <w:top w:val="single" w:sz="4" w:space="0" w:color="auto"/>
              <w:left w:val="single" w:sz="8" w:space="0" w:color="FFFFFF"/>
              <w:right w:val="single" w:sz="8" w:space="0" w:color="FFFFFF"/>
            </w:tcBorders>
            <w:tcMar>
              <w:top w:w="100" w:type="dxa"/>
              <w:left w:w="100" w:type="dxa"/>
              <w:bottom w:w="100" w:type="dxa"/>
              <w:right w:w="100" w:type="dxa"/>
            </w:tcMar>
          </w:tcPr>
          <w:p w14:paraId="6DCCFEAE" w14:textId="77777777" w:rsidR="00F078BF" w:rsidRDefault="00000000">
            <w:pPr>
              <w:widowControl w:val="0"/>
              <w:spacing w:before="0" w:after="0" w:line="240" w:lineRule="auto"/>
              <w:ind w:firstLine="0"/>
              <w:jc w:val="left"/>
              <w:rPr>
                <w:b/>
                <w:bCs/>
                <w:sz w:val="24"/>
                <w:szCs w:val="24"/>
              </w:rPr>
            </w:pPr>
            <w:r>
              <w:rPr>
                <w:b/>
                <w:bCs/>
                <w:sz w:val="24"/>
                <w:szCs w:val="24"/>
              </w:rPr>
              <w:t>3.71</w:t>
            </w:r>
          </w:p>
        </w:tc>
        <w:tc>
          <w:tcPr>
            <w:tcW w:w="2375" w:type="dxa"/>
            <w:tcBorders>
              <w:top w:val="single" w:sz="4" w:space="0" w:color="auto"/>
              <w:left w:val="single" w:sz="8" w:space="0" w:color="FFFFFF"/>
              <w:right w:val="single" w:sz="8" w:space="0" w:color="FFFFFF"/>
            </w:tcBorders>
            <w:tcMar>
              <w:top w:w="100" w:type="dxa"/>
              <w:left w:w="100" w:type="dxa"/>
              <w:bottom w:w="100" w:type="dxa"/>
              <w:right w:w="100" w:type="dxa"/>
            </w:tcMar>
          </w:tcPr>
          <w:p w14:paraId="6C533D17" w14:textId="77777777" w:rsidR="00F078BF" w:rsidRDefault="00000000">
            <w:pPr>
              <w:widowControl w:val="0"/>
              <w:spacing w:before="0" w:after="0" w:line="240" w:lineRule="auto"/>
              <w:ind w:firstLine="0"/>
              <w:jc w:val="left"/>
              <w:rPr>
                <w:b/>
                <w:bCs/>
                <w:color w:val="EE0000"/>
                <w:sz w:val="24"/>
                <w:szCs w:val="24"/>
              </w:rPr>
            </w:pPr>
            <w:r>
              <w:rPr>
                <w:b/>
                <w:bCs/>
                <w:color w:val="EE0000"/>
                <w:sz w:val="24"/>
                <w:szCs w:val="24"/>
              </w:rPr>
              <w:t>1.04</w:t>
            </w:r>
          </w:p>
        </w:tc>
      </w:tr>
    </w:tbl>
    <w:p w14:paraId="60698860" w14:textId="77777777" w:rsidR="00F078BF" w:rsidRDefault="00F078BF">
      <w:pPr>
        <w:spacing w:before="0" w:after="0" w:line="360" w:lineRule="auto"/>
        <w:ind w:firstLine="0"/>
        <w:jc w:val="left"/>
        <w:rPr>
          <w:i/>
          <w:iCs/>
          <w:sz w:val="24"/>
          <w:szCs w:val="24"/>
        </w:rPr>
      </w:pPr>
    </w:p>
    <w:p w14:paraId="4BA1A7C9" w14:textId="77777777" w:rsidR="00F078BF" w:rsidRDefault="00000000">
      <w:pPr>
        <w:spacing w:before="0" w:after="120" w:line="480" w:lineRule="auto"/>
        <w:ind w:firstLine="0"/>
        <w:rPr>
          <w:sz w:val="24"/>
          <w:szCs w:val="24"/>
        </w:rPr>
      </w:pPr>
      <w:r>
        <w:rPr>
          <w:b/>
          <w:bCs/>
          <w:i/>
          <w:iCs/>
          <w:sz w:val="24"/>
          <w:szCs w:val="24"/>
        </w:rPr>
        <w:t>4.2 The perceived use of global strategies</w:t>
      </w:r>
    </w:p>
    <w:p w14:paraId="13AEACDA" w14:textId="77777777" w:rsidR="00F078BF" w:rsidRDefault="00000000">
      <w:pPr>
        <w:spacing w:before="0" w:after="120" w:line="480" w:lineRule="auto"/>
        <w:ind w:firstLine="566"/>
        <w:rPr>
          <w:sz w:val="24"/>
          <w:szCs w:val="24"/>
        </w:rPr>
      </w:pPr>
      <w:r>
        <w:rPr>
          <w:sz w:val="24"/>
          <w:szCs w:val="24"/>
        </w:rPr>
        <w:lastRenderedPageBreak/>
        <w:t xml:space="preserve">Regarding the students’ perceived use of global strategies (B1 - B17), the overall mean is 3.78, and the SD is </w:t>
      </w:r>
      <w:r>
        <w:rPr>
          <w:color w:val="0070C0"/>
          <w:sz w:val="24"/>
          <w:szCs w:val="24"/>
        </w:rPr>
        <w:t>0.97</w:t>
      </w:r>
      <w:r>
        <w:rPr>
          <w:sz w:val="24"/>
          <w:szCs w:val="24"/>
        </w:rPr>
        <w:t>, indicating moderate variation in the number of students who often apply global strategies in online reading. For global strategies, item B7 has the highest mean of 3.95, indicating that students often adjust their attention to better understand online readings when encountering difficult texts. In contrast, item B3 has the lowest mean value at 3.50. Evidently, students sometimes apply the strategy of previewing online texts before reading.</w:t>
      </w:r>
    </w:p>
    <w:p w14:paraId="2F29F113" w14:textId="77777777" w:rsidR="00F078BF" w:rsidRDefault="00000000">
      <w:pPr>
        <w:spacing w:before="0" w:after="0" w:line="360" w:lineRule="auto"/>
        <w:ind w:firstLine="0"/>
        <w:rPr>
          <w:b/>
          <w:bCs/>
          <w:color w:val="000000"/>
          <w:sz w:val="24"/>
          <w:szCs w:val="24"/>
        </w:rPr>
      </w:pPr>
      <w:r>
        <w:rPr>
          <w:b/>
          <w:bCs/>
          <w:color w:val="000000"/>
          <w:sz w:val="24"/>
          <w:szCs w:val="24"/>
        </w:rPr>
        <w:t xml:space="preserve">Table </w:t>
      </w:r>
      <w:r>
        <w:rPr>
          <w:b/>
          <w:bCs/>
          <w:sz w:val="24"/>
          <w:szCs w:val="24"/>
        </w:rPr>
        <w:t>4.2</w:t>
      </w:r>
    </w:p>
    <w:p w14:paraId="7712437C" w14:textId="77777777" w:rsidR="00F078BF" w:rsidRDefault="00000000">
      <w:pPr>
        <w:keepNext/>
        <w:spacing w:line="360" w:lineRule="auto"/>
        <w:ind w:firstLine="0"/>
        <w:rPr>
          <w:color w:val="333333"/>
          <w:sz w:val="24"/>
          <w:szCs w:val="24"/>
          <w:highlight w:val="white"/>
        </w:rPr>
      </w:pPr>
      <w:r>
        <w:rPr>
          <w:i/>
          <w:iCs/>
          <w:sz w:val="24"/>
          <w:szCs w:val="24"/>
        </w:rPr>
        <w:t>Students’ perceived use of global strategies</w:t>
      </w:r>
    </w:p>
    <w:tbl>
      <w:tblPr>
        <w:tblStyle w:val="Style17"/>
        <w:tblW w:w="8325" w:type="dxa"/>
        <w:tblInd w:w="0" w:type="dxa"/>
        <w:tblLayout w:type="fixed"/>
        <w:tblLook w:val="04A0" w:firstRow="1" w:lastRow="0" w:firstColumn="1" w:lastColumn="0" w:noHBand="0" w:noVBand="1"/>
      </w:tblPr>
      <w:tblGrid>
        <w:gridCol w:w="810"/>
        <w:gridCol w:w="4935"/>
        <w:gridCol w:w="1170"/>
        <w:gridCol w:w="1410"/>
      </w:tblGrid>
      <w:tr w:rsidR="00F078BF" w14:paraId="352D913A" w14:textId="77777777">
        <w:trPr>
          <w:trHeight w:val="339"/>
        </w:trPr>
        <w:tc>
          <w:tcPr>
            <w:tcW w:w="810" w:type="dxa"/>
            <w:tcBorders>
              <w:top w:val="single" w:sz="8" w:space="0" w:color="000000"/>
              <w:left w:val="nil"/>
              <w:bottom w:val="single" w:sz="8" w:space="0" w:color="000000"/>
              <w:right w:val="nil"/>
            </w:tcBorders>
            <w:tcMar>
              <w:top w:w="100" w:type="dxa"/>
              <w:left w:w="100" w:type="dxa"/>
              <w:bottom w:w="100" w:type="dxa"/>
              <w:right w:w="100" w:type="dxa"/>
            </w:tcMar>
          </w:tcPr>
          <w:p w14:paraId="12B3E73B" w14:textId="77777777" w:rsidR="00F078BF" w:rsidRDefault="00000000">
            <w:pPr>
              <w:spacing w:before="0" w:after="0"/>
              <w:ind w:right="-153" w:firstLine="0"/>
              <w:jc w:val="center"/>
              <w:rPr>
                <w:color w:val="333333"/>
                <w:sz w:val="24"/>
                <w:szCs w:val="24"/>
                <w:highlight w:val="white"/>
              </w:rPr>
            </w:pPr>
            <w:r>
              <w:rPr>
                <w:b/>
                <w:bCs/>
                <w:color w:val="333333"/>
                <w:sz w:val="24"/>
                <w:szCs w:val="24"/>
                <w:highlight w:val="white"/>
              </w:rPr>
              <w:t>Item</w:t>
            </w:r>
          </w:p>
        </w:tc>
        <w:tc>
          <w:tcPr>
            <w:tcW w:w="4935" w:type="dxa"/>
            <w:tcBorders>
              <w:top w:val="single" w:sz="8" w:space="0" w:color="000000"/>
              <w:left w:val="nil"/>
              <w:bottom w:val="single" w:sz="8" w:space="0" w:color="000000"/>
              <w:right w:val="nil"/>
            </w:tcBorders>
            <w:tcMar>
              <w:top w:w="100" w:type="dxa"/>
              <w:left w:w="100" w:type="dxa"/>
              <w:bottom w:w="100" w:type="dxa"/>
              <w:right w:w="100" w:type="dxa"/>
            </w:tcMar>
          </w:tcPr>
          <w:p w14:paraId="1ABA8D97" w14:textId="77777777" w:rsidR="00F078BF" w:rsidRDefault="00000000">
            <w:pPr>
              <w:spacing w:before="0" w:after="0"/>
              <w:ind w:firstLine="0"/>
              <w:jc w:val="center"/>
              <w:rPr>
                <w:color w:val="333333"/>
                <w:sz w:val="24"/>
                <w:szCs w:val="24"/>
                <w:highlight w:val="white"/>
              </w:rPr>
            </w:pPr>
            <w:r>
              <w:rPr>
                <w:b/>
                <w:bCs/>
                <w:color w:val="333333"/>
                <w:sz w:val="24"/>
                <w:szCs w:val="24"/>
                <w:highlight w:val="white"/>
              </w:rPr>
              <w:t>Statement</w:t>
            </w:r>
          </w:p>
        </w:tc>
        <w:tc>
          <w:tcPr>
            <w:tcW w:w="1170" w:type="dxa"/>
            <w:tcBorders>
              <w:top w:val="single" w:sz="8" w:space="0" w:color="000000"/>
              <w:left w:val="nil"/>
              <w:bottom w:val="single" w:sz="8" w:space="0" w:color="000000"/>
              <w:right w:val="nil"/>
            </w:tcBorders>
            <w:tcMar>
              <w:top w:w="100" w:type="dxa"/>
              <w:left w:w="100" w:type="dxa"/>
              <w:bottom w:w="100" w:type="dxa"/>
              <w:right w:w="100" w:type="dxa"/>
            </w:tcMar>
          </w:tcPr>
          <w:p w14:paraId="01D69474" w14:textId="77777777" w:rsidR="00F078BF" w:rsidRDefault="00000000">
            <w:pPr>
              <w:spacing w:before="0" w:after="0"/>
              <w:ind w:firstLine="0"/>
              <w:jc w:val="center"/>
              <w:rPr>
                <w:color w:val="333333"/>
                <w:sz w:val="24"/>
                <w:szCs w:val="24"/>
                <w:highlight w:val="white"/>
              </w:rPr>
            </w:pPr>
            <w:r>
              <w:rPr>
                <w:b/>
                <w:bCs/>
                <w:color w:val="333333"/>
                <w:sz w:val="24"/>
                <w:szCs w:val="24"/>
                <w:highlight w:val="white"/>
              </w:rPr>
              <w:t>Mean</w:t>
            </w:r>
          </w:p>
        </w:tc>
        <w:tc>
          <w:tcPr>
            <w:tcW w:w="1410" w:type="dxa"/>
            <w:tcBorders>
              <w:top w:val="single" w:sz="8" w:space="0" w:color="000000"/>
              <w:left w:val="nil"/>
              <w:bottom w:val="single" w:sz="8" w:space="0" w:color="000000"/>
              <w:right w:val="nil"/>
            </w:tcBorders>
            <w:tcMar>
              <w:top w:w="100" w:type="dxa"/>
              <w:left w:w="100" w:type="dxa"/>
              <w:bottom w:w="100" w:type="dxa"/>
              <w:right w:w="100" w:type="dxa"/>
            </w:tcMar>
          </w:tcPr>
          <w:p w14:paraId="2009DB44" w14:textId="77777777" w:rsidR="00F078BF" w:rsidRDefault="00000000">
            <w:pPr>
              <w:spacing w:before="0" w:after="0"/>
              <w:ind w:firstLine="0"/>
              <w:jc w:val="center"/>
              <w:rPr>
                <w:b/>
                <w:bCs/>
                <w:color w:val="EE0000"/>
                <w:sz w:val="24"/>
                <w:szCs w:val="24"/>
                <w:highlight w:val="white"/>
              </w:rPr>
            </w:pPr>
            <w:r>
              <w:rPr>
                <w:b/>
                <w:bCs/>
                <w:color w:val="EE0000"/>
                <w:sz w:val="24"/>
                <w:szCs w:val="24"/>
                <w:highlight w:val="white"/>
              </w:rPr>
              <w:t>SD</w:t>
            </w:r>
          </w:p>
        </w:tc>
      </w:tr>
      <w:tr w:rsidR="00F078BF" w14:paraId="4B5A725B" w14:textId="77777777">
        <w:trPr>
          <w:trHeight w:val="785"/>
        </w:trPr>
        <w:tc>
          <w:tcPr>
            <w:tcW w:w="810" w:type="dxa"/>
            <w:tcBorders>
              <w:top w:val="single" w:sz="8" w:space="0" w:color="000000"/>
              <w:left w:val="nil"/>
              <w:bottom w:val="nil"/>
              <w:right w:val="nil"/>
            </w:tcBorders>
            <w:tcMar>
              <w:top w:w="100" w:type="dxa"/>
              <w:left w:w="100" w:type="dxa"/>
              <w:bottom w:w="100" w:type="dxa"/>
              <w:right w:w="100" w:type="dxa"/>
            </w:tcMar>
          </w:tcPr>
          <w:p w14:paraId="30294087"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B7</w:t>
            </w:r>
          </w:p>
        </w:tc>
        <w:tc>
          <w:tcPr>
            <w:tcW w:w="4935" w:type="dxa"/>
            <w:tcBorders>
              <w:top w:val="single" w:sz="8" w:space="0" w:color="000000"/>
              <w:left w:val="nil"/>
              <w:bottom w:val="nil"/>
              <w:right w:val="nil"/>
            </w:tcBorders>
            <w:tcMar>
              <w:top w:w="100" w:type="dxa"/>
              <w:left w:w="100" w:type="dxa"/>
              <w:bottom w:w="100" w:type="dxa"/>
              <w:right w:w="100" w:type="dxa"/>
            </w:tcMar>
          </w:tcPr>
          <w:p w14:paraId="399D4872" w14:textId="77777777" w:rsidR="00F078BF" w:rsidRDefault="00000000">
            <w:pPr>
              <w:widowControl w:val="0"/>
              <w:spacing w:before="0" w:after="0"/>
              <w:ind w:firstLine="0"/>
              <w:rPr>
                <w:color w:val="333333"/>
                <w:sz w:val="24"/>
                <w:szCs w:val="24"/>
                <w:highlight w:val="white"/>
              </w:rPr>
            </w:pPr>
            <w:r>
              <w:rPr>
                <w:color w:val="333333"/>
                <w:sz w:val="24"/>
                <w:szCs w:val="24"/>
                <w:highlight w:val="white"/>
              </w:rPr>
              <w:t>When online text becomes difficult, I pay closer attention to what I am reading.</w:t>
            </w:r>
          </w:p>
        </w:tc>
        <w:tc>
          <w:tcPr>
            <w:tcW w:w="1170" w:type="dxa"/>
            <w:tcBorders>
              <w:top w:val="single" w:sz="8" w:space="0" w:color="000000"/>
              <w:left w:val="nil"/>
              <w:bottom w:val="nil"/>
              <w:right w:val="nil"/>
            </w:tcBorders>
            <w:tcMar>
              <w:top w:w="100" w:type="dxa"/>
              <w:left w:w="100" w:type="dxa"/>
              <w:bottom w:w="100" w:type="dxa"/>
              <w:right w:w="100" w:type="dxa"/>
            </w:tcMar>
          </w:tcPr>
          <w:p w14:paraId="61F1093D"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3.95</w:t>
            </w:r>
          </w:p>
        </w:tc>
        <w:tc>
          <w:tcPr>
            <w:tcW w:w="1410" w:type="dxa"/>
            <w:tcBorders>
              <w:top w:val="single" w:sz="8" w:space="0" w:color="000000"/>
              <w:left w:val="nil"/>
              <w:bottom w:val="nil"/>
              <w:right w:val="nil"/>
            </w:tcBorders>
            <w:tcMar>
              <w:top w:w="100" w:type="dxa"/>
              <w:left w:w="100" w:type="dxa"/>
              <w:bottom w:w="100" w:type="dxa"/>
              <w:right w:w="100" w:type="dxa"/>
            </w:tcMar>
          </w:tcPr>
          <w:p w14:paraId="76FC6277" w14:textId="77777777" w:rsidR="00F078BF" w:rsidRDefault="00000000">
            <w:pPr>
              <w:widowControl w:val="0"/>
              <w:spacing w:before="0" w:after="0"/>
              <w:ind w:firstLine="0"/>
              <w:jc w:val="center"/>
              <w:rPr>
                <w:color w:val="EE0000"/>
                <w:sz w:val="24"/>
                <w:szCs w:val="24"/>
                <w:highlight w:val="white"/>
              </w:rPr>
            </w:pPr>
            <w:r>
              <w:rPr>
                <w:color w:val="EE0000"/>
                <w:sz w:val="24"/>
                <w:szCs w:val="24"/>
                <w:highlight w:val="white"/>
              </w:rPr>
              <w:t>0.94</w:t>
            </w:r>
          </w:p>
        </w:tc>
      </w:tr>
      <w:tr w:rsidR="00F078BF" w14:paraId="0B3282DC" w14:textId="77777777">
        <w:trPr>
          <w:trHeight w:val="785"/>
        </w:trPr>
        <w:tc>
          <w:tcPr>
            <w:tcW w:w="810" w:type="dxa"/>
            <w:tcBorders>
              <w:top w:val="nil"/>
              <w:left w:val="nil"/>
              <w:bottom w:val="nil"/>
              <w:right w:val="nil"/>
            </w:tcBorders>
            <w:tcMar>
              <w:top w:w="100" w:type="dxa"/>
              <w:left w:w="100" w:type="dxa"/>
              <w:bottom w:w="100" w:type="dxa"/>
              <w:right w:w="100" w:type="dxa"/>
            </w:tcMar>
          </w:tcPr>
          <w:p w14:paraId="67E1E21A"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B2</w:t>
            </w:r>
          </w:p>
        </w:tc>
        <w:tc>
          <w:tcPr>
            <w:tcW w:w="4935" w:type="dxa"/>
            <w:tcBorders>
              <w:top w:val="nil"/>
              <w:left w:val="nil"/>
              <w:bottom w:val="nil"/>
              <w:right w:val="nil"/>
            </w:tcBorders>
            <w:tcMar>
              <w:top w:w="100" w:type="dxa"/>
              <w:left w:w="100" w:type="dxa"/>
              <w:bottom w:w="100" w:type="dxa"/>
              <w:right w:w="100" w:type="dxa"/>
            </w:tcMar>
          </w:tcPr>
          <w:p w14:paraId="5FABDF80" w14:textId="77777777" w:rsidR="00F078BF" w:rsidRDefault="00000000">
            <w:pPr>
              <w:widowControl w:val="0"/>
              <w:spacing w:before="0" w:after="0"/>
              <w:ind w:firstLine="0"/>
              <w:rPr>
                <w:color w:val="333333"/>
                <w:sz w:val="24"/>
                <w:szCs w:val="24"/>
                <w:highlight w:val="white"/>
              </w:rPr>
            </w:pPr>
            <w:r>
              <w:rPr>
                <w:color w:val="333333"/>
                <w:sz w:val="24"/>
                <w:szCs w:val="24"/>
                <w:highlight w:val="white"/>
              </w:rPr>
              <w:t>I think about what I have known to help me understand what I read online.</w:t>
            </w:r>
          </w:p>
        </w:tc>
        <w:tc>
          <w:tcPr>
            <w:tcW w:w="1170" w:type="dxa"/>
            <w:tcBorders>
              <w:top w:val="nil"/>
              <w:left w:val="nil"/>
              <w:bottom w:val="nil"/>
              <w:right w:val="nil"/>
            </w:tcBorders>
            <w:tcMar>
              <w:top w:w="100" w:type="dxa"/>
              <w:left w:w="100" w:type="dxa"/>
              <w:bottom w:w="100" w:type="dxa"/>
              <w:right w:w="100" w:type="dxa"/>
            </w:tcMar>
          </w:tcPr>
          <w:p w14:paraId="5FAA2C75"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3.94</w:t>
            </w:r>
          </w:p>
        </w:tc>
        <w:tc>
          <w:tcPr>
            <w:tcW w:w="1410" w:type="dxa"/>
            <w:tcBorders>
              <w:top w:val="nil"/>
              <w:left w:val="nil"/>
              <w:bottom w:val="nil"/>
              <w:right w:val="nil"/>
            </w:tcBorders>
            <w:tcMar>
              <w:top w:w="100" w:type="dxa"/>
              <w:left w:w="100" w:type="dxa"/>
              <w:bottom w:w="100" w:type="dxa"/>
              <w:right w:w="100" w:type="dxa"/>
            </w:tcMar>
          </w:tcPr>
          <w:p w14:paraId="1E78611E" w14:textId="77777777" w:rsidR="00F078BF" w:rsidRDefault="00000000">
            <w:pPr>
              <w:widowControl w:val="0"/>
              <w:spacing w:before="0" w:after="0"/>
              <w:ind w:firstLine="0"/>
              <w:jc w:val="center"/>
              <w:rPr>
                <w:color w:val="EE0000"/>
                <w:sz w:val="24"/>
                <w:szCs w:val="24"/>
                <w:highlight w:val="white"/>
              </w:rPr>
            </w:pPr>
            <w:r>
              <w:rPr>
                <w:color w:val="EE0000"/>
                <w:sz w:val="24"/>
                <w:szCs w:val="24"/>
                <w:highlight w:val="white"/>
              </w:rPr>
              <w:t>0.80</w:t>
            </w:r>
          </w:p>
        </w:tc>
      </w:tr>
      <w:tr w:rsidR="00F078BF" w14:paraId="5FF3848D" w14:textId="77777777">
        <w:trPr>
          <w:trHeight w:val="785"/>
        </w:trPr>
        <w:tc>
          <w:tcPr>
            <w:tcW w:w="810" w:type="dxa"/>
            <w:tcBorders>
              <w:top w:val="nil"/>
              <w:left w:val="nil"/>
              <w:bottom w:val="nil"/>
              <w:right w:val="nil"/>
            </w:tcBorders>
            <w:tcMar>
              <w:top w:w="100" w:type="dxa"/>
              <w:left w:w="100" w:type="dxa"/>
              <w:bottom w:w="100" w:type="dxa"/>
              <w:right w:w="100" w:type="dxa"/>
            </w:tcMar>
          </w:tcPr>
          <w:p w14:paraId="2BD2E5EC"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B9</w:t>
            </w:r>
          </w:p>
        </w:tc>
        <w:tc>
          <w:tcPr>
            <w:tcW w:w="4935" w:type="dxa"/>
            <w:tcBorders>
              <w:top w:val="nil"/>
              <w:left w:val="nil"/>
              <w:bottom w:val="nil"/>
              <w:right w:val="nil"/>
            </w:tcBorders>
            <w:tcMar>
              <w:top w:w="100" w:type="dxa"/>
              <w:left w:w="100" w:type="dxa"/>
              <w:bottom w:w="100" w:type="dxa"/>
              <w:right w:w="100" w:type="dxa"/>
            </w:tcMar>
          </w:tcPr>
          <w:p w14:paraId="54CB6AD2" w14:textId="77777777" w:rsidR="00F078BF" w:rsidRDefault="00000000">
            <w:pPr>
              <w:widowControl w:val="0"/>
              <w:spacing w:before="0" w:after="0"/>
              <w:ind w:firstLine="0"/>
              <w:rPr>
                <w:color w:val="333333"/>
                <w:sz w:val="24"/>
                <w:szCs w:val="24"/>
                <w:highlight w:val="white"/>
              </w:rPr>
            </w:pPr>
            <w:r>
              <w:rPr>
                <w:color w:val="333333"/>
                <w:sz w:val="24"/>
                <w:szCs w:val="24"/>
                <w:highlight w:val="white"/>
              </w:rPr>
              <w:t>I use context clues to help me better understand what I am reading online.</w:t>
            </w:r>
          </w:p>
        </w:tc>
        <w:tc>
          <w:tcPr>
            <w:tcW w:w="1170" w:type="dxa"/>
            <w:tcBorders>
              <w:top w:val="nil"/>
              <w:left w:val="nil"/>
              <w:bottom w:val="nil"/>
              <w:right w:val="nil"/>
            </w:tcBorders>
            <w:tcMar>
              <w:top w:w="100" w:type="dxa"/>
              <w:left w:w="100" w:type="dxa"/>
              <w:bottom w:w="100" w:type="dxa"/>
              <w:right w:w="100" w:type="dxa"/>
            </w:tcMar>
          </w:tcPr>
          <w:p w14:paraId="1ACDDD32"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3.94</w:t>
            </w:r>
          </w:p>
        </w:tc>
        <w:tc>
          <w:tcPr>
            <w:tcW w:w="1410" w:type="dxa"/>
            <w:tcBorders>
              <w:top w:val="nil"/>
              <w:left w:val="nil"/>
              <w:bottom w:val="nil"/>
              <w:right w:val="nil"/>
            </w:tcBorders>
            <w:tcMar>
              <w:top w:w="100" w:type="dxa"/>
              <w:left w:w="100" w:type="dxa"/>
              <w:bottom w:w="100" w:type="dxa"/>
              <w:right w:w="100" w:type="dxa"/>
            </w:tcMar>
          </w:tcPr>
          <w:p w14:paraId="66AB9802" w14:textId="77777777" w:rsidR="00F078BF" w:rsidRDefault="00000000">
            <w:pPr>
              <w:widowControl w:val="0"/>
              <w:spacing w:before="0" w:after="0"/>
              <w:ind w:firstLine="0"/>
              <w:jc w:val="center"/>
              <w:rPr>
                <w:color w:val="EE0000"/>
                <w:sz w:val="24"/>
                <w:szCs w:val="24"/>
                <w:highlight w:val="white"/>
              </w:rPr>
            </w:pPr>
            <w:r>
              <w:rPr>
                <w:color w:val="EE0000"/>
                <w:sz w:val="24"/>
                <w:szCs w:val="24"/>
                <w:highlight w:val="white"/>
              </w:rPr>
              <w:t>0.80</w:t>
            </w:r>
          </w:p>
        </w:tc>
      </w:tr>
      <w:tr w:rsidR="00F078BF" w14:paraId="65317ECE" w14:textId="77777777">
        <w:trPr>
          <w:trHeight w:val="515"/>
        </w:trPr>
        <w:tc>
          <w:tcPr>
            <w:tcW w:w="810" w:type="dxa"/>
            <w:tcBorders>
              <w:top w:val="nil"/>
              <w:left w:val="nil"/>
              <w:bottom w:val="nil"/>
              <w:right w:val="nil"/>
            </w:tcBorders>
            <w:tcMar>
              <w:top w:w="100" w:type="dxa"/>
              <w:left w:w="100" w:type="dxa"/>
              <w:bottom w:w="100" w:type="dxa"/>
              <w:right w:w="100" w:type="dxa"/>
            </w:tcMar>
          </w:tcPr>
          <w:p w14:paraId="1C3110C8"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B1</w:t>
            </w:r>
          </w:p>
        </w:tc>
        <w:tc>
          <w:tcPr>
            <w:tcW w:w="4935" w:type="dxa"/>
            <w:tcBorders>
              <w:top w:val="nil"/>
              <w:left w:val="nil"/>
              <w:bottom w:val="nil"/>
              <w:right w:val="nil"/>
            </w:tcBorders>
            <w:tcMar>
              <w:top w:w="100" w:type="dxa"/>
              <w:left w:w="100" w:type="dxa"/>
              <w:bottom w:w="100" w:type="dxa"/>
              <w:right w:w="100" w:type="dxa"/>
            </w:tcMar>
          </w:tcPr>
          <w:p w14:paraId="215D904A" w14:textId="77777777" w:rsidR="00F078BF" w:rsidRDefault="00000000">
            <w:pPr>
              <w:widowControl w:val="0"/>
              <w:spacing w:before="0" w:after="0"/>
              <w:ind w:firstLine="0"/>
              <w:rPr>
                <w:color w:val="333333"/>
                <w:sz w:val="24"/>
                <w:szCs w:val="24"/>
                <w:highlight w:val="white"/>
              </w:rPr>
            </w:pPr>
            <w:r>
              <w:rPr>
                <w:color w:val="333333"/>
                <w:sz w:val="24"/>
                <w:szCs w:val="24"/>
                <w:highlight w:val="white"/>
              </w:rPr>
              <w:t>I have a purpose in mind when I read online.</w:t>
            </w:r>
          </w:p>
        </w:tc>
        <w:tc>
          <w:tcPr>
            <w:tcW w:w="1170" w:type="dxa"/>
            <w:tcBorders>
              <w:top w:val="nil"/>
              <w:left w:val="nil"/>
              <w:bottom w:val="nil"/>
              <w:right w:val="nil"/>
            </w:tcBorders>
            <w:tcMar>
              <w:top w:w="100" w:type="dxa"/>
              <w:left w:w="100" w:type="dxa"/>
              <w:bottom w:w="100" w:type="dxa"/>
              <w:right w:w="100" w:type="dxa"/>
            </w:tcMar>
          </w:tcPr>
          <w:p w14:paraId="1D75333D"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3.92</w:t>
            </w:r>
          </w:p>
        </w:tc>
        <w:tc>
          <w:tcPr>
            <w:tcW w:w="1410" w:type="dxa"/>
            <w:tcBorders>
              <w:top w:val="nil"/>
              <w:left w:val="nil"/>
              <w:bottom w:val="nil"/>
              <w:right w:val="nil"/>
            </w:tcBorders>
            <w:tcMar>
              <w:top w:w="100" w:type="dxa"/>
              <w:left w:w="100" w:type="dxa"/>
              <w:bottom w:w="100" w:type="dxa"/>
              <w:right w:w="100" w:type="dxa"/>
            </w:tcMar>
          </w:tcPr>
          <w:p w14:paraId="343B6229" w14:textId="77777777" w:rsidR="00F078BF" w:rsidRDefault="00000000">
            <w:pPr>
              <w:widowControl w:val="0"/>
              <w:spacing w:before="0" w:after="0"/>
              <w:ind w:firstLine="0"/>
              <w:jc w:val="center"/>
              <w:rPr>
                <w:color w:val="EE0000"/>
                <w:sz w:val="24"/>
                <w:szCs w:val="24"/>
                <w:highlight w:val="white"/>
              </w:rPr>
            </w:pPr>
            <w:r>
              <w:rPr>
                <w:color w:val="EE0000"/>
                <w:sz w:val="24"/>
                <w:szCs w:val="24"/>
                <w:highlight w:val="white"/>
              </w:rPr>
              <w:t>0.83</w:t>
            </w:r>
          </w:p>
        </w:tc>
      </w:tr>
      <w:tr w:rsidR="00F078BF" w14:paraId="2A07BD2B" w14:textId="77777777">
        <w:trPr>
          <w:trHeight w:val="785"/>
        </w:trPr>
        <w:tc>
          <w:tcPr>
            <w:tcW w:w="810" w:type="dxa"/>
            <w:tcBorders>
              <w:top w:val="nil"/>
              <w:left w:val="nil"/>
              <w:bottom w:val="nil"/>
              <w:right w:val="nil"/>
            </w:tcBorders>
            <w:tcMar>
              <w:top w:w="100" w:type="dxa"/>
              <w:left w:w="100" w:type="dxa"/>
              <w:bottom w:w="100" w:type="dxa"/>
              <w:right w:w="100" w:type="dxa"/>
            </w:tcMar>
          </w:tcPr>
          <w:p w14:paraId="36DAA2B7"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B12</w:t>
            </w:r>
          </w:p>
        </w:tc>
        <w:tc>
          <w:tcPr>
            <w:tcW w:w="4935" w:type="dxa"/>
            <w:tcBorders>
              <w:top w:val="nil"/>
              <w:left w:val="nil"/>
              <w:bottom w:val="nil"/>
              <w:right w:val="nil"/>
            </w:tcBorders>
            <w:tcMar>
              <w:top w:w="100" w:type="dxa"/>
              <w:left w:w="100" w:type="dxa"/>
              <w:bottom w:w="100" w:type="dxa"/>
              <w:right w:w="100" w:type="dxa"/>
            </w:tcMar>
          </w:tcPr>
          <w:p w14:paraId="7CA1264F" w14:textId="77777777" w:rsidR="00F078BF" w:rsidRDefault="00000000">
            <w:pPr>
              <w:widowControl w:val="0"/>
              <w:spacing w:before="0" w:after="0"/>
              <w:ind w:firstLine="0"/>
              <w:rPr>
                <w:color w:val="333333"/>
                <w:sz w:val="24"/>
                <w:szCs w:val="24"/>
                <w:highlight w:val="white"/>
              </w:rPr>
            </w:pPr>
            <w:r>
              <w:rPr>
                <w:color w:val="333333"/>
                <w:sz w:val="24"/>
                <w:szCs w:val="24"/>
                <w:highlight w:val="white"/>
              </w:rPr>
              <w:t>When reading online, I check my understanding when I come across new information.</w:t>
            </w:r>
          </w:p>
        </w:tc>
        <w:tc>
          <w:tcPr>
            <w:tcW w:w="1170" w:type="dxa"/>
            <w:tcBorders>
              <w:top w:val="nil"/>
              <w:left w:val="nil"/>
              <w:bottom w:val="nil"/>
              <w:right w:val="nil"/>
            </w:tcBorders>
            <w:tcMar>
              <w:top w:w="100" w:type="dxa"/>
              <w:left w:w="100" w:type="dxa"/>
              <w:bottom w:w="100" w:type="dxa"/>
              <w:right w:w="100" w:type="dxa"/>
            </w:tcMar>
          </w:tcPr>
          <w:p w14:paraId="4D47B11D"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3.87</w:t>
            </w:r>
          </w:p>
        </w:tc>
        <w:tc>
          <w:tcPr>
            <w:tcW w:w="1410" w:type="dxa"/>
            <w:tcBorders>
              <w:top w:val="nil"/>
              <w:left w:val="nil"/>
              <w:bottom w:val="nil"/>
              <w:right w:val="nil"/>
            </w:tcBorders>
            <w:tcMar>
              <w:top w:w="100" w:type="dxa"/>
              <w:left w:w="100" w:type="dxa"/>
              <w:bottom w:w="100" w:type="dxa"/>
              <w:right w:w="100" w:type="dxa"/>
            </w:tcMar>
          </w:tcPr>
          <w:p w14:paraId="52628EA9" w14:textId="77777777" w:rsidR="00F078BF" w:rsidRDefault="00000000">
            <w:pPr>
              <w:widowControl w:val="0"/>
              <w:spacing w:before="0" w:after="0"/>
              <w:ind w:firstLine="0"/>
              <w:jc w:val="center"/>
              <w:rPr>
                <w:color w:val="EE0000"/>
                <w:sz w:val="24"/>
                <w:szCs w:val="24"/>
                <w:highlight w:val="white"/>
              </w:rPr>
            </w:pPr>
            <w:r>
              <w:rPr>
                <w:color w:val="EE0000"/>
                <w:sz w:val="24"/>
                <w:szCs w:val="24"/>
                <w:highlight w:val="white"/>
              </w:rPr>
              <w:t>0.96</w:t>
            </w:r>
          </w:p>
        </w:tc>
      </w:tr>
      <w:tr w:rsidR="00F078BF" w14:paraId="0058AF23" w14:textId="77777777">
        <w:trPr>
          <w:trHeight w:val="785"/>
        </w:trPr>
        <w:tc>
          <w:tcPr>
            <w:tcW w:w="810" w:type="dxa"/>
            <w:tcBorders>
              <w:top w:val="nil"/>
              <w:left w:val="nil"/>
              <w:bottom w:val="nil"/>
              <w:right w:val="nil"/>
            </w:tcBorders>
            <w:tcMar>
              <w:top w:w="100" w:type="dxa"/>
              <w:left w:w="100" w:type="dxa"/>
              <w:bottom w:w="100" w:type="dxa"/>
              <w:right w:w="100" w:type="dxa"/>
            </w:tcMar>
          </w:tcPr>
          <w:p w14:paraId="05F0D0F3"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B6</w:t>
            </w:r>
          </w:p>
        </w:tc>
        <w:tc>
          <w:tcPr>
            <w:tcW w:w="4935" w:type="dxa"/>
            <w:tcBorders>
              <w:top w:val="nil"/>
              <w:left w:val="nil"/>
              <w:bottom w:val="nil"/>
              <w:right w:val="nil"/>
            </w:tcBorders>
            <w:tcMar>
              <w:top w:w="100" w:type="dxa"/>
              <w:left w:w="100" w:type="dxa"/>
              <w:bottom w:w="100" w:type="dxa"/>
              <w:right w:w="100" w:type="dxa"/>
            </w:tcMar>
          </w:tcPr>
          <w:p w14:paraId="028CA1D8" w14:textId="77777777" w:rsidR="00F078BF" w:rsidRDefault="00000000">
            <w:pPr>
              <w:widowControl w:val="0"/>
              <w:spacing w:before="0" w:after="0"/>
              <w:ind w:firstLine="0"/>
              <w:rPr>
                <w:color w:val="333333"/>
                <w:sz w:val="24"/>
                <w:szCs w:val="24"/>
                <w:highlight w:val="white"/>
              </w:rPr>
            </w:pPr>
            <w:r>
              <w:rPr>
                <w:color w:val="333333"/>
                <w:sz w:val="24"/>
                <w:szCs w:val="24"/>
                <w:highlight w:val="white"/>
              </w:rPr>
              <w:t>When reading online, I decide what to read thoroughly and what to ignore.</w:t>
            </w:r>
          </w:p>
        </w:tc>
        <w:tc>
          <w:tcPr>
            <w:tcW w:w="1170" w:type="dxa"/>
            <w:tcBorders>
              <w:top w:val="nil"/>
              <w:left w:val="nil"/>
              <w:bottom w:val="nil"/>
              <w:right w:val="nil"/>
            </w:tcBorders>
            <w:tcMar>
              <w:top w:w="100" w:type="dxa"/>
              <w:left w:w="100" w:type="dxa"/>
              <w:bottom w:w="100" w:type="dxa"/>
              <w:right w:w="100" w:type="dxa"/>
            </w:tcMar>
          </w:tcPr>
          <w:p w14:paraId="68298B59"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3.82</w:t>
            </w:r>
          </w:p>
        </w:tc>
        <w:tc>
          <w:tcPr>
            <w:tcW w:w="1410" w:type="dxa"/>
            <w:tcBorders>
              <w:top w:val="nil"/>
              <w:left w:val="nil"/>
              <w:bottom w:val="nil"/>
              <w:right w:val="nil"/>
            </w:tcBorders>
            <w:tcMar>
              <w:top w:w="100" w:type="dxa"/>
              <w:left w:w="100" w:type="dxa"/>
              <w:bottom w:w="100" w:type="dxa"/>
              <w:right w:w="100" w:type="dxa"/>
            </w:tcMar>
          </w:tcPr>
          <w:p w14:paraId="1CD3B1CC" w14:textId="77777777" w:rsidR="00F078BF" w:rsidRDefault="00000000">
            <w:pPr>
              <w:widowControl w:val="0"/>
              <w:spacing w:before="0" w:after="0"/>
              <w:ind w:firstLine="0"/>
              <w:jc w:val="center"/>
              <w:rPr>
                <w:color w:val="EE0000"/>
                <w:sz w:val="24"/>
                <w:szCs w:val="24"/>
                <w:highlight w:val="white"/>
              </w:rPr>
            </w:pPr>
            <w:r>
              <w:rPr>
                <w:color w:val="EE0000"/>
                <w:sz w:val="24"/>
                <w:szCs w:val="24"/>
                <w:highlight w:val="white"/>
              </w:rPr>
              <w:t>0.98</w:t>
            </w:r>
          </w:p>
        </w:tc>
      </w:tr>
      <w:tr w:rsidR="00F078BF" w14:paraId="67F6D03B" w14:textId="77777777">
        <w:trPr>
          <w:trHeight w:val="785"/>
        </w:trPr>
        <w:tc>
          <w:tcPr>
            <w:tcW w:w="810" w:type="dxa"/>
            <w:tcBorders>
              <w:top w:val="nil"/>
              <w:left w:val="nil"/>
              <w:bottom w:val="nil"/>
              <w:right w:val="nil"/>
            </w:tcBorders>
            <w:tcMar>
              <w:top w:w="100" w:type="dxa"/>
              <w:left w:w="100" w:type="dxa"/>
              <w:bottom w:w="100" w:type="dxa"/>
              <w:right w:w="100" w:type="dxa"/>
            </w:tcMar>
          </w:tcPr>
          <w:p w14:paraId="654384E4"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B8</w:t>
            </w:r>
          </w:p>
        </w:tc>
        <w:tc>
          <w:tcPr>
            <w:tcW w:w="4935" w:type="dxa"/>
            <w:tcBorders>
              <w:top w:val="nil"/>
              <w:left w:val="nil"/>
              <w:bottom w:val="nil"/>
              <w:right w:val="nil"/>
            </w:tcBorders>
            <w:tcMar>
              <w:top w:w="100" w:type="dxa"/>
              <w:left w:w="100" w:type="dxa"/>
              <w:bottom w:w="100" w:type="dxa"/>
              <w:right w:w="100" w:type="dxa"/>
            </w:tcMar>
          </w:tcPr>
          <w:p w14:paraId="6A4DFAFD" w14:textId="77777777" w:rsidR="00F078BF" w:rsidRDefault="00000000">
            <w:pPr>
              <w:widowControl w:val="0"/>
              <w:spacing w:before="0" w:after="0"/>
              <w:ind w:firstLine="0"/>
              <w:rPr>
                <w:color w:val="333333"/>
                <w:sz w:val="24"/>
                <w:szCs w:val="24"/>
                <w:highlight w:val="white"/>
              </w:rPr>
            </w:pPr>
            <w:r>
              <w:rPr>
                <w:color w:val="333333"/>
                <w:sz w:val="24"/>
                <w:szCs w:val="24"/>
                <w:highlight w:val="white"/>
              </w:rPr>
              <w:t>I use tables, figures, and pictures in the online text to increase my understanding.</w:t>
            </w:r>
          </w:p>
        </w:tc>
        <w:tc>
          <w:tcPr>
            <w:tcW w:w="1170" w:type="dxa"/>
            <w:tcBorders>
              <w:top w:val="nil"/>
              <w:left w:val="nil"/>
              <w:bottom w:val="nil"/>
              <w:right w:val="nil"/>
            </w:tcBorders>
            <w:tcMar>
              <w:top w:w="100" w:type="dxa"/>
              <w:left w:w="100" w:type="dxa"/>
              <w:bottom w:w="100" w:type="dxa"/>
              <w:right w:w="100" w:type="dxa"/>
            </w:tcMar>
          </w:tcPr>
          <w:p w14:paraId="4CA2B42B"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3.82</w:t>
            </w:r>
          </w:p>
        </w:tc>
        <w:tc>
          <w:tcPr>
            <w:tcW w:w="1410" w:type="dxa"/>
            <w:tcBorders>
              <w:top w:val="nil"/>
              <w:left w:val="nil"/>
              <w:bottom w:val="nil"/>
              <w:right w:val="nil"/>
            </w:tcBorders>
            <w:tcMar>
              <w:top w:w="100" w:type="dxa"/>
              <w:left w:w="100" w:type="dxa"/>
              <w:bottom w:w="100" w:type="dxa"/>
              <w:right w:w="100" w:type="dxa"/>
            </w:tcMar>
          </w:tcPr>
          <w:p w14:paraId="18E6C3EB" w14:textId="77777777" w:rsidR="00F078BF" w:rsidRDefault="00000000">
            <w:pPr>
              <w:widowControl w:val="0"/>
              <w:spacing w:before="0" w:after="0"/>
              <w:ind w:firstLine="0"/>
              <w:jc w:val="center"/>
              <w:rPr>
                <w:color w:val="EE0000"/>
                <w:sz w:val="24"/>
                <w:szCs w:val="24"/>
                <w:highlight w:val="white"/>
              </w:rPr>
            </w:pPr>
            <w:r>
              <w:rPr>
                <w:color w:val="EE0000"/>
                <w:sz w:val="24"/>
                <w:szCs w:val="24"/>
                <w:highlight w:val="white"/>
              </w:rPr>
              <w:t>1.11</w:t>
            </w:r>
          </w:p>
        </w:tc>
      </w:tr>
      <w:tr w:rsidR="00F078BF" w14:paraId="7DCB6D3B" w14:textId="77777777">
        <w:trPr>
          <w:trHeight w:val="785"/>
        </w:trPr>
        <w:tc>
          <w:tcPr>
            <w:tcW w:w="810" w:type="dxa"/>
            <w:tcBorders>
              <w:top w:val="nil"/>
              <w:left w:val="nil"/>
              <w:bottom w:val="nil"/>
              <w:right w:val="nil"/>
            </w:tcBorders>
            <w:tcMar>
              <w:top w:w="100" w:type="dxa"/>
              <w:left w:w="100" w:type="dxa"/>
              <w:bottom w:w="100" w:type="dxa"/>
              <w:right w:w="100" w:type="dxa"/>
            </w:tcMar>
          </w:tcPr>
          <w:p w14:paraId="029F5AAD"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B4</w:t>
            </w:r>
          </w:p>
        </w:tc>
        <w:tc>
          <w:tcPr>
            <w:tcW w:w="4935" w:type="dxa"/>
            <w:tcBorders>
              <w:top w:val="nil"/>
              <w:left w:val="nil"/>
              <w:bottom w:val="nil"/>
              <w:right w:val="nil"/>
            </w:tcBorders>
            <w:tcMar>
              <w:top w:w="100" w:type="dxa"/>
              <w:left w:w="100" w:type="dxa"/>
              <w:bottom w:w="100" w:type="dxa"/>
              <w:right w:w="100" w:type="dxa"/>
            </w:tcMar>
          </w:tcPr>
          <w:p w14:paraId="36666043" w14:textId="77777777" w:rsidR="00F078BF" w:rsidRDefault="00000000">
            <w:pPr>
              <w:widowControl w:val="0"/>
              <w:spacing w:before="0" w:after="0"/>
              <w:ind w:firstLine="0"/>
              <w:rPr>
                <w:color w:val="333333"/>
                <w:sz w:val="24"/>
                <w:szCs w:val="24"/>
                <w:highlight w:val="white"/>
              </w:rPr>
            </w:pPr>
            <w:r>
              <w:rPr>
                <w:color w:val="333333"/>
                <w:sz w:val="24"/>
                <w:szCs w:val="24"/>
                <w:highlight w:val="white"/>
              </w:rPr>
              <w:t>I think about whether the content of the online text fits my reading purpose.</w:t>
            </w:r>
          </w:p>
        </w:tc>
        <w:tc>
          <w:tcPr>
            <w:tcW w:w="1170" w:type="dxa"/>
            <w:tcBorders>
              <w:top w:val="nil"/>
              <w:left w:val="nil"/>
              <w:bottom w:val="nil"/>
              <w:right w:val="nil"/>
            </w:tcBorders>
            <w:tcMar>
              <w:top w:w="100" w:type="dxa"/>
              <w:left w:w="100" w:type="dxa"/>
              <w:bottom w:w="100" w:type="dxa"/>
              <w:right w:w="100" w:type="dxa"/>
            </w:tcMar>
          </w:tcPr>
          <w:p w14:paraId="1087B3C6"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3.81</w:t>
            </w:r>
          </w:p>
        </w:tc>
        <w:tc>
          <w:tcPr>
            <w:tcW w:w="1410" w:type="dxa"/>
            <w:tcBorders>
              <w:top w:val="nil"/>
              <w:left w:val="nil"/>
              <w:bottom w:val="nil"/>
              <w:right w:val="nil"/>
            </w:tcBorders>
            <w:tcMar>
              <w:top w:w="100" w:type="dxa"/>
              <w:left w:w="100" w:type="dxa"/>
              <w:bottom w:w="100" w:type="dxa"/>
              <w:right w:w="100" w:type="dxa"/>
            </w:tcMar>
          </w:tcPr>
          <w:p w14:paraId="41087DB5" w14:textId="77777777" w:rsidR="00F078BF" w:rsidRDefault="00000000">
            <w:pPr>
              <w:widowControl w:val="0"/>
              <w:spacing w:before="0" w:after="0"/>
              <w:ind w:firstLine="0"/>
              <w:jc w:val="center"/>
              <w:rPr>
                <w:color w:val="EE0000"/>
                <w:sz w:val="24"/>
                <w:szCs w:val="24"/>
                <w:highlight w:val="white"/>
              </w:rPr>
            </w:pPr>
            <w:r>
              <w:rPr>
                <w:color w:val="EE0000"/>
                <w:sz w:val="24"/>
                <w:szCs w:val="24"/>
                <w:highlight w:val="white"/>
              </w:rPr>
              <w:t>0.95</w:t>
            </w:r>
          </w:p>
        </w:tc>
      </w:tr>
      <w:tr w:rsidR="00F078BF" w14:paraId="753EDF9B" w14:textId="77777777">
        <w:trPr>
          <w:trHeight w:val="515"/>
        </w:trPr>
        <w:tc>
          <w:tcPr>
            <w:tcW w:w="810" w:type="dxa"/>
            <w:tcBorders>
              <w:top w:val="nil"/>
              <w:left w:val="nil"/>
              <w:bottom w:val="nil"/>
              <w:right w:val="nil"/>
            </w:tcBorders>
            <w:tcMar>
              <w:top w:w="100" w:type="dxa"/>
              <w:left w:w="100" w:type="dxa"/>
              <w:bottom w:w="100" w:type="dxa"/>
              <w:right w:w="100" w:type="dxa"/>
            </w:tcMar>
          </w:tcPr>
          <w:p w14:paraId="002A6088"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B17</w:t>
            </w:r>
          </w:p>
        </w:tc>
        <w:tc>
          <w:tcPr>
            <w:tcW w:w="4935" w:type="dxa"/>
            <w:tcBorders>
              <w:top w:val="nil"/>
              <w:left w:val="nil"/>
              <w:bottom w:val="nil"/>
              <w:right w:val="nil"/>
            </w:tcBorders>
            <w:tcMar>
              <w:top w:w="100" w:type="dxa"/>
              <w:left w:w="100" w:type="dxa"/>
              <w:bottom w:w="100" w:type="dxa"/>
              <w:right w:w="100" w:type="dxa"/>
            </w:tcMar>
          </w:tcPr>
          <w:p w14:paraId="74C5EAB0" w14:textId="77777777" w:rsidR="00F078BF" w:rsidRDefault="00000000">
            <w:pPr>
              <w:widowControl w:val="0"/>
              <w:spacing w:before="0" w:after="0"/>
              <w:ind w:firstLine="0"/>
              <w:rPr>
                <w:color w:val="333333"/>
                <w:sz w:val="24"/>
                <w:szCs w:val="24"/>
                <w:highlight w:val="white"/>
              </w:rPr>
            </w:pPr>
            <w:r>
              <w:rPr>
                <w:color w:val="333333"/>
                <w:sz w:val="24"/>
                <w:szCs w:val="24"/>
                <w:highlight w:val="white"/>
              </w:rPr>
              <w:t>When reading online, I look for sites that cover both sides of an issue.</w:t>
            </w:r>
          </w:p>
        </w:tc>
        <w:tc>
          <w:tcPr>
            <w:tcW w:w="1170" w:type="dxa"/>
            <w:tcBorders>
              <w:top w:val="nil"/>
              <w:left w:val="nil"/>
              <w:bottom w:val="nil"/>
              <w:right w:val="nil"/>
            </w:tcBorders>
            <w:tcMar>
              <w:top w:w="100" w:type="dxa"/>
              <w:left w:w="100" w:type="dxa"/>
              <w:bottom w:w="100" w:type="dxa"/>
              <w:right w:w="100" w:type="dxa"/>
            </w:tcMar>
          </w:tcPr>
          <w:p w14:paraId="67C9655C"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3.81</w:t>
            </w:r>
          </w:p>
        </w:tc>
        <w:tc>
          <w:tcPr>
            <w:tcW w:w="1410" w:type="dxa"/>
            <w:tcBorders>
              <w:top w:val="nil"/>
              <w:left w:val="nil"/>
              <w:bottom w:val="nil"/>
              <w:right w:val="nil"/>
            </w:tcBorders>
            <w:tcMar>
              <w:top w:w="100" w:type="dxa"/>
              <w:left w:w="100" w:type="dxa"/>
              <w:bottom w:w="100" w:type="dxa"/>
              <w:right w:w="100" w:type="dxa"/>
            </w:tcMar>
          </w:tcPr>
          <w:p w14:paraId="34427994" w14:textId="77777777" w:rsidR="00F078BF" w:rsidRDefault="00000000">
            <w:pPr>
              <w:widowControl w:val="0"/>
              <w:spacing w:before="0" w:after="0"/>
              <w:ind w:firstLine="0"/>
              <w:jc w:val="center"/>
              <w:rPr>
                <w:color w:val="EE0000"/>
                <w:sz w:val="24"/>
                <w:szCs w:val="24"/>
                <w:highlight w:val="white"/>
              </w:rPr>
            </w:pPr>
            <w:r>
              <w:rPr>
                <w:color w:val="EE0000"/>
                <w:sz w:val="24"/>
                <w:szCs w:val="24"/>
                <w:highlight w:val="white"/>
              </w:rPr>
              <w:t>0.94</w:t>
            </w:r>
          </w:p>
        </w:tc>
      </w:tr>
      <w:tr w:rsidR="00F078BF" w14:paraId="473CCFE9" w14:textId="77777777">
        <w:trPr>
          <w:trHeight w:val="785"/>
        </w:trPr>
        <w:tc>
          <w:tcPr>
            <w:tcW w:w="810" w:type="dxa"/>
            <w:tcBorders>
              <w:top w:val="nil"/>
              <w:left w:val="nil"/>
              <w:bottom w:val="nil"/>
              <w:right w:val="nil"/>
            </w:tcBorders>
            <w:tcMar>
              <w:top w:w="100" w:type="dxa"/>
              <w:left w:w="100" w:type="dxa"/>
              <w:bottom w:w="100" w:type="dxa"/>
              <w:right w:w="100" w:type="dxa"/>
            </w:tcMar>
          </w:tcPr>
          <w:p w14:paraId="08152A09"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lastRenderedPageBreak/>
              <w:t>B16</w:t>
            </w:r>
          </w:p>
        </w:tc>
        <w:tc>
          <w:tcPr>
            <w:tcW w:w="4935" w:type="dxa"/>
            <w:tcBorders>
              <w:top w:val="nil"/>
              <w:left w:val="nil"/>
              <w:bottom w:val="nil"/>
              <w:right w:val="nil"/>
            </w:tcBorders>
            <w:tcMar>
              <w:top w:w="100" w:type="dxa"/>
              <w:left w:w="100" w:type="dxa"/>
              <w:bottom w:w="100" w:type="dxa"/>
              <w:right w:w="100" w:type="dxa"/>
            </w:tcMar>
          </w:tcPr>
          <w:p w14:paraId="2EFA3DF6" w14:textId="77777777" w:rsidR="00F078BF" w:rsidRDefault="00000000">
            <w:pPr>
              <w:widowControl w:val="0"/>
              <w:spacing w:before="0" w:after="0"/>
              <w:ind w:firstLine="0"/>
              <w:rPr>
                <w:color w:val="333333"/>
                <w:sz w:val="24"/>
                <w:szCs w:val="24"/>
                <w:highlight w:val="white"/>
              </w:rPr>
            </w:pPr>
            <w:r>
              <w:rPr>
                <w:color w:val="333333"/>
                <w:sz w:val="24"/>
                <w:szCs w:val="24"/>
                <w:highlight w:val="white"/>
              </w:rPr>
              <w:t>I critically evaluate the online text before choosing to use its information.</w:t>
            </w:r>
          </w:p>
        </w:tc>
        <w:tc>
          <w:tcPr>
            <w:tcW w:w="1170" w:type="dxa"/>
            <w:tcBorders>
              <w:top w:val="nil"/>
              <w:left w:val="nil"/>
              <w:bottom w:val="nil"/>
              <w:right w:val="nil"/>
            </w:tcBorders>
            <w:tcMar>
              <w:top w:w="100" w:type="dxa"/>
              <w:left w:w="100" w:type="dxa"/>
              <w:bottom w:w="100" w:type="dxa"/>
              <w:right w:w="100" w:type="dxa"/>
            </w:tcMar>
          </w:tcPr>
          <w:p w14:paraId="5127E407"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3.79</w:t>
            </w:r>
          </w:p>
        </w:tc>
        <w:tc>
          <w:tcPr>
            <w:tcW w:w="1410" w:type="dxa"/>
            <w:tcBorders>
              <w:top w:val="nil"/>
              <w:left w:val="nil"/>
              <w:bottom w:val="nil"/>
              <w:right w:val="nil"/>
            </w:tcBorders>
            <w:tcMar>
              <w:top w:w="100" w:type="dxa"/>
              <w:left w:w="100" w:type="dxa"/>
              <w:bottom w:w="100" w:type="dxa"/>
              <w:right w:w="100" w:type="dxa"/>
            </w:tcMar>
          </w:tcPr>
          <w:p w14:paraId="0263BC56" w14:textId="77777777" w:rsidR="00F078BF" w:rsidRDefault="00000000">
            <w:pPr>
              <w:widowControl w:val="0"/>
              <w:spacing w:before="0" w:after="0"/>
              <w:ind w:firstLine="0"/>
              <w:jc w:val="center"/>
              <w:rPr>
                <w:color w:val="EE0000"/>
                <w:sz w:val="24"/>
                <w:szCs w:val="24"/>
                <w:highlight w:val="white"/>
              </w:rPr>
            </w:pPr>
            <w:r>
              <w:rPr>
                <w:color w:val="EE0000"/>
                <w:sz w:val="24"/>
                <w:szCs w:val="24"/>
                <w:highlight w:val="white"/>
              </w:rPr>
              <w:t>0.96</w:t>
            </w:r>
          </w:p>
        </w:tc>
      </w:tr>
      <w:tr w:rsidR="00F078BF" w14:paraId="53FC0661" w14:textId="77777777">
        <w:trPr>
          <w:trHeight w:val="785"/>
        </w:trPr>
        <w:tc>
          <w:tcPr>
            <w:tcW w:w="810" w:type="dxa"/>
            <w:tcBorders>
              <w:top w:val="nil"/>
              <w:left w:val="nil"/>
              <w:bottom w:val="nil"/>
              <w:right w:val="nil"/>
            </w:tcBorders>
            <w:tcMar>
              <w:top w:w="100" w:type="dxa"/>
              <w:left w:w="100" w:type="dxa"/>
              <w:bottom w:w="100" w:type="dxa"/>
              <w:right w:w="100" w:type="dxa"/>
            </w:tcMar>
          </w:tcPr>
          <w:p w14:paraId="0300FEFC"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B10</w:t>
            </w:r>
          </w:p>
        </w:tc>
        <w:tc>
          <w:tcPr>
            <w:tcW w:w="4935" w:type="dxa"/>
            <w:tcBorders>
              <w:top w:val="nil"/>
              <w:left w:val="nil"/>
              <w:bottom w:val="nil"/>
              <w:right w:val="nil"/>
            </w:tcBorders>
            <w:tcMar>
              <w:top w:w="100" w:type="dxa"/>
              <w:left w:w="100" w:type="dxa"/>
              <w:bottom w:w="100" w:type="dxa"/>
              <w:right w:w="100" w:type="dxa"/>
            </w:tcMar>
          </w:tcPr>
          <w:p w14:paraId="5842ABCA" w14:textId="77777777" w:rsidR="00F078BF" w:rsidRDefault="00000000">
            <w:pPr>
              <w:widowControl w:val="0"/>
              <w:spacing w:before="0" w:after="0"/>
              <w:ind w:firstLine="0"/>
              <w:rPr>
                <w:color w:val="333333"/>
                <w:sz w:val="24"/>
                <w:szCs w:val="24"/>
                <w:highlight w:val="white"/>
              </w:rPr>
            </w:pPr>
            <w:r>
              <w:rPr>
                <w:color w:val="333333"/>
                <w:sz w:val="24"/>
                <w:szCs w:val="24"/>
                <w:highlight w:val="white"/>
              </w:rPr>
              <w:t>I use typographical features like boldface and italics to identify key information.</w:t>
            </w:r>
          </w:p>
        </w:tc>
        <w:tc>
          <w:tcPr>
            <w:tcW w:w="1170" w:type="dxa"/>
            <w:tcBorders>
              <w:top w:val="nil"/>
              <w:left w:val="nil"/>
              <w:bottom w:val="nil"/>
              <w:right w:val="nil"/>
            </w:tcBorders>
            <w:tcMar>
              <w:top w:w="100" w:type="dxa"/>
              <w:left w:w="100" w:type="dxa"/>
              <w:bottom w:w="100" w:type="dxa"/>
              <w:right w:w="100" w:type="dxa"/>
            </w:tcMar>
          </w:tcPr>
          <w:p w14:paraId="10C53E9A"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3.76</w:t>
            </w:r>
          </w:p>
        </w:tc>
        <w:tc>
          <w:tcPr>
            <w:tcW w:w="1410" w:type="dxa"/>
            <w:tcBorders>
              <w:top w:val="nil"/>
              <w:left w:val="nil"/>
              <w:bottom w:val="nil"/>
              <w:right w:val="nil"/>
            </w:tcBorders>
            <w:tcMar>
              <w:top w:w="100" w:type="dxa"/>
              <w:left w:w="100" w:type="dxa"/>
              <w:bottom w:w="100" w:type="dxa"/>
              <w:right w:w="100" w:type="dxa"/>
            </w:tcMar>
          </w:tcPr>
          <w:p w14:paraId="79FF58BB" w14:textId="77777777" w:rsidR="00F078BF" w:rsidRDefault="00000000">
            <w:pPr>
              <w:widowControl w:val="0"/>
              <w:spacing w:before="0" w:after="0"/>
              <w:ind w:firstLine="0"/>
              <w:jc w:val="center"/>
              <w:rPr>
                <w:color w:val="EE0000"/>
                <w:sz w:val="24"/>
                <w:szCs w:val="24"/>
                <w:highlight w:val="white"/>
              </w:rPr>
            </w:pPr>
            <w:r>
              <w:rPr>
                <w:color w:val="EE0000"/>
                <w:sz w:val="24"/>
                <w:szCs w:val="24"/>
                <w:highlight w:val="white"/>
              </w:rPr>
              <w:t>1.07</w:t>
            </w:r>
          </w:p>
        </w:tc>
      </w:tr>
      <w:tr w:rsidR="00F078BF" w14:paraId="6DA6665A" w14:textId="77777777">
        <w:trPr>
          <w:trHeight w:val="515"/>
        </w:trPr>
        <w:tc>
          <w:tcPr>
            <w:tcW w:w="810" w:type="dxa"/>
            <w:tcBorders>
              <w:top w:val="nil"/>
              <w:left w:val="nil"/>
              <w:bottom w:val="nil"/>
              <w:right w:val="nil"/>
            </w:tcBorders>
            <w:tcMar>
              <w:top w:w="100" w:type="dxa"/>
              <w:left w:w="100" w:type="dxa"/>
              <w:bottom w:w="100" w:type="dxa"/>
              <w:right w:w="100" w:type="dxa"/>
            </w:tcMar>
          </w:tcPr>
          <w:p w14:paraId="068D883D"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B13</w:t>
            </w:r>
          </w:p>
        </w:tc>
        <w:tc>
          <w:tcPr>
            <w:tcW w:w="4935" w:type="dxa"/>
            <w:tcBorders>
              <w:top w:val="nil"/>
              <w:left w:val="nil"/>
              <w:bottom w:val="nil"/>
              <w:right w:val="nil"/>
            </w:tcBorders>
            <w:tcMar>
              <w:top w:w="100" w:type="dxa"/>
              <w:left w:w="100" w:type="dxa"/>
              <w:bottom w:w="100" w:type="dxa"/>
              <w:right w:w="100" w:type="dxa"/>
            </w:tcMar>
          </w:tcPr>
          <w:p w14:paraId="7EB04D32" w14:textId="77777777" w:rsidR="00F078BF" w:rsidRDefault="00000000">
            <w:pPr>
              <w:widowControl w:val="0"/>
              <w:spacing w:before="0" w:after="0"/>
              <w:ind w:firstLine="0"/>
              <w:rPr>
                <w:color w:val="333333"/>
                <w:sz w:val="24"/>
                <w:szCs w:val="24"/>
                <w:highlight w:val="white"/>
              </w:rPr>
            </w:pPr>
            <w:r>
              <w:rPr>
                <w:color w:val="333333"/>
                <w:sz w:val="24"/>
                <w:szCs w:val="24"/>
                <w:highlight w:val="white"/>
              </w:rPr>
              <w:t>I try to guess what the content of the online text is about when I read.</w:t>
            </w:r>
          </w:p>
        </w:tc>
        <w:tc>
          <w:tcPr>
            <w:tcW w:w="1170" w:type="dxa"/>
            <w:tcBorders>
              <w:top w:val="nil"/>
              <w:left w:val="nil"/>
              <w:bottom w:val="nil"/>
              <w:right w:val="nil"/>
            </w:tcBorders>
            <w:tcMar>
              <w:top w:w="100" w:type="dxa"/>
              <w:left w:w="100" w:type="dxa"/>
              <w:bottom w:w="100" w:type="dxa"/>
              <w:right w:w="100" w:type="dxa"/>
            </w:tcMar>
          </w:tcPr>
          <w:p w14:paraId="4C8E6A7A"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3.75</w:t>
            </w:r>
          </w:p>
        </w:tc>
        <w:tc>
          <w:tcPr>
            <w:tcW w:w="1410" w:type="dxa"/>
            <w:tcBorders>
              <w:top w:val="nil"/>
              <w:left w:val="nil"/>
              <w:bottom w:val="nil"/>
              <w:right w:val="nil"/>
            </w:tcBorders>
            <w:tcMar>
              <w:top w:w="100" w:type="dxa"/>
              <w:left w:w="100" w:type="dxa"/>
              <w:bottom w:w="100" w:type="dxa"/>
              <w:right w:w="100" w:type="dxa"/>
            </w:tcMar>
          </w:tcPr>
          <w:p w14:paraId="0E97B925" w14:textId="77777777" w:rsidR="00F078BF" w:rsidRDefault="00000000">
            <w:pPr>
              <w:widowControl w:val="0"/>
              <w:spacing w:before="0" w:after="0"/>
              <w:ind w:firstLine="0"/>
              <w:jc w:val="center"/>
              <w:rPr>
                <w:color w:val="EE0000"/>
                <w:sz w:val="24"/>
                <w:szCs w:val="24"/>
                <w:highlight w:val="white"/>
              </w:rPr>
            </w:pPr>
            <w:r>
              <w:rPr>
                <w:color w:val="EE0000"/>
                <w:sz w:val="24"/>
                <w:szCs w:val="24"/>
                <w:highlight w:val="white"/>
              </w:rPr>
              <w:t>1.01</w:t>
            </w:r>
          </w:p>
        </w:tc>
      </w:tr>
      <w:tr w:rsidR="00F078BF" w14:paraId="654EDBB3" w14:textId="77777777">
        <w:trPr>
          <w:trHeight w:val="515"/>
        </w:trPr>
        <w:tc>
          <w:tcPr>
            <w:tcW w:w="810" w:type="dxa"/>
            <w:tcBorders>
              <w:top w:val="nil"/>
              <w:left w:val="nil"/>
              <w:bottom w:val="nil"/>
              <w:right w:val="nil"/>
            </w:tcBorders>
            <w:tcMar>
              <w:top w:w="100" w:type="dxa"/>
              <w:left w:w="100" w:type="dxa"/>
              <w:bottom w:w="100" w:type="dxa"/>
              <w:right w:w="100" w:type="dxa"/>
            </w:tcMar>
          </w:tcPr>
          <w:p w14:paraId="23B18774"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B14</w:t>
            </w:r>
          </w:p>
        </w:tc>
        <w:tc>
          <w:tcPr>
            <w:tcW w:w="4935" w:type="dxa"/>
            <w:tcBorders>
              <w:top w:val="nil"/>
              <w:left w:val="nil"/>
              <w:bottom w:val="nil"/>
              <w:right w:val="nil"/>
            </w:tcBorders>
            <w:tcMar>
              <w:top w:w="100" w:type="dxa"/>
              <w:left w:w="100" w:type="dxa"/>
              <w:bottom w:w="100" w:type="dxa"/>
              <w:right w:w="100" w:type="dxa"/>
            </w:tcMar>
          </w:tcPr>
          <w:p w14:paraId="6CA6313F" w14:textId="77777777" w:rsidR="00F078BF" w:rsidRDefault="00000000">
            <w:pPr>
              <w:widowControl w:val="0"/>
              <w:spacing w:before="0" w:after="0"/>
              <w:ind w:firstLine="0"/>
              <w:rPr>
                <w:color w:val="333333"/>
                <w:sz w:val="24"/>
                <w:szCs w:val="24"/>
                <w:highlight w:val="white"/>
              </w:rPr>
            </w:pPr>
            <w:r>
              <w:rPr>
                <w:color w:val="333333"/>
                <w:sz w:val="24"/>
                <w:szCs w:val="24"/>
                <w:highlight w:val="white"/>
              </w:rPr>
              <w:t>I check to see if my guesses about the online text are right or wrong.</w:t>
            </w:r>
          </w:p>
        </w:tc>
        <w:tc>
          <w:tcPr>
            <w:tcW w:w="1170" w:type="dxa"/>
            <w:tcBorders>
              <w:top w:val="nil"/>
              <w:left w:val="nil"/>
              <w:bottom w:val="nil"/>
              <w:right w:val="nil"/>
            </w:tcBorders>
            <w:tcMar>
              <w:top w:w="100" w:type="dxa"/>
              <w:left w:w="100" w:type="dxa"/>
              <w:bottom w:w="100" w:type="dxa"/>
              <w:right w:w="100" w:type="dxa"/>
            </w:tcMar>
          </w:tcPr>
          <w:p w14:paraId="3EBC425C"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3.70</w:t>
            </w:r>
          </w:p>
        </w:tc>
        <w:tc>
          <w:tcPr>
            <w:tcW w:w="1410" w:type="dxa"/>
            <w:tcBorders>
              <w:top w:val="nil"/>
              <w:left w:val="nil"/>
              <w:bottom w:val="nil"/>
              <w:right w:val="nil"/>
            </w:tcBorders>
            <w:tcMar>
              <w:top w:w="100" w:type="dxa"/>
              <w:left w:w="100" w:type="dxa"/>
              <w:bottom w:w="100" w:type="dxa"/>
              <w:right w:w="100" w:type="dxa"/>
            </w:tcMar>
          </w:tcPr>
          <w:p w14:paraId="574AA2A8" w14:textId="77777777" w:rsidR="00F078BF" w:rsidRDefault="00000000">
            <w:pPr>
              <w:widowControl w:val="0"/>
              <w:spacing w:before="0" w:after="0"/>
              <w:ind w:firstLine="0"/>
              <w:jc w:val="center"/>
              <w:rPr>
                <w:color w:val="EE0000"/>
                <w:sz w:val="24"/>
                <w:szCs w:val="24"/>
                <w:highlight w:val="white"/>
              </w:rPr>
            </w:pPr>
            <w:r>
              <w:rPr>
                <w:color w:val="EE0000"/>
                <w:sz w:val="24"/>
                <w:szCs w:val="24"/>
                <w:highlight w:val="white"/>
              </w:rPr>
              <w:t>0.96</w:t>
            </w:r>
          </w:p>
        </w:tc>
      </w:tr>
      <w:tr w:rsidR="00F078BF" w14:paraId="0787DEEA" w14:textId="77777777">
        <w:trPr>
          <w:trHeight w:val="785"/>
        </w:trPr>
        <w:tc>
          <w:tcPr>
            <w:tcW w:w="810" w:type="dxa"/>
            <w:tcBorders>
              <w:top w:val="nil"/>
              <w:left w:val="nil"/>
              <w:bottom w:val="nil"/>
              <w:right w:val="nil"/>
            </w:tcBorders>
            <w:tcMar>
              <w:top w:w="100" w:type="dxa"/>
              <w:left w:w="100" w:type="dxa"/>
              <w:bottom w:w="100" w:type="dxa"/>
              <w:right w:w="100" w:type="dxa"/>
            </w:tcMar>
          </w:tcPr>
          <w:p w14:paraId="1D4F459C"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B15</w:t>
            </w:r>
          </w:p>
        </w:tc>
        <w:tc>
          <w:tcPr>
            <w:tcW w:w="4935" w:type="dxa"/>
            <w:tcBorders>
              <w:top w:val="nil"/>
              <w:left w:val="nil"/>
              <w:bottom w:val="nil"/>
              <w:right w:val="nil"/>
            </w:tcBorders>
            <w:tcMar>
              <w:top w:w="100" w:type="dxa"/>
              <w:left w:w="100" w:type="dxa"/>
              <w:bottom w:w="100" w:type="dxa"/>
              <w:right w:w="100" w:type="dxa"/>
            </w:tcMar>
          </w:tcPr>
          <w:p w14:paraId="052E3483" w14:textId="77777777" w:rsidR="00F078BF" w:rsidRDefault="00000000">
            <w:pPr>
              <w:widowControl w:val="0"/>
              <w:spacing w:before="0" w:after="0"/>
              <w:ind w:firstLine="0"/>
              <w:rPr>
                <w:color w:val="333333"/>
                <w:sz w:val="24"/>
                <w:szCs w:val="24"/>
                <w:highlight w:val="white"/>
              </w:rPr>
            </w:pPr>
            <w:r>
              <w:rPr>
                <w:color w:val="333333"/>
                <w:sz w:val="24"/>
                <w:szCs w:val="24"/>
                <w:highlight w:val="white"/>
              </w:rPr>
              <w:t>I scan the online text to get a basic idea of whether it will serve my purposes before deciding to read it.</w:t>
            </w:r>
          </w:p>
        </w:tc>
        <w:tc>
          <w:tcPr>
            <w:tcW w:w="1170" w:type="dxa"/>
            <w:tcBorders>
              <w:top w:val="nil"/>
              <w:left w:val="nil"/>
              <w:bottom w:val="nil"/>
              <w:right w:val="nil"/>
            </w:tcBorders>
            <w:tcMar>
              <w:top w:w="100" w:type="dxa"/>
              <w:left w:w="100" w:type="dxa"/>
              <w:bottom w:w="100" w:type="dxa"/>
              <w:right w:w="100" w:type="dxa"/>
            </w:tcMar>
          </w:tcPr>
          <w:p w14:paraId="58A139F7"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3.70</w:t>
            </w:r>
          </w:p>
        </w:tc>
        <w:tc>
          <w:tcPr>
            <w:tcW w:w="1410" w:type="dxa"/>
            <w:tcBorders>
              <w:top w:val="nil"/>
              <w:left w:val="nil"/>
              <w:bottom w:val="nil"/>
              <w:right w:val="nil"/>
            </w:tcBorders>
            <w:tcMar>
              <w:top w:w="100" w:type="dxa"/>
              <w:left w:w="100" w:type="dxa"/>
              <w:bottom w:w="100" w:type="dxa"/>
              <w:right w:w="100" w:type="dxa"/>
            </w:tcMar>
          </w:tcPr>
          <w:p w14:paraId="3C39914C" w14:textId="77777777" w:rsidR="00F078BF" w:rsidRDefault="00000000">
            <w:pPr>
              <w:widowControl w:val="0"/>
              <w:spacing w:before="0" w:after="0"/>
              <w:ind w:firstLine="0"/>
              <w:jc w:val="center"/>
              <w:rPr>
                <w:color w:val="EE0000"/>
                <w:sz w:val="24"/>
                <w:szCs w:val="24"/>
                <w:highlight w:val="white"/>
              </w:rPr>
            </w:pPr>
            <w:r>
              <w:rPr>
                <w:color w:val="EE0000"/>
                <w:sz w:val="24"/>
                <w:szCs w:val="24"/>
                <w:highlight w:val="white"/>
              </w:rPr>
              <w:t>1.06</w:t>
            </w:r>
          </w:p>
        </w:tc>
      </w:tr>
      <w:tr w:rsidR="00F078BF" w14:paraId="29778E0C" w14:textId="77777777">
        <w:trPr>
          <w:trHeight w:val="515"/>
        </w:trPr>
        <w:tc>
          <w:tcPr>
            <w:tcW w:w="810" w:type="dxa"/>
            <w:tcBorders>
              <w:top w:val="nil"/>
              <w:left w:val="nil"/>
              <w:bottom w:val="nil"/>
              <w:right w:val="nil"/>
            </w:tcBorders>
            <w:tcMar>
              <w:top w:w="100" w:type="dxa"/>
              <w:left w:w="100" w:type="dxa"/>
              <w:bottom w:w="100" w:type="dxa"/>
              <w:right w:w="100" w:type="dxa"/>
            </w:tcMar>
          </w:tcPr>
          <w:p w14:paraId="027F635F"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B11</w:t>
            </w:r>
          </w:p>
        </w:tc>
        <w:tc>
          <w:tcPr>
            <w:tcW w:w="4935" w:type="dxa"/>
            <w:tcBorders>
              <w:top w:val="nil"/>
              <w:left w:val="nil"/>
              <w:bottom w:val="nil"/>
              <w:right w:val="nil"/>
            </w:tcBorders>
            <w:tcMar>
              <w:top w:w="100" w:type="dxa"/>
              <w:left w:w="100" w:type="dxa"/>
              <w:bottom w:w="100" w:type="dxa"/>
              <w:right w:w="100" w:type="dxa"/>
            </w:tcMar>
          </w:tcPr>
          <w:p w14:paraId="6C13D501" w14:textId="77777777" w:rsidR="00F078BF" w:rsidRDefault="00000000">
            <w:pPr>
              <w:widowControl w:val="0"/>
              <w:spacing w:before="0" w:after="0"/>
              <w:ind w:firstLine="0"/>
              <w:rPr>
                <w:color w:val="333333"/>
                <w:sz w:val="24"/>
                <w:szCs w:val="24"/>
                <w:highlight w:val="white"/>
              </w:rPr>
            </w:pPr>
            <w:r>
              <w:rPr>
                <w:color w:val="333333"/>
                <w:sz w:val="24"/>
                <w:szCs w:val="24"/>
                <w:highlight w:val="white"/>
              </w:rPr>
              <w:t xml:space="preserve">I critically analyse and evaluate the information presented in the online text. </w:t>
            </w:r>
          </w:p>
        </w:tc>
        <w:tc>
          <w:tcPr>
            <w:tcW w:w="1170" w:type="dxa"/>
            <w:tcBorders>
              <w:top w:val="nil"/>
              <w:left w:val="nil"/>
              <w:bottom w:val="nil"/>
              <w:right w:val="nil"/>
            </w:tcBorders>
            <w:tcMar>
              <w:top w:w="100" w:type="dxa"/>
              <w:left w:w="100" w:type="dxa"/>
              <w:bottom w:w="100" w:type="dxa"/>
              <w:right w:w="100" w:type="dxa"/>
            </w:tcMar>
          </w:tcPr>
          <w:p w14:paraId="4FDF689F"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3.61</w:t>
            </w:r>
          </w:p>
        </w:tc>
        <w:tc>
          <w:tcPr>
            <w:tcW w:w="1410" w:type="dxa"/>
            <w:tcBorders>
              <w:top w:val="nil"/>
              <w:left w:val="nil"/>
              <w:bottom w:val="nil"/>
              <w:right w:val="nil"/>
            </w:tcBorders>
            <w:tcMar>
              <w:top w:w="100" w:type="dxa"/>
              <w:left w:w="100" w:type="dxa"/>
              <w:bottom w:w="100" w:type="dxa"/>
              <w:right w:w="100" w:type="dxa"/>
            </w:tcMar>
          </w:tcPr>
          <w:p w14:paraId="48BD83D6" w14:textId="77777777" w:rsidR="00F078BF" w:rsidRDefault="00000000">
            <w:pPr>
              <w:widowControl w:val="0"/>
              <w:spacing w:before="0" w:after="0"/>
              <w:ind w:firstLine="0"/>
              <w:jc w:val="center"/>
              <w:rPr>
                <w:color w:val="EE0000"/>
                <w:sz w:val="24"/>
                <w:szCs w:val="24"/>
                <w:highlight w:val="white"/>
              </w:rPr>
            </w:pPr>
            <w:r>
              <w:rPr>
                <w:color w:val="EE0000"/>
                <w:sz w:val="24"/>
                <w:szCs w:val="24"/>
                <w:highlight w:val="white"/>
              </w:rPr>
              <w:t>0.84</w:t>
            </w:r>
          </w:p>
        </w:tc>
      </w:tr>
      <w:tr w:rsidR="00F078BF" w14:paraId="604941A1" w14:textId="77777777">
        <w:trPr>
          <w:trHeight w:val="515"/>
        </w:trPr>
        <w:tc>
          <w:tcPr>
            <w:tcW w:w="810" w:type="dxa"/>
            <w:tcBorders>
              <w:top w:val="nil"/>
              <w:left w:val="nil"/>
              <w:bottom w:val="nil"/>
              <w:right w:val="nil"/>
            </w:tcBorders>
            <w:tcMar>
              <w:top w:w="100" w:type="dxa"/>
              <w:left w:w="100" w:type="dxa"/>
              <w:bottom w:w="100" w:type="dxa"/>
              <w:right w:w="100" w:type="dxa"/>
            </w:tcMar>
          </w:tcPr>
          <w:p w14:paraId="6A912C03"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B5</w:t>
            </w:r>
          </w:p>
        </w:tc>
        <w:tc>
          <w:tcPr>
            <w:tcW w:w="4935" w:type="dxa"/>
            <w:tcBorders>
              <w:top w:val="nil"/>
              <w:left w:val="nil"/>
              <w:bottom w:val="nil"/>
              <w:right w:val="nil"/>
            </w:tcBorders>
            <w:tcMar>
              <w:top w:w="100" w:type="dxa"/>
              <w:left w:w="100" w:type="dxa"/>
              <w:bottom w:w="100" w:type="dxa"/>
              <w:right w:w="100" w:type="dxa"/>
            </w:tcMar>
          </w:tcPr>
          <w:p w14:paraId="5E525E22" w14:textId="77777777" w:rsidR="00F078BF" w:rsidRDefault="00000000">
            <w:pPr>
              <w:widowControl w:val="0"/>
              <w:spacing w:before="0" w:after="0"/>
              <w:ind w:firstLine="0"/>
              <w:rPr>
                <w:color w:val="333333"/>
                <w:sz w:val="24"/>
                <w:szCs w:val="24"/>
                <w:highlight w:val="white"/>
              </w:rPr>
            </w:pPr>
            <w:r>
              <w:rPr>
                <w:color w:val="333333"/>
                <w:sz w:val="24"/>
                <w:szCs w:val="24"/>
                <w:highlight w:val="white"/>
              </w:rPr>
              <w:t xml:space="preserve">I review the online text first by noting its characteristics like length and organisation. </w:t>
            </w:r>
          </w:p>
        </w:tc>
        <w:tc>
          <w:tcPr>
            <w:tcW w:w="1170" w:type="dxa"/>
            <w:tcBorders>
              <w:top w:val="nil"/>
              <w:left w:val="nil"/>
              <w:bottom w:val="nil"/>
              <w:right w:val="nil"/>
            </w:tcBorders>
            <w:tcMar>
              <w:top w:w="100" w:type="dxa"/>
              <w:left w:w="100" w:type="dxa"/>
              <w:bottom w:w="100" w:type="dxa"/>
              <w:right w:w="100" w:type="dxa"/>
            </w:tcMar>
          </w:tcPr>
          <w:p w14:paraId="18F21F89"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3.60</w:t>
            </w:r>
          </w:p>
        </w:tc>
        <w:tc>
          <w:tcPr>
            <w:tcW w:w="1410" w:type="dxa"/>
            <w:tcBorders>
              <w:top w:val="nil"/>
              <w:left w:val="nil"/>
              <w:bottom w:val="nil"/>
              <w:right w:val="nil"/>
            </w:tcBorders>
            <w:tcMar>
              <w:top w:w="100" w:type="dxa"/>
              <w:left w:w="100" w:type="dxa"/>
              <w:bottom w:w="100" w:type="dxa"/>
              <w:right w:w="100" w:type="dxa"/>
            </w:tcMar>
          </w:tcPr>
          <w:p w14:paraId="1BB094CD" w14:textId="77777777" w:rsidR="00F078BF" w:rsidRDefault="00000000">
            <w:pPr>
              <w:widowControl w:val="0"/>
              <w:spacing w:before="0" w:after="0"/>
              <w:ind w:firstLine="0"/>
              <w:jc w:val="center"/>
              <w:rPr>
                <w:color w:val="EE0000"/>
                <w:sz w:val="24"/>
                <w:szCs w:val="24"/>
                <w:highlight w:val="white"/>
              </w:rPr>
            </w:pPr>
            <w:r>
              <w:rPr>
                <w:color w:val="EE0000"/>
                <w:sz w:val="24"/>
                <w:szCs w:val="24"/>
                <w:highlight w:val="white"/>
              </w:rPr>
              <w:t>1.04</w:t>
            </w:r>
          </w:p>
        </w:tc>
      </w:tr>
      <w:tr w:rsidR="00F078BF" w14:paraId="3709E4C8" w14:textId="77777777">
        <w:trPr>
          <w:trHeight w:val="515"/>
        </w:trPr>
        <w:tc>
          <w:tcPr>
            <w:tcW w:w="810" w:type="dxa"/>
            <w:tcBorders>
              <w:top w:val="nil"/>
              <w:left w:val="nil"/>
              <w:bottom w:val="nil"/>
              <w:right w:val="nil"/>
            </w:tcBorders>
            <w:tcMar>
              <w:top w:w="100" w:type="dxa"/>
              <w:left w:w="100" w:type="dxa"/>
              <w:bottom w:w="100" w:type="dxa"/>
              <w:right w:w="100" w:type="dxa"/>
            </w:tcMar>
          </w:tcPr>
          <w:p w14:paraId="7567B06D"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B3</w:t>
            </w:r>
          </w:p>
        </w:tc>
        <w:tc>
          <w:tcPr>
            <w:tcW w:w="4935" w:type="dxa"/>
            <w:tcBorders>
              <w:top w:val="nil"/>
              <w:left w:val="nil"/>
              <w:bottom w:val="nil"/>
              <w:right w:val="nil"/>
            </w:tcBorders>
            <w:tcMar>
              <w:top w:w="100" w:type="dxa"/>
              <w:left w:w="100" w:type="dxa"/>
              <w:bottom w:w="100" w:type="dxa"/>
              <w:right w:w="100" w:type="dxa"/>
            </w:tcMar>
          </w:tcPr>
          <w:p w14:paraId="25E837DD" w14:textId="77777777" w:rsidR="00F078BF" w:rsidRDefault="00000000">
            <w:pPr>
              <w:widowControl w:val="0"/>
              <w:spacing w:before="0" w:after="0"/>
              <w:ind w:firstLine="0"/>
              <w:rPr>
                <w:color w:val="333333"/>
                <w:sz w:val="24"/>
                <w:szCs w:val="24"/>
                <w:highlight w:val="white"/>
              </w:rPr>
            </w:pPr>
            <w:r>
              <w:rPr>
                <w:color w:val="333333"/>
                <w:sz w:val="24"/>
                <w:szCs w:val="24"/>
                <w:highlight w:val="white"/>
              </w:rPr>
              <w:t>I take an overall view of the online text to see what it is about before reading it.</w:t>
            </w:r>
          </w:p>
        </w:tc>
        <w:tc>
          <w:tcPr>
            <w:tcW w:w="1170" w:type="dxa"/>
            <w:tcBorders>
              <w:top w:val="nil"/>
              <w:left w:val="nil"/>
              <w:bottom w:val="nil"/>
              <w:right w:val="nil"/>
            </w:tcBorders>
            <w:tcMar>
              <w:top w:w="100" w:type="dxa"/>
              <w:left w:w="100" w:type="dxa"/>
              <w:bottom w:w="100" w:type="dxa"/>
              <w:right w:w="100" w:type="dxa"/>
            </w:tcMar>
          </w:tcPr>
          <w:p w14:paraId="58B3F346" w14:textId="77777777" w:rsidR="00F078BF" w:rsidRDefault="00000000">
            <w:pPr>
              <w:widowControl w:val="0"/>
              <w:spacing w:before="0" w:after="0"/>
              <w:ind w:firstLine="0"/>
              <w:jc w:val="center"/>
              <w:rPr>
                <w:color w:val="333333"/>
                <w:sz w:val="24"/>
                <w:szCs w:val="24"/>
                <w:highlight w:val="white"/>
              </w:rPr>
            </w:pPr>
            <w:r>
              <w:rPr>
                <w:color w:val="333333"/>
                <w:sz w:val="24"/>
                <w:szCs w:val="24"/>
                <w:highlight w:val="white"/>
              </w:rPr>
              <w:t>3.50</w:t>
            </w:r>
          </w:p>
        </w:tc>
        <w:tc>
          <w:tcPr>
            <w:tcW w:w="1410" w:type="dxa"/>
            <w:tcBorders>
              <w:top w:val="nil"/>
              <w:left w:val="nil"/>
              <w:bottom w:val="nil"/>
              <w:right w:val="nil"/>
            </w:tcBorders>
            <w:tcMar>
              <w:top w:w="100" w:type="dxa"/>
              <w:left w:w="100" w:type="dxa"/>
              <w:bottom w:w="100" w:type="dxa"/>
              <w:right w:w="100" w:type="dxa"/>
            </w:tcMar>
          </w:tcPr>
          <w:p w14:paraId="0A88A40B" w14:textId="77777777" w:rsidR="00F078BF" w:rsidRDefault="00000000">
            <w:pPr>
              <w:widowControl w:val="0"/>
              <w:spacing w:before="0" w:after="0"/>
              <w:ind w:firstLine="0"/>
              <w:jc w:val="center"/>
              <w:rPr>
                <w:color w:val="EE0000"/>
                <w:sz w:val="24"/>
                <w:szCs w:val="24"/>
                <w:highlight w:val="white"/>
              </w:rPr>
            </w:pPr>
            <w:r>
              <w:rPr>
                <w:color w:val="EE0000"/>
                <w:sz w:val="24"/>
                <w:szCs w:val="24"/>
                <w:highlight w:val="white"/>
              </w:rPr>
              <w:t>1.14</w:t>
            </w:r>
          </w:p>
        </w:tc>
      </w:tr>
      <w:tr w:rsidR="00F078BF" w14:paraId="6ED958E0" w14:textId="77777777">
        <w:trPr>
          <w:trHeight w:val="515"/>
        </w:trPr>
        <w:tc>
          <w:tcPr>
            <w:tcW w:w="810" w:type="dxa"/>
            <w:tcBorders>
              <w:top w:val="nil"/>
              <w:left w:val="nil"/>
              <w:bottom w:val="single" w:sz="8" w:space="0" w:color="000000"/>
              <w:right w:val="nil"/>
            </w:tcBorders>
            <w:tcMar>
              <w:top w:w="100" w:type="dxa"/>
              <w:left w:w="100" w:type="dxa"/>
              <w:bottom w:w="100" w:type="dxa"/>
              <w:right w:w="100" w:type="dxa"/>
            </w:tcMar>
          </w:tcPr>
          <w:p w14:paraId="119A9BA2" w14:textId="77777777" w:rsidR="00F078BF" w:rsidRDefault="00000000">
            <w:pPr>
              <w:widowControl w:val="0"/>
              <w:spacing w:before="0" w:after="0"/>
              <w:ind w:firstLine="0"/>
              <w:rPr>
                <w:b/>
                <w:bCs/>
                <w:color w:val="333333"/>
                <w:sz w:val="24"/>
                <w:szCs w:val="24"/>
                <w:highlight w:val="white"/>
              </w:rPr>
            </w:pPr>
            <w:r>
              <w:rPr>
                <w:b/>
                <w:bCs/>
                <w:color w:val="333333"/>
                <w:sz w:val="24"/>
                <w:szCs w:val="24"/>
                <w:highlight w:val="white"/>
              </w:rPr>
              <w:t>Total</w:t>
            </w:r>
          </w:p>
        </w:tc>
        <w:tc>
          <w:tcPr>
            <w:tcW w:w="4935" w:type="dxa"/>
            <w:tcBorders>
              <w:top w:val="nil"/>
              <w:left w:val="nil"/>
              <w:bottom w:val="single" w:sz="8" w:space="0" w:color="000000"/>
              <w:right w:val="nil"/>
            </w:tcBorders>
            <w:tcMar>
              <w:top w:w="100" w:type="dxa"/>
              <w:left w:w="100" w:type="dxa"/>
              <w:bottom w:w="100" w:type="dxa"/>
              <w:right w:w="100" w:type="dxa"/>
            </w:tcMar>
          </w:tcPr>
          <w:p w14:paraId="73515A8F" w14:textId="77777777" w:rsidR="00F078BF" w:rsidRDefault="00F078BF">
            <w:pPr>
              <w:widowControl w:val="0"/>
              <w:spacing w:before="0" w:after="0"/>
              <w:ind w:firstLine="0"/>
              <w:rPr>
                <w:b/>
                <w:bCs/>
                <w:color w:val="333333"/>
                <w:sz w:val="24"/>
                <w:szCs w:val="24"/>
                <w:highlight w:val="white"/>
              </w:rPr>
            </w:pPr>
          </w:p>
        </w:tc>
        <w:tc>
          <w:tcPr>
            <w:tcW w:w="1170" w:type="dxa"/>
            <w:tcBorders>
              <w:top w:val="nil"/>
              <w:left w:val="nil"/>
              <w:bottom w:val="single" w:sz="8" w:space="0" w:color="000000"/>
              <w:right w:val="nil"/>
            </w:tcBorders>
            <w:tcMar>
              <w:top w:w="100" w:type="dxa"/>
              <w:left w:w="100" w:type="dxa"/>
              <w:bottom w:w="100" w:type="dxa"/>
              <w:right w:w="100" w:type="dxa"/>
            </w:tcMar>
          </w:tcPr>
          <w:p w14:paraId="130C0F72" w14:textId="77777777" w:rsidR="00F078BF" w:rsidRDefault="00000000">
            <w:pPr>
              <w:widowControl w:val="0"/>
              <w:spacing w:before="0" w:after="0"/>
              <w:ind w:firstLine="0"/>
              <w:jc w:val="center"/>
              <w:rPr>
                <w:b/>
                <w:bCs/>
                <w:color w:val="333333"/>
                <w:sz w:val="24"/>
                <w:szCs w:val="24"/>
                <w:highlight w:val="white"/>
              </w:rPr>
            </w:pPr>
            <w:r>
              <w:rPr>
                <w:b/>
                <w:bCs/>
                <w:color w:val="333333"/>
                <w:sz w:val="24"/>
                <w:szCs w:val="24"/>
                <w:highlight w:val="white"/>
              </w:rPr>
              <w:t>3.78</w:t>
            </w:r>
          </w:p>
        </w:tc>
        <w:tc>
          <w:tcPr>
            <w:tcW w:w="1410" w:type="dxa"/>
            <w:tcBorders>
              <w:top w:val="nil"/>
              <w:left w:val="nil"/>
              <w:bottom w:val="single" w:sz="8" w:space="0" w:color="000000"/>
              <w:right w:val="nil"/>
            </w:tcBorders>
            <w:tcMar>
              <w:top w:w="100" w:type="dxa"/>
              <w:left w:w="100" w:type="dxa"/>
              <w:bottom w:w="100" w:type="dxa"/>
              <w:right w:w="100" w:type="dxa"/>
            </w:tcMar>
          </w:tcPr>
          <w:p w14:paraId="50B946AE" w14:textId="77777777" w:rsidR="00F078BF" w:rsidRDefault="00000000">
            <w:pPr>
              <w:widowControl w:val="0"/>
              <w:spacing w:before="0" w:after="0"/>
              <w:ind w:firstLine="0"/>
              <w:jc w:val="center"/>
              <w:rPr>
                <w:b/>
                <w:bCs/>
                <w:color w:val="EE0000"/>
                <w:sz w:val="24"/>
                <w:szCs w:val="24"/>
                <w:highlight w:val="white"/>
              </w:rPr>
            </w:pPr>
            <w:r>
              <w:rPr>
                <w:b/>
                <w:bCs/>
                <w:color w:val="EE0000"/>
                <w:sz w:val="24"/>
                <w:szCs w:val="24"/>
                <w:highlight w:val="white"/>
              </w:rPr>
              <w:t xml:space="preserve">0.97 </w:t>
            </w:r>
          </w:p>
        </w:tc>
      </w:tr>
    </w:tbl>
    <w:p w14:paraId="23337726" w14:textId="77777777" w:rsidR="00F078BF" w:rsidRDefault="00F078BF">
      <w:pPr>
        <w:spacing w:after="0" w:line="480" w:lineRule="auto"/>
        <w:ind w:firstLine="0"/>
        <w:rPr>
          <w:color w:val="333333"/>
          <w:sz w:val="24"/>
          <w:szCs w:val="24"/>
          <w:highlight w:val="white"/>
        </w:rPr>
      </w:pPr>
    </w:p>
    <w:p w14:paraId="086EA455" w14:textId="77777777" w:rsidR="00F078BF" w:rsidRDefault="00000000">
      <w:pPr>
        <w:spacing w:before="0" w:after="120" w:line="480" w:lineRule="auto"/>
        <w:ind w:firstLine="0"/>
        <w:rPr>
          <w:sz w:val="24"/>
          <w:szCs w:val="24"/>
        </w:rPr>
      </w:pPr>
      <w:r>
        <w:rPr>
          <w:b/>
          <w:bCs/>
          <w:i/>
          <w:iCs/>
          <w:sz w:val="24"/>
          <w:szCs w:val="24"/>
        </w:rPr>
        <w:t>4.3 The perceived use of problem-solving strategies</w:t>
      </w:r>
    </w:p>
    <w:p w14:paraId="17A2F4D9" w14:textId="77777777" w:rsidR="00F078BF" w:rsidRDefault="00000000">
      <w:pPr>
        <w:spacing w:before="0" w:after="120" w:line="480" w:lineRule="auto"/>
        <w:ind w:firstLine="566"/>
        <w:rPr>
          <w:color w:val="333333"/>
          <w:sz w:val="24"/>
          <w:szCs w:val="24"/>
          <w:highlight w:val="white"/>
        </w:rPr>
      </w:pPr>
      <w:r>
        <w:rPr>
          <w:sz w:val="24"/>
          <w:szCs w:val="24"/>
        </w:rPr>
        <w:t>Concerning the students’ perceived use of problem-solving strategies (B18-B25), the overall mean is 3.83, and the SD is 0.99, indicating a moderate gap in their perceptions of how often they use these strategies. Item B23 has the highest mean value of 4.02, indicating that students frequently use these strategies when reading online. Notably, this strategy also reaches the highest mean value among all MORS. In contrast, item B25 has the lowest mean value at 3.54. Evidently, students sometimes distinguish between facts and opinions when acquiring online texts.</w:t>
      </w:r>
    </w:p>
    <w:p w14:paraId="6197E380" w14:textId="77777777" w:rsidR="00F078BF" w:rsidRDefault="00000000">
      <w:pPr>
        <w:keepNext/>
        <w:ind w:left="720" w:hanging="720"/>
        <w:rPr>
          <w:b/>
          <w:bCs/>
          <w:sz w:val="24"/>
          <w:szCs w:val="24"/>
        </w:rPr>
      </w:pPr>
      <w:r>
        <w:rPr>
          <w:b/>
          <w:bCs/>
          <w:sz w:val="24"/>
          <w:szCs w:val="24"/>
        </w:rPr>
        <w:lastRenderedPageBreak/>
        <w:t>Table 4.3</w:t>
      </w:r>
    </w:p>
    <w:p w14:paraId="1AFF87F5" w14:textId="77777777" w:rsidR="00F078BF" w:rsidRDefault="00000000">
      <w:pPr>
        <w:keepNext/>
        <w:ind w:firstLine="0"/>
        <w:rPr>
          <w:sz w:val="24"/>
          <w:szCs w:val="24"/>
        </w:rPr>
      </w:pPr>
      <w:r>
        <w:rPr>
          <w:i/>
          <w:iCs/>
          <w:sz w:val="24"/>
          <w:szCs w:val="24"/>
        </w:rPr>
        <w:t>Students’ perceived use of problem-solving strategies</w:t>
      </w:r>
    </w:p>
    <w:tbl>
      <w:tblPr>
        <w:tblStyle w:val="Style18"/>
        <w:tblW w:w="8205" w:type="dxa"/>
        <w:tblInd w:w="0" w:type="dxa"/>
        <w:tblLayout w:type="fixed"/>
        <w:tblLook w:val="04A0" w:firstRow="1" w:lastRow="0" w:firstColumn="1" w:lastColumn="0" w:noHBand="0" w:noVBand="1"/>
      </w:tblPr>
      <w:tblGrid>
        <w:gridCol w:w="1080"/>
        <w:gridCol w:w="4695"/>
        <w:gridCol w:w="1005"/>
        <w:gridCol w:w="1425"/>
      </w:tblGrid>
      <w:tr w:rsidR="00F078BF" w14:paraId="277ACAF1" w14:textId="77777777">
        <w:trPr>
          <w:trHeight w:val="375"/>
        </w:trPr>
        <w:tc>
          <w:tcPr>
            <w:tcW w:w="1080" w:type="dxa"/>
            <w:tcBorders>
              <w:top w:val="single" w:sz="8" w:space="0" w:color="000000"/>
              <w:left w:val="nil"/>
              <w:bottom w:val="single" w:sz="8" w:space="0" w:color="000000"/>
              <w:right w:val="nil"/>
            </w:tcBorders>
            <w:tcMar>
              <w:top w:w="100" w:type="dxa"/>
              <w:left w:w="100" w:type="dxa"/>
              <w:bottom w:w="100" w:type="dxa"/>
              <w:right w:w="100" w:type="dxa"/>
            </w:tcMar>
          </w:tcPr>
          <w:p w14:paraId="580F8F67" w14:textId="77777777" w:rsidR="00F078BF" w:rsidRDefault="00000000">
            <w:pPr>
              <w:spacing w:before="0" w:after="0"/>
              <w:ind w:right="-115" w:firstLine="0"/>
              <w:jc w:val="center"/>
              <w:rPr>
                <w:sz w:val="24"/>
                <w:szCs w:val="24"/>
              </w:rPr>
            </w:pPr>
            <w:r>
              <w:rPr>
                <w:b/>
                <w:bCs/>
                <w:sz w:val="24"/>
                <w:szCs w:val="24"/>
              </w:rPr>
              <w:t>Item</w:t>
            </w:r>
          </w:p>
        </w:tc>
        <w:tc>
          <w:tcPr>
            <w:tcW w:w="4695" w:type="dxa"/>
            <w:tcBorders>
              <w:top w:val="single" w:sz="8" w:space="0" w:color="000000"/>
              <w:left w:val="nil"/>
              <w:bottom w:val="single" w:sz="8" w:space="0" w:color="000000"/>
              <w:right w:val="nil"/>
            </w:tcBorders>
            <w:tcMar>
              <w:top w:w="100" w:type="dxa"/>
              <w:left w:w="100" w:type="dxa"/>
              <w:bottom w:w="100" w:type="dxa"/>
              <w:right w:w="100" w:type="dxa"/>
            </w:tcMar>
          </w:tcPr>
          <w:p w14:paraId="67FD549B" w14:textId="77777777" w:rsidR="00F078BF" w:rsidRDefault="00000000">
            <w:pPr>
              <w:spacing w:before="0" w:after="0"/>
              <w:ind w:right="-165" w:firstLine="0"/>
              <w:jc w:val="center"/>
              <w:rPr>
                <w:sz w:val="24"/>
                <w:szCs w:val="24"/>
              </w:rPr>
            </w:pPr>
            <w:r>
              <w:rPr>
                <w:b/>
                <w:bCs/>
                <w:sz w:val="24"/>
                <w:szCs w:val="24"/>
              </w:rPr>
              <w:t>Statement</w:t>
            </w:r>
          </w:p>
        </w:tc>
        <w:tc>
          <w:tcPr>
            <w:tcW w:w="1005" w:type="dxa"/>
            <w:tcBorders>
              <w:top w:val="single" w:sz="8" w:space="0" w:color="000000"/>
              <w:left w:val="nil"/>
              <w:bottom w:val="single" w:sz="8" w:space="0" w:color="000000"/>
              <w:right w:val="nil"/>
            </w:tcBorders>
            <w:tcMar>
              <w:top w:w="100" w:type="dxa"/>
              <w:left w:w="100" w:type="dxa"/>
              <w:bottom w:w="100" w:type="dxa"/>
              <w:right w:w="100" w:type="dxa"/>
            </w:tcMar>
          </w:tcPr>
          <w:p w14:paraId="7CA3B79D" w14:textId="77777777" w:rsidR="00F078BF" w:rsidRDefault="00000000">
            <w:pPr>
              <w:spacing w:before="0" w:after="0"/>
              <w:ind w:right="-55" w:firstLine="0"/>
              <w:jc w:val="center"/>
              <w:rPr>
                <w:sz w:val="24"/>
                <w:szCs w:val="24"/>
              </w:rPr>
            </w:pPr>
            <w:r>
              <w:rPr>
                <w:b/>
                <w:bCs/>
                <w:sz w:val="24"/>
                <w:szCs w:val="24"/>
              </w:rPr>
              <w:t>Mean</w:t>
            </w:r>
          </w:p>
        </w:tc>
        <w:tc>
          <w:tcPr>
            <w:tcW w:w="1425" w:type="dxa"/>
            <w:tcBorders>
              <w:top w:val="single" w:sz="8" w:space="0" w:color="000000"/>
              <w:left w:val="nil"/>
              <w:bottom w:val="single" w:sz="8" w:space="0" w:color="000000"/>
              <w:right w:val="nil"/>
            </w:tcBorders>
            <w:tcMar>
              <w:top w:w="100" w:type="dxa"/>
              <w:left w:w="100" w:type="dxa"/>
              <w:bottom w:w="100" w:type="dxa"/>
              <w:right w:w="100" w:type="dxa"/>
            </w:tcMar>
          </w:tcPr>
          <w:p w14:paraId="2FC80529" w14:textId="77777777" w:rsidR="00F078BF" w:rsidRDefault="00000000">
            <w:pPr>
              <w:spacing w:before="0" w:after="0"/>
              <w:ind w:firstLine="0"/>
              <w:jc w:val="center"/>
              <w:rPr>
                <w:b/>
                <w:bCs/>
                <w:color w:val="EE0000"/>
                <w:sz w:val="24"/>
                <w:szCs w:val="24"/>
              </w:rPr>
            </w:pPr>
            <w:r>
              <w:rPr>
                <w:b/>
                <w:bCs/>
                <w:color w:val="EE0000"/>
                <w:sz w:val="24"/>
                <w:szCs w:val="24"/>
              </w:rPr>
              <w:t>SD</w:t>
            </w:r>
          </w:p>
        </w:tc>
      </w:tr>
      <w:tr w:rsidR="00F078BF" w14:paraId="6ED39C09" w14:textId="77777777">
        <w:trPr>
          <w:trHeight w:val="785"/>
        </w:trPr>
        <w:tc>
          <w:tcPr>
            <w:tcW w:w="1080" w:type="dxa"/>
            <w:tcBorders>
              <w:top w:val="single" w:sz="8" w:space="0" w:color="000000"/>
              <w:left w:val="nil"/>
              <w:bottom w:val="nil"/>
              <w:right w:val="nil"/>
            </w:tcBorders>
            <w:tcMar>
              <w:top w:w="100" w:type="dxa"/>
              <w:left w:w="100" w:type="dxa"/>
              <w:bottom w:w="100" w:type="dxa"/>
              <w:right w:w="100" w:type="dxa"/>
            </w:tcMar>
          </w:tcPr>
          <w:p w14:paraId="2CC8393F" w14:textId="77777777" w:rsidR="00F078BF" w:rsidRDefault="00000000">
            <w:pPr>
              <w:spacing w:before="0" w:after="0"/>
              <w:ind w:right="-115" w:firstLine="0"/>
              <w:jc w:val="center"/>
              <w:rPr>
                <w:sz w:val="24"/>
                <w:szCs w:val="24"/>
              </w:rPr>
            </w:pPr>
            <w:r>
              <w:rPr>
                <w:sz w:val="24"/>
                <w:szCs w:val="24"/>
              </w:rPr>
              <w:t>B23</w:t>
            </w:r>
          </w:p>
        </w:tc>
        <w:tc>
          <w:tcPr>
            <w:tcW w:w="4695" w:type="dxa"/>
            <w:tcBorders>
              <w:top w:val="single" w:sz="8" w:space="0" w:color="000000"/>
              <w:left w:val="nil"/>
              <w:bottom w:val="nil"/>
              <w:right w:val="nil"/>
            </w:tcBorders>
            <w:tcMar>
              <w:top w:w="100" w:type="dxa"/>
              <w:left w:w="100" w:type="dxa"/>
              <w:bottom w:w="100" w:type="dxa"/>
              <w:right w:w="100" w:type="dxa"/>
            </w:tcMar>
          </w:tcPr>
          <w:p w14:paraId="1848FA7C" w14:textId="77777777" w:rsidR="00F078BF" w:rsidRDefault="00000000">
            <w:pPr>
              <w:spacing w:before="0" w:after="0"/>
              <w:ind w:right="-50" w:firstLine="0"/>
              <w:jc w:val="left"/>
              <w:rPr>
                <w:sz w:val="24"/>
                <w:szCs w:val="24"/>
              </w:rPr>
            </w:pPr>
            <w:r>
              <w:rPr>
                <w:sz w:val="24"/>
                <w:szCs w:val="24"/>
              </w:rPr>
              <w:t>When online text becomes difficult, I re-read it to increase my understanding.</w:t>
            </w:r>
          </w:p>
        </w:tc>
        <w:tc>
          <w:tcPr>
            <w:tcW w:w="1005" w:type="dxa"/>
            <w:tcBorders>
              <w:top w:val="single" w:sz="8" w:space="0" w:color="000000"/>
              <w:left w:val="nil"/>
              <w:bottom w:val="nil"/>
              <w:right w:val="nil"/>
            </w:tcBorders>
            <w:tcMar>
              <w:top w:w="100" w:type="dxa"/>
              <w:left w:w="100" w:type="dxa"/>
              <w:bottom w:w="100" w:type="dxa"/>
              <w:right w:w="100" w:type="dxa"/>
            </w:tcMar>
          </w:tcPr>
          <w:p w14:paraId="42BE1D4C" w14:textId="77777777" w:rsidR="00F078BF" w:rsidRDefault="00000000">
            <w:pPr>
              <w:spacing w:before="0" w:after="0"/>
              <w:ind w:right="-55" w:firstLine="0"/>
              <w:jc w:val="center"/>
              <w:rPr>
                <w:sz w:val="24"/>
                <w:szCs w:val="24"/>
              </w:rPr>
            </w:pPr>
            <w:r>
              <w:rPr>
                <w:sz w:val="24"/>
                <w:szCs w:val="24"/>
              </w:rPr>
              <w:t>4.02</w:t>
            </w:r>
          </w:p>
        </w:tc>
        <w:tc>
          <w:tcPr>
            <w:tcW w:w="1425" w:type="dxa"/>
            <w:tcBorders>
              <w:top w:val="single" w:sz="8" w:space="0" w:color="000000"/>
              <w:left w:val="nil"/>
              <w:bottom w:val="nil"/>
              <w:right w:val="nil"/>
            </w:tcBorders>
            <w:tcMar>
              <w:top w:w="100" w:type="dxa"/>
              <w:left w:w="100" w:type="dxa"/>
              <w:bottom w:w="100" w:type="dxa"/>
              <w:right w:w="100" w:type="dxa"/>
            </w:tcMar>
          </w:tcPr>
          <w:p w14:paraId="1276B392" w14:textId="77777777" w:rsidR="00F078BF" w:rsidRDefault="00000000">
            <w:pPr>
              <w:spacing w:before="0" w:after="0"/>
              <w:ind w:right="-152" w:firstLine="0"/>
              <w:jc w:val="center"/>
              <w:rPr>
                <w:color w:val="EE0000"/>
                <w:sz w:val="24"/>
                <w:szCs w:val="24"/>
              </w:rPr>
            </w:pPr>
            <w:r>
              <w:rPr>
                <w:color w:val="EE0000"/>
                <w:sz w:val="24"/>
                <w:szCs w:val="24"/>
              </w:rPr>
              <w:t>1.01</w:t>
            </w:r>
          </w:p>
        </w:tc>
      </w:tr>
      <w:tr w:rsidR="00F078BF" w14:paraId="134802C2" w14:textId="77777777">
        <w:trPr>
          <w:trHeight w:val="500"/>
        </w:trPr>
        <w:tc>
          <w:tcPr>
            <w:tcW w:w="1080" w:type="dxa"/>
            <w:tcBorders>
              <w:top w:val="nil"/>
              <w:left w:val="nil"/>
              <w:bottom w:val="nil"/>
              <w:right w:val="nil"/>
            </w:tcBorders>
            <w:tcMar>
              <w:top w:w="100" w:type="dxa"/>
              <w:left w:w="100" w:type="dxa"/>
              <w:bottom w:w="100" w:type="dxa"/>
              <w:right w:w="100" w:type="dxa"/>
            </w:tcMar>
          </w:tcPr>
          <w:p w14:paraId="471607B8" w14:textId="77777777" w:rsidR="00F078BF" w:rsidRDefault="00000000">
            <w:pPr>
              <w:spacing w:before="0" w:after="0"/>
              <w:ind w:right="-115" w:firstLine="0"/>
              <w:jc w:val="center"/>
              <w:rPr>
                <w:sz w:val="24"/>
                <w:szCs w:val="24"/>
              </w:rPr>
            </w:pPr>
            <w:r>
              <w:rPr>
                <w:sz w:val="24"/>
                <w:szCs w:val="24"/>
              </w:rPr>
              <w:t>B19</w:t>
            </w:r>
          </w:p>
        </w:tc>
        <w:tc>
          <w:tcPr>
            <w:tcW w:w="4695" w:type="dxa"/>
            <w:tcBorders>
              <w:top w:val="nil"/>
              <w:left w:val="nil"/>
              <w:bottom w:val="nil"/>
              <w:right w:val="nil"/>
            </w:tcBorders>
            <w:tcMar>
              <w:top w:w="100" w:type="dxa"/>
              <w:left w:w="100" w:type="dxa"/>
              <w:bottom w:w="100" w:type="dxa"/>
              <w:right w:w="100" w:type="dxa"/>
            </w:tcMar>
          </w:tcPr>
          <w:p w14:paraId="333300D3" w14:textId="77777777" w:rsidR="00F078BF" w:rsidRDefault="00000000">
            <w:pPr>
              <w:spacing w:before="0" w:after="0"/>
              <w:ind w:right="-50" w:firstLine="0"/>
              <w:jc w:val="left"/>
              <w:rPr>
                <w:sz w:val="24"/>
                <w:szCs w:val="24"/>
              </w:rPr>
            </w:pPr>
            <w:r>
              <w:rPr>
                <w:sz w:val="24"/>
                <w:szCs w:val="24"/>
              </w:rPr>
              <w:t>I try to get back on track when I lose concentration.</w:t>
            </w:r>
          </w:p>
        </w:tc>
        <w:tc>
          <w:tcPr>
            <w:tcW w:w="1005" w:type="dxa"/>
            <w:tcBorders>
              <w:top w:val="nil"/>
              <w:left w:val="nil"/>
              <w:bottom w:val="nil"/>
              <w:right w:val="nil"/>
            </w:tcBorders>
            <w:tcMar>
              <w:top w:w="100" w:type="dxa"/>
              <w:left w:w="100" w:type="dxa"/>
              <w:bottom w:w="100" w:type="dxa"/>
              <w:right w:w="100" w:type="dxa"/>
            </w:tcMar>
          </w:tcPr>
          <w:p w14:paraId="46B37678" w14:textId="77777777" w:rsidR="00F078BF" w:rsidRDefault="00000000">
            <w:pPr>
              <w:spacing w:before="0" w:after="0"/>
              <w:ind w:right="-55" w:firstLine="0"/>
              <w:jc w:val="center"/>
              <w:rPr>
                <w:sz w:val="24"/>
                <w:szCs w:val="24"/>
              </w:rPr>
            </w:pPr>
            <w:r>
              <w:rPr>
                <w:sz w:val="24"/>
                <w:szCs w:val="24"/>
              </w:rPr>
              <w:t>3.91</w:t>
            </w:r>
          </w:p>
        </w:tc>
        <w:tc>
          <w:tcPr>
            <w:tcW w:w="1425" w:type="dxa"/>
            <w:tcBorders>
              <w:top w:val="nil"/>
              <w:left w:val="nil"/>
              <w:bottom w:val="nil"/>
              <w:right w:val="nil"/>
            </w:tcBorders>
            <w:tcMar>
              <w:top w:w="100" w:type="dxa"/>
              <w:left w:w="100" w:type="dxa"/>
              <w:bottom w:w="100" w:type="dxa"/>
              <w:right w:w="100" w:type="dxa"/>
            </w:tcMar>
          </w:tcPr>
          <w:p w14:paraId="6DD4AEEF" w14:textId="77777777" w:rsidR="00F078BF" w:rsidRDefault="00000000">
            <w:pPr>
              <w:spacing w:before="0" w:after="0"/>
              <w:ind w:right="-152" w:firstLine="0"/>
              <w:jc w:val="center"/>
              <w:rPr>
                <w:color w:val="EE0000"/>
                <w:sz w:val="24"/>
                <w:szCs w:val="24"/>
              </w:rPr>
            </w:pPr>
            <w:r>
              <w:rPr>
                <w:color w:val="EE0000"/>
                <w:sz w:val="24"/>
                <w:szCs w:val="24"/>
              </w:rPr>
              <w:t>0.91</w:t>
            </w:r>
          </w:p>
        </w:tc>
      </w:tr>
      <w:tr w:rsidR="00F078BF" w14:paraId="1875436E" w14:textId="77777777">
        <w:trPr>
          <w:trHeight w:val="785"/>
        </w:trPr>
        <w:tc>
          <w:tcPr>
            <w:tcW w:w="1080" w:type="dxa"/>
            <w:tcBorders>
              <w:top w:val="nil"/>
              <w:left w:val="nil"/>
              <w:bottom w:val="nil"/>
              <w:right w:val="nil"/>
            </w:tcBorders>
            <w:tcMar>
              <w:top w:w="100" w:type="dxa"/>
              <w:left w:w="100" w:type="dxa"/>
              <w:bottom w:w="100" w:type="dxa"/>
              <w:right w:w="100" w:type="dxa"/>
            </w:tcMar>
          </w:tcPr>
          <w:p w14:paraId="4C9E90BC" w14:textId="77777777" w:rsidR="00F078BF" w:rsidRDefault="00000000">
            <w:pPr>
              <w:spacing w:before="0" w:after="0"/>
              <w:ind w:right="-115" w:firstLine="0"/>
              <w:jc w:val="center"/>
              <w:rPr>
                <w:sz w:val="24"/>
                <w:szCs w:val="24"/>
              </w:rPr>
            </w:pPr>
            <w:r>
              <w:rPr>
                <w:sz w:val="24"/>
                <w:szCs w:val="24"/>
              </w:rPr>
              <w:t>B18</w:t>
            </w:r>
          </w:p>
        </w:tc>
        <w:tc>
          <w:tcPr>
            <w:tcW w:w="4695" w:type="dxa"/>
            <w:tcBorders>
              <w:top w:val="nil"/>
              <w:left w:val="nil"/>
              <w:bottom w:val="nil"/>
              <w:right w:val="nil"/>
            </w:tcBorders>
            <w:tcMar>
              <w:top w:w="100" w:type="dxa"/>
              <w:left w:w="100" w:type="dxa"/>
              <w:bottom w:w="100" w:type="dxa"/>
              <w:right w:w="100" w:type="dxa"/>
            </w:tcMar>
          </w:tcPr>
          <w:p w14:paraId="7A236857" w14:textId="77777777" w:rsidR="00F078BF" w:rsidRDefault="00000000">
            <w:pPr>
              <w:spacing w:before="0" w:after="0"/>
              <w:ind w:right="-50" w:firstLine="0"/>
              <w:jc w:val="left"/>
              <w:rPr>
                <w:sz w:val="24"/>
                <w:szCs w:val="24"/>
              </w:rPr>
            </w:pPr>
            <w:r>
              <w:rPr>
                <w:sz w:val="24"/>
                <w:szCs w:val="24"/>
              </w:rPr>
              <w:t>I read slowly and carefully to make sure I understand what I am reading online.</w:t>
            </w:r>
          </w:p>
        </w:tc>
        <w:tc>
          <w:tcPr>
            <w:tcW w:w="1005" w:type="dxa"/>
            <w:tcBorders>
              <w:top w:val="nil"/>
              <w:left w:val="nil"/>
              <w:bottom w:val="nil"/>
              <w:right w:val="nil"/>
            </w:tcBorders>
            <w:tcMar>
              <w:top w:w="100" w:type="dxa"/>
              <w:left w:w="100" w:type="dxa"/>
              <w:bottom w:w="100" w:type="dxa"/>
              <w:right w:w="100" w:type="dxa"/>
            </w:tcMar>
          </w:tcPr>
          <w:p w14:paraId="3B66CEF6" w14:textId="77777777" w:rsidR="00F078BF" w:rsidRDefault="00000000">
            <w:pPr>
              <w:spacing w:before="0" w:after="0"/>
              <w:ind w:right="-55" w:firstLine="0"/>
              <w:jc w:val="center"/>
              <w:rPr>
                <w:sz w:val="24"/>
                <w:szCs w:val="24"/>
              </w:rPr>
            </w:pPr>
            <w:r>
              <w:rPr>
                <w:sz w:val="24"/>
                <w:szCs w:val="24"/>
              </w:rPr>
              <w:t>3.90</w:t>
            </w:r>
          </w:p>
        </w:tc>
        <w:tc>
          <w:tcPr>
            <w:tcW w:w="1425" w:type="dxa"/>
            <w:tcBorders>
              <w:top w:val="nil"/>
              <w:left w:val="nil"/>
              <w:bottom w:val="nil"/>
              <w:right w:val="nil"/>
            </w:tcBorders>
            <w:tcMar>
              <w:top w:w="100" w:type="dxa"/>
              <w:left w:w="100" w:type="dxa"/>
              <w:bottom w:w="100" w:type="dxa"/>
              <w:right w:w="100" w:type="dxa"/>
            </w:tcMar>
          </w:tcPr>
          <w:p w14:paraId="721E88DC" w14:textId="77777777" w:rsidR="00F078BF" w:rsidRDefault="00000000">
            <w:pPr>
              <w:spacing w:before="0" w:after="0"/>
              <w:ind w:right="-152" w:firstLine="0"/>
              <w:jc w:val="center"/>
              <w:rPr>
                <w:color w:val="EE0000"/>
                <w:sz w:val="24"/>
                <w:szCs w:val="24"/>
              </w:rPr>
            </w:pPr>
            <w:r>
              <w:rPr>
                <w:color w:val="EE0000"/>
                <w:sz w:val="24"/>
                <w:szCs w:val="24"/>
              </w:rPr>
              <w:t>0.94</w:t>
            </w:r>
          </w:p>
        </w:tc>
      </w:tr>
      <w:tr w:rsidR="00F078BF" w14:paraId="595F5976" w14:textId="77777777">
        <w:trPr>
          <w:trHeight w:val="785"/>
        </w:trPr>
        <w:tc>
          <w:tcPr>
            <w:tcW w:w="1080" w:type="dxa"/>
            <w:tcBorders>
              <w:top w:val="nil"/>
              <w:left w:val="nil"/>
              <w:bottom w:val="nil"/>
              <w:right w:val="nil"/>
            </w:tcBorders>
            <w:tcMar>
              <w:top w:w="100" w:type="dxa"/>
              <w:left w:w="100" w:type="dxa"/>
              <w:bottom w:w="100" w:type="dxa"/>
              <w:right w:w="100" w:type="dxa"/>
            </w:tcMar>
          </w:tcPr>
          <w:p w14:paraId="65A88ED4" w14:textId="77777777" w:rsidR="00F078BF" w:rsidRDefault="00000000">
            <w:pPr>
              <w:spacing w:before="0" w:after="0"/>
              <w:ind w:right="-115" w:firstLine="0"/>
              <w:jc w:val="center"/>
              <w:rPr>
                <w:sz w:val="24"/>
                <w:szCs w:val="24"/>
              </w:rPr>
            </w:pPr>
            <w:r>
              <w:rPr>
                <w:sz w:val="24"/>
                <w:szCs w:val="24"/>
              </w:rPr>
              <w:t>B22</w:t>
            </w:r>
          </w:p>
        </w:tc>
        <w:tc>
          <w:tcPr>
            <w:tcW w:w="4695" w:type="dxa"/>
            <w:tcBorders>
              <w:top w:val="nil"/>
              <w:left w:val="nil"/>
              <w:bottom w:val="nil"/>
              <w:right w:val="nil"/>
            </w:tcBorders>
            <w:tcMar>
              <w:top w:w="100" w:type="dxa"/>
              <w:left w:w="100" w:type="dxa"/>
              <w:bottom w:w="100" w:type="dxa"/>
              <w:right w:w="100" w:type="dxa"/>
            </w:tcMar>
          </w:tcPr>
          <w:p w14:paraId="0E7C39E1" w14:textId="77777777" w:rsidR="00F078BF" w:rsidRDefault="00000000">
            <w:pPr>
              <w:spacing w:before="0" w:after="0"/>
              <w:ind w:right="-50" w:firstLine="0"/>
              <w:jc w:val="left"/>
              <w:rPr>
                <w:sz w:val="24"/>
                <w:szCs w:val="24"/>
              </w:rPr>
            </w:pPr>
            <w:r>
              <w:rPr>
                <w:sz w:val="24"/>
                <w:szCs w:val="24"/>
              </w:rPr>
              <w:t>I try to picture or visualise information to help remember what I read online.</w:t>
            </w:r>
          </w:p>
        </w:tc>
        <w:tc>
          <w:tcPr>
            <w:tcW w:w="1005" w:type="dxa"/>
            <w:tcBorders>
              <w:top w:val="nil"/>
              <w:left w:val="nil"/>
              <w:bottom w:val="nil"/>
              <w:right w:val="nil"/>
            </w:tcBorders>
            <w:tcMar>
              <w:top w:w="100" w:type="dxa"/>
              <w:left w:w="100" w:type="dxa"/>
              <w:bottom w:w="100" w:type="dxa"/>
              <w:right w:w="100" w:type="dxa"/>
            </w:tcMar>
          </w:tcPr>
          <w:p w14:paraId="4EC51E91" w14:textId="77777777" w:rsidR="00F078BF" w:rsidRDefault="00000000">
            <w:pPr>
              <w:spacing w:before="0" w:after="0"/>
              <w:ind w:right="-55" w:firstLine="0"/>
              <w:jc w:val="center"/>
              <w:rPr>
                <w:sz w:val="24"/>
                <w:szCs w:val="24"/>
              </w:rPr>
            </w:pPr>
            <w:r>
              <w:rPr>
                <w:sz w:val="24"/>
                <w:szCs w:val="24"/>
              </w:rPr>
              <w:t>3.90</w:t>
            </w:r>
          </w:p>
        </w:tc>
        <w:tc>
          <w:tcPr>
            <w:tcW w:w="1425" w:type="dxa"/>
            <w:tcBorders>
              <w:top w:val="nil"/>
              <w:left w:val="nil"/>
              <w:bottom w:val="nil"/>
              <w:right w:val="nil"/>
            </w:tcBorders>
            <w:tcMar>
              <w:top w:w="100" w:type="dxa"/>
              <w:left w:w="100" w:type="dxa"/>
              <w:bottom w:w="100" w:type="dxa"/>
              <w:right w:w="100" w:type="dxa"/>
            </w:tcMar>
          </w:tcPr>
          <w:p w14:paraId="7B32727F" w14:textId="77777777" w:rsidR="00F078BF" w:rsidRDefault="00000000">
            <w:pPr>
              <w:spacing w:before="0" w:after="0"/>
              <w:ind w:right="-152" w:firstLine="0"/>
              <w:jc w:val="center"/>
              <w:rPr>
                <w:color w:val="EE0000"/>
                <w:sz w:val="24"/>
                <w:szCs w:val="24"/>
              </w:rPr>
            </w:pPr>
            <w:r>
              <w:rPr>
                <w:color w:val="EE0000"/>
                <w:sz w:val="24"/>
                <w:szCs w:val="24"/>
              </w:rPr>
              <w:t>0.92</w:t>
            </w:r>
          </w:p>
        </w:tc>
      </w:tr>
      <w:tr w:rsidR="00F078BF" w14:paraId="22D7A5DA" w14:textId="77777777">
        <w:trPr>
          <w:trHeight w:val="500"/>
        </w:trPr>
        <w:tc>
          <w:tcPr>
            <w:tcW w:w="1080" w:type="dxa"/>
            <w:tcBorders>
              <w:top w:val="nil"/>
              <w:left w:val="nil"/>
              <w:bottom w:val="nil"/>
              <w:right w:val="nil"/>
            </w:tcBorders>
            <w:tcMar>
              <w:top w:w="100" w:type="dxa"/>
              <w:left w:w="100" w:type="dxa"/>
              <w:bottom w:w="100" w:type="dxa"/>
              <w:right w:w="100" w:type="dxa"/>
            </w:tcMar>
          </w:tcPr>
          <w:p w14:paraId="39F7F04A" w14:textId="77777777" w:rsidR="00F078BF" w:rsidRDefault="00000000">
            <w:pPr>
              <w:spacing w:before="0" w:after="0"/>
              <w:ind w:right="-115" w:firstLine="0"/>
              <w:jc w:val="center"/>
              <w:rPr>
                <w:sz w:val="24"/>
                <w:szCs w:val="24"/>
              </w:rPr>
            </w:pPr>
            <w:r>
              <w:rPr>
                <w:sz w:val="24"/>
                <w:szCs w:val="24"/>
              </w:rPr>
              <w:t>B20</w:t>
            </w:r>
          </w:p>
        </w:tc>
        <w:tc>
          <w:tcPr>
            <w:tcW w:w="4695" w:type="dxa"/>
            <w:tcBorders>
              <w:top w:val="nil"/>
              <w:left w:val="nil"/>
              <w:bottom w:val="nil"/>
              <w:right w:val="nil"/>
            </w:tcBorders>
            <w:tcMar>
              <w:top w:w="100" w:type="dxa"/>
              <w:left w:w="100" w:type="dxa"/>
              <w:bottom w:w="100" w:type="dxa"/>
              <w:right w:w="100" w:type="dxa"/>
            </w:tcMar>
          </w:tcPr>
          <w:p w14:paraId="77CA1A5A" w14:textId="77777777" w:rsidR="00F078BF" w:rsidRDefault="00000000">
            <w:pPr>
              <w:spacing w:before="0" w:after="0"/>
              <w:ind w:right="-50" w:firstLine="0"/>
              <w:jc w:val="left"/>
              <w:rPr>
                <w:sz w:val="24"/>
                <w:szCs w:val="24"/>
              </w:rPr>
            </w:pPr>
            <w:r>
              <w:rPr>
                <w:sz w:val="24"/>
                <w:szCs w:val="24"/>
              </w:rPr>
              <w:t>I adjust my reading speed according to what I am reading online.</w:t>
            </w:r>
          </w:p>
        </w:tc>
        <w:tc>
          <w:tcPr>
            <w:tcW w:w="1005" w:type="dxa"/>
            <w:tcBorders>
              <w:top w:val="nil"/>
              <w:left w:val="nil"/>
              <w:bottom w:val="nil"/>
              <w:right w:val="nil"/>
            </w:tcBorders>
            <w:tcMar>
              <w:top w:w="100" w:type="dxa"/>
              <w:left w:w="100" w:type="dxa"/>
              <w:bottom w:w="100" w:type="dxa"/>
              <w:right w:w="100" w:type="dxa"/>
            </w:tcMar>
          </w:tcPr>
          <w:p w14:paraId="1F61D5E0" w14:textId="77777777" w:rsidR="00F078BF" w:rsidRDefault="00000000">
            <w:pPr>
              <w:spacing w:before="0" w:after="0"/>
              <w:ind w:right="-55" w:firstLine="0"/>
              <w:jc w:val="center"/>
              <w:rPr>
                <w:sz w:val="24"/>
                <w:szCs w:val="24"/>
              </w:rPr>
            </w:pPr>
            <w:r>
              <w:rPr>
                <w:sz w:val="24"/>
                <w:szCs w:val="24"/>
              </w:rPr>
              <w:t>3.89</w:t>
            </w:r>
          </w:p>
        </w:tc>
        <w:tc>
          <w:tcPr>
            <w:tcW w:w="1425" w:type="dxa"/>
            <w:tcBorders>
              <w:top w:val="nil"/>
              <w:left w:val="nil"/>
              <w:bottom w:val="nil"/>
              <w:right w:val="nil"/>
            </w:tcBorders>
            <w:tcMar>
              <w:top w:w="100" w:type="dxa"/>
              <w:left w:w="100" w:type="dxa"/>
              <w:bottom w:w="100" w:type="dxa"/>
              <w:right w:w="100" w:type="dxa"/>
            </w:tcMar>
          </w:tcPr>
          <w:p w14:paraId="0756AA80" w14:textId="77777777" w:rsidR="00F078BF" w:rsidRDefault="00000000">
            <w:pPr>
              <w:spacing w:before="0" w:after="0"/>
              <w:ind w:right="-152" w:firstLine="0"/>
              <w:jc w:val="center"/>
              <w:rPr>
                <w:color w:val="EE0000"/>
                <w:sz w:val="24"/>
                <w:szCs w:val="24"/>
              </w:rPr>
            </w:pPr>
            <w:r>
              <w:rPr>
                <w:color w:val="EE0000"/>
                <w:sz w:val="24"/>
                <w:szCs w:val="24"/>
              </w:rPr>
              <w:t>0.87</w:t>
            </w:r>
          </w:p>
        </w:tc>
      </w:tr>
      <w:tr w:rsidR="00F078BF" w14:paraId="7B52E41C" w14:textId="77777777">
        <w:trPr>
          <w:trHeight w:val="500"/>
        </w:trPr>
        <w:tc>
          <w:tcPr>
            <w:tcW w:w="1080" w:type="dxa"/>
            <w:tcBorders>
              <w:top w:val="nil"/>
              <w:left w:val="nil"/>
              <w:bottom w:val="nil"/>
              <w:right w:val="nil"/>
            </w:tcBorders>
            <w:tcMar>
              <w:top w:w="100" w:type="dxa"/>
              <w:left w:w="100" w:type="dxa"/>
              <w:bottom w:w="100" w:type="dxa"/>
              <w:right w:w="100" w:type="dxa"/>
            </w:tcMar>
          </w:tcPr>
          <w:p w14:paraId="46025C42" w14:textId="77777777" w:rsidR="00F078BF" w:rsidRDefault="00000000">
            <w:pPr>
              <w:spacing w:before="0" w:after="0"/>
              <w:ind w:right="-115" w:firstLine="0"/>
              <w:jc w:val="center"/>
              <w:rPr>
                <w:sz w:val="24"/>
                <w:szCs w:val="24"/>
              </w:rPr>
            </w:pPr>
            <w:r>
              <w:rPr>
                <w:sz w:val="24"/>
                <w:szCs w:val="24"/>
              </w:rPr>
              <w:t>B24</w:t>
            </w:r>
          </w:p>
        </w:tc>
        <w:tc>
          <w:tcPr>
            <w:tcW w:w="4695" w:type="dxa"/>
            <w:tcBorders>
              <w:top w:val="nil"/>
              <w:left w:val="nil"/>
              <w:bottom w:val="nil"/>
              <w:right w:val="nil"/>
            </w:tcBorders>
            <w:tcMar>
              <w:top w:w="100" w:type="dxa"/>
              <w:left w:w="100" w:type="dxa"/>
              <w:bottom w:w="100" w:type="dxa"/>
              <w:right w:w="100" w:type="dxa"/>
            </w:tcMar>
          </w:tcPr>
          <w:p w14:paraId="639A356D" w14:textId="77777777" w:rsidR="00F078BF" w:rsidRDefault="00000000">
            <w:pPr>
              <w:spacing w:before="0" w:after="0"/>
              <w:ind w:right="-50" w:firstLine="0"/>
              <w:jc w:val="left"/>
              <w:rPr>
                <w:sz w:val="24"/>
                <w:szCs w:val="24"/>
              </w:rPr>
            </w:pPr>
            <w:r>
              <w:rPr>
                <w:sz w:val="24"/>
                <w:szCs w:val="24"/>
              </w:rPr>
              <w:t>When I read online, I guess the meaning of unknown words or phrases.</w:t>
            </w:r>
          </w:p>
        </w:tc>
        <w:tc>
          <w:tcPr>
            <w:tcW w:w="1005" w:type="dxa"/>
            <w:tcBorders>
              <w:top w:val="nil"/>
              <w:left w:val="nil"/>
              <w:bottom w:val="nil"/>
              <w:right w:val="nil"/>
            </w:tcBorders>
            <w:tcMar>
              <w:top w:w="100" w:type="dxa"/>
              <w:left w:w="100" w:type="dxa"/>
              <w:bottom w:w="100" w:type="dxa"/>
              <w:right w:w="100" w:type="dxa"/>
            </w:tcMar>
          </w:tcPr>
          <w:p w14:paraId="2E00948E" w14:textId="77777777" w:rsidR="00F078BF" w:rsidRDefault="00000000">
            <w:pPr>
              <w:spacing w:before="0" w:after="0"/>
              <w:ind w:right="-55" w:firstLine="0"/>
              <w:jc w:val="center"/>
              <w:rPr>
                <w:sz w:val="24"/>
                <w:szCs w:val="24"/>
              </w:rPr>
            </w:pPr>
            <w:r>
              <w:rPr>
                <w:sz w:val="24"/>
                <w:szCs w:val="24"/>
              </w:rPr>
              <w:t>3.83</w:t>
            </w:r>
          </w:p>
        </w:tc>
        <w:tc>
          <w:tcPr>
            <w:tcW w:w="1425" w:type="dxa"/>
            <w:tcBorders>
              <w:top w:val="nil"/>
              <w:left w:val="nil"/>
              <w:bottom w:val="nil"/>
              <w:right w:val="nil"/>
            </w:tcBorders>
            <w:tcMar>
              <w:top w:w="100" w:type="dxa"/>
              <w:left w:w="100" w:type="dxa"/>
              <w:bottom w:w="100" w:type="dxa"/>
              <w:right w:w="100" w:type="dxa"/>
            </w:tcMar>
          </w:tcPr>
          <w:p w14:paraId="674FCC06" w14:textId="77777777" w:rsidR="00F078BF" w:rsidRDefault="00000000">
            <w:pPr>
              <w:spacing w:before="0" w:after="0"/>
              <w:ind w:right="-152" w:firstLine="0"/>
              <w:jc w:val="center"/>
              <w:rPr>
                <w:color w:val="EE0000"/>
                <w:sz w:val="24"/>
                <w:szCs w:val="24"/>
              </w:rPr>
            </w:pPr>
            <w:r>
              <w:rPr>
                <w:color w:val="EE0000"/>
                <w:sz w:val="24"/>
                <w:szCs w:val="24"/>
              </w:rPr>
              <w:t>1.06</w:t>
            </w:r>
          </w:p>
        </w:tc>
      </w:tr>
      <w:tr w:rsidR="00F078BF" w14:paraId="44C82C02" w14:textId="77777777">
        <w:trPr>
          <w:trHeight w:val="500"/>
        </w:trPr>
        <w:tc>
          <w:tcPr>
            <w:tcW w:w="1080" w:type="dxa"/>
            <w:tcBorders>
              <w:top w:val="nil"/>
              <w:left w:val="nil"/>
              <w:bottom w:val="nil"/>
              <w:right w:val="nil"/>
            </w:tcBorders>
            <w:tcMar>
              <w:top w:w="100" w:type="dxa"/>
              <w:left w:w="100" w:type="dxa"/>
              <w:bottom w:w="100" w:type="dxa"/>
              <w:right w:w="100" w:type="dxa"/>
            </w:tcMar>
          </w:tcPr>
          <w:p w14:paraId="3605EF86" w14:textId="77777777" w:rsidR="00F078BF" w:rsidRDefault="00000000">
            <w:pPr>
              <w:spacing w:before="0" w:after="0"/>
              <w:ind w:right="-115" w:firstLine="0"/>
              <w:jc w:val="center"/>
              <w:rPr>
                <w:sz w:val="24"/>
                <w:szCs w:val="24"/>
              </w:rPr>
            </w:pPr>
            <w:r>
              <w:rPr>
                <w:sz w:val="24"/>
                <w:szCs w:val="24"/>
              </w:rPr>
              <w:t>B21</w:t>
            </w:r>
          </w:p>
        </w:tc>
        <w:tc>
          <w:tcPr>
            <w:tcW w:w="4695" w:type="dxa"/>
            <w:tcBorders>
              <w:top w:val="nil"/>
              <w:left w:val="nil"/>
              <w:bottom w:val="nil"/>
              <w:right w:val="nil"/>
            </w:tcBorders>
            <w:tcMar>
              <w:top w:w="100" w:type="dxa"/>
              <w:left w:w="100" w:type="dxa"/>
              <w:bottom w:w="100" w:type="dxa"/>
              <w:right w:w="100" w:type="dxa"/>
            </w:tcMar>
          </w:tcPr>
          <w:p w14:paraId="1CC2AA25" w14:textId="77777777" w:rsidR="00F078BF" w:rsidRDefault="00000000">
            <w:pPr>
              <w:spacing w:before="0" w:after="0"/>
              <w:ind w:right="-50" w:firstLine="0"/>
              <w:jc w:val="left"/>
              <w:rPr>
                <w:sz w:val="24"/>
                <w:szCs w:val="24"/>
              </w:rPr>
            </w:pPr>
            <w:r>
              <w:rPr>
                <w:sz w:val="24"/>
                <w:szCs w:val="24"/>
              </w:rPr>
              <w:t>I stop from time to time and think about what I am reading online.</w:t>
            </w:r>
          </w:p>
        </w:tc>
        <w:tc>
          <w:tcPr>
            <w:tcW w:w="1005" w:type="dxa"/>
            <w:tcBorders>
              <w:top w:val="nil"/>
              <w:left w:val="nil"/>
              <w:bottom w:val="nil"/>
              <w:right w:val="nil"/>
            </w:tcBorders>
            <w:tcMar>
              <w:top w:w="100" w:type="dxa"/>
              <w:left w:w="100" w:type="dxa"/>
              <w:bottom w:w="100" w:type="dxa"/>
              <w:right w:w="100" w:type="dxa"/>
            </w:tcMar>
          </w:tcPr>
          <w:p w14:paraId="73060556" w14:textId="77777777" w:rsidR="00F078BF" w:rsidRDefault="00000000">
            <w:pPr>
              <w:spacing w:before="0" w:after="0"/>
              <w:ind w:right="-55" w:firstLine="0"/>
              <w:jc w:val="center"/>
              <w:rPr>
                <w:sz w:val="24"/>
                <w:szCs w:val="24"/>
              </w:rPr>
            </w:pPr>
            <w:r>
              <w:rPr>
                <w:sz w:val="24"/>
                <w:szCs w:val="24"/>
              </w:rPr>
              <w:t>3.63</w:t>
            </w:r>
          </w:p>
        </w:tc>
        <w:tc>
          <w:tcPr>
            <w:tcW w:w="1425" w:type="dxa"/>
            <w:tcBorders>
              <w:top w:val="nil"/>
              <w:left w:val="nil"/>
              <w:bottom w:val="nil"/>
              <w:right w:val="nil"/>
            </w:tcBorders>
            <w:tcMar>
              <w:top w:w="100" w:type="dxa"/>
              <w:left w:w="100" w:type="dxa"/>
              <w:bottom w:w="100" w:type="dxa"/>
              <w:right w:w="100" w:type="dxa"/>
            </w:tcMar>
          </w:tcPr>
          <w:p w14:paraId="4907A16A" w14:textId="77777777" w:rsidR="00F078BF" w:rsidRDefault="00000000">
            <w:pPr>
              <w:spacing w:before="0" w:after="0"/>
              <w:ind w:right="-152" w:firstLine="0"/>
              <w:jc w:val="center"/>
              <w:rPr>
                <w:color w:val="EE0000"/>
                <w:sz w:val="24"/>
                <w:szCs w:val="24"/>
              </w:rPr>
            </w:pPr>
            <w:r>
              <w:rPr>
                <w:color w:val="EE0000"/>
                <w:sz w:val="24"/>
                <w:szCs w:val="24"/>
              </w:rPr>
              <w:t>1.08</w:t>
            </w:r>
          </w:p>
        </w:tc>
      </w:tr>
      <w:tr w:rsidR="00F078BF" w14:paraId="5139FA0E" w14:textId="77777777">
        <w:trPr>
          <w:trHeight w:val="500"/>
        </w:trPr>
        <w:tc>
          <w:tcPr>
            <w:tcW w:w="1080" w:type="dxa"/>
            <w:tcBorders>
              <w:top w:val="nil"/>
              <w:left w:val="nil"/>
              <w:bottom w:val="nil"/>
              <w:right w:val="nil"/>
            </w:tcBorders>
            <w:tcMar>
              <w:top w:w="100" w:type="dxa"/>
              <w:left w:w="100" w:type="dxa"/>
              <w:bottom w:w="100" w:type="dxa"/>
              <w:right w:w="100" w:type="dxa"/>
            </w:tcMar>
          </w:tcPr>
          <w:p w14:paraId="4E4D3406" w14:textId="77777777" w:rsidR="00F078BF" w:rsidRDefault="00000000">
            <w:pPr>
              <w:spacing w:before="0" w:after="0"/>
              <w:ind w:right="-115" w:firstLine="0"/>
              <w:jc w:val="center"/>
              <w:rPr>
                <w:sz w:val="24"/>
                <w:szCs w:val="24"/>
              </w:rPr>
            </w:pPr>
            <w:r>
              <w:rPr>
                <w:sz w:val="24"/>
                <w:szCs w:val="24"/>
              </w:rPr>
              <w:t>B25</w:t>
            </w:r>
          </w:p>
        </w:tc>
        <w:tc>
          <w:tcPr>
            <w:tcW w:w="4695" w:type="dxa"/>
            <w:tcBorders>
              <w:top w:val="nil"/>
              <w:left w:val="nil"/>
              <w:bottom w:val="nil"/>
              <w:right w:val="nil"/>
            </w:tcBorders>
            <w:tcMar>
              <w:top w:w="100" w:type="dxa"/>
              <w:left w:w="100" w:type="dxa"/>
              <w:bottom w:w="100" w:type="dxa"/>
              <w:right w:w="100" w:type="dxa"/>
            </w:tcMar>
          </w:tcPr>
          <w:p w14:paraId="02D1A838" w14:textId="77777777" w:rsidR="00F078BF" w:rsidRDefault="00000000">
            <w:pPr>
              <w:spacing w:before="0" w:after="0"/>
              <w:ind w:right="-50" w:firstLine="0"/>
              <w:jc w:val="left"/>
              <w:rPr>
                <w:sz w:val="24"/>
                <w:szCs w:val="24"/>
              </w:rPr>
            </w:pPr>
            <w:r>
              <w:rPr>
                <w:sz w:val="24"/>
                <w:szCs w:val="24"/>
              </w:rPr>
              <w:t>I can distinguish between fact and opinion in online texts.</w:t>
            </w:r>
          </w:p>
        </w:tc>
        <w:tc>
          <w:tcPr>
            <w:tcW w:w="1005" w:type="dxa"/>
            <w:tcBorders>
              <w:top w:val="nil"/>
              <w:left w:val="nil"/>
              <w:bottom w:val="nil"/>
              <w:right w:val="nil"/>
            </w:tcBorders>
            <w:tcMar>
              <w:top w:w="100" w:type="dxa"/>
              <w:left w:w="100" w:type="dxa"/>
              <w:bottom w:w="100" w:type="dxa"/>
              <w:right w:w="100" w:type="dxa"/>
            </w:tcMar>
          </w:tcPr>
          <w:p w14:paraId="402F1E3F" w14:textId="77777777" w:rsidR="00F078BF" w:rsidRDefault="00000000">
            <w:pPr>
              <w:spacing w:before="0" w:after="0"/>
              <w:ind w:right="-55" w:firstLine="0"/>
              <w:jc w:val="center"/>
              <w:rPr>
                <w:sz w:val="24"/>
                <w:szCs w:val="24"/>
              </w:rPr>
            </w:pPr>
            <w:r>
              <w:rPr>
                <w:sz w:val="24"/>
                <w:szCs w:val="24"/>
              </w:rPr>
              <w:t>3.54</w:t>
            </w:r>
          </w:p>
        </w:tc>
        <w:tc>
          <w:tcPr>
            <w:tcW w:w="1425" w:type="dxa"/>
            <w:tcBorders>
              <w:top w:val="nil"/>
              <w:left w:val="nil"/>
              <w:bottom w:val="nil"/>
              <w:right w:val="nil"/>
            </w:tcBorders>
            <w:tcMar>
              <w:top w:w="100" w:type="dxa"/>
              <w:left w:w="100" w:type="dxa"/>
              <w:bottom w:w="100" w:type="dxa"/>
              <w:right w:w="100" w:type="dxa"/>
            </w:tcMar>
          </w:tcPr>
          <w:p w14:paraId="6AA82FAD" w14:textId="77777777" w:rsidR="00F078BF" w:rsidRDefault="00000000">
            <w:pPr>
              <w:spacing w:before="0" w:after="0"/>
              <w:ind w:right="-152" w:firstLine="0"/>
              <w:jc w:val="center"/>
              <w:rPr>
                <w:color w:val="EE0000"/>
                <w:sz w:val="24"/>
                <w:szCs w:val="24"/>
              </w:rPr>
            </w:pPr>
            <w:r>
              <w:rPr>
                <w:color w:val="EE0000"/>
                <w:sz w:val="24"/>
                <w:szCs w:val="24"/>
              </w:rPr>
              <w:t>1.01</w:t>
            </w:r>
          </w:p>
        </w:tc>
      </w:tr>
      <w:tr w:rsidR="00F078BF" w14:paraId="5DF8A486" w14:textId="77777777">
        <w:trPr>
          <w:trHeight w:val="500"/>
        </w:trPr>
        <w:tc>
          <w:tcPr>
            <w:tcW w:w="1080" w:type="dxa"/>
            <w:tcBorders>
              <w:top w:val="nil"/>
              <w:left w:val="nil"/>
              <w:bottom w:val="single" w:sz="8" w:space="0" w:color="000000"/>
              <w:right w:val="nil"/>
            </w:tcBorders>
            <w:tcMar>
              <w:top w:w="100" w:type="dxa"/>
              <w:left w:w="100" w:type="dxa"/>
              <w:bottom w:w="100" w:type="dxa"/>
              <w:right w:w="100" w:type="dxa"/>
            </w:tcMar>
          </w:tcPr>
          <w:p w14:paraId="383ACEBE" w14:textId="77777777" w:rsidR="00F078BF" w:rsidRDefault="00000000">
            <w:pPr>
              <w:widowControl w:val="0"/>
              <w:spacing w:before="0" w:after="0"/>
              <w:ind w:firstLine="0"/>
              <w:jc w:val="center"/>
              <w:rPr>
                <w:b/>
                <w:bCs/>
                <w:color w:val="333333"/>
                <w:sz w:val="24"/>
                <w:szCs w:val="24"/>
                <w:highlight w:val="white"/>
              </w:rPr>
            </w:pPr>
            <w:r>
              <w:rPr>
                <w:b/>
                <w:bCs/>
                <w:color w:val="333333"/>
                <w:sz w:val="24"/>
                <w:szCs w:val="24"/>
                <w:highlight w:val="white"/>
              </w:rPr>
              <w:t>Total</w:t>
            </w:r>
          </w:p>
        </w:tc>
        <w:tc>
          <w:tcPr>
            <w:tcW w:w="4695" w:type="dxa"/>
            <w:tcBorders>
              <w:top w:val="nil"/>
              <w:left w:val="nil"/>
              <w:bottom w:val="single" w:sz="8" w:space="0" w:color="000000"/>
              <w:right w:val="nil"/>
            </w:tcBorders>
            <w:tcMar>
              <w:top w:w="100" w:type="dxa"/>
              <w:left w:w="100" w:type="dxa"/>
              <w:bottom w:w="100" w:type="dxa"/>
              <w:right w:w="100" w:type="dxa"/>
            </w:tcMar>
          </w:tcPr>
          <w:p w14:paraId="431A18D4" w14:textId="77777777" w:rsidR="00F078BF" w:rsidRDefault="00F078BF">
            <w:pPr>
              <w:widowControl w:val="0"/>
              <w:spacing w:before="0" w:after="0"/>
              <w:ind w:firstLine="0"/>
              <w:rPr>
                <w:b/>
                <w:bCs/>
                <w:color w:val="333333"/>
                <w:sz w:val="24"/>
                <w:szCs w:val="24"/>
                <w:highlight w:val="white"/>
              </w:rPr>
            </w:pPr>
          </w:p>
        </w:tc>
        <w:tc>
          <w:tcPr>
            <w:tcW w:w="1005" w:type="dxa"/>
            <w:tcBorders>
              <w:top w:val="nil"/>
              <w:left w:val="nil"/>
              <w:bottom w:val="single" w:sz="8" w:space="0" w:color="000000"/>
              <w:right w:val="nil"/>
            </w:tcBorders>
            <w:tcMar>
              <w:top w:w="100" w:type="dxa"/>
              <w:left w:w="100" w:type="dxa"/>
              <w:bottom w:w="100" w:type="dxa"/>
              <w:right w:w="100" w:type="dxa"/>
            </w:tcMar>
          </w:tcPr>
          <w:p w14:paraId="5B3753A2" w14:textId="77777777" w:rsidR="00F078BF" w:rsidRDefault="00000000">
            <w:pPr>
              <w:widowControl w:val="0"/>
              <w:spacing w:before="0" w:after="0"/>
              <w:ind w:right="-55" w:firstLine="0"/>
              <w:jc w:val="center"/>
              <w:rPr>
                <w:b/>
                <w:bCs/>
                <w:color w:val="333333"/>
                <w:sz w:val="24"/>
                <w:szCs w:val="24"/>
                <w:highlight w:val="white"/>
              </w:rPr>
            </w:pPr>
            <w:r>
              <w:rPr>
                <w:b/>
                <w:bCs/>
                <w:color w:val="333333"/>
                <w:sz w:val="24"/>
                <w:szCs w:val="24"/>
                <w:highlight w:val="white"/>
              </w:rPr>
              <w:t xml:space="preserve">3.83 </w:t>
            </w:r>
          </w:p>
        </w:tc>
        <w:tc>
          <w:tcPr>
            <w:tcW w:w="1425" w:type="dxa"/>
            <w:tcBorders>
              <w:top w:val="nil"/>
              <w:left w:val="nil"/>
              <w:bottom w:val="single" w:sz="8" w:space="0" w:color="000000"/>
              <w:right w:val="nil"/>
            </w:tcBorders>
            <w:tcMar>
              <w:top w:w="100" w:type="dxa"/>
              <w:left w:w="100" w:type="dxa"/>
              <w:bottom w:w="100" w:type="dxa"/>
              <w:right w:w="100" w:type="dxa"/>
            </w:tcMar>
          </w:tcPr>
          <w:p w14:paraId="749046CA" w14:textId="77777777" w:rsidR="00F078BF" w:rsidRDefault="00000000">
            <w:pPr>
              <w:widowControl w:val="0"/>
              <w:spacing w:before="0" w:after="0"/>
              <w:ind w:firstLine="0"/>
              <w:jc w:val="center"/>
              <w:rPr>
                <w:b/>
                <w:bCs/>
                <w:color w:val="EE0000"/>
                <w:sz w:val="24"/>
                <w:szCs w:val="24"/>
                <w:highlight w:val="white"/>
              </w:rPr>
            </w:pPr>
            <w:r>
              <w:rPr>
                <w:b/>
                <w:bCs/>
                <w:color w:val="EE0000"/>
                <w:sz w:val="24"/>
                <w:szCs w:val="24"/>
                <w:highlight w:val="white"/>
              </w:rPr>
              <w:t xml:space="preserve">0.99 </w:t>
            </w:r>
          </w:p>
        </w:tc>
      </w:tr>
    </w:tbl>
    <w:p w14:paraId="26CC8D4F" w14:textId="77777777" w:rsidR="00F078BF" w:rsidRDefault="00000000">
      <w:pPr>
        <w:spacing w:before="0" w:after="120" w:line="480" w:lineRule="auto"/>
        <w:ind w:firstLine="0"/>
        <w:rPr>
          <w:sz w:val="24"/>
          <w:szCs w:val="24"/>
        </w:rPr>
      </w:pPr>
      <w:r>
        <w:rPr>
          <w:b/>
          <w:bCs/>
          <w:i/>
          <w:iCs/>
          <w:sz w:val="24"/>
          <w:szCs w:val="24"/>
        </w:rPr>
        <w:t>4.4 The perceived use of support strategies</w:t>
      </w:r>
    </w:p>
    <w:p w14:paraId="1055E75E" w14:textId="77777777" w:rsidR="00F078BF" w:rsidRDefault="00000000">
      <w:pPr>
        <w:spacing w:before="0" w:after="120" w:line="480" w:lineRule="auto"/>
        <w:ind w:firstLine="566"/>
        <w:rPr>
          <w:b/>
          <w:bCs/>
          <w:sz w:val="24"/>
          <w:szCs w:val="24"/>
        </w:rPr>
      </w:pPr>
      <w:r>
        <w:rPr>
          <w:sz w:val="24"/>
          <w:szCs w:val="24"/>
        </w:rPr>
        <w:t xml:space="preserve">Regarding students’ perceptions of applying support strategies (B26 - B34) for online reading, the overall mean is 3.51, and the SD is 1.17, indicating that students often use these strategies, though their opinions of their use may differ moderately. In particular, item B29 has the highest mean value at 3.93, indicating that students often use reference materials to support their online reading comprehension. In contrast, item B26 has the lowest mean at 3.05, revealing that some students may use note-taking to support their online reading </w:t>
      </w:r>
      <w:r>
        <w:rPr>
          <w:sz w:val="24"/>
          <w:szCs w:val="24"/>
        </w:rPr>
        <w:lastRenderedPageBreak/>
        <w:t>comprehension. Coincidentally, this strategy is the least frequently used among all MORS by students at the EMI setting.</w:t>
      </w:r>
    </w:p>
    <w:p w14:paraId="4A99C88E" w14:textId="77777777" w:rsidR="00F078BF" w:rsidRDefault="00000000">
      <w:pPr>
        <w:spacing w:before="0" w:after="120" w:line="360" w:lineRule="auto"/>
        <w:ind w:firstLine="0"/>
        <w:rPr>
          <w:b/>
          <w:bCs/>
          <w:sz w:val="24"/>
          <w:szCs w:val="24"/>
        </w:rPr>
      </w:pPr>
      <w:r>
        <w:rPr>
          <w:b/>
          <w:bCs/>
          <w:sz w:val="24"/>
          <w:szCs w:val="24"/>
        </w:rPr>
        <w:t>Table 4.4</w:t>
      </w:r>
    </w:p>
    <w:p w14:paraId="08AFCD66" w14:textId="77777777" w:rsidR="00F078BF" w:rsidRDefault="00000000">
      <w:pPr>
        <w:spacing w:before="0" w:after="120" w:line="360" w:lineRule="auto"/>
        <w:ind w:firstLine="0"/>
        <w:rPr>
          <w:i/>
          <w:iCs/>
          <w:sz w:val="24"/>
          <w:szCs w:val="24"/>
        </w:rPr>
      </w:pPr>
      <w:r>
        <w:rPr>
          <w:i/>
          <w:iCs/>
          <w:sz w:val="24"/>
          <w:szCs w:val="24"/>
        </w:rPr>
        <w:t>Students’ perceived use of support strategies</w:t>
      </w:r>
    </w:p>
    <w:tbl>
      <w:tblPr>
        <w:tblStyle w:val="TableGrid"/>
        <w:tblW w:w="89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2"/>
        <w:gridCol w:w="5778"/>
        <w:gridCol w:w="1080"/>
        <w:gridCol w:w="990"/>
      </w:tblGrid>
      <w:tr w:rsidR="00F078BF" w14:paraId="124754F6" w14:textId="77777777">
        <w:tc>
          <w:tcPr>
            <w:tcW w:w="1062" w:type="dxa"/>
            <w:tcBorders>
              <w:top w:val="single" w:sz="4" w:space="0" w:color="auto"/>
              <w:bottom w:val="single" w:sz="4" w:space="0" w:color="auto"/>
            </w:tcBorders>
            <w:vAlign w:val="center"/>
          </w:tcPr>
          <w:p w14:paraId="5B67856A" w14:textId="77777777" w:rsidR="00F078BF" w:rsidRDefault="00000000">
            <w:pPr>
              <w:spacing w:before="0" w:after="0" w:line="480" w:lineRule="auto"/>
              <w:ind w:firstLine="0"/>
              <w:rPr>
                <w:i/>
                <w:iCs/>
                <w:sz w:val="24"/>
                <w:szCs w:val="24"/>
              </w:rPr>
            </w:pPr>
            <w:r>
              <w:rPr>
                <w:b/>
                <w:bCs/>
                <w:sz w:val="24"/>
                <w:szCs w:val="24"/>
              </w:rPr>
              <w:t>Item</w:t>
            </w:r>
          </w:p>
        </w:tc>
        <w:tc>
          <w:tcPr>
            <w:tcW w:w="5778" w:type="dxa"/>
            <w:tcBorders>
              <w:top w:val="single" w:sz="4" w:space="0" w:color="auto"/>
              <w:bottom w:val="single" w:sz="4" w:space="0" w:color="auto"/>
            </w:tcBorders>
            <w:vAlign w:val="center"/>
          </w:tcPr>
          <w:p w14:paraId="2D7618AA" w14:textId="77777777" w:rsidR="00F078BF" w:rsidRDefault="00000000">
            <w:pPr>
              <w:spacing w:before="0" w:after="0" w:line="480" w:lineRule="auto"/>
              <w:ind w:firstLine="0"/>
              <w:rPr>
                <w:i/>
                <w:iCs/>
                <w:sz w:val="24"/>
                <w:szCs w:val="24"/>
              </w:rPr>
            </w:pPr>
            <w:r>
              <w:rPr>
                <w:b/>
                <w:bCs/>
                <w:sz w:val="24"/>
                <w:szCs w:val="24"/>
              </w:rPr>
              <w:t>Statement</w:t>
            </w:r>
          </w:p>
        </w:tc>
        <w:tc>
          <w:tcPr>
            <w:tcW w:w="1080" w:type="dxa"/>
            <w:tcBorders>
              <w:top w:val="single" w:sz="4" w:space="0" w:color="auto"/>
              <w:bottom w:val="single" w:sz="4" w:space="0" w:color="auto"/>
            </w:tcBorders>
            <w:vAlign w:val="center"/>
          </w:tcPr>
          <w:p w14:paraId="269CED7A" w14:textId="77777777" w:rsidR="00F078BF" w:rsidRDefault="00000000">
            <w:pPr>
              <w:spacing w:before="0" w:after="0" w:line="480" w:lineRule="auto"/>
              <w:ind w:firstLine="0"/>
              <w:rPr>
                <w:i/>
                <w:iCs/>
                <w:sz w:val="24"/>
                <w:szCs w:val="24"/>
              </w:rPr>
            </w:pPr>
            <w:r>
              <w:rPr>
                <w:b/>
                <w:bCs/>
                <w:sz w:val="24"/>
                <w:szCs w:val="24"/>
              </w:rPr>
              <w:t>Mean</w:t>
            </w:r>
          </w:p>
        </w:tc>
        <w:tc>
          <w:tcPr>
            <w:tcW w:w="990" w:type="dxa"/>
            <w:tcBorders>
              <w:top w:val="single" w:sz="4" w:space="0" w:color="auto"/>
              <w:bottom w:val="single" w:sz="4" w:space="0" w:color="auto"/>
            </w:tcBorders>
            <w:vAlign w:val="center"/>
          </w:tcPr>
          <w:p w14:paraId="6D4F323E" w14:textId="77777777" w:rsidR="00F078BF" w:rsidRDefault="00000000">
            <w:pPr>
              <w:spacing w:before="0" w:after="0" w:line="480" w:lineRule="auto"/>
              <w:ind w:firstLine="0"/>
              <w:rPr>
                <w:i/>
                <w:iCs/>
                <w:sz w:val="24"/>
                <w:szCs w:val="24"/>
              </w:rPr>
            </w:pPr>
            <w:r>
              <w:rPr>
                <w:b/>
                <w:bCs/>
                <w:color w:val="333333"/>
                <w:sz w:val="24"/>
                <w:szCs w:val="24"/>
              </w:rPr>
              <w:t>SD</w:t>
            </w:r>
          </w:p>
        </w:tc>
      </w:tr>
      <w:tr w:rsidR="00F078BF" w14:paraId="70E9A43C" w14:textId="77777777">
        <w:tc>
          <w:tcPr>
            <w:tcW w:w="1062" w:type="dxa"/>
            <w:tcBorders>
              <w:top w:val="single" w:sz="4" w:space="0" w:color="auto"/>
            </w:tcBorders>
          </w:tcPr>
          <w:p w14:paraId="55930C26" w14:textId="77777777" w:rsidR="00F078BF" w:rsidRDefault="00000000">
            <w:pPr>
              <w:spacing w:before="0" w:after="0" w:line="480" w:lineRule="auto"/>
              <w:ind w:firstLine="0"/>
              <w:rPr>
                <w:i/>
                <w:iCs/>
                <w:sz w:val="24"/>
                <w:szCs w:val="24"/>
              </w:rPr>
            </w:pPr>
            <w:r>
              <w:rPr>
                <w:sz w:val="24"/>
                <w:szCs w:val="24"/>
              </w:rPr>
              <w:t>B29</w:t>
            </w:r>
          </w:p>
        </w:tc>
        <w:tc>
          <w:tcPr>
            <w:tcW w:w="5778" w:type="dxa"/>
            <w:tcBorders>
              <w:top w:val="single" w:sz="4" w:space="0" w:color="auto"/>
            </w:tcBorders>
          </w:tcPr>
          <w:p w14:paraId="05460325" w14:textId="77777777" w:rsidR="00F078BF" w:rsidRDefault="00000000">
            <w:pPr>
              <w:spacing w:before="0" w:after="0" w:line="480" w:lineRule="auto"/>
              <w:ind w:firstLine="0"/>
              <w:rPr>
                <w:i/>
                <w:iCs/>
                <w:sz w:val="24"/>
                <w:szCs w:val="24"/>
              </w:rPr>
            </w:pPr>
            <w:r>
              <w:rPr>
                <w:sz w:val="24"/>
                <w:szCs w:val="24"/>
              </w:rPr>
              <w:t>I use reference materials (e.g., an online dictionary) to help me understand what I read online.</w:t>
            </w:r>
          </w:p>
        </w:tc>
        <w:tc>
          <w:tcPr>
            <w:tcW w:w="1080" w:type="dxa"/>
            <w:tcBorders>
              <w:top w:val="single" w:sz="4" w:space="0" w:color="auto"/>
            </w:tcBorders>
          </w:tcPr>
          <w:p w14:paraId="69F36726" w14:textId="77777777" w:rsidR="00F078BF" w:rsidRDefault="00000000">
            <w:pPr>
              <w:spacing w:before="0" w:after="0" w:line="480" w:lineRule="auto"/>
              <w:ind w:firstLine="0"/>
              <w:rPr>
                <w:i/>
                <w:iCs/>
                <w:sz w:val="24"/>
                <w:szCs w:val="24"/>
              </w:rPr>
            </w:pPr>
            <w:r>
              <w:rPr>
                <w:sz w:val="24"/>
                <w:szCs w:val="24"/>
              </w:rPr>
              <w:t>3.93</w:t>
            </w:r>
          </w:p>
        </w:tc>
        <w:tc>
          <w:tcPr>
            <w:tcW w:w="990" w:type="dxa"/>
            <w:tcBorders>
              <w:top w:val="single" w:sz="4" w:space="0" w:color="auto"/>
            </w:tcBorders>
          </w:tcPr>
          <w:p w14:paraId="39C90C4C" w14:textId="77777777" w:rsidR="00F078BF" w:rsidRDefault="00000000">
            <w:pPr>
              <w:spacing w:before="0" w:after="0" w:line="480" w:lineRule="auto"/>
              <w:ind w:firstLine="0"/>
              <w:rPr>
                <w:i/>
                <w:iCs/>
                <w:sz w:val="24"/>
                <w:szCs w:val="24"/>
              </w:rPr>
            </w:pPr>
            <w:r>
              <w:rPr>
                <w:sz w:val="24"/>
                <w:szCs w:val="24"/>
              </w:rPr>
              <w:t>1.06</w:t>
            </w:r>
          </w:p>
        </w:tc>
      </w:tr>
      <w:tr w:rsidR="00F078BF" w14:paraId="3197BB67" w14:textId="77777777">
        <w:tc>
          <w:tcPr>
            <w:tcW w:w="1062" w:type="dxa"/>
          </w:tcPr>
          <w:p w14:paraId="4E4E8FD3" w14:textId="77777777" w:rsidR="00F078BF" w:rsidRDefault="00000000">
            <w:pPr>
              <w:spacing w:before="0" w:after="0" w:line="480" w:lineRule="auto"/>
              <w:ind w:firstLine="0"/>
              <w:rPr>
                <w:i/>
                <w:iCs/>
                <w:sz w:val="24"/>
                <w:szCs w:val="24"/>
              </w:rPr>
            </w:pPr>
            <w:r>
              <w:rPr>
                <w:sz w:val="24"/>
                <w:szCs w:val="24"/>
              </w:rPr>
              <w:t>B34</w:t>
            </w:r>
          </w:p>
        </w:tc>
        <w:tc>
          <w:tcPr>
            <w:tcW w:w="5778" w:type="dxa"/>
          </w:tcPr>
          <w:p w14:paraId="36F07F93" w14:textId="77777777" w:rsidR="00F078BF" w:rsidRDefault="00000000">
            <w:pPr>
              <w:spacing w:before="0" w:after="0" w:line="480" w:lineRule="auto"/>
              <w:ind w:firstLine="0"/>
              <w:rPr>
                <w:i/>
                <w:iCs/>
                <w:sz w:val="24"/>
                <w:szCs w:val="24"/>
              </w:rPr>
            </w:pPr>
            <w:r>
              <w:rPr>
                <w:sz w:val="24"/>
                <w:szCs w:val="24"/>
              </w:rPr>
              <w:t>When reading online, I think about information in both English and my mother tongue.</w:t>
            </w:r>
          </w:p>
        </w:tc>
        <w:tc>
          <w:tcPr>
            <w:tcW w:w="1080" w:type="dxa"/>
          </w:tcPr>
          <w:p w14:paraId="435AEFC9" w14:textId="77777777" w:rsidR="00F078BF" w:rsidRDefault="00000000">
            <w:pPr>
              <w:spacing w:before="0" w:after="0" w:line="480" w:lineRule="auto"/>
              <w:ind w:firstLine="0"/>
              <w:rPr>
                <w:i/>
                <w:iCs/>
                <w:sz w:val="24"/>
                <w:szCs w:val="24"/>
              </w:rPr>
            </w:pPr>
            <w:r>
              <w:rPr>
                <w:sz w:val="24"/>
                <w:szCs w:val="24"/>
              </w:rPr>
              <w:t>3.83</w:t>
            </w:r>
          </w:p>
        </w:tc>
        <w:tc>
          <w:tcPr>
            <w:tcW w:w="990" w:type="dxa"/>
          </w:tcPr>
          <w:p w14:paraId="12ADD381" w14:textId="77777777" w:rsidR="00F078BF" w:rsidRDefault="00000000">
            <w:pPr>
              <w:spacing w:before="0" w:after="0" w:line="480" w:lineRule="auto"/>
              <w:ind w:firstLine="0"/>
              <w:rPr>
                <w:i/>
                <w:iCs/>
                <w:sz w:val="24"/>
                <w:szCs w:val="24"/>
              </w:rPr>
            </w:pPr>
            <w:r>
              <w:rPr>
                <w:sz w:val="24"/>
                <w:szCs w:val="24"/>
              </w:rPr>
              <w:t>1.12</w:t>
            </w:r>
          </w:p>
        </w:tc>
      </w:tr>
      <w:tr w:rsidR="00F078BF" w14:paraId="77FF407B" w14:textId="77777777">
        <w:tc>
          <w:tcPr>
            <w:tcW w:w="1062" w:type="dxa"/>
          </w:tcPr>
          <w:p w14:paraId="24FD3975" w14:textId="77777777" w:rsidR="00F078BF" w:rsidRDefault="00000000">
            <w:pPr>
              <w:spacing w:before="0" w:after="0" w:line="480" w:lineRule="auto"/>
              <w:ind w:firstLine="0"/>
              <w:rPr>
                <w:i/>
                <w:iCs/>
                <w:sz w:val="24"/>
                <w:szCs w:val="24"/>
              </w:rPr>
            </w:pPr>
            <w:r>
              <w:rPr>
                <w:sz w:val="24"/>
                <w:szCs w:val="24"/>
              </w:rPr>
              <w:t>B33</w:t>
            </w:r>
          </w:p>
        </w:tc>
        <w:tc>
          <w:tcPr>
            <w:tcW w:w="5778" w:type="dxa"/>
          </w:tcPr>
          <w:p w14:paraId="21920B95" w14:textId="77777777" w:rsidR="00F078BF" w:rsidRDefault="00000000">
            <w:pPr>
              <w:spacing w:before="0" w:after="0" w:line="480" w:lineRule="auto"/>
              <w:ind w:firstLine="0"/>
              <w:rPr>
                <w:i/>
                <w:iCs/>
                <w:sz w:val="24"/>
                <w:szCs w:val="24"/>
              </w:rPr>
            </w:pPr>
            <w:r>
              <w:rPr>
                <w:sz w:val="24"/>
                <w:szCs w:val="24"/>
              </w:rPr>
              <w:t>When reading online, I translate from English into my native language.</w:t>
            </w:r>
          </w:p>
        </w:tc>
        <w:tc>
          <w:tcPr>
            <w:tcW w:w="1080" w:type="dxa"/>
          </w:tcPr>
          <w:p w14:paraId="7AD310F1" w14:textId="77777777" w:rsidR="00F078BF" w:rsidRDefault="00000000">
            <w:pPr>
              <w:spacing w:before="0" w:after="0" w:line="480" w:lineRule="auto"/>
              <w:ind w:firstLine="0"/>
              <w:rPr>
                <w:i/>
                <w:iCs/>
                <w:sz w:val="24"/>
                <w:szCs w:val="24"/>
              </w:rPr>
            </w:pPr>
            <w:r>
              <w:rPr>
                <w:sz w:val="24"/>
                <w:szCs w:val="24"/>
              </w:rPr>
              <w:t>3.76</w:t>
            </w:r>
          </w:p>
        </w:tc>
        <w:tc>
          <w:tcPr>
            <w:tcW w:w="990" w:type="dxa"/>
          </w:tcPr>
          <w:p w14:paraId="0E3DE823" w14:textId="77777777" w:rsidR="00F078BF" w:rsidRDefault="00000000">
            <w:pPr>
              <w:spacing w:before="0" w:after="0" w:line="480" w:lineRule="auto"/>
              <w:ind w:firstLine="0"/>
              <w:rPr>
                <w:i/>
                <w:iCs/>
                <w:sz w:val="24"/>
                <w:szCs w:val="24"/>
              </w:rPr>
            </w:pPr>
            <w:r>
              <w:rPr>
                <w:sz w:val="24"/>
                <w:szCs w:val="24"/>
              </w:rPr>
              <w:t>1.14</w:t>
            </w:r>
          </w:p>
        </w:tc>
      </w:tr>
      <w:tr w:rsidR="00F078BF" w14:paraId="29D564FE" w14:textId="77777777">
        <w:tc>
          <w:tcPr>
            <w:tcW w:w="1062" w:type="dxa"/>
          </w:tcPr>
          <w:p w14:paraId="1659B09D" w14:textId="77777777" w:rsidR="00F078BF" w:rsidRDefault="00000000">
            <w:pPr>
              <w:spacing w:before="0" w:after="0" w:line="480" w:lineRule="auto"/>
              <w:ind w:firstLine="0"/>
              <w:rPr>
                <w:i/>
                <w:iCs/>
                <w:sz w:val="24"/>
                <w:szCs w:val="24"/>
              </w:rPr>
            </w:pPr>
            <w:r>
              <w:rPr>
                <w:sz w:val="24"/>
                <w:szCs w:val="24"/>
              </w:rPr>
              <w:t>B32</w:t>
            </w:r>
          </w:p>
        </w:tc>
        <w:tc>
          <w:tcPr>
            <w:tcW w:w="5778" w:type="dxa"/>
          </w:tcPr>
          <w:p w14:paraId="09D92951" w14:textId="77777777" w:rsidR="00F078BF" w:rsidRDefault="00000000">
            <w:pPr>
              <w:spacing w:before="0" w:after="0" w:line="480" w:lineRule="auto"/>
              <w:ind w:firstLine="0"/>
              <w:rPr>
                <w:i/>
                <w:iCs/>
                <w:sz w:val="24"/>
                <w:szCs w:val="24"/>
              </w:rPr>
            </w:pPr>
            <w:r>
              <w:rPr>
                <w:sz w:val="24"/>
                <w:szCs w:val="24"/>
              </w:rPr>
              <w:t>I ask myself questions I want to have the answers in the online text.</w:t>
            </w:r>
          </w:p>
        </w:tc>
        <w:tc>
          <w:tcPr>
            <w:tcW w:w="1080" w:type="dxa"/>
          </w:tcPr>
          <w:p w14:paraId="6B12B754" w14:textId="77777777" w:rsidR="00F078BF" w:rsidRDefault="00000000">
            <w:pPr>
              <w:spacing w:before="0" w:after="0" w:line="480" w:lineRule="auto"/>
              <w:ind w:firstLine="0"/>
              <w:rPr>
                <w:i/>
                <w:iCs/>
                <w:sz w:val="24"/>
                <w:szCs w:val="24"/>
              </w:rPr>
            </w:pPr>
            <w:r>
              <w:rPr>
                <w:sz w:val="24"/>
                <w:szCs w:val="24"/>
              </w:rPr>
              <w:t>3.56</w:t>
            </w:r>
          </w:p>
        </w:tc>
        <w:tc>
          <w:tcPr>
            <w:tcW w:w="990" w:type="dxa"/>
          </w:tcPr>
          <w:p w14:paraId="4810067B" w14:textId="77777777" w:rsidR="00F078BF" w:rsidRDefault="00000000">
            <w:pPr>
              <w:spacing w:before="0" w:after="0" w:line="480" w:lineRule="auto"/>
              <w:ind w:firstLine="0"/>
              <w:rPr>
                <w:i/>
                <w:iCs/>
                <w:sz w:val="24"/>
                <w:szCs w:val="24"/>
              </w:rPr>
            </w:pPr>
            <w:r>
              <w:rPr>
                <w:sz w:val="24"/>
                <w:szCs w:val="24"/>
              </w:rPr>
              <w:t>1.12</w:t>
            </w:r>
          </w:p>
        </w:tc>
      </w:tr>
      <w:tr w:rsidR="00F078BF" w14:paraId="30E658D8" w14:textId="77777777">
        <w:tc>
          <w:tcPr>
            <w:tcW w:w="1062" w:type="dxa"/>
          </w:tcPr>
          <w:p w14:paraId="7A90229C" w14:textId="77777777" w:rsidR="00F078BF" w:rsidRDefault="00000000">
            <w:pPr>
              <w:spacing w:before="0" w:after="0" w:line="480" w:lineRule="auto"/>
              <w:ind w:firstLine="0"/>
              <w:rPr>
                <w:i/>
                <w:iCs/>
                <w:sz w:val="24"/>
                <w:szCs w:val="24"/>
              </w:rPr>
            </w:pPr>
            <w:r>
              <w:rPr>
                <w:sz w:val="24"/>
                <w:szCs w:val="24"/>
              </w:rPr>
              <w:t>B31</w:t>
            </w:r>
          </w:p>
        </w:tc>
        <w:tc>
          <w:tcPr>
            <w:tcW w:w="5778" w:type="dxa"/>
          </w:tcPr>
          <w:p w14:paraId="068CBFAC" w14:textId="77777777" w:rsidR="00F078BF" w:rsidRDefault="00000000">
            <w:pPr>
              <w:spacing w:before="0" w:after="0" w:line="480" w:lineRule="auto"/>
              <w:ind w:firstLine="0"/>
              <w:rPr>
                <w:i/>
                <w:iCs/>
                <w:sz w:val="24"/>
                <w:szCs w:val="24"/>
              </w:rPr>
            </w:pPr>
            <w:r>
              <w:rPr>
                <w:sz w:val="24"/>
                <w:szCs w:val="24"/>
              </w:rPr>
              <w:t>I go back and forth in the online text to find relationships among ideas in it.</w:t>
            </w:r>
          </w:p>
        </w:tc>
        <w:tc>
          <w:tcPr>
            <w:tcW w:w="1080" w:type="dxa"/>
          </w:tcPr>
          <w:p w14:paraId="60A1ECD8" w14:textId="77777777" w:rsidR="00F078BF" w:rsidRDefault="00000000">
            <w:pPr>
              <w:spacing w:before="0" w:after="0" w:line="480" w:lineRule="auto"/>
              <w:ind w:firstLine="0"/>
              <w:rPr>
                <w:i/>
                <w:iCs/>
                <w:sz w:val="24"/>
                <w:szCs w:val="24"/>
              </w:rPr>
            </w:pPr>
            <w:r>
              <w:rPr>
                <w:sz w:val="24"/>
                <w:szCs w:val="24"/>
              </w:rPr>
              <w:t>3.52</w:t>
            </w:r>
          </w:p>
        </w:tc>
        <w:tc>
          <w:tcPr>
            <w:tcW w:w="990" w:type="dxa"/>
          </w:tcPr>
          <w:p w14:paraId="3F07FF9F" w14:textId="77777777" w:rsidR="00F078BF" w:rsidRDefault="00000000">
            <w:pPr>
              <w:spacing w:before="0" w:after="0" w:line="480" w:lineRule="auto"/>
              <w:ind w:firstLine="0"/>
              <w:rPr>
                <w:i/>
                <w:iCs/>
                <w:sz w:val="24"/>
                <w:szCs w:val="24"/>
              </w:rPr>
            </w:pPr>
            <w:r>
              <w:rPr>
                <w:sz w:val="24"/>
                <w:szCs w:val="24"/>
              </w:rPr>
              <w:t>1.01</w:t>
            </w:r>
          </w:p>
        </w:tc>
      </w:tr>
      <w:tr w:rsidR="00F078BF" w14:paraId="44626B49" w14:textId="77777777">
        <w:tc>
          <w:tcPr>
            <w:tcW w:w="1062" w:type="dxa"/>
          </w:tcPr>
          <w:p w14:paraId="0FEB2765" w14:textId="77777777" w:rsidR="00F078BF" w:rsidRDefault="00000000">
            <w:pPr>
              <w:spacing w:before="0" w:after="0" w:line="480" w:lineRule="auto"/>
              <w:ind w:firstLine="0"/>
              <w:rPr>
                <w:i/>
                <w:iCs/>
                <w:sz w:val="24"/>
                <w:szCs w:val="24"/>
              </w:rPr>
            </w:pPr>
            <w:r>
              <w:rPr>
                <w:sz w:val="24"/>
                <w:szCs w:val="24"/>
              </w:rPr>
              <w:t>B30</w:t>
            </w:r>
          </w:p>
        </w:tc>
        <w:tc>
          <w:tcPr>
            <w:tcW w:w="5778" w:type="dxa"/>
          </w:tcPr>
          <w:p w14:paraId="4B5307C3" w14:textId="77777777" w:rsidR="00F078BF" w:rsidRDefault="00000000">
            <w:pPr>
              <w:spacing w:before="0" w:after="0" w:line="480" w:lineRule="auto"/>
              <w:ind w:firstLine="0"/>
              <w:rPr>
                <w:i/>
                <w:iCs/>
                <w:sz w:val="24"/>
                <w:szCs w:val="24"/>
              </w:rPr>
            </w:pPr>
            <w:r>
              <w:rPr>
                <w:sz w:val="24"/>
                <w:szCs w:val="24"/>
              </w:rPr>
              <w:t>I paraphrase (restate ideas in my own words) to better understand what I read online.</w:t>
            </w:r>
          </w:p>
        </w:tc>
        <w:tc>
          <w:tcPr>
            <w:tcW w:w="1080" w:type="dxa"/>
          </w:tcPr>
          <w:p w14:paraId="4B5D94E9" w14:textId="77777777" w:rsidR="00F078BF" w:rsidRDefault="00000000">
            <w:pPr>
              <w:spacing w:before="0" w:after="0" w:line="480" w:lineRule="auto"/>
              <w:ind w:firstLine="0"/>
              <w:rPr>
                <w:i/>
                <w:iCs/>
                <w:sz w:val="24"/>
                <w:szCs w:val="24"/>
              </w:rPr>
            </w:pPr>
            <w:r>
              <w:rPr>
                <w:sz w:val="24"/>
                <w:szCs w:val="24"/>
              </w:rPr>
              <w:t>3.44</w:t>
            </w:r>
          </w:p>
        </w:tc>
        <w:tc>
          <w:tcPr>
            <w:tcW w:w="990" w:type="dxa"/>
          </w:tcPr>
          <w:p w14:paraId="60269D03" w14:textId="77777777" w:rsidR="00F078BF" w:rsidRDefault="00000000">
            <w:pPr>
              <w:spacing w:before="0" w:after="0" w:line="480" w:lineRule="auto"/>
              <w:ind w:firstLine="0"/>
              <w:rPr>
                <w:i/>
                <w:iCs/>
                <w:sz w:val="24"/>
                <w:szCs w:val="24"/>
              </w:rPr>
            </w:pPr>
            <w:r>
              <w:rPr>
                <w:sz w:val="24"/>
                <w:szCs w:val="24"/>
              </w:rPr>
              <w:t>1.14</w:t>
            </w:r>
          </w:p>
        </w:tc>
      </w:tr>
      <w:tr w:rsidR="00F078BF" w14:paraId="531CC6AD" w14:textId="77777777">
        <w:tc>
          <w:tcPr>
            <w:tcW w:w="1062" w:type="dxa"/>
          </w:tcPr>
          <w:p w14:paraId="0EBA9847" w14:textId="77777777" w:rsidR="00F078BF" w:rsidRDefault="00000000">
            <w:pPr>
              <w:spacing w:before="0" w:after="0" w:line="480" w:lineRule="auto"/>
              <w:ind w:firstLine="0"/>
              <w:rPr>
                <w:i/>
                <w:iCs/>
                <w:sz w:val="24"/>
                <w:szCs w:val="24"/>
              </w:rPr>
            </w:pPr>
            <w:r>
              <w:rPr>
                <w:sz w:val="24"/>
                <w:szCs w:val="24"/>
              </w:rPr>
              <w:t>B27</w:t>
            </w:r>
          </w:p>
        </w:tc>
        <w:tc>
          <w:tcPr>
            <w:tcW w:w="5778" w:type="dxa"/>
          </w:tcPr>
          <w:p w14:paraId="27709D95" w14:textId="77777777" w:rsidR="00F078BF" w:rsidRDefault="00000000">
            <w:pPr>
              <w:spacing w:before="0" w:after="0" w:line="480" w:lineRule="auto"/>
              <w:ind w:firstLine="0"/>
              <w:rPr>
                <w:i/>
                <w:iCs/>
                <w:sz w:val="24"/>
                <w:szCs w:val="24"/>
              </w:rPr>
            </w:pPr>
            <w:r>
              <w:rPr>
                <w:sz w:val="24"/>
                <w:szCs w:val="24"/>
              </w:rPr>
              <w:t>When online text becomes difficult, I read aloud to help me understand what I read.</w:t>
            </w:r>
          </w:p>
        </w:tc>
        <w:tc>
          <w:tcPr>
            <w:tcW w:w="1080" w:type="dxa"/>
          </w:tcPr>
          <w:p w14:paraId="265A230A" w14:textId="77777777" w:rsidR="00F078BF" w:rsidRDefault="00000000">
            <w:pPr>
              <w:spacing w:before="0" w:after="0" w:line="480" w:lineRule="auto"/>
              <w:ind w:firstLine="0"/>
              <w:rPr>
                <w:i/>
                <w:iCs/>
                <w:sz w:val="24"/>
                <w:szCs w:val="24"/>
              </w:rPr>
            </w:pPr>
            <w:r>
              <w:rPr>
                <w:sz w:val="24"/>
                <w:szCs w:val="24"/>
              </w:rPr>
              <w:t>3.32</w:t>
            </w:r>
          </w:p>
        </w:tc>
        <w:tc>
          <w:tcPr>
            <w:tcW w:w="990" w:type="dxa"/>
          </w:tcPr>
          <w:p w14:paraId="6AFEFC2A" w14:textId="77777777" w:rsidR="00F078BF" w:rsidRDefault="00000000">
            <w:pPr>
              <w:spacing w:before="0" w:after="0" w:line="480" w:lineRule="auto"/>
              <w:ind w:firstLine="0"/>
              <w:rPr>
                <w:i/>
                <w:iCs/>
                <w:sz w:val="24"/>
                <w:szCs w:val="24"/>
              </w:rPr>
            </w:pPr>
            <w:r>
              <w:rPr>
                <w:sz w:val="24"/>
                <w:szCs w:val="24"/>
              </w:rPr>
              <w:t>1.26</w:t>
            </w:r>
          </w:p>
        </w:tc>
      </w:tr>
      <w:tr w:rsidR="00F078BF" w14:paraId="12A74172" w14:textId="77777777">
        <w:tc>
          <w:tcPr>
            <w:tcW w:w="1062" w:type="dxa"/>
          </w:tcPr>
          <w:p w14:paraId="11FEB896" w14:textId="77777777" w:rsidR="00F078BF" w:rsidRDefault="00000000">
            <w:pPr>
              <w:spacing w:before="0" w:after="0" w:line="480" w:lineRule="auto"/>
              <w:ind w:firstLine="0"/>
              <w:rPr>
                <w:i/>
                <w:iCs/>
                <w:sz w:val="24"/>
                <w:szCs w:val="24"/>
              </w:rPr>
            </w:pPr>
            <w:r>
              <w:rPr>
                <w:sz w:val="24"/>
                <w:szCs w:val="24"/>
              </w:rPr>
              <w:t>B28</w:t>
            </w:r>
          </w:p>
        </w:tc>
        <w:tc>
          <w:tcPr>
            <w:tcW w:w="5778" w:type="dxa"/>
          </w:tcPr>
          <w:p w14:paraId="73FC0EE2" w14:textId="77777777" w:rsidR="00F078BF" w:rsidRDefault="00000000">
            <w:pPr>
              <w:spacing w:before="0" w:after="0" w:line="480" w:lineRule="auto"/>
              <w:ind w:firstLine="0"/>
              <w:rPr>
                <w:i/>
                <w:iCs/>
                <w:sz w:val="24"/>
                <w:szCs w:val="24"/>
              </w:rPr>
            </w:pPr>
            <w:r>
              <w:rPr>
                <w:sz w:val="24"/>
                <w:szCs w:val="24"/>
              </w:rPr>
              <w:t>I print out a hard copy of the online text, then underline or circle information to help me remember it.</w:t>
            </w:r>
          </w:p>
        </w:tc>
        <w:tc>
          <w:tcPr>
            <w:tcW w:w="1080" w:type="dxa"/>
          </w:tcPr>
          <w:p w14:paraId="27D3DD61" w14:textId="77777777" w:rsidR="00F078BF" w:rsidRDefault="00000000">
            <w:pPr>
              <w:spacing w:before="0" w:after="0" w:line="480" w:lineRule="auto"/>
              <w:ind w:firstLine="0"/>
              <w:rPr>
                <w:i/>
                <w:iCs/>
                <w:sz w:val="24"/>
                <w:szCs w:val="24"/>
              </w:rPr>
            </w:pPr>
            <w:r>
              <w:rPr>
                <w:sz w:val="24"/>
                <w:szCs w:val="24"/>
              </w:rPr>
              <w:t>3.17</w:t>
            </w:r>
          </w:p>
        </w:tc>
        <w:tc>
          <w:tcPr>
            <w:tcW w:w="990" w:type="dxa"/>
          </w:tcPr>
          <w:p w14:paraId="05E08DA9" w14:textId="77777777" w:rsidR="00F078BF" w:rsidRDefault="00000000">
            <w:pPr>
              <w:spacing w:before="0" w:after="0" w:line="480" w:lineRule="auto"/>
              <w:ind w:firstLine="0"/>
              <w:rPr>
                <w:i/>
                <w:iCs/>
                <w:sz w:val="24"/>
                <w:szCs w:val="24"/>
              </w:rPr>
            </w:pPr>
            <w:r>
              <w:rPr>
                <w:sz w:val="24"/>
                <w:szCs w:val="24"/>
              </w:rPr>
              <w:t>1.40</w:t>
            </w:r>
          </w:p>
        </w:tc>
      </w:tr>
      <w:tr w:rsidR="00F078BF" w14:paraId="6E0F577D" w14:textId="77777777">
        <w:tc>
          <w:tcPr>
            <w:tcW w:w="1062" w:type="dxa"/>
            <w:tcBorders>
              <w:bottom w:val="single" w:sz="4" w:space="0" w:color="auto"/>
            </w:tcBorders>
          </w:tcPr>
          <w:p w14:paraId="35867CF8" w14:textId="77777777" w:rsidR="00F078BF" w:rsidRDefault="00000000">
            <w:pPr>
              <w:spacing w:before="0" w:after="0" w:line="480" w:lineRule="auto"/>
              <w:ind w:firstLine="0"/>
              <w:rPr>
                <w:i/>
                <w:iCs/>
                <w:sz w:val="24"/>
                <w:szCs w:val="24"/>
              </w:rPr>
            </w:pPr>
            <w:r>
              <w:rPr>
                <w:sz w:val="24"/>
                <w:szCs w:val="24"/>
              </w:rPr>
              <w:t>B26</w:t>
            </w:r>
          </w:p>
        </w:tc>
        <w:tc>
          <w:tcPr>
            <w:tcW w:w="5778" w:type="dxa"/>
            <w:tcBorders>
              <w:bottom w:val="single" w:sz="4" w:space="0" w:color="auto"/>
            </w:tcBorders>
          </w:tcPr>
          <w:p w14:paraId="037505AC" w14:textId="77777777" w:rsidR="00F078BF" w:rsidRDefault="00000000">
            <w:pPr>
              <w:spacing w:before="0" w:after="0" w:line="480" w:lineRule="auto"/>
              <w:ind w:firstLine="0"/>
              <w:rPr>
                <w:i/>
                <w:iCs/>
                <w:sz w:val="24"/>
                <w:szCs w:val="24"/>
              </w:rPr>
            </w:pPr>
            <w:r>
              <w:rPr>
                <w:sz w:val="24"/>
                <w:szCs w:val="24"/>
              </w:rPr>
              <w:t>I take notes while reading online to help me understand what I read.</w:t>
            </w:r>
          </w:p>
        </w:tc>
        <w:tc>
          <w:tcPr>
            <w:tcW w:w="1080" w:type="dxa"/>
            <w:tcBorders>
              <w:bottom w:val="single" w:sz="4" w:space="0" w:color="auto"/>
            </w:tcBorders>
          </w:tcPr>
          <w:p w14:paraId="3B674737" w14:textId="77777777" w:rsidR="00F078BF" w:rsidRDefault="00000000">
            <w:pPr>
              <w:spacing w:before="0" w:after="0" w:line="480" w:lineRule="auto"/>
              <w:ind w:firstLine="0"/>
              <w:rPr>
                <w:i/>
                <w:iCs/>
                <w:sz w:val="24"/>
                <w:szCs w:val="24"/>
              </w:rPr>
            </w:pPr>
            <w:r>
              <w:rPr>
                <w:sz w:val="24"/>
                <w:szCs w:val="24"/>
              </w:rPr>
              <w:t>3.05</w:t>
            </w:r>
          </w:p>
        </w:tc>
        <w:tc>
          <w:tcPr>
            <w:tcW w:w="990" w:type="dxa"/>
            <w:tcBorders>
              <w:bottom w:val="single" w:sz="4" w:space="0" w:color="auto"/>
            </w:tcBorders>
          </w:tcPr>
          <w:p w14:paraId="0423D782" w14:textId="77777777" w:rsidR="00F078BF" w:rsidRDefault="00000000">
            <w:pPr>
              <w:spacing w:before="0" w:after="0" w:line="480" w:lineRule="auto"/>
              <w:ind w:firstLine="0"/>
              <w:rPr>
                <w:i/>
                <w:iCs/>
                <w:sz w:val="24"/>
                <w:szCs w:val="24"/>
              </w:rPr>
            </w:pPr>
            <w:r>
              <w:rPr>
                <w:sz w:val="24"/>
                <w:szCs w:val="24"/>
              </w:rPr>
              <w:t>1.31</w:t>
            </w:r>
          </w:p>
        </w:tc>
      </w:tr>
      <w:tr w:rsidR="00F078BF" w14:paraId="581417E9" w14:textId="77777777">
        <w:tc>
          <w:tcPr>
            <w:tcW w:w="1062" w:type="dxa"/>
            <w:tcBorders>
              <w:top w:val="single" w:sz="4" w:space="0" w:color="auto"/>
              <w:bottom w:val="single" w:sz="4" w:space="0" w:color="auto"/>
            </w:tcBorders>
          </w:tcPr>
          <w:p w14:paraId="5D9C3844" w14:textId="77777777" w:rsidR="00F078BF" w:rsidRDefault="00000000">
            <w:pPr>
              <w:spacing w:before="0" w:after="0" w:line="480" w:lineRule="auto"/>
              <w:ind w:firstLine="0"/>
              <w:rPr>
                <w:i/>
                <w:iCs/>
                <w:sz w:val="24"/>
                <w:szCs w:val="24"/>
              </w:rPr>
            </w:pPr>
            <w:r>
              <w:rPr>
                <w:b/>
                <w:bCs/>
                <w:sz w:val="24"/>
                <w:szCs w:val="24"/>
              </w:rPr>
              <w:t>Total</w:t>
            </w:r>
          </w:p>
        </w:tc>
        <w:tc>
          <w:tcPr>
            <w:tcW w:w="5778" w:type="dxa"/>
            <w:tcBorders>
              <w:top w:val="single" w:sz="4" w:space="0" w:color="auto"/>
              <w:bottom w:val="single" w:sz="4" w:space="0" w:color="auto"/>
            </w:tcBorders>
          </w:tcPr>
          <w:p w14:paraId="4D276B3C" w14:textId="77777777" w:rsidR="00F078BF" w:rsidRDefault="00F078BF">
            <w:pPr>
              <w:spacing w:before="0" w:after="0" w:line="480" w:lineRule="auto"/>
              <w:ind w:firstLine="0"/>
              <w:rPr>
                <w:i/>
                <w:iCs/>
                <w:sz w:val="24"/>
                <w:szCs w:val="24"/>
              </w:rPr>
            </w:pPr>
          </w:p>
        </w:tc>
        <w:tc>
          <w:tcPr>
            <w:tcW w:w="1080" w:type="dxa"/>
            <w:tcBorders>
              <w:top w:val="single" w:sz="4" w:space="0" w:color="auto"/>
              <w:bottom w:val="single" w:sz="4" w:space="0" w:color="auto"/>
            </w:tcBorders>
          </w:tcPr>
          <w:p w14:paraId="7C49B12A" w14:textId="77777777" w:rsidR="00F078BF" w:rsidRDefault="00000000">
            <w:pPr>
              <w:spacing w:before="0" w:after="0" w:line="480" w:lineRule="auto"/>
              <w:ind w:firstLine="0"/>
              <w:rPr>
                <w:i/>
                <w:iCs/>
                <w:sz w:val="24"/>
                <w:szCs w:val="24"/>
              </w:rPr>
            </w:pPr>
            <w:r>
              <w:rPr>
                <w:b/>
                <w:bCs/>
                <w:sz w:val="24"/>
                <w:szCs w:val="24"/>
              </w:rPr>
              <w:t>3.51</w:t>
            </w:r>
          </w:p>
        </w:tc>
        <w:tc>
          <w:tcPr>
            <w:tcW w:w="990" w:type="dxa"/>
            <w:tcBorders>
              <w:top w:val="single" w:sz="4" w:space="0" w:color="auto"/>
              <w:bottom w:val="single" w:sz="4" w:space="0" w:color="auto"/>
            </w:tcBorders>
          </w:tcPr>
          <w:p w14:paraId="321E8654" w14:textId="77777777" w:rsidR="00F078BF" w:rsidRDefault="00000000">
            <w:pPr>
              <w:spacing w:before="0" w:after="0" w:line="480" w:lineRule="auto"/>
              <w:ind w:firstLine="0"/>
              <w:rPr>
                <w:i/>
                <w:iCs/>
                <w:sz w:val="24"/>
                <w:szCs w:val="24"/>
              </w:rPr>
            </w:pPr>
            <w:r>
              <w:rPr>
                <w:b/>
                <w:bCs/>
                <w:sz w:val="24"/>
                <w:szCs w:val="24"/>
              </w:rPr>
              <w:t>1.17</w:t>
            </w:r>
          </w:p>
        </w:tc>
      </w:tr>
    </w:tbl>
    <w:p w14:paraId="15E625DB" w14:textId="77777777" w:rsidR="00F078BF" w:rsidRDefault="00F078BF">
      <w:pPr>
        <w:spacing w:before="0" w:after="120" w:line="360" w:lineRule="auto"/>
        <w:ind w:firstLine="0"/>
        <w:rPr>
          <w:i/>
          <w:iCs/>
          <w:sz w:val="24"/>
          <w:szCs w:val="24"/>
        </w:rPr>
      </w:pPr>
    </w:p>
    <w:p w14:paraId="3946FEBA" w14:textId="77777777" w:rsidR="00F078BF" w:rsidRDefault="00000000">
      <w:pPr>
        <w:keepNext/>
        <w:spacing w:before="0" w:after="120" w:line="480" w:lineRule="auto"/>
        <w:ind w:left="284" w:hanging="284"/>
        <w:jc w:val="center"/>
        <w:rPr>
          <w:b/>
          <w:bCs/>
          <w:color w:val="000000"/>
          <w:sz w:val="24"/>
          <w:szCs w:val="24"/>
        </w:rPr>
      </w:pPr>
      <w:r>
        <w:rPr>
          <w:b/>
          <w:bCs/>
          <w:color w:val="000000"/>
          <w:sz w:val="24"/>
          <w:szCs w:val="24"/>
        </w:rPr>
        <w:lastRenderedPageBreak/>
        <w:t xml:space="preserve">5. Discussion </w:t>
      </w:r>
    </w:p>
    <w:p w14:paraId="73A6F9F0" w14:textId="77777777" w:rsidR="00F078BF" w:rsidRDefault="00000000">
      <w:pPr>
        <w:spacing w:before="0" w:after="120" w:line="480" w:lineRule="auto"/>
        <w:rPr>
          <w:sz w:val="24"/>
          <w:szCs w:val="24"/>
        </w:rPr>
      </w:pPr>
      <w:r>
        <w:rPr>
          <w:sz w:val="24"/>
          <w:szCs w:val="24"/>
        </w:rPr>
        <w:t>Based on the collected data, problem-solving strategies are the most frequently used among the 3 MORS sub-categories (M = 3.83). This finding aligns with Do and Phan’s (2021) study of EFL students' use of metacognitive online reading strategies in a Vietnamese university context. According to them, most participants tend to use problem-solving strategies rather than other MORS sub-categories. The frequent use of these strategies may be explained by the linguistic challenges students face when acquiring academic online texts (Meniado, 2016).</w:t>
      </w:r>
    </w:p>
    <w:p w14:paraId="67CF5A41" w14:textId="77777777" w:rsidR="00F078BF" w:rsidRDefault="00000000">
      <w:pPr>
        <w:spacing w:before="0" w:after="120" w:line="480" w:lineRule="auto"/>
        <w:rPr>
          <w:sz w:val="24"/>
          <w:szCs w:val="24"/>
        </w:rPr>
      </w:pPr>
      <w:r>
        <w:rPr>
          <w:sz w:val="24"/>
          <w:szCs w:val="24"/>
        </w:rPr>
        <w:t>Regarding the use of global strategies, this study found that item B7 had the highest mean score of 3.95. Attention adjustment during online text acquisition significantly affects the reading process, particularly reading comprehension (Yildiz &amp; Çetinkaya, 2017). According to the automatization theory (LaBerge &amp; Samuels, 1974), attention is an important factor for reading comprehension. Thus, students tend to use this strategy to enhance their reading comprehension. In comparison, item B3 has the lowest mean score (M = 3.50), indicating that students sometimes preview online texts before reading. As this strategy requires readers to determine the text's purpose before reading the whole text, students may comprehend it more successfully (Rukmini et al., 2014). However, if students encounter unfamiliar academic vocabulary for the first time when applying this strategy, they may find it difficult to use it, leading to discouragement and fear of its frequent use (Rukmini et al., 2014).</w:t>
      </w:r>
    </w:p>
    <w:p w14:paraId="18C66960" w14:textId="77777777" w:rsidR="00F078BF" w:rsidRDefault="00000000">
      <w:pPr>
        <w:spacing w:before="0" w:after="120" w:line="480" w:lineRule="auto"/>
        <w:rPr>
          <w:sz w:val="24"/>
          <w:szCs w:val="24"/>
        </w:rPr>
      </w:pPr>
      <w:r>
        <w:rPr>
          <w:sz w:val="24"/>
          <w:szCs w:val="24"/>
        </w:rPr>
        <w:t xml:space="preserve">Regarding the use of problem-solving strategies, item B23 has the highest mean in this subcategory (M = 4.02), indicating frequent rereading to better comprehension. As Laverspool (2008) noted, rereading is recognised as one of the oldest and principal means for readers to evaluate and regulate their reading process. At various instructional levels, rereading remains one of the primary reading strategies taught to students (Laverpool, 2008). Thus, it is understandable that this strategy is most frequently used among students. In contrast, item B25 </w:t>
      </w:r>
      <w:r>
        <w:rPr>
          <w:sz w:val="24"/>
          <w:szCs w:val="24"/>
        </w:rPr>
        <w:lastRenderedPageBreak/>
        <w:t xml:space="preserve">reaches the lowest mean (M = 3.54) in this group. As Graney (1990) presented, determination between opinions and facts is a critical reading problem in text evaluation. By attempting to evaluate the text, readers may recognise both explicit and implicit information (Brown &amp; Yule, 1983). However, given the richer, more complex components of online texts, readers may find it more difficult to distinguish between opinions and facts (Pardede, 2022). This challenge may lead to reduced confidence in applying this strategy, which explains its least frequent use among problem-solving strategies. </w:t>
      </w:r>
    </w:p>
    <w:p w14:paraId="0EC541B9" w14:textId="77777777" w:rsidR="00F078BF" w:rsidRDefault="00000000">
      <w:pPr>
        <w:spacing w:before="0" w:after="120" w:line="480" w:lineRule="auto"/>
        <w:rPr>
          <w:color w:val="EE0000"/>
          <w:sz w:val="24"/>
          <w:szCs w:val="24"/>
        </w:rPr>
      </w:pPr>
      <w:r>
        <w:rPr>
          <w:sz w:val="24"/>
          <w:szCs w:val="24"/>
        </w:rPr>
        <w:t xml:space="preserve">In terms of the use of support strategies, item B29 has the highest mean (M = 3.93), indicating frequent use of reference materials to aid reading comprehension. This result supports Hamdi (2015), who found that electronic dictionaries, a type of reference material, would be effective and motivating aids for successfully acquiring texts. Pookcharoen (2009) stated that using reference materials is one of the most frequently used strategies to address unfamiliar vocabulary or concepts. This strategy may be applied by both proficient and non-proficient readers. While non-proficient readers perceive these learning aids as the simplest way to understand the meanings of words or concepts, proficient readers use them to check meanings after using context clues and guessing. In comparison, item B26 </w:t>
      </w:r>
      <w:r>
        <w:rPr>
          <w:color w:val="EE0000"/>
          <w:sz w:val="24"/>
          <w:szCs w:val="24"/>
        </w:rPr>
        <w:t>regarding the use of notetaking to support comprehension</w:t>
      </w:r>
      <w:r>
        <w:rPr>
          <w:sz w:val="24"/>
          <w:szCs w:val="24"/>
        </w:rPr>
        <w:t xml:space="preserve"> has the lowest mean among 34 strategies (M = 3.05), which is consistent with Anderson (2003). By investigating the use of MORS among both ESL and EFL students, his study revealed that this strategy is among the least-used strategies. </w:t>
      </w:r>
      <w:r>
        <w:rPr>
          <w:color w:val="EE0000"/>
          <w:sz w:val="24"/>
          <w:szCs w:val="24"/>
        </w:rPr>
        <w:t xml:space="preserve">Judging from the EMI context of this study, students must simultaneously understand disciplinary concepts and process unfamiliar academic vocabulary to comprehend the material. Taking notes may add another layer to the complexity, in which students must identify important information, reformulate it, organise it, and write it down. This possible cause resonates with Salame et al. (2024)’s study, claiming that effective note-taking itself requires active selection and reformulation rather than simple copying. This process turned out to be </w:t>
      </w:r>
      <w:r>
        <w:rPr>
          <w:color w:val="EE0000"/>
          <w:sz w:val="24"/>
          <w:szCs w:val="24"/>
        </w:rPr>
        <w:lastRenderedPageBreak/>
        <w:t>more demanding for students, especially those at the beginning of their undergraduate studies. Therefore, this may explain why item B26 is the least-used strategy.</w:t>
      </w:r>
    </w:p>
    <w:p w14:paraId="40771260" w14:textId="77777777" w:rsidR="00F078BF" w:rsidRDefault="00000000">
      <w:pPr>
        <w:keepNext/>
        <w:spacing w:before="0" w:after="120" w:line="480" w:lineRule="auto"/>
        <w:ind w:left="284" w:hanging="284"/>
        <w:jc w:val="center"/>
        <w:rPr>
          <w:b/>
          <w:bCs/>
          <w:color w:val="000000"/>
          <w:sz w:val="24"/>
          <w:szCs w:val="24"/>
        </w:rPr>
      </w:pPr>
      <w:r>
        <w:rPr>
          <w:b/>
          <w:bCs/>
          <w:color w:val="000000"/>
          <w:sz w:val="24"/>
          <w:szCs w:val="24"/>
        </w:rPr>
        <w:t>6. Conclusion</w:t>
      </w:r>
    </w:p>
    <w:p w14:paraId="3308C13F" w14:textId="77777777" w:rsidR="00F078BF" w:rsidRDefault="00000000">
      <w:pPr>
        <w:spacing w:before="0" w:after="120" w:line="480" w:lineRule="auto"/>
        <w:ind w:firstLine="566"/>
        <w:rPr>
          <w:sz w:val="24"/>
          <w:szCs w:val="24"/>
        </w:rPr>
      </w:pPr>
      <w:r>
        <w:rPr>
          <w:sz w:val="24"/>
          <w:szCs w:val="24"/>
        </w:rPr>
        <w:t>The study indicates how students at an English-medium instruction (EMI) university perceive the use of metacognitive online reading strategies (MORS), particularly the frequent use of all three sub-categories: global, problem-solving, and support strategies. Students most frequently use problem-solving strategies, aligning with other previous studies. Students frequently pay attention to the text, reread, and use reference materials to support successful reading, while applying previewing, note-taking, and determining between opinions and facts less frequently than other strategies. These findings support previous studies on students’ use of metacognitive online reading strategies.</w:t>
      </w:r>
    </w:p>
    <w:p w14:paraId="71EA5597" w14:textId="77777777" w:rsidR="00F078BF" w:rsidRDefault="00000000">
      <w:pPr>
        <w:spacing w:before="0" w:after="120" w:line="480" w:lineRule="auto"/>
        <w:ind w:firstLine="566"/>
        <w:rPr>
          <w:sz w:val="24"/>
          <w:szCs w:val="24"/>
        </w:rPr>
      </w:pPr>
      <w:r>
        <w:rPr>
          <w:sz w:val="24"/>
          <w:szCs w:val="24"/>
        </w:rPr>
        <w:t>Besides, this research has some limitations. A sample size of 124 participants from an EMI university may affect the generalizability of the results. In addition, the Online Survey of Reading Strategies (OSORS) is a self-report instrument that asks participants to complete the survey based on their perceptions; the results may be subjective (Jusoh &amp; Abdullah, 2015)</w:t>
      </w:r>
    </w:p>
    <w:p w14:paraId="45E27B8A" w14:textId="77777777" w:rsidR="00F078BF" w:rsidRDefault="00000000">
      <w:pPr>
        <w:spacing w:before="0" w:after="120" w:line="480" w:lineRule="auto"/>
        <w:ind w:firstLine="566"/>
        <w:rPr>
          <w:color w:val="EE0000"/>
          <w:sz w:val="24"/>
          <w:szCs w:val="24"/>
        </w:rPr>
      </w:pPr>
      <w:r>
        <w:rPr>
          <w:color w:val="EE0000"/>
          <w:sz w:val="24"/>
          <w:szCs w:val="24"/>
        </w:rPr>
        <w:t>These implications suggest that lecturers, educators, and researchers may consider them for future work. Particularly, as a self-report questionnaire, OSORS cannot capture students’ actual use of MORS; therefore, future research in this field should employ longitudinal designs or experimental methods to measure it more precisely. Furthermore, expanding the sample size to enhance the generalizability of the results is recommended for future studies.</w:t>
      </w:r>
    </w:p>
    <w:p w14:paraId="1CAA3660" w14:textId="77777777" w:rsidR="00F078BF" w:rsidRDefault="00000000">
      <w:pPr>
        <w:keepNext/>
        <w:spacing w:before="240" w:line="480" w:lineRule="auto"/>
        <w:ind w:firstLine="0"/>
        <w:rPr>
          <w:b/>
          <w:bCs/>
          <w:color w:val="000000"/>
          <w:sz w:val="24"/>
          <w:szCs w:val="24"/>
        </w:rPr>
      </w:pPr>
      <w:r>
        <w:rPr>
          <w:b/>
          <w:bCs/>
          <w:color w:val="000000"/>
          <w:sz w:val="24"/>
          <w:szCs w:val="24"/>
        </w:rPr>
        <w:t xml:space="preserve">Acknowledgments </w:t>
      </w:r>
    </w:p>
    <w:p w14:paraId="48F4C12A" w14:textId="77777777" w:rsidR="00F078BF" w:rsidRDefault="00000000">
      <w:pPr>
        <w:spacing w:line="480" w:lineRule="auto"/>
        <w:ind w:firstLine="0"/>
        <w:rPr>
          <w:sz w:val="24"/>
          <w:szCs w:val="24"/>
        </w:rPr>
      </w:pPr>
      <w:r>
        <w:rPr>
          <w:sz w:val="24"/>
          <w:szCs w:val="24"/>
        </w:rPr>
        <w:t xml:space="preserve">First and foremost, we would like to express our sincere gratitude to International University, Vietnam National University Ho Chi Minh City, and the School of Languages for providing the necessary support and conditions for the completion of this study. We are also deeply </w:t>
      </w:r>
      <w:r>
        <w:rPr>
          <w:sz w:val="24"/>
          <w:szCs w:val="24"/>
        </w:rPr>
        <w:lastRenderedPageBreak/>
        <w:t>thankful to the students who generously participated in the research. Their honest responses and valuable time made an important contribution to the success of this study. Our appreciation is further extended to the teachers who kindly allowed us to collect data in their classrooms. Finally, we would like to thank the conference chairs and reviewers for their insightful and constructive comments on earlier versions of this article.</w:t>
      </w:r>
    </w:p>
    <w:p w14:paraId="70A33C40" w14:textId="77777777" w:rsidR="00F078BF" w:rsidRDefault="00000000">
      <w:pPr>
        <w:keepNext/>
        <w:spacing w:before="240" w:after="0"/>
        <w:ind w:left="284" w:hanging="284"/>
        <w:rPr>
          <w:b/>
          <w:bCs/>
          <w:color w:val="000000"/>
          <w:sz w:val="24"/>
          <w:szCs w:val="24"/>
        </w:rPr>
      </w:pPr>
      <w:r>
        <w:rPr>
          <w:b/>
          <w:bCs/>
          <w:color w:val="000000"/>
          <w:sz w:val="24"/>
          <w:szCs w:val="24"/>
        </w:rPr>
        <w:t>References</w:t>
      </w:r>
    </w:p>
    <w:p w14:paraId="414B54D7" w14:textId="77777777" w:rsidR="00F078BF" w:rsidRDefault="00000000">
      <w:pPr>
        <w:spacing w:after="100"/>
        <w:ind w:left="720" w:hanging="720"/>
        <w:jc w:val="left"/>
        <w:rPr>
          <w:color w:val="0000FF"/>
          <w:sz w:val="24"/>
          <w:szCs w:val="24"/>
        </w:rPr>
      </w:pPr>
      <w:r>
        <w:rPr>
          <w:rFonts w:eastAsia="SimSun"/>
          <w:color w:val="0000FF"/>
          <w:sz w:val="24"/>
          <w:szCs w:val="24"/>
        </w:rPr>
        <w:t>Adiwinata, A. (2017). The students’ perception towards the effectiveness of public speaking subject to support their speaking skill. Makassar Muhammadiyah University</w:t>
      </w:r>
    </w:p>
    <w:p w14:paraId="0202A409" w14:textId="2E1D174C" w:rsidR="00F078BF" w:rsidRDefault="00000000">
      <w:pPr>
        <w:spacing w:after="100"/>
        <w:ind w:left="720" w:hanging="720"/>
        <w:jc w:val="left"/>
        <w:rPr>
          <w:sz w:val="24"/>
          <w:szCs w:val="24"/>
        </w:rPr>
      </w:pPr>
      <w:r>
        <w:rPr>
          <w:sz w:val="24"/>
          <w:szCs w:val="24"/>
        </w:rPr>
        <w:t xml:space="preserve">Afflerbach, P., Pearson, P. D. &amp; Paris, S. G. (2008). Clarifying differences between reading skills and reading strategies. </w:t>
      </w:r>
      <w:r>
        <w:rPr>
          <w:i/>
          <w:iCs/>
          <w:sz w:val="24"/>
          <w:szCs w:val="24"/>
        </w:rPr>
        <w:t>The Reading Teacher, 61</w:t>
      </w:r>
      <w:r>
        <w:rPr>
          <w:sz w:val="24"/>
          <w:szCs w:val="24"/>
        </w:rPr>
        <w:t xml:space="preserve">(5), 364–373. </w:t>
      </w:r>
      <w:hyperlink r:id="rId9" w:history="1">
        <w:r>
          <w:rPr>
            <w:rStyle w:val="Hyperlink"/>
            <w:sz w:val="24"/>
            <w:szCs w:val="24"/>
          </w:rPr>
          <w:t>https://doi.org/10.1598/RT.61.5.1</w:t>
        </w:r>
      </w:hyperlink>
      <w:r>
        <w:rPr>
          <w:sz w:val="24"/>
          <w:szCs w:val="24"/>
        </w:rPr>
        <w:t xml:space="preserve"> </w:t>
      </w:r>
    </w:p>
    <w:p w14:paraId="3A5B9E46" w14:textId="77777777" w:rsidR="00F078BF" w:rsidRDefault="00000000">
      <w:pPr>
        <w:spacing w:after="100"/>
        <w:ind w:left="720" w:hanging="720"/>
        <w:jc w:val="left"/>
        <w:rPr>
          <w:sz w:val="24"/>
          <w:szCs w:val="24"/>
        </w:rPr>
      </w:pPr>
      <w:r>
        <w:rPr>
          <w:sz w:val="24"/>
          <w:szCs w:val="24"/>
        </w:rPr>
        <w:t xml:space="preserve">Ally, M. (2013). Mobile learning: From research to practice to impact education. </w:t>
      </w:r>
      <w:r>
        <w:rPr>
          <w:i/>
          <w:iCs/>
          <w:sz w:val="24"/>
          <w:szCs w:val="24"/>
        </w:rPr>
        <w:t>Learning and Teaching in Higher Education: Gulf Perspectives, 10</w:t>
      </w:r>
      <w:r>
        <w:rPr>
          <w:sz w:val="24"/>
          <w:szCs w:val="24"/>
        </w:rPr>
        <w:t xml:space="preserve">(2), 3–12. </w:t>
      </w:r>
      <w:hyperlink r:id="rId10" w:history="1">
        <w:r>
          <w:rPr>
            <w:rStyle w:val="Hyperlink"/>
            <w:sz w:val="24"/>
            <w:szCs w:val="24"/>
          </w:rPr>
          <w:t>https://doi.org/10.18538/lthe.v10.n2.140</w:t>
        </w:r>
      </w:hyperlink>
      <w:r>
        <w:rPr>
          <w:sz w:val="24"/>
          <w:szCs w:val="24"/>
        </w:rPr>
        <w:t xml:space="preserve"> </w:t>
      </w:r>
    </w:p>
    <w:p w14:paraId="67D3B554" w14:textId="77777777" w:rsidR="00F078BF" w:rsidRDefault="00000000">
      <w:pPr>
        <w:spacing w:after="100"/>
        <w:ind w:left="720" w:hanging="720"/>
        <w:jc w:val="left"/>
        <w:rPr>
          <w:sz w:val="24"/>
          <w:szCs w:val="24"/>
        </w:rPr>
      </w:pPr>
      <w:r>
        <w:rPr>
          <w:sz w:val="24"/>
          <w:szCs w:val="24"/>
        </w:rPr>
        <w:t xml:space="preserve">Aman, M. (2024). </w:t>
      </w:r>
      <w:r>
        <w:rPr>
          <w:i/>
          <w:iCs/>
          <w:sz w:val="24"/>
          <w:szCs w:val="24"/>
        </w:rPr>
        <w:t>Exploring the relation between reading strategy use and reading comprehension among first-year Wollo University students</w:t>
      </w:r>
      <w:r>
        <w:rPr>
          <w:sz w:val="24"/>
          <w:szCs w:val="24"/>
        </w:rPr>
        <w:t xml:space="preserve"> (Doctoral dissertation, Addis Ababa University). Addis Ababa University. </w:t>
      </w:r>
    </w:p>
    <w:p w14:paraId="3FE03673" w14:textId="77777777" w:rsidR="00F078BF" w:rsidRDefault="00000000">
      <w:pPr>
        <w:spacing w:after="100"/>
        <w:ind w:left="720" w:hanging="720"/>
        <w:jc w:val="left"/>
        <w:rPr>
          <w:sz w:val="24"/>
          <w:szCs w:val="24"/>
        </w:rPr>
      </w:pPr>
      <w:r>
        <w:rPr>
          <w:sz w:val="24"/>
          <w:szCs w:val="24"/>
        </w:rPr>
        <w:t xml:space="preserve">Aman, M. &amp; Lemu, G. (2023). Exploring reading strategy use of Wollo University first-year social science students. </w:t>
      </w:r>
      <w:r>
        <w:rPr>
          <w:i/>
          <w:iCs/>
          <w:sz w:val="24"/>
          <w:szCs w:val="24"/>
        </w:rPr>
        <w:t>Abyssinia Journal of Business and Social Sciences, 8</w:t>
      </w:r>
      <w:r>
        <w:rPr>
          <w:sz w:val="24"/>
          <w:szCs w:val="24"/>
        </w:rPr>
        <w:t xml:space="preserve">(2), 73-83. </w:t>
      </w:r>
      <w:hyperlink r:id="rId11" w:history="1">
        <w:r>
          <w:rPr>
            <w:rStyle w:val="Hyperlink"/>
            <w:sz w:val="24"/>
            <w:szCs w:val="24"/>
          </w:rPr>
          <w:t>https://doi.org/10.20372/ajbs.2023.8.2.887</w:t>
        </w:r>
      </w:hyperlink>
      <w:r>
        <w:rPr>
          <w:sz w:val="24"/>
          <w:szCs w:val="24"/>
        </w:rPr>
        <w:t xml:space="preserve"> </w:t>
      </w:r>
    </w:p>
    <w:p w14:paraId="1795B8F0" w14:textId="2D13832C" w:rsidR="00F078BF" w:rsidRDefault="00000000">
      <w:pPr>
        <w:spacing w:after="100"/>
        <w:ind w:left="720" w:hanging="720"/>
        <w:jc w:val="left"/>
        <w:rPr>
          <w:sz w:val="24"/>
          <w:szCs w:val="24"/>
        </w:rPr>
      </w:pPr>
      <w:r>
        <w:rPr>
          <w:sz w:val="24"/>
          <w:szCs w:val="24"/>
        </w:rPr>
        <w:t xml:space="preserve">Amer, A., Al Barwani, T. &amp; Ibrahim, M. (2010). Student teachers’ perceived use of online reading strategies. </w:t>
      </w:r>
      <w:r>
        <w:rPr>
          <w:i/>
          <w:iCs/>
          <w:sz w:val="24"/>
          <w:szCs w:val="24"/>
        </w:rPr>
        <w:t>International Journal of Education and Development Using Information and Communication Technology, 6</w:t>
      </w:r>
      <w:r>
        <w:rPr>
          <w:sz w:val="24"/>
          <w:szCs w:val="24"/>
        </w:rPr>
        <w:t>(4), 102–113. Retrieved from LearnTechLib</w:t>
      </w:r>
    </w:p>
    <w:p w14:paraId="65E49CE3" w14:textId="77777777" w:rsidR="00F078BF" w:rsidRDefault="00000000">
      <w:pPr>
        <w:spacing w:after="100"/>
        <w:ind w:left="720" w:hanging="720"/>
        <w:jc w:val="left"/>
        <w:rPr>
          <w:sz w:val="24"/>
          <w:szCs w:val="24"/>
        </w:rPr>
      </w:pPr>
      <w:r>
        <w:rPr>
          <w:sz w:val="24"/>
          <w:szCs w:val="24"/>
        </w:rPr>
        <w:t xml:space="preserve">Anderson, N. J. (2003). Scrolling, clicking, and reading English: Online reading strategies in a second/foreign language. </w:t>
      </w:r>
      <w:r>
        <w:rPr>
          <w:i/>
          <w:iCs/>
          <w:sz w:val="24"/>
          <w:szCs w:val="24"/>
        </w:rPr>
        <w:t>The Reading Matrix, 3</w:t>
      </w:r>
      <w:r>
        <w:rPr>
          <w:sz w:val="24"/>
          <w:szCs w:val="24"/>
        </w:rPr>
        <w:t xml:space="preserve">(3), 1–33. </w:t>
      </w:r>
      <w:hyperlink r:id="rId12" w:history="1">
        <w:r>
          <w:rPr>
            <w:rStyle w:val="Hyperlink"/>
            <w:sz w:val="24"/>
            <w:szCs w:val="24"/>
          </w:rPr>
          <w:t>http://www.readingmatrix.com/articles/anderson/article.pdf</w:t>
        </w:r>
      </w:hyperlink>
      <w:r>
        <w:rPr>
          <w:sz w:val="24"/>
          <w:szCs w:val="24"/>
        </w:rPr>
        <w:t xml:space="preserve"> </w:t>
      </w:r>
    </w:p>
    <w:p w14:paraId="0E63982B" w14:textId="77777777" w:rsidR="00F078BF" w:rsidRDefault="00000000">
      <w:pPr>
        <w:spacing w:after="100"/>
        <w:ind w:left="720" w:hanging="720"/>
        <w:jc w:val="left"/>
        <w:rPr>
          <w:sz w:val="24"/>
          <w:szCs w:val="24"/>
        </w:rPr>
      </w:pPr>
      <w:r>
        <w:rPr>
          <w:sz w:val="24"/>
          <w:szCs w:val="24"/>
        </w:rPr>
        <w:t xml:space="preserve">Aydinbek, C. (2021). The effect of instruction in reading strategies on the reading achievement of learners of French. </w:t>
      </w:r>
      <w:r>
        <w:rPr>
          <w:i/>
          <w:iCs/>
          <w:sz w:val="24"/>
          <w:szCs w:val="24"/>
        </w:rPr>
        <w:t>Eurasian Journal of Educational Research, 91</w:t>
      </w:r>
      <w:r>
        <w:rPr>
          <w:sz w:val="24"/>
          <w:szCs w:val="24"/>
        </w:rPr>
        <w:t xml:space="preserve">, 321–338. </w:t>
      </w:r>
      <w:hyperlink r:id="rId13" w:history="1">
        <w:r>
          <w:rPr>
            <w:rStyle w:val="Hyperlink"/>
            <w:sz w:val="24"/>
            <w:szCs w:val="24"/>
          </w:rPr>
          <w:t>https://doi.org/10.14689/ejer.2021.91.15</w:t>
        </w:r>
      </w:hyperlink>
      <w:r>
        <w:rPr>
          <w:sz w:val="24"/>
          <w:szCs w:val="24"/>
        </w:rPr>
        <w:t xml:space="preserve"> </w:t>
      </w:r>
    </w:p>
    <w:p w14:paraId="1DD16C16" w14:textId="77777777" w:rsidR="00F078BF" w:rsidRDefault="00000000">
      <w:pPr>
        <w:spacing w:after="100"/>
        <w:ind w:left="720" w:hanging="720"/>
        <w:jc w:val="left"/>
        <w:rPr>
          <w:sz w:val="24"/>
          <w:szCs w:val="24"/>
        </w:rPr>
      </w:pPr>
      <w:r>
        <w:rPr>
          <w:sz w:val="24"/>
          <w:szCs w:val="24"/>
        </w:rPr>
        <w:t>Behalova, A. (2010). Exploring online reading strategies of American undergraduate students (Doctoral dissertation, Oklahoma State University).</w:t>
      </w:r>
    </w:p>
    <w:p w14:paraId="062C3FE4" w14:textId="77777777" w:rsidR="00F078BF" w:rsidRDefault="00000000">
      <w:pPr>
        <w:spacing w:after="100"/>
        <w:ind w:left="720" w:hanging="720"/>
        <w:jc w:val="left"/>
        <w:rPr>
          <w:sz w:val="24"/>
          <w:szCs w:val="24"/>
        </w:rPr>
      </w:pPr>
      <w:r>
        <w:rPr>
          <w:sz w:val="24"/>
          <w:szCs w:val="24"/>
        </w:rPr>
        <w:t>Bhalerao, A. K. (2015). Application and performance of Google Forms for online data collection and analysis: A case of North Eastern Region of India.</w:t>
      </w:r>
      <w:r>
        <w:rPr>
          <w:i/>
          <w:iCs/>
          <w:sz w:val="24"/>
          <w:szCs w:val="24"/>
        </w:rPr>
        <w:t xml:space="preserve"> Indian Journal of Extension Education, 51</w:t>
      </w:r>
      <w:r>
        <w:rPr>
          <w:sz w:val="24"/>
          <w:szCs w:val="24"/>
        </w:rPr>
        <w:t xml:space="preserve">(3 &amp; 4), 49–53. </w:t>
      </w:r>
    </w:p>
    <w:p w14:paraId="6A9BD4A2" w14:textId="77777777" w:rsidR="00F078BF" w:rsidRDefault="00000000">
      <w:pPr>
        <w:pStyle w:val="NormalWeb"/>
        <w:spacing w:before="0" w:beforeAutospacing="1" w:after="0" w:afterAutospacing="1"/>
        <w:ind w:right="720" w:firstLine="0"/>
        <w:rPr>
          <w:color w:val="0000FF"/>
        </w:rPr>
      </w:pPr>
      <w:r>
        <w:rPr>
          <w:rStyle w:val="Strong"/>
          <w:rFonts w:eastAsia="SimSun"/>
          <w:b w:val="0"/>
          <w:bCs w:val="0"/>
          <w:color w:val="0000FF"/>
        </w:rPr>
        <w:lastRenderedPageBreak/>
        <w:t xml:space="preserve">Brown, G., &amp; Yule, G. (1983). </w:t>
      </w:r>
      <w:r>
        <w:rPr>
          <w:rStyle w:val="Emphasis"/>
          <w:rFonts w:eastAsia="SimSun"/>
          <w:color w:val="0000FF"/>
        </w:rPr>
        <w:t>Discourse analysis</w:t>
      </w:r>
      <w:r>
        <w:rPr>
          <w:rStyle w:val="Strong"/>
          <w:rFonts w:eastAsia="SimSun"/>
          <w:b w:val="0"/>
          <w:bCs w:val="0"/>
          <w:color w:val="0000FF"/>
        </w:rPr>
        <w:t>. Cambridge University Press.</w:t>
      </w:r>
    </w:p>
    <w:p w14:paraId="77393DA3" w14:textId="609BEA2D" w:rsidR="00F078BF" w:rsidRDefault="00000000">
      <w:pPr>
        <w:spacing w:after="100"/>
        <w:ind w:left="720" w:hanging="720"/>
        <w:jc w:val="left"/>
        <w:rPr>
          <w:sz w:val="24"/>
          <w:szCs w:val="24"/>
        </w:rPr>
      </w:pPr>
      <w:r>
        <w:rPr>
          <w:sz w:val="24"/>
          <w:szCs w:val="24"/>
        </w:rPr>
        <w:t xml:space="preserve">Carrell, P. L., Pharis, B. G. &amp; Liberto, J. C. (1989). Metacognitive strategy training for ESL reading. </w:t>
      </w:r>
      <w:r>
        <w:rPr>
          <w:i/>
          <w:iCs/>
          <w:sz w:val="24"/>
          <w:szCs w:val="24"/>
        </w:rPr>
        <w:t>TESOL Quarterly, 23</w:t>
      </w:r>
      <w:r>
        <w:rPr>
          <w:sz w:val="24"/>
          <w:szCs w:val="24"/>
        </w:rPr>
        <w:t xml:space="preserve">(4), 647–678. </w:t>
      </w:r>
      <w:hyperlink r:id="rId14" w:history="1">
        <w:r>
          <w:rPr>
            <w:rStyle w:val="Hyperlink"/>
            <w:sz w:val="24"/>
            <w:szCs w:val="24"/>
          </w:rPr>
          <w:t>https://doi.org/10.2307/3587536</w:t>
        </w:r>
      </w:hyperlink>
      <w:r>
        <w:rPr>
          <w:sz w:val="24"/>
          <w:szCs w:val="24"/>
        </w:rPr>
        <w:t xml:space="preserve"> </w:t>
      </w:r>
    </w:p>
    <w:p w14:paraId="69FEA0E8" w14:textId="5873AD38" w:rsidR="00F078BF" w:rsidRDefault="00000000">
      <w:pPr>
        <w:spacing w:after="100"/>
        <w:ind w:left="720" w:hanging="720"/>
        <w:jc w:val="left"/>
        <w:rPr>
          <w:sz w:val="24"/>
          <w:szCs w:val="24"/>
        </w:rPr>
      </w:pPr>
      <w:r>
        <w:rPr>
          <w:sz w:val="24"/>
          <w:szCs w:val="24"/>
        </w:rPr>
        <w:t xml:space="preserve">Casebeer, A. L. &amp; Verhoef, M. J. (1997). Combining qualitative and quantitative research methods: Considering the possibilities for enhancing the study of chronic diseases. </w:t>
      </w:r>
      <w:r>
        <w:rPr>
          <w:i/>
          <w:iCs/>
          <w:sz w:val="24"/>
          <w:szCs w:val="24"/>
        </w:rPr>
        <w:t>Chronic Diseases in Canada, 18</w:t>
      </w:r>
      <w:r>
        <w:rPr>
          <w:sz w:val="24"/>
          <w:szCs w:val="24"/>
        </w:rPr>
        <w:t xml:space="preserve">(3), 130–135. </w:t>
      </w:r>
      <w:hyperlink r:id="rId15" w:history="1">
        <w:r>
          <w:rPr>
            <w:rStyle w:val="Hyperlink"/>
            <w:sz w:val="24"/>
            <w:szCs w:val="24"/>
          </w:rPr>
          <w:t>https://www.floppybunny.org/robin/web/virtualclassroom/chap5/s5/articles_qual_quant_approaches/combining_qual_quant.pdf</w:t>
        </w:r>
      </w:hyperlink>
      <w:r>
        <w:rPr>
          <w:sz w:val="24"/>
          <w:szCs w:val="24"/>
        </w:rPr>
        <w:t xml:space="preserve"> </w:t>
      </w:r>
    </w:p>
    <w:p w14:paraId="686FC683" w14:textId="77777777" w:rsidR="00F078BF" w:rsidRDefault="00000000">
      <w:pPr>
        <w:spacing w:after="100"/>
        <w:ind w:left="720" w:hanging="720"/>
        <w:jc w:val="left"/>
        <w:rPr>
          <w:sz w:val="24"/>
          <w:szCs w:val="24"/>
        </w:rPr>
      </w:pPr>
      <w:r>
        <w:rPr>
          <w:sz w:val="24"/>
          <w:szCs w:val="24"/>
        </w:rPr>
        <w:t xml:space="preserve">Coiro, J. (2003). </w:t>
      </w:r>
      <w:r>
        <w:rPr>
          <w:i/>
          <w:iCs/>
          <w:sz w:val="24"/>
          <w:szCs w:val="24"/>
        </w:rPr>
        <w:t>Reading comprehension on the Internet: Expanding our understanding of reading comprehension to encompass new literacies</w:t>
      </w:r>
      <w:r>
        <w:rPr>
          <w:sz w:val="24"/>
          <w:szCs w:val="24"/>
        </w:rPr>
        <w:t xml:space="preserve">. Reading Online. </w:t>
      </w:r>
      <w:hyperlink r:id="rId16" w:history="1">
        <w:r>
          <w:rPr>
            <w:rStyle w:val="Hyperlink"/>
            <w:sz w:val="24"/>
            <w:szCs w:val="24"/>
          </w:rPr>
          <w:t>http://www.readingonline.org/electronic/elec_index.asp?HREF=/electronic/rt/203_Column/index.html</w:t>
        </w:r>
      </w:hyperlink>
      <w:r>
        <w:rPr>
          <w:sz w:val="24"/>
          <w:szCs w:val="24"/>
        </w:rPr>
        <w:t xml:space="preserve"> </w:t>
      </w:r>
    </w:p>
    <w:p w14:paraId="231F6E73" w14:textId="77777777" w:rsidR="00F078BF" w:rsidRDefault="00000000">
      <w:pPr>
        <w:spacing w:line="360" w:lineRule="auto"/>
        <w:ind w:left="720" w:hanging="720"/>
        <w:rPr>
          <w:rFonts w:eastAsia="SimSun"/>
          <w:color w:val="0000FF"/>
          <w:sz w:val="24"/>
          <w:szCs w:val="24"/>
        </w:rPr>
      </w:pPr>
      <w:r>
        <w:rPr>
          <w:sz w:val="24"/>
          <w:szCs w:val="24"/>
        </w:rPr>
        <w:t xml:space="preserve">Creswell, J. W. (2014). </w:t>
      </w:r>
      <w:r>
        <w:rPr>
          <w:i/>
          <w:iCs/>
          <w:sz w:val="24"/>
          <w:szCs w:val="24"/>
        </w:rPr>
        <w:t>Research design: Qualitative, quantitative, and mixed methods approaches</w:t>
      </w:r>
      <w:r>
        <w:rPr>
          <w:sz w:val="24"/>
          <w:szCs w:val="24"/>
        </w:rPr>
        <w:t xml:space="preserve"> (4th ed.). SAGE Publications. </w:t>
      </w:r>
    </w:p>
    <w:p w14:paraId="07DD09F9" w14:textId="68C91442" w:rsidR="00F078BF" w:rsidRDefault="00000000">
      <w:pPr>
        <w:spacing w:after="100"/>
        <w:ind w:left="720" w:hanging="720"/>
        <w:jc w:val="left"/>
        <w:rPr>
          <w:rFonts w:eastAsia="SimSun"/>
          <w:color w:val="0000FF"/>
          <w:sz w:val="24"/>
          <w:szCs w:val="24"/>
        </w:rPr>
      </w:pPr>
      <w:r>
        <w:rPr>
          <w:rFonts w:eastAsia="SimSun"/>
          <w:color w:val="0000FF"/>
          <w:sz w:val="24"/>
          <w:szCs w:val="24"/>
        </w:rPr>
        <w:t xml:space="preserve">Creswell, J. W. &amp; Creswell, J. D. (2018). </w:t>
      </w:r>
      <w:r>
        <w:rPr>
          <w:rStyle w:val="Emphasis"/>
          <w:rFonts w:eastAsia="SimSun"/>
          <w:color w:val="0000FF"/>
          <w:sz w:val="24"/>
          <w:szCs w:val="24"/>
        </w:rPr>
        <w:t>Research design: Qualitative, quantitative, and mixed methods approaches</w:t>
      </w:r>
      <w:r>
        <w:rPr>
          <w:rFonts w:eastAsia="SimSun"/>
          <w:color w:val="0000FF"/>
          <w:sz w:val="24"/>
          <w:szCs w:val="24"/>
        </w:rPr>
        <w:t xml:space="preserve"> (5th ed.). SAGE Publications.</w:t>
      </w:r>
    </w:p>
    <w:p w14:paraId="45D440EA" w14:textId="7C2C5209" w:rsidR="00F078BF" w:rsidRDefault="00000000">
      <w:pPr>
        <w:spacing w:after="100"/>
        <w:ind w:left="720" w:hanging="720"/>
        <w:jc w:val="left"/>
        <w:rPr>
          <w:sz w:val="24"/>
          <w:szCs w:val="24"/>
        </w:rPr>
      </w:pPr>
      <w:r>
        <w:rPr>
          <w:sz w:val="24"/>
          <w:szCs w:val="24"/>
        </w:rPr>
        <w:t>Do, H. M. &amp; Phan, H. L. T. (2021). Metacognitive awareness of reading strategies on second language Vietnamese undergraduates.</w:t>
      </w:r>
      <w:r>
        <w:rPr>
          <w:i/>
          <w:iCs/>
          <w:sz w:val="24"/>
          <w:szCs w:val="24"/>
        </w:rPr>
        <w:t xml:space="preserve"> Arab World English Journal, 12</w:t>
      </w:r>
      <w:r>
        <w:rPr>
          <w:sz w:val="24"/>
          <w:szCs w:val="24"/>
        </w:rPr>
        <w:t xml:space="preserve">(1), 90–112. </w:t>
      </w:r>
      <w:hyperlink r:id="rId17" w:history="1">
        <w:r>
          <w:rPr>
            <w:rStyle w:val="Hyperlink"/>
            <w:sz w:val="24"/>
            <w:szCs w:val="24"/>
          </w:rPr>
          <w:t>https://doi.org/10.24093/awej/vol12no1.7</w:t>
        </w:r>
      </w:hyperlink>
      <w:r>
        <w:rPr>
          <w:sz w:val="24"/>
          <w:szCs w:val="24"/>
        </w:rPr>
        <w:t xml:space="preserve"> </w:t>
      </w:r>
    </w:p>
    <w:p w14:paraId="7ACB3855" w14:textId="051B1CCB" w:rsidR="00F078BF" w:rsidRDefault="00000000">
      <w:pPr>
        <w:spacing w:after="100"/>
        <w:ind w:left="720" w:hanging="720"/>
        <w:jc w:val="left"/>
        <w:rPr>
          <w:sz w:val="24"/>
          <w:szCs w:val="24"/>
        </w:rPr>
      </w:pPr>
      <w:r>
        <w:rPr>
          <w:sz w:val="24"/>
          <w:szCs w:val="24"/>
        </w:rPr>
        <w:t xml:space="preserve">Gagne, R. M. &amp; Briggs, L. J. (1979). </w:t>
      </w:r>
      <w:r>
        <w:rPr>
          <w:i/>
          <w:iCs/>
          <w:sz w:val="24"/>
          <w:szCs w:val="24"/>
        </w:rPr>
        <w:t>Principles of Instructional Design</w:t>
      </w:r>
      <w:r>
        <w:rPr>
          <w:sz w:val="24"/>
          <w:szCs w:val="24"/>
        </w:rPr>
        <w:t>. Holt, Rinehart, and Winston.</w:t>
      </w:r>
    </w:p>
    <w:p w14:paraId="613D0139" w14:textId="77777777" w:rsidR="00F078BF" w:rsidRDefault="00000000">
      <w:pPr>
        <w:spacing w:after="100"/>
        <w:ind w:left="720" w:hanging="720"/>
        <w:jc w:val="left"/>
        <w:rPr>
          <w:sz w:val="24"/>
          <w:szCs w:val="24"/>
        </w:rPr>
      </w:pPr>
      <w:r>
        <w:rPr>
          <w:sz w:val="24"/>
          <w:szCs w:val="24"/>
        </w:rPr>
        <w:t xml:space="preserve">Graney, J. M. (1990). Determination of fact and opinion: A critical reading problem. </w:t>
      </w:r>
      <w:r>
        <w:rPr>
          <w:i/>
          <w:iCs/>
          <w:sz w:val="24"/>
          <w:szCs w:val="24"/>
        </w:rPr>
        <w:t>Journal of Psycholinguistic Research, 19</w:t>
      </w:r>
      <w:r>
        <w:rPr>
          <w:sz w:val="24"/>
          <w:szCs w:val="24"/>
        </w:rPr>
        <w:t xml:space="preserve">(2), 147–166. </w:t>
      </w:r>
      <w:hyperlink r:id="rId18" w:history="1">
        <w:r>
          <w:rPr>
            <w:rStyle w:val="Hyperlink"/>
            <w:sz w:val="24"/>
            <w:szCs w:val="24"/>
          </w:rPr>
          <w:t>https://doi.org/10.1007/BF01077414</w:t>
        </w:r>
      </w:hyperlink>
      <w:r>
        <w:rPr>
          <w:sz w:val="24"/>
          <w:szCs w:val="24"/>
        </w:rPr>
        <w:t xml:space="preserve"> </w:t>
      </w:r>
    </w:p>
    <w:p w14:paraId="7C64DAB8" w14:textId="77777777" w:rsidR="00F078BF" w:rsidRDefault="00000000">
      <w:pPr>
        <w:spacing w:after="100"/>
        <w:ind w:left="720" w:hanging="720"/>
        <w:jc w:val="left"/>
        <w:rPr>
          <w:sz w:val="24"/>
          <w:szCs w:val="24"/>
        </w:rPr>
      </w:pPr>
      <w:r>
        <w:rPr>
          <w:sz w:val="24"/>
          <w:szCs w:val="24"/>
        </w:rPr>
        <w:t xml:space="preserve">Hamdi, C. (2015). </w:t>
      </w:r>
      <w:r>
        <w:rPr>
          <w:i/>
          <w:iCs/>
          <w:sz w:val="24"/>
          <w:szCs w:val="24"/>
        </w:rPr>
        <w:t>The effects of electronic dictionary use on reading comprehension and vocabulary retention of EFL students</w:t>
      </w:r>
      <w:r>
        <w:rPr>
          <w:sz w:val="24"/>
          <w:szCs w:val="24"/>
        </w:rPr>
        <w:t xml:space="preserve">. In Bejaia University International Conference Proceedings 2015. </w:t>
      </w:r>
      <w:r>
        <w:rPr>
          <w:i/>
          <w:iCs/>
          <w:sz w:val="24"/>
          <w:szCs w:val="24"/>
        </w:rPr>
        <w:t>Arab World English Journal</w:t>
      </w:r>
      <w:r>
        <w:rPr>
          <w:sz w:val="24"/>
          <w:szCs w:val="24"/>
        </w:rPr>
        <w:t xml:space="preserve">, 180–191. </w:t>
      </w:r>
      <w:hyperlink r:id="rId19" w:history="1">
        <w:r>
          <w:rPr>
            <w:rStyle w:val="Hyperlink"/>
            <w:sz w:val="24"/>
            <w:szCs w:val="24"/>
          </w:rPr>
          <w:t>https://www.awej.org/images/conferences/BejaiaProceedings2015/16.pdf</w:t>
        </w:r>
      </w:hyperlink>
      <w:r>
        <w:rPr>
          <w:sz w:val="24"/>
          <w:szCs w:val="24"/>
        </w:rPr>
        <w:t xml:space="preserve"> </w:t>
      </w:r>
    </w:p>
    <w:p w14:paraId="4427BE14" w14:textId="4B542F9C" w:rsidR="00F078BF" w:rsidRDefault="00000000">
      <w:pPr>
        <w:spacing w:after="100"/>
        <w:ind w:left="720" w:hanging="720"/>
        <w:jc w:val="left"/>
        <w:rPr>
          <w:sz w:val="24"/>
          <w:szCs w:val="24"/>
        </w:rPr>
      </w:pPr>
      <w:r>
        <w:rPr>
          <w:sz w:val="24"/>
          <w:szCs w:val="24"/>
        </w:rPr>
        <w:t xml:space="preserve">Harputra, Y., Rahmadani, Y. R. &amp; Siregar, M. N. H. (2023). Identifying metacognitive online reading strategies of students Universitas Graha Nusantara. </w:t>
      </w:r>
      <w:r>
        <w:rPr>
          <w:i/>
          <w:iCs/>
          <w:sz w:val="24"/>
          <w:szCs w:val="24"/>
        </w:rPr>
        <w:t>ETANIC Journal of English Language Teaching and Applied Linguistics, 1</w:t>
      </w:r>
      <w:r>
        <w:rPr>
          <w:sz w:val="24"/>
          <w:szCs w:val="24"/>
        </w:rPr>
        <w:t xml:space="preserve">(1), 20–30. </w:t>
      </w:r>
      <w:hyperlink r:id="rId20" w:history="1">
        <w:r>
          <w:rPr>
            <w:rStyle w:val="Hyperlink"/>
            <w:sz w:val="24"/>
            <w:szCs w:val="24"/>
          </w:rPr>
          <w:t>https://jurnal.radisi.or.id/index.php/JournalETANIC/article/view/257</w:t>
        </w:r>
      </w:hyperlink>
      <w:r>
        <w:rPr>
          <w:sz w:val="24"/>
          <w:szCs w:val="24"/>
        </w:rPr>
        <w:t xml:space="preserve"> </w:t>
      </w:r>
    </w:p>
    <w:p w14:paraId="43B3DB35" w14:textId="77777777" w:rsidR="00F078BF" w:rsidRDefault="00000000">
      <w:pPr>
        <w:spacing w:after="100"/>
        <w:ind w:left="720" w:hanging="720"/>
        <w:jc w:val="left"/>
        <w:rPr>
          <w:sz w:val="24"/>
          <w:szCs w:val="24"/>
        </w:rPr>
      </w:pPr>
      <w:r>
        <w:rPr>
          <w:sz w:val="24"/>
          <w:szCs w:val="24"/>
        </w:rPr>
        <w:t xml:space="preserve">Huang, H.-C. (2013). Online reading strategies at work: What teachers think and what students do. </w:t>
      </w:r>
      <w:r>
        <w:rPr>
          <w:i/>
          <w:iCs/>
          <w:sz w:val="24"/>
          <w:szCs w:val="24"/>
        </w:rPr>
        <w:t>ReCALL, 25</w:t>
      </w:r>
      <w:r>
        <w:rPr>
          <w:sz w:val="24"/>
          <w:szCs w:val="24"/>
        </w:rPr>
        <w:t xml:space="preserve">(3), 340–358. </w:t>
      </w:r>
      <w:hyperlink r:id="rId21" w:history="1">
        <w:r>
          <w:rPr>
            <w:rStyle w:val="Hyperlink"/>
            <w:sz w:val="24"/>
            <w:szCs w:val="24"/>
          </w:rPr>
          <w:t>https://doi.org/10.1017/S0958344013000153</w:t>
        </w:r>
      </w:hyperlink>
      <w:r>
        <w:rPr>
          <w:sz w:val="24"/>
          <w:szCs w:val="24"/>
        </w:rPr>
        <w:t xml:space="preserve">  </w:t>
      </w:r>
    </w:p>
    <w:p w14:paraId="65ED6734" w14:textId="77B355C0" w:rsidR="00F078BF" w:rsidRDefault="00000000">
      <w:pPr>
        <w:spacing w:after="100"/>
        <w:ind w:left="720" w:hanging="720"/>
        <w:jc w:val="left"/>
        <w:rPr>
          <w:sz w:val="24"/>
          <w:szCs w:val="24"/>
        </w:rPr>
      </w:pPr>
      <w:r>
        <w:rPr>
          <w:sz w:val="24"/>
          <w:szCs w:val="24"/>
        </w:rPr>
        <w:t xml:space="preserve">Huang, H. C., Chern, C. L. &amp; Lin, C. C. (2009). EFL learners’ use of online reading strategies and comprehension of texts: An exploratory study. </w:t>
      </w:r>
      <w:r>
        <w:rPr>
          <w:i/>
          <w:iCs/>
          <w:sz w:val="24"/>
          <w:szCs w:val="24"/>
        </w:rPr>
        <w:t>Computers &amp; Education, 52</w:t>
      </w:r>
      <w:r>
        <w:rPr>
          <w:sz w:val="24"/>
          <w:szCs w:val="24"/>
        </w:rPr>
        <w:t xml:space="preserve">(1), 13–26. </w:t>
      </w:r>
      <w:hyperlink r:id="rId22" w:history="1">
        <w:r>
          <w:rPr>
            <w:rStyle w:val="Hyperlink"/>
            <w:sz w:val="24"/>
            <w:szCs w:val="24"/>
          </w:rPr>
          <w:t>https://doi.org/10.1016/j.compedu.2008.06.003</w:t>
        </w:r>
      </w:hyperlink>
      <w:r>
        <w:rPr>
          <w:sz w:val="24"/>
          <w:szCs w:val="24"/>
        </w:rPr>
        <w:t xml:space="preserve"> </w:t>
      </w:r>
    </w:p>
    <w:p w14:paraId="5F9D25C2" w14:textId="35ED9E09" w:rsidR="00F078BF" w:rsidRDefault="00000000">
      <w:pPr>
        <w:spacing w:after="100"/>
        <w:ind w:left="720" w:hanging="720"/>
        <w:jc w:val="left"/>
        <w:rPr>
          <w:sz w:val="24"/>
          <w:szCs w:val="24"/>
        </w:rPr>
      </w:pPr>
      <w:r>
        <w:rPr>
          <w:sz w:val="24"/>
          <w:szCs w:val="24"/>
        </w:rPr>
        <w:lastRenderedPageBreak/>
        <w:t xml:space="preserve">Jusoh, Z. &amp; Abdullah, L. (2015). Online survey of reading strategies (OSORS): Students’ online reading in academic context. </w:t>
      </w:r>
      <w:r>
        <w:rPr>
          <w:i/>
          <w:iCs/>
          <w:sz w:val="24"/>
          <w:szCs w:val="24"/>
        </w:rPr>
        <w:t>Malaysian Journal of Distance Education, 17</w:t>
      </w:r>
      <w:r>
        <w:rPr>
          <w:sz w:val="24"/>
          <w:szCs w:val="24"/>
        </w:rPr>
        <w:t xml:space="preserve">(2), 67–81. </w:t>
      </w:r>
      <w:hyperlink r:id="rId23" w:history="1">
        <w:r>
          <w:rPr>
            <w:rStyle w:val="Hyperlink"/>
            <w:sz w:val="24"/>
            <w:szCs w:val="24"/>
          </w:rPr>
          <w:t>https://doi.org/10.21315/mjde2015.17.2.5</w:t>
        </w:r>
      </w:hyperlink>
      <w:r>
        <w:rPr>
          <w:sz w:val="24"/>
          <w:szCs w:val="24"/>
        </w:rPr>
        <w:t xml:space="preserve"> </w:t>
      </w:r>
    </w:p>
    <w:p w14:paraId="2ABE6496" w14:textId="77777777" w:rsidR="00F078BF" w:rsidRDefault="00000000">
      <w:pPr>
        <w:spacing w:after="100"/>
        <w:ind w:left="720" w:hanging="720"/>
        <w:jc w:val="left"/>
        <w:rPr>
          <w:sz w:val="24"/>
          <w:szCs w:val="24"/>
          <w:lang w:val="en-US"/>
        </w:rPr>
      </w:pPr>
      <w:r>
        <w:rPr>
          <w:rStyle w:val="Strong"/>
          <w:rFonts w:eastAsia="SimSun"/>
          <w:b w:val="0"/>
          <w:bCs w:val="0"/>
          <w:sz w:val="24"/>
          <w:szCs w:val="24"/>
        </w:rPr>
        <w:t>Karbalaee Kamran, S. (2013).</w:t>
      </w:r>
      <w:r>
        <w:rPr>
          <w:rFonts w:eastAsia="SimSun"/>
          <w:sz w:val="24"/>
          <w:szCs w:val="24"/>
        </w:rPr>
        <w:t xml:space="preserve"> Does reading strategy use predict and correlate with reading achievement of EFL learners? </w:t>
      </w:r>
      <w:r>
        <w:rPr>
          <w:rStyle w:val="Emphasis"/>
          <w:rFonts w:eastAsia="SimSun"/>
          <w:sz w:val="24"/>
          <w:szCs w:val="24"/>
        </w:rPr>
        <w:t>International Journal of Research Studies in Language Learning, 2</w:t>
      </w:r>
      <w:r>
        <w:rPr>
          <w:rFonts w:eastAsia="SimSun"/>
          <w:sz w:val="24"/>
          <w:szCs w:val="24"/>
        </w:rPr>
        <w:t xml:space="preserve">(2), 29–38. </w:t>
      </w:r>
      <w:hyperlink r:id="rId24" w:history="1">
        <w:r>
          <w:rPr>
            <w:rStyle w:val="Hyperlink"/>
            <w:rFonts w:eastAsia="SimSun"/>
            <w:sz w:val="24"/>
            <w:szCs w:val="24"/>
          </w:rPr>
          <w:t>https://doi.org/10.5861/ijrsll.2012.118</w:t>
        </w:r>
      </w:hyperlink>
      <w:r>
        <w:rPr>
          <w:rFonts w:eastAsia="SimSun"/>
          <w:sz w:val="24"/>
          <w:szCs w:val="24"/>
          <w:lang w:val="en-US"/>
        </w:rPr>
        <w:t xml:space="preserve"> </w:t>
      </w:r>
    </w:p>
    <w:p w14:paraId="6525918D" w14:textId="77777777" w:rsidR="00F078BF" w:rsidRDefault="00000000">
      <w:pPr>
        <w:spacing w:after="100"/>
        <w:ind w:left="720" w:hanging="720"/>
        <w:jc w:val="left"/>
        <w:rPr>
          <w:sz w:val="24"/>
          <w:szCs w:val="24"/>
        </w:rPr>
      </w:pPr>
      <w:r>
        <w:rPr>
          <w:sz w:val="24"/>
          <w:szCs w:val="24"/>
        </w:rPr>
        <w:t xml:space="preserve">Kulsum, E. M., Fauzan, E., &amp; Mutiarawati, R. (2023). The use of reading strategies in EFL learning. </w:t>
      </w:r>
      <w:r>
        <w:rPr>
          <w:i/>
          <w:iCs/>
          <w:sz w:val="24"/>
          <w:szCs w:val="24"/>
        </w:rPr>
        <w:t>Gunung Djati Conference Series, 28</w:t>
      </w:r>
      <w:r>
        <w:rPr>
          <w:sz w:val="24"/>
          <w:szCs w:val="24"/>
        </w:rPr>
        <w:t xml:space="preserve">, 100-108. </w:t>
      </w:r>
      <w:hyperlink r:id="rId25" w:history="1">
        <w:r>
          <w:rPr>
            <w:rStyle w:val="Hyperlink"/>
            <w:sz w:val="24"/>
            <w:szCs w:val="24"/>
          </w:rPr>
          <w:t>https://conferences.uinsgd.ac.id/</w:t>
        </w:r>
      </w:hyperlink>
      <w:r>
        <w:rPr>
          <w:sz w:val="24"/>
          <w:szCs w:val="24"/>
        </w:rPr>
        <w:t xml:space="preserve"> </w:t>
      </w:r>
    </w:p>
    <w:p w14:paraId="6D4DBDDD" w14:textId="77777777" w:rsidR="00F078BF" w:rsidRDefault="00000000">
      <w:pPr>
        <w:spacing w:after="100"/>
        <w:ind w:left="720" w:hanging="720"/>
        <w:jc w:val="left"/>
        <w:rPr>
          <w:sz w:val="24"/>
          <w:szCs w:val="24"/>
        </w:rPr>
      </w:pPr>
      <w:r>
        <w:rPr>
          <w:sz w:val="24"/>
          <w:szCs w:val="24"/>
        </w:rPr>
        <w:t xml:space="preserve">Kung, F. W. (2019). Teaching second language reading comprehension: The effects of classroom materials and reading strategy use. </w:t>
      </w:r>
      <w:r>
        <w:rPr>
          <w:i/>
          <w:iCs/>
          <w:sz w:val="24"/>
          <w:szCs w:val="24"/>
        </w:rPr>
        <w:t>Innovation in Language Learning and Teaching, 13</w:t>
      </w:r>
      <w:r>
        <w:rPr>
          <w:sz w:val="24"/>
          <w:szCs w:val="24"/>
        </w:rPr>
        <w:t xml:space="preserve">(1), 93–104. </w:t>
      </w:r>
      <w:hyperlink r:id="rId26" w:history="1">
        <w:r>
          <w:rPr>
            <w:rStyle w:val="Hyperlink"/>
            <w:sz w:val="24"/>
            <w:szCs w:val="24"/>
          </w:rPr>
          <w:t>https://doi.org/10.1080/17501229.2017.1364252</w:t>
        </w:r>
      </w:hyperlink>
      <w:r>
        <w:rPr>
          <w:sz w:val="24"/>
          <w:szCs w:val="24"/>
        </w:rPr>
        <w:t xml:space="preserve"> </w:t>
      </w:r>
    </w:p>
    <w:p w14:paraId="5A79B9D9" w14:textId="77D49FB3" w:rsidR="00F078BF" w:rsidRDefault="00000000">
      <w:pPr>
        <w:spacing w:after="100"/>
        <w:ind w:left="720" w:hanging="720"/>
        <w:jc w:val="left"/>
        <w:rPr>
          <w:color w:val="0000FF"/>
          <w:sz w:val="24"/>
          <w:szCs w:val="24"/>
          <w:lang w:val="en-US"/>
        </w:rPr>
      </w:pPr>
      <w:r>
        <w:rPr>
          <w:rFonts w:eastAsia="SimSun"/>
          <w:color w:val="0000FF"/>
          <w:sz w:val="24"/>
          <w:szCs w:val="24"/>
        </w:rPr>
        <w:t xml:space="preserve">LaBerge, D. &amp; Samuels, S. J. (1974). Toward a theory of automatic information processing in reading. </w:t>
      </w:r>
      <w:r>
        <w:rPr>
          <w:rStyle w:val="Emphasis"/>
          <w:rFonts w:eastAsia="SimSun"/>
          <w:color w:val="0000FF"/>
          <w:sz w:val="24"/>
          <w:szCs w:val="24"/>
        </w:rPr>
        <w:t>Cognitive Psychology, 6</w:t>
      </w:r>
      <w:r>
        <w:rPr>
          <w:rFonts w:eastAsia="SimSun"/>
          <w:color w:val="0000FF"/>
          <w:sz w:val="24"/>
          <w:szCs w:val="24"/>
        </w:rPr>
        <w:t xml:space="preserve">(2), 293–323. </w:t>
      </w:r>
      <w:hyperlink r:id="rId27" w:history="1">
        <w:r>
          <w:rPr>
            <w:rStyle w:val="Hyperlink"/>
            <w:rFonts w:eastAsia="SimSun"/>
            <w:sz w:val="24"/>
            <w:szCs w:val="24"/>
          </w:rPr>
          <w:t>https://doi.org/10.1016/0010-0285(74)90015-2</w:t>
        </w:r>
      </w:hyperlink>
      <w:r>
        <w:rPr>
          <w:rFonts w:eastAsia="SimSun"/>
          <w:color w:val="0000FF"/>
          <w:sz w:val="24"/>
          <w:szCs w:val="24"/>
          <w:lang w:val="en-US"/>
        </w:rPr>
        <w:t xml:space="preserve"> </w:t>
      </w:r>
    </w:p>
    <w:p w14:paraId="0ADBAFB3" w14:textId="77777777" w:rsidR="00F078BF" w:rsidRDefault="00000000">
      <w:pPr>
        <w:spacing w:after="100"/>
        <w:ind w:left="720" w:hanging="720"/>
        <w:jc w:val="left"/>
        <w:rPr>
          <w:sz w:val="24"/>
          <w:szCs w:val="24"/>
        </w:rPr>
      </w:pPr>
      <w:r>
        <w:rPr>
          <w:sz w:val="24"/>
          <w:szCs w:val="24"/>
        </w:rPr>
        <w:t xml:space="preserve">Laverpool, A. (2008). The efficacy of rereading as a metacognitive tool for reading comprehension monitoring. </w:t>
      </w:r>
      <w:r>
        <w:rPr>
          <w:i/>
          <w:iCs/>
          <w:sz w:val="24"/>
          <w:szCs w:val="24"/>
        </w:rPr>
        <w:t>Journal of College Reading and Learning, 38</w:t>
      </w:r>
      <w:r>
        <w:rPr>
          <w:sz w:val="24"/>
          <w:szCs w:val="24"/>
        </w:rPr>
        <w:t>(2), 31–48.</w:t>
      </w:r>
      <w:hyperlink r:id="rId28">
        <w:r>
          <w:rPr>
            <w:sz w:val="24"/>
            <w:szCs w:val="24"/>
          </w:rPr>
          <w:t xml:space="preserve"> </w:t>
        </w:r>
      </w:hyperlink>
      <w:hyperlink r:id="rId29">
        <w:r>
          <w:rPr>
            <w:color w:val="1155CC"/>
            <w:sz w:val="24"/>
            <w:szCs w:val="24"/>
            <w:u w:val="single"/>
          </w:rPr>
          <w:t>https://doi.org/10.1080/10790195.2008.10850307</w:t>
        </w:r>
      </w:hyperlink>
      <w:r>
        <w:rPr>
          <w:sz w:val="24"/>
          <w:szCs w:val="24"/>
        </w:rPr>
        <w:t xml:space="preserve"> </w:t>
      </w:r>
    </w:p>
    <w:p w14:paraId="28F00ECA" w14:textId="77777777" w:rsidR="00F078BF" w:rsidRDefault="00000000">
      <w:pPr>
        <w:spacing w:after="100"/>
        <w:ind w:left="720" w:hanging="720"/>
        <w:jc w:val="left"/>
        <w:rPr>
          <w:sz w:val="24"/>
          <w:szCs w:val="24"/>
        </w:rPr>
      </w:pPr>
      <w:r>
        <w:rPr>
          <w:sz w:val="24"/>
          <w:szCs w:val="24"/>
        </w:rPr>
        <w:t xml:space="preserve">Meniado, J. C. (2016). Metacognitive reading strategies, motivation, and reading comprehension performance of Saudi EFL students. </w:t>
      </w:r>
      <w:r>
        <w:rPr>
          <w:i/>
          <w:iCs/>
          <w:sz w:val="24"/>
          <w:szCs w:val="24"/>
        </w:rPr>
        <w:t>English Language Teaching, 9</w:t>
      </w:r>
      <w:r>
        <w:rPr>
          <w:sz w:val="24"/>
          <w:szCs w:val="24"/>
        </w:rPr>
        <w:t xml:space="preserve">(3), 117-129. </w:t>
      </w:r>
      <w:hyperlink r:id="rId30" w:history="1">
        <w:r>
          <w:rPr>
            <w:rStyle w:val="Hyperlink"/>
            <w:sz w:val="24"/>
            <w:szCs w:val="24"/>
          </w:rPr>
          <w:t>https://doi.org/10.5539/elt.v9n3p117</w:t>
        </w:r>
      </w:hyperlink>
      <w:r>
        <w:rPr>
          <w:sz w:val="24"/>
          <w:szCs w:val="24"/>
        </w:rPr>
        <w:t xml:space="preserve"> </w:t>
      </w:r>
    </w:p>
    <w:p w14:paraId="1C742E08" w14:textId="32FF8D77" w:rsidR="00F078BF" w:rsidRDefault="00000000">
      <w:pPr>
        <w:spacing w:after="100"/>
        <w:ind w:left="720" w:hanging="720"/>
        <w:jc w:val="left"/>
        <w:rPr>
          <w:sz w:val="24"/>
          <w:szCs w:val="24"/>
        </w:rPr>
      </w:pPr>
      <w:r>
        <w:rPr>
          <w:sz w:val="24"/>
          <w:szCs w:val="24"/>
        </w:rPr>
        <w:t xml:space="preserve">Okamoto, S. &amp; Oanh, N. T. K. (2026). </w:t>
      </w:r>
      <w:r>
        <w:rPr>
          <w:i/>
          <w:iCs/>
          <w:sz w:val="24"/>
          <w:szCs w:val="24"/>
        </w:rPr>
        <w:t>Statistics in environmental</w:t>
      </w:r>
      <w:r>
        <w:rPr>
          <w:sz w:val="24"/>
          <w:szCs w:val="24"/>
        </w:rPr>
        <w:t xml:space="preserve">. CRC Press. </w:t>
      </w:r>
      <w:hyperlink r:id="rId31" w:history="1">
        <w:r>
          <w:rPr>
            <w:rStyle w:val="Hyperlink"/>
            <w:sz w:val="24"/>
            <w:szCs w:val="24"/>
          </w:rPr>
          <w:t>https://doi.org/10.1201/9781003597216</w:t>
        </w:r>
      </w:hyperlink>
      <w:r>
        <w:rPr>
          <w:sz w:val="24"/>
          <w:szCs w:val="24"/>
        </w:rPr>
        <w:t xml:space="preserve">   </w:t>
      </w:r>
    </w:p>
    <w:p w14:paraId="3016A9CC" w14:textId="77777777" w:rsidR="00F078BF" w:rsidRDefault="00000000">
      <w:pPr>
        <w:spacing w:after="100"/>
        <w:ind w:left="720" w:hanging="720"/>
        <w:jc w:val="left"/>
        <w:rPr>
          <w:sz w:val="24"/>
          <w:szCs w:val="24"/>
        </w:rPr>
      </w:pPr>
      <w:r>
        <w:rPr>
          <w:sz w:val="24"/>
          <w:szCs w:val="24"/>
        </w:rPr>
        <w:t xml:space="preserve">Omar, N. A. (2014). Online metacognitive reading strategies use by postgraduate Libyan EFL students. </w:t>
      </w:r>
      <w:r>
        <w:rPr>
          <w:i/>
          <w:iCs/>
          <w:sz w:val="24"/>
          <w:szCs w:val="24"/>
        </w:rPr>
        <w:t>World Academy of Science, Engineering and Technology International Journal of Humanities and Social Sciences, 8</w:t>
      </w:r>
      <w:r>
        <w:rPr>
          <w:sz w:val="24"/>
          <w:szCs w:val="24"/>
        </w:rPr>
        <w:t>(7), 2285–2290.</w:t>
      </w:r>
    </w:p>
    <w:p w14:paraId="707CB61F" w14:textId="77777777" w:rsidR="00F078BF" w:rsidRDefault="00000000">
      <w:pPr>
        <w:spacing w:after="100"/>
        <w:ind w:left="720" w:hanging="720"/>
        <w:jc w:val="left"/>
        <w:rPr>
          <w:sz w:val="24"/>
          <w:szCs w:val="24"/>
        </w:rPr>
      </w:pPr>
      <w:r>
        <w:rPr>
          <w:sz w:val="24"/>
          <w:szCs w:val="24"/>
        </w:rPr>
        <w:t xml:space="preserve">Par, L. (2020). The relationship between reading strategies and reading achievement of the EFL students. </w:t>
      </w:r>
      <w:r>
        <w:rPr>
          <w:i/>
          <w:iCs/>
          <w:sz w:val="24"/>
          <w:szCs w:val="24"/>
        </w:rPr>
        <w:t>International Journal of Instruction, 13</w:t>
      </w:r>
      <w:r>
        <w:rPr>
          <w:sz w:val="24"/>
          <w:szCs w:val="24"/>
        </w:rPr>
        <w:t xml:space="preserve">(2), 223–238. </w:t>
      </w:r>
      <w:hyperlink r:id="rId32" w:history="1">
        <w:r>
          <w:rPr>
            <w:rStyle w:val="Hyperlink"/>
            <w:sz w:val="24"/>
            <w:szCs w:val="24"/>
          </w:rPr>
          <w:t>https://doi.org/10.29333/iji.2020.13216a</w:t>
        </w:r>
      </w:hyperlink>
      <w:r>
        <w:rPr>
          <w:sz w:val="24"/>
          <w:szCs w:val="24"/>
        </w:rPr>
        <w:t xml:space="preserve"> </w:t>
      </w:r>
    </w:p>
    <w:p w14:paraId="7B63BA3F" w14:textId="77777777" w:rsidR="00F078BF" w:rsidRDefault="00000000">
      <w:pPr>
        <w:spacing w:after="100"/>
        <w:ind w:left="720" w:hanging="720"/>
        <w:jc w:val="left"/>
        <w:rPr>
          <w:sz w:val="24"/>
          <w:szCs w:val="24"/>
        </w:rPr>
      </w:pPr>
      <w:r>
        <w:rPr>
          <w:sz w:val="24"/>
          <w:szCs w:val="24"/>
        </w:rPr>
        <w:t xml:space="preserve">Pardede, P. (2022). Online reading strategies in EFL: A review. </w:t>
      </w:r>
      <w:r>
        <w:rPr>
          <w:i/>
          <w:iCs/>
          <w:sz w:val="24"/>
          <w:szCs w:val="24"/>
        </w:rPr>
        <w:t>JET (Journal of English Teaching), 8</w:t>
      </w:r>
      <w:r>
        <w:rPr>
          <w:sz w:val="24"/>
          <w:szCs w:val="24"/>
        </w:rPr>
        <w:t>(2), 329–339. https://doi.org/10.33541/jet.v8i2.4130</w:t>
      </w:r>
    </w:p>
    <w:p w14:paraId="3BECEDCF" w14:textId="10E2D664" w:rsidR="00F078BF" w:rsidRDefault="00000000">
      <w:pPr>
        <w:spacing w:after="100"/>
        <w:ind w:left="720" w:hanging="720"/>
        <w:jc w:val="left"/>
        <w:rPr>
          <w:sz w:val="24"/>
          <w:szCs w:val="24"/>
        </w:rPr>
      </w:pPr>
      <w:r>
        <w:rPr>
          <w:sz w:val="24"/>
          <w:szCs w:val="24"/>
        </w:rPr>
        <w:t xml:space="preserve">Parker, K., Lenhart, A. &amp; Moore, K. (2011). </w:t>
      </w:r>
      <w:r>
        <w:rPr>
          <w:i/>
          <w:iCs/>
          <w:sz w:val="24"/>
          <w:szCs w:val="24"/>
        </w:rPr>
        <w:t>The digital revolution and higher education: College presidents, public differ on value of online learning</w:t>
      </w:r>
      <w:r>
        <w:rPr>
          <w:sz w:val="24"/>
          <w:szCs w:val="24"/>
        </w:rPr>
        <w:t xml:space="preserve">. Pew Research Center. </w:t>
      </w:r>
      <w:hyperlink r:id="rId33" w:history="1">
        <w:r>
          <w:rPr>
            <w:rStyle w:val="Hyperlink"/>
            <w:sz w:val="24"/>
            <w:szCs w:val="24"/>
          </w:rPr>
          <w:t>https://www.pewresearch.org/social-trends/2011/08/28/the-digital-revolution-and-higher-education/</w:t>
        </w:r>
      </w:hyperlink>
      <w:r>
        <w:rPr>
          <w:sz w:val="24"/>
          <w:szCs w:val="24"/>
        </w:rPr>
        <w:t xml:space="preserve"> </w:t>
      </w:r>
    </w:p>
    <w:p w14:paraId="0B6BFFD6" w14:textId="77777777" w:rsidR="00F078BF" w:rsidRDefault="00000000">
      <w:pPr>
        <w:spacing w:after="100"/>
        <w:ind w:left="720" w:hanging="720"/>
        <w:jc w:val="left"/>
        <w:rPr>
          <w:sz w:val="24"/>
          <w:szCs w:val="24"/>
        </w:rPr>
      </w:pPr>
      <w:r>
        <w:rPr>
          <w:sz w:val="24"/>
          <w:szCs w:val="24"/>
        </w:rPr>
        <w:t>Perception. (n.d.). In APA dictionary of psychology. American Psychological Association Dictionary of Psychology.</w:t>
      </w:r>
    </w:p>
    <w:p w14:paraId="49425BDB" w14:textId="69476ABB" w:rsidR="00F078BF" w:rsidRDefault="00000000">
      <w:pPr>
        <w:spacing w:after="100"/>
        <w:ind w:left="720" w:hanging="720"/>
        <w:jc w:val="left"/>
        <w:rPr>
          <w:sz w:val="24"/>
          <w:szCs w:val="24"/>
        </w:rPr>
      </w:pPr>
      <w:r>
        <w:rPr>
          <w:sz w:val="24"/>
          <w:szCs w:val="24"/>
        </w:rPr>
        <w:lastRenderedPageBreak/>
        <w:t xml:space="preserve">Phuong, Y. H. &amp; Nguyen, T. T. (2019). Students’ perceptions towards the benefits and drawbacks of EMI classes. </w:t>
      </w:r>
      <w:r>
        <w:rPr>
          <w:i/>
          <w:iCs/>
          <w:sz w:val="24"/>
          <w:szCs w:val="24"/>
        </w:rPr>
        <w:t>English Language Teaching, 12</w:t>
      </w:r>
      <w:r>
        <w:rPr>
          <w:sz w:val="24"/>
          <w:szCs w:val="24"/>
        </w:rPr>
        <w:t xml:space="preserve">(5), 88–100. </w:t>
      </w:r>
      <w:hyperlink r:id="rId34" w:history="1">
        <w:r>
          <w:rPr>
            <w:rStyle w:val="Hyperlink"/>
            <w:sz w:val="24"/>
            <w:szCs w:val="24"/>
          </w:rPr>
          <w:t>https://doi.org/10.5539/elt.v12n5p88</w:t>
        </w:r>
      </w:hyperlink>
      <w:r>
        <w:rPr>
          <w:sz w:val="24"/>
          <w:szCs w:val="24"/>
        </w:rPr>
        <w:t xml:space="preserve"> </w:t>
      </w:r>
    </w:p>
    <w:p w14:paraId="11CAB35C" w14:textId="77777777" w:rsidR="00F078BF" w:rsidRDefault="00000000">
      <w:pPr>
        <w:spacing w:after="100"/>
        <w:ind w:left="720" w:hanging="720"/>
        <w:jc w:val="left"/>
        <w:rPr>
          <w:rFonts w:eastAsia="SimSun"/>
          <w:color w:val="0000FF"/>
          <w:sz w:val="24"/>
          <w:szCs w:val="24"/>
        </w:rPr>
      </w:pPr>
      <w:r>
        <w:rPr>
          <w:rFonts w:eastAsia="SimSun"/>
          <w:color w:val="0000FF"/>
          <w:sz w:val="24"/>
          <w:szCs w:val="24"/>
        </w:rPr>
        <w:t xml:space="preserve">Pimentel, J. L. (2010). A note on the usage of Likert scaling for research data analysis. </w:t>
      </w:r>
      <w:r>
        <w:rPr>
          <w:rStyle w:val="Emphasis"/>
          <w:rFonts w:eastAsia="SimSun"/>
          <w:color w:val="0000FF"/>
          <w:sz w:val="24"/>
          <w:szCs w:val="24"/>
        </w:rPr>
        <w:t>USM R&amp;D Journal, 18</w:t>
      </w:r>
      <w:r>
        <w:rPr>
          <w:rFonts w:eastAsia="SimSun"/>
          <w:color w:val="0000FF"/>
          <w:sz w:val="24"/>
          <w:szCs w:val="24"/>
        </w:rPr>
        <w:t>(2), 109–112.</w:t>
      </w:r>
    </w:p>
    <w:p w14:paraId="284F78E3" w14:textId="77777777" w:rsidR="00F078BF" w:rsidRDefault="00000000">
      <w:pPr>
        <w:spacing w:after="100"/>
        <w:ind w:left="720" w:hanging="720"/>
        <w:jc w:val="left"/>
        <w:rPr>
          <w:sz w:val="24"/>
          <w:szCs w:val="24"/>
        </w:rPr>
      </w:pPr>
      <w:r>
        <w:rPr>
          <w:sz w:val="24"/>
          <w:szCs w:val="24"/>
        </w:rPr>
        <w:t xml:space="preserve">Poole, A. (2005). Gender differences in reading strategy use among ESL college students. </w:t>
      </w:r>
      <w:r>
        <w:rPr>
          <w:i/>
          <w:iCs/>
          <w:sz w:val="24"/>
          <w:szCs w:val="24"/>
        </w:rPr>
        <w:t>Journal of College Reading and Learning, 36</w:t>
      </w:r>
      <w:r>
        <w:rPr>
          <w:sz w:val="24"/>
          <w:szCs w:val="24"/>
        </w:rPr>
        <w:t xml:space="preserve">(1), 7–20. </w:t>
      </w:r>
      <w:hyperlink r:id="rId35" w:history="1">
        <w:r>
          <w:rPr>
            <w:rStyle w:val="Hyperlink"/>
            <w:sz w:val="24"/>
            <w:szCs w:val="24"/>
          </w:rPr>
          <w:t>https://doi.org/10.1080/10790195.2005.10850177</w:t>
        </w:r>
      </w:hyperlink>
      <w:r>
        <w:rPr>
          <w:sz w:val="24"/>
          <w:szCs w:val="24"/>
        </w:rPr>
        <w:t xml:space="preserve"> </w:t>
      </w:r>
    </w:p>
    <w:p w14:paraId="0BDD533E" w14:textId="77777777" w:rsidR="00F078BF" w:rsidRDefault="00000000">
      <w:pPr>
        <w:spacing w:after="100"/>
        <w:ind w:left="720" w:hanging="720"/>
        <w:jc w:val="left"/>
        <w:rPr>
          <w:sz w:val="24"/>
          <w:szCs w:val="24"/>
        </w:rPr>
      </w:pPr>
      <w:r>
        <w:rPr>
          <w:sz w:val="24"/>
          <w:szCs w:val="24"/>
        </w:rPr>
        <w:t>Pookcharoen, S. (2009). Metacognitive online reading strategies among Thai EFL university students (Publication No. 3390322) [Doctoral dissertation, Indiana University]. ProQuest Dissertations &amp; Theses Global.</w:t>
      </w:r>
    </w:p>
    <w:p w14:paraId="44CF1C88" w14:textId="77777777" w:rsidR="00F078BF" w:rsidRDefault="00000000">
      <w:pPr>
        <w:spacing w:after="100"/>
        <w:ind w:left="720" w:hanging="720"/>
        <w:jc w:val="left"/>
        <w:rPr>
          <w:sz w:val="24"/>
          <w:szCs w:val="24"/>
        </w:rPr>
      </w:pPr>
      <w:r>
        <w:rPr>
          <w:sz w:val="24"/>
          <w:szCs w:val="24"/>
        </w:rPr>
        <w:t xml:space="preserve">Preece, J. (1993). Hypermedia, multimedia and human factors. In C. Latchem, J. Williamson, &amp; L. Henderson-Lancett (Eds.), </w:t>
      </w:r>
      <w:r>
        <w:rPr>
          <w:i/>
          <w:iCs/>
          <w:sz w:val="24"/>
          <w:szCs w:val="24"/>
        </w:rPr>
        <w:t>Interactive multimedia: Practice and promise</w:t>
      </w:r>
      <w:r>
        <w:rPr>
          <w:sz w:val="24"/>
          <w:szCs w:val="24"/>
        </w:rPr>
        <w:t xml:space="preserve"> (pp. 135–150). Kogan Page.</w:t>
      </w:r>
    </w:p>
    <w:p w14:paraId="58867149" w14:textId="73D66ECF" w:rsidR="00F078BF" w:rsidRDefault="00000000">
      <w:pPr>
        <w:spacing w:after="100"/>
        <w:ind w:left="720" w:hanging="720"/>
        <w:jc w:val="left"/>
        <w:rPr>
          <w:sz w:val="24"/>
          <w:szCs w:val="24"/>
        </w:rPr>
      </w:pPr>
      <w:r>
        <w:rPr>
          <w:sz w:val="24"/>
          <w:szCs w:val="24"/>
        </w:rPr>
        <w:t xml:space="preserve">Putera, A. A. &amp; Anggrainy, F. P. N. (2024). Online reading strategies to boost the students’ motivation. </w:t>
      </w:r>
      <w:r>
        <w:rPr>
          <w:i/>
          <w:iCs/>
          <w:sz w:val="24"/>
          <w:szCs w:val="24"/>
        </w:rPr>
        <w:t>Journal of English Language Teaching and Learning (JETLE), 5</w:t>
      </w:r>
      <w:r>
        <w:rPr>
          <w:sz w:val="24"/>
          <w:szCs w:val="24"/>
        </w:rPr>
        <w:t xml:space="preserve">(2), 173–184. </w:t>
      </w:r>
      <w:hyperlink r:id="rId36" w:history="1">
        <w:r>
          <w:rPr>
            <w:rStyle w:val="Hyperlink"/>
            <w:sz w:val="24"/>
            <w:szCs w:val="24"/>
          </w:rPr>
          <w:t>https://doi.org/10.18860/jetle.v5i2.26522</w:t>
        </w:r>
      </w:hyperlink>
      <w:r>
        <w:rPr>
          <w:sz w:val="24"/>
          <w:szCs w:val="24"/>
        </w:rPr>
        <w:t xml:space="preserve"> </w:t>
      </w:r>
    </w:p>
    <w:p w14:paraId="38B4DC3B" w14:textId="0465E41A" w:rsidR="00F078BF" w:rsidRDefault="00000000">
      <w:pPr>
        <w:spacing w:after="100"/>
        <w:ind w:left="720" w:hanging="720"/>
        <w:jc w:val="left"/>
        <w:rPr>
          <w:sz w:val="24"/>
          <w:szCs w:val="24"/>
        </w:rPr>
      </w:pPr>
      <w:r>
        <w:rPr>
          <w:rFonts w:eastAsia="SimSun"/>
          <w:sz w:val="24"/>
          <w:szCs w:val="24"/>
        </w:rPr>
        <w:t xml:space="preserve">Raja, R. &amp; Nagasubramani, P. C. (2018). Impact of modern technology in education. </w:t>
      </w:r>
      <w:r>
        <w:rPr>
          <w:rStyle w:val="Emphasis"/>
          <w:rFonts w:eastAsia="SimSun"/>
          <w:sz w:val="24"/>
          <w:szCs w:val="24"/>
        </w:rPr>
        <w:t>Journal of Applied and Advanced Research, 3</w:t>
      </w:r>
      <w:r>
        <w:rPr>
          <w:rFonts w:eastAsia="SimSun"/>
          <w:sz w:val="24"/>
          <w:szCs w:val="24"/>
        </w:rPr>
        <w:t xml:space="preserve">(Suppl. 1), S33–S35. </w:t>
      </w:r>
      <w:hyperlink r:id="rId37" w:tgtFrame="_new" w:history="1">
        <w:r>
          <w:rPr>
            <w:rStyle w:val="Hyperlink"/>
            <w:rFonts w:eastAsia="SimSun"/>
            <w:sz w:val="24"/>
            <w:szCs w:val="24"/>
          </w:rPr>
          <w:t>https://doi.org/10.21839/jaar.2018.v3S1.165</w:t>
        </w:r>
      </w:hyperlink>
    </w:p>
    <w:p w14:paraId="0D718DB1" w14:textId="53EC784F" w:rsidR="00F078BF" w:rsidRDefault="00000000">
      <w:pPr>
        <w:spacing w:after="100"/>
        <w:ind w:left="720" w:hanging="720"/>
        <w:jc w:val="left"/>
        <w:rPr>
          <w:sz w:val="24"/>
          <w:szCs w:val="24"/>
        </w:rPr>
      </w:pPr>
      <w:r>
        <w:rPr>
          <w:sz w:val="24"/>
          <w:szCs w:val="24"/>
        </w:rPr>
        <w:t xml:space="preserve">Rastegar, M., Mehrabi Kermani, E. &amp; Khabir, M. (2017). The Relationship between Metacognitive Reading Strategies Use and Reading Comprehension Achievement of EFL Learners. </w:t>
      </w:r>
      <w:r>
        <w:rPr>
          <w:i/>
          <w:iCs/>
          <w:sz w:val="24"/>
          <w:szCs w:val="24"/>
        </w:rPr>
        <w:t>Open Journal of Modern Linguistics, 7</w:t>
      </w:r>
      <w:r>
        <w:rPr>
          <w:sz w:val="24"/>
          <w:szCs w:val="24"/>
        </w:rPr>
        <w:t xml:space="preserve">, 65-74. </w:t>
      </w:r>
      <w:hyperlink r:id="rId38" w:history="1">
        <w:r>
          <w:rPr>
            <w:rStyle w:val="Hyperlink"/>
            <w:sz w:val="24"/>
            <w:szCs w:val="24"/>
          </w:rPr>
          <w:t>https://doi.org/10.4236/ojml.2017.72006</w:t>
        </w:r>
      </w:hyperlink>
      <w:r>
        <w:rPr>
          <w:sz w:val="24"/>
          <w:szCs w:val="24"/>
        </w:rPr>
        <w:t xml:space="preserve">  </w:t>
      </w:r>
    </w:p>
    <w:p w14:paraId="58557300" w14:textId="77777777" w:rsidR="00F078BF" w:rsidRDefault="00000000">
      <w:pPr>
        <w:spacing w:after="100"/>
        <w:ind w:left="720" w:hanging="720"/>
        <w:jc w:val="left"/>
        <w:rPr>
          <w:sz w:val="24"/>
          <w:szCs w:val="24"/>
        </w:rPr>
      </w:pPr>
      <w:r>
        <w:rPr>
          <w:sz w:val="24"/>
          <w:szCs w:val="24"/>
        </w:rPr>
        <w:t xml:space="preserve">Rianto, A. (2022). Exploring correlation between metacognitive online reading strategy use and online reading comprehension of EFL students. </w:t>
      </w:r>
      <w:r>
        <w:rPr>
          <w:i/>
          <w:iCs/>
          <w:sz w:val="24"/>
          <w:szCs w:val="24"/>
        </w:rPr>
        <w:t>Turkish Online Journal of Distance Education, 23</w:t>
      </w:r>
      <w:r>
        <w:rPr>
          <w:sz w:val="24"/>
          <w:szCs w:val="24"/>
        </w:rPr>
        <w:t>(2), Article 14.</w:t>
      </w:r>
    </w:p>
    <w:p w14:paraId="6129AD93" w14:textId="31D057C0" w:rsidR="00F078BF" w:rsidRDefault="00000000">
      <w:pPr>
        <w:spacing w:after="100"/>
        <w:ind w:left="720" w:hanging="720"/>
        <w:jc w:val="left"/>
        <w:rPr>
          <w:sz w:val="24"/>
          <w:szCs w:val="24"/>
        </w:rPr>
      </w:pPr>
      <w:r>
        <w:rPr>
          <w:sz w:val="24"/>
          <w:szCs w:val="24"/>
        </w:rPr>
        <w:t xml:space="preserve">Rukmini, N., Ohoiwutun, J. E. &amp; Muhsin. (2014). Improving reading comprehension of the grade eight students by applying previewing and predicting technique. </w:t>
      </w:r>
      <w:r>
        <w:rPr>
          <w:i/>
          <w:iCs/>
          <w:sz w:val="24"/>
          <w:szCs w:val="24"/>
        </w:rPr>
        <w:t>e-Journal of English Language Teaching Society (ELTS), 2</w:t>
      </w:r>
      <w:r>
        <w:rPr>
          <w:sz w:val="24"/>
          <w:szCs w:val="24"/>
        </w:rPr>
        <w:t>(4), 1–11.</w:t>
      </w:r>
    </w:p>
    <w:p w14:paraId="16F4D3CB" w14:textId="20C32D8E" w:rsidR="00F078BF" w:rsidRDefault="00000000">
      <w:pPr>
        <w:spacing w:after="100"/>
        <w:ind w:left="720" w:hanging="720"/>
        <w:jc w:val="left"/>
        <w:rPr>
          <w:sz w:val="24"/>
          <w:szCs w:val="24"/>
        </w:rPr>
      </w:pPr>
      <w:r>
        <w:rPr>
          <w:sz w:val="24"/>
          <w:szCs w:val="24"/>
        </w:rPr>
        <w:t xml:space="preserve">Salame, I. I., Tuba, M. &amp; Nujhat, M. (2024). Note-taking and its impact on learning, academic performance, and memory. </w:t>
      </w:r>
      <w:r>
        <w:rPr>
          <w:i/>
          <w:iCs/>
          <w:sz w:val="24"/>
          <w:szCs w:val="24"/>
        </w:rPr>
        <w:t>International Journal of Instruction, 17</w:t>
      </w:r>
      <w:r>
        <w:rPr>
          <w:sz w:val="24"/>
          <w:szCs w:val="24"/>
        </w:rPr>
        <w:t xml:space="preserve">(3), 599-616. </w:t>
      </w:r>
      <w:hyperlink r:id="rId39" w:history="1">
        <w:r>
          <w:rPr>
            <w:rStyle w:val="Hyperlink"/>
            <w:sz w:val="24"/>
            <w:szCs w:val="24"/>
          </w:rPr>
          <w:t>https://doi.org/10.29333/iji.2024.17333a</w:t>
        </w:r>
      </w:hyperlink>
      <w:r>
        <w:rPr>
          <w:sz w:val="24"/>
          <w:szCs w:val="24"/>
        </w:rPr>
        <w:t xml:space="preserve"> </w:t>
      </w:r>
    </w:p>
    <w:p w14:paraId="496DE218" w14:textId="7AB75B07" w:rsidR="00F078BF" w:rsidRDefault="00000000">
      <w:pPr>
        <w:spacing w:after="100"/>
        <w:ind w:left="720" w:hanging="720"/>
        <w:jc w:val="left"/>
        <w:rPr>
          <w:sz w:val="24"/>
          <w:szCs w:val="24"/>
        </w:rPr>
      </w:pPr>
      <w:r>
        <w:rPr>
          <w:sz w:val="24"/>
          <w:szCs w:val="24"/>
        </w:rPr>
        <w:t xml:space="preserve">Sheorey, R. &amp; Mokhtari, K. (2001). Differences in the metacognitive awareness of reading strategies among native and non-native readers. </w:t>
      </w:r>
      <w:r>
        <w:rPr>
          <w:i/>
          <w:iCs/>
          <w:sz w:val="24"/>
          <w:szCs w:val="24"/>
        </w:rPr>
        <w:t>System, 29</w:t>
      </w:r>
      <w:r>
        <w:rPr>
          <w:sz w:val="24"/>
          <w:szCs w:val="24"/>
        </w:rPr>
        <w:t xml:space="preserve">(4), 431–449. </w:t>
      </w:r>
      <w:hyperlink r:id="rId40" w:history="1">
        <w:r>
          <w:rPr>
            <w:rStyle w:val="Hyperlink"/>
            <w:sz w:val="24"/>
            <w:szCs w:val="24"/>
          </w:rPr>
          <w:t>https://doi.org/10.1016/S0346-251X(01)00039-2</w:t>
        </w:r>
      </w:hyperlink>
      <w:r>
        <w:rPr>
          <w:sz w:val="24"/>
          <w:szCs w:val="24"/>
        </w:rPr>
        <w:t xml:space="preserve"> </w:t>
      </w:r>
    </w:p>
    <w:p w14:paraId="17879A46" w14:textId="77777777" w:rsidR="00F078BF" w:rsidRDefault="00000000">
      <w:pPr>
        <w:spacing w:after="100"/>
        <w:ind w:left="720" w:hanging="720"/>
        <w:jc w:val="left"/>
        <w:rPr>
          <w:sz w:val="24"/>
          <w:szCs w:val="24"/>
        </w:rPr>
      </w:pPr>
      <w:r>
        <w:rPr>
          <w:sz w:val="24"/>
          <w:szCs w:val="24"/>
        </w:rPr>
        <w:t xml:space="preserve">Taber, K. S. (2018). The use of Cronbach’s alpha when developing and reporting research instruments in science education. </w:t>
      </w:r>
      <w:r>
        <w:rPr>
          <w:i/>
          <w:iCs/>
          <w:sz w:val="24"/>
          <w:szCs w:val="24"/>
        </w:rPr>
        <w:t>Research in Science Education, 48</w:t>
      </w:r>
      <w:r>
        <w:rPr>
          <w:sz w:val="24"/>
          <w:szCs w:val="24"/>
        </w:rPr>
        <w:t xml:space="preserve">(6), 1273–1296. </w:t>
      </w:r>
      <w:hyperlink r:id="rId41" w:history="1">
        <w:r>
          <w:rPr>
            <w:rStyle w:val="Hyperlink"/>
            <w:sz w:val="24"/>
            <w:szCs w:val="24"/>
          </w:rPr>
          <w:t>https://doi.org/10.1007/s11165-016-9602-2</w:t>
        </w:r>
      </w:hyperlink>
      <w:r>
        <w:rPr>
          <w:sz w:val="24"/>
          <w:szCs w:val="24"/>
        </w:rPr>
        <w:t xml:space="preserve"> </w:t>
      </w:r>
    </w:p>
    <w:p w14:paraId="483623F4" w14:textId="77777777" w:rsidR="00F078BF" w:rsidRDefault="00000000">
      <w:pPr>
        <w:spacing w:after="100"/>
        <w:ind w:left="720" w:hanging="720"/>
        <w:jc w:val="left"/>
        <w:rPr>
          <w:color w:val="0000FF"/>
          <w:sz w:val="24"/>
          <w:szCs w:val="24"/>
        </w:rPr>
      </w:pPr>
      <w:r>
        <w:rPr>
          <w:rStyle w:val="Strong"/>
          <w:rFonts w:eastAsia="SimSun"/>
          <w:b w:val="0"/>
          <w:bCs w:val="0"/>
          <w:color w:val="0000FF"/>
          <w:sz w:val="24"/>
          <w:szCs w:val="24"/>
        </w:rPr>
        <w:lastRenderedPageBreak/>
        <w:t xml:space="preserve">Triola, M. F. (2010). </w:t>
      </w:r>
      <w:r>
        <w:rPr>
          <w:rStyle w:val="Emphasis"/>
          <w:rFonts w:eastAsia="SimSun"/>
          <w:color w:val="0000FF"/>
          <w:sz w:val="24"/>
          <w:szCs w:val="24"/>
        </w:rPr>
        <w:t>Elementary statistics</w:t>
      </w:r>
      <w:r>
        <w:rPr>
          <w:rStyle w:val="Strong"/>
          <w:rFonts w:eastAsia="SimSun"/>
          <w:b w:val="0"/>
          <w:bCs w:val="0"/>
          <w:color w:val="0000FF"/>
          <w:sz w:val="24"/>
          <w:szCs w:val="24"/>
        </w:rPr>
        <w:t xml:space="preserve"> (11th ed.). Pearson Education.</w:t>
      </w:r>
    </w:p>
    <w:p w14:paraId="600E2E24" w14:textId="77777777" w:rsidR="00F078BF" w:rsidRDefault="00000000">
      <w:pPr>
        <w:spacing w:after="100"/>
        <w:ind w:left="720" w:hanging="720"/>
        <w:jc w:val="left"/>
        <w:rPr>
          <w:sz w:val="24"/>
          <w:szCs w:val="24"/>
        </w:rPr>
      </w:pPr>
      <w:r>
        <w:rPr>
          <w:sz w:val="24"/>
          <w:szCs w:val="24"/>
        </w:rPr>
        <w:t xml:space="preserve">Wang, Y. H. (2016). Reading strategy use and comprehension performance of more successful and less successful readers: A think-aloud study. </w:t>
      </w:r>
      <w:r>
        <w:rPr>
          <w:i/>
          <w:iCs/>
          <w:sz w:val="24"/>
          <w:szCs w:val="24"/>
        </w:rPr>
        <w:t>Educational Sciences: Theory &amp; Practice, 16</w:t>
      </w:r>
      <w:r>
        <w:rPr>
          <w:sz w:val="24"/>
          <w:szCs w:val="24"/>
        </w:rPr>
        <w:t xml:space="preserve">(5), 1789–1813. </w:t>
      </w:r>
      <w:hyperlink r:id="rId42" w:history="1">
        <w:r>
          <w:rPr>
            <w:rStyle w:val="Hyperlink"/>
            <w:sz w:val="24"/>
            <w:szCs w:val="24"/>
          </w:rPr>
          <w:t>https://doi.org/10.12738/estp.2016.5.0116</w:t>
        </w:r>
      </w:hyperlink>
      <w:r>
        <w:rPr>
          <w:sz w:val="24"/>
          <w:szCs w:val="24"/>
        </w:rPr>
        <w:t xml:space="preserve"> </w:t>
      </w:r>
    </w:p>
    <w:p w14:paraId="1B0D0780" w14:textId="672C0F74" w:rsidR="00F078BF" w:rsidRDefault="00000000">
      <w:pPr>
        <w:spacing w:after="100"/>
        <w:ind w:left="720" w:hanging="720"/>
        <w:jc w:val="left"/>
        <w:rPr>
          <w:sz w:val="24"/>
          <w:szCs w:val="24"/>
        </w:rPr>
      </w:pPr>
      <w:r>
        <w:rPr>
          <w:sz w:val="24"/>
          <w:szCs w:val="24"/>
        </w:rPr>
        <w:t xml:space="preserve">Yang, L. &amp; Sim, T. S. (2017). Metacognitive awareness of reading strategies among EFL high school students in China. </w:t>
      </w:r>
      <w:r>
        <w:rPr>
          <w:i/>
          <w:iCs/>
          <w:sz w:val="24"/>
          <w:szCs w:val="24"/>
        </w:rPr>
        <w:t>The Asian Journal of English Language &amp; Pedagogy, 5</w:t>
      </w:r>
      <w:r>
        <w:rPr>
          <w:sz w:val="24"/>
          <w:szCs w:val="24"/>
        </w:rPr>
        <w:t>, 34–45.</w:t>
      </w:r>
    </w:p>
    <w:p w14:paraId="5DE58CF8" w14:textId="2059D558" w:rsidR="00F078BF" w:rsidRDefault="00000000">
      <w:pPr>
        <w:spacing w:after="100"/>
        <w:ind w:left="720" w:hanging="720"/>
        <w:jc w:val="left"/>
        <w:rPr>
          <w:sz w:val="24"/>
          <w:szCs w:val="24"/>
        </w:rPr>
      </w:pPr>
      <w:r>
        <w:rPr>
          <w:sz w:val="24"/>
          <w:szCs w:val="24"/>
        </w:rPr>
        <w:t xml:space="preserve">Yildiz, M. &amp; Çetinkaya, E. (2017). The relationship between good readers’ attention, reading fluency and reading comprehension. </w:t>
      </w:r>
      <w:r>
        <w:rPr>
          <w:i/>
          <w:iCs/>
          <w:sz w:val="24"/>
          <w:szCs w:val="24"/>
        </w:rPr>
        <w:t>Universal Journal of Educational Research, 5</w:t>
      </w:r>
      <w:r>
        <w:rPr>
          <w:sz w:val="24"/>
          <w:szCs w:val="24"/>
        </w:rPr>
        <w:t xml:space="preserve">(3), 366–371. </w:t>
      </w:r>
      <w:hyperlink r:id="rId43" w:history="1">
        <w:r>
          <w:rPr>
            <w:rStyle w:val="Hyperlink"/>
            <w:sz w:val="24"/>
            <w:szCs w:val="24"/>
          </w:rPr>
          <w:t>https://doi.org/10.13189/ujer.2017.050309</w:t>
        </w:r>
      </w:hyperlink>
      <w:r>
        <w:rPr>
          <w:sz w:val="24"/>
          <w:szCs w:val="24"/>
        </w:rPr>
        <w:t xml:space="preserve">   </w:t>
      </w:r>
    </w:p>
    <w:p w14:paraId="4A5DED45" w14:textId="77777777" w:rsidR="00F078BF" w:rsidRDefault="00000000">
      <w:pPr>
        <w:spacing w:after="100"/>
        <w:ind w:left="720" w:hanging="720"/>
        <w:jc w:val="left"/>
        <w:rPr>
          <w:sz w:val="24"/>
          <w:szCs w:val="24"/>
        </w:rPr>
      </w:pPr>
      <w:r>
        <w:rPr>
          <w:sz w:val="24"/>
          <w:szCs w:val="24"/>
        </w:rPr>
        <w:t xml:space="preserve">Zare-ee, A. (2007). The relationship between cognitive and meta-cognitive strategy use and EFL reading achievement. </w:t>
      </w:r>
      <w:r>
        <w:rPr>
          <w:i/>
          <w:iCs/>
          <w:sz w:val="24"/>
          <w:szCs w:val="24"/>
        </w:rPr>
        <w:t>Journal of Applied Psychology, 2</w:t>
      </w:r>
      <w:r>
        <w:rPr>
          <w:sz w:val="24"/>
          <w:szCs w:val="24"/>
        </w:rPr>
        <w:t xml:space="preserve">(5), 105–119. </w:t>
      </w:r>
    </w:p>
    <w:p w14:paraId="10644E7B" w14:textId="77777777" w:rsidR="00F078BF" w:rsidRDefault="00F078BF">
      <w:pPr>
        <w:spacing w:after="100"/>
        <w:ind w:left="426" w:hanging="426"/>
        <w:rPr>
          <w:sz w:val="24"/>
          <w:szCs w:val="24"/>
        </w:rPr>
      </w:pPr>
    </w:p>
    <w:p w14:paraId="73237310" w14:textId="77777777" w:rsidR="00F078BF" w:rsidRDefault="00000000">
      <w:pPr>
        <w:pStyle w:val="RALs-ReferencesList"/>
        <w:rPr>
          <w:rFonts w:asciiTheme="majorBidi" w:eastAsiaTheme="minorHAnsi" w:hAnsiTheme="majorBidi" w:cstheme="majorBidi"/>
          <w:b/>
          <w:bCs/>
          <w:sz w:val="24"/>
          <w:szCs w:val="24"/>
        </w:rPr>
      </w:pPr>
      <w:r>
        <w:rPr>
          <w:rFonts w:asciiTheme="majorBidi" w:eastAsiaTheme="minorHAnsi" w:hAnsiTheme="majorBidi" w:cstheme="majorBidi"/>
          <w:b/>
          <w:bCs/>
          <w:sz w:val="24"/>
          <w:szCs w:val="24"/>
        </w:rPr>
        <w:t>Bionote</w:t>
      </w:r>
    </w:p>
    <w:p w14:paraId="3202175D" w14:textId="77777777" w:rsidR="00F078BF" w:rsidRDefault="00000000">
      <w:pPr>
        <w:pStyle w:val="RALs-ReferencesList"/>
        <w:ind w:left="720" w:hanging="720"/>
        <w:rPr>
          <w:rFonts w:asciiTheme="majorBidi" w:hAnsiTheme="majorBidi" w:cstheme="majorBidi"/>
          <w:sz w:val="24"/>
          <w:szCs w:val="24"/>
        </w:rPr>
      </w:pPr>
      <w:r>
        <w:rPr>
          <w:rFonts w:asciiTheme="majorBidi" w:hAnsiTheme="majorBidi" w:cstheme="majorBidi"/>
          <w:sz w:val="24"/>
          <w:szCs w:val="24"/>
        </w:rPr>
        <w:t xml:space="preserve">Thinh Tien Vu is head of the Testing board and vice dean of the School of Languages, International University – VNU HCM. He received his M.A. in TESOL from the University of Canberra, Australia, and is currently a PhD candidate in English Language Studies and Teaching at NIDA, Thailand. He has 25 years of experience in teaching academic English, ESP, test preparation, and TESOL courses, and more than 12 years of experience in the roles of course/program designer and developer, academic trainer, and manager. His current research interests include EMI, Applied methodologies, Autonomy development, Assessment and Testing, Education management, and TELL. </w:t>
      </w:r>
    </w:p>
    <w:p w14:paraId="154709A7" w14:textId="77777777" w:rsidR="00F078BF" w:rsidRDefault="00000000">
      <w:pPr>
        <w:pStyle w:val="RALs-ReferencesList"/>
        <w:ind w:left="720" w:hanging="720"/>
        <w:rPr>
          <w:rFonts w:asciiTheme="majorBidi" w:hAnsiTheme="majorBidi" w:cstheme="majorBidi"/>
          <w:sz w:val="24"/>
          <w:szCs w:val="24"/>
        </w:rPr>
      </w:pPr>
      <w:r>
        <w:rPr>
          <w:rFonts w:asciiTheme="majorBidi" w:hAnsiTheme="majorBidi" w:cstheme="majorBidi"/>
          <w:sz w:val="24"/>
          <w:szCs w:val="24"/>
        </w:rPr>
        <w:t>Thi Thuy Dung Dang is an undergraduate student majoring in English Linguistics and Literature at International University – VNU HCM. She is currently teaching English to young learners while actively pursuing her academic research interests. Her academic interests include English online learning, technology-enhanced language learning (TELL), and teaching reading.</w:t>
      </w:r>
    </w:p>
    <w:p w14:paraId="614A0E5A" w14:textId="77777777" w:rsidR="00F078BF" w:rsidRDefault="00F078BF">
      <w:pPr>
        <w:rPr>
          <w:sz w:val="24"/>
          <w:szCs w:val="24"/>
        </w:rPr>
      </w:pPr>
    </w:p>
    <w:sectPr w:rsidR="00F078BF">
      <w:footerReference w:type="default" r:id="rId44"/>
      <w:pgSz w:w="11906" w:h="16838"/>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3FB69" w14:textId="77777777" w:rsidR="006F7B40" w:rsidRDefault="006F7B40">
      <w:pPr>
        <w:spacing w:line="240" w:lineRule="auto"/>
      </w:pPr>
      <w:r>
        <w:separator/>
      </w:r>
    </w:p>
  </w:endnote>
  <w:endnote w:type="continuationSeparator" w:id="0">
    <w:p w14:paraId="0310B142" w14:textId="77777777" w:rsidR="006F7B40" w:rsidRDefault="006F7B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 w:fontKey="{5F2CB34C-7F59-4B97-BF21-8177228555C2}"/>
    <w:embedBold r:id="rId2" w:fontKey="{3B286825-4FC4-42E5-A9E8-C136C3152D09}"/>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35D06764-7F4B-41CD-9F90-745A9978063E}"/>
  </w:font>
  <w:font w:name="B Zar">
    <w:altName w:val="Segoe Print"/>
    <w:charset w:val="B2"/>
    <w:family w:val="auto"/>
    <w:pitch w:val="variable"/>
    <w:sig w:usb0="00002001" w:usb1="80000000" w:usb2="00000008" w:usb3="00000000" w:csb0="00000040" w:csb1="00000000"/>
    <w:embedRegular r:id="rId4" w:fontKey="{C325141A-EA3F-4F78-BEE2-1047D24C84D7}"/>
  </w:font>
  <w:font w:name="Calibri">
    <w:panose1 w:val="020F0502020204030204"/>
    <w:charset w:val="00"/>
    <w:family w:val="swiss"/>
    <w:pitch w:val="variable"/>
    <w:sig w:usb0="E4002EFF" w:usb1="C200247B" w:usb2="00000009" w:usb3="00000000" w:csb0="000001FF" w:csb1="00000000"/>
    <w:embedRegular r:id="rId5" w:fontKey="{13FC1DCA-6F42-417A-8DD7-6FCE314CF3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3E18" w14:textId="77777777" w:rsidR="00F078BF" w:rsidRDefault="00F078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D1AF7" w14:textId="77777777" w:rsidR="006F7B40" w:rsidRDefault="006F7B40">
      <w:pPr>
        <w:spacing w:before="0" w:after="0"/>
      </w:pPr>
      <w:r>
        <w:separator/>
      </w:r>
    </w:p>
  </w:footnote>
  <w:footnote w:type="continuationSeparator" w:id="0">
    <w:p w14:paraId="6AED7626" w14:textId="77777777" w:rsidR="006F7B40" w:rsidRDefault="006F7B40">
      <w:pPr>
        <w:spacing w:before="0" w:after="0"/>
      </w:pPr>
      <w:r>
        <w:continuationSeparator/>
      </w:r>
    </w:p>
  </w:footnote>
  <w:footnote w:id="1">
    <w:p w14:paraId="2DB6BB8A" w14:textId="77777777" w:rsidR="00F078BF" w:rsidRDefault="00000000">
      <w:pPr>
        <w:pStyle w:val="FootnoteText"/>
        <w:rPr>
          <w:rFonts w:ascii="Times New Roman" w:hAnsi="Times New Roman" w:cs="Times New Roman"/>
          <w:spacing w:val="-2"/>
        </w:rPr>
      </w:pPr>
      <w:r>
        <w:rPr>
          <w:rStyle w:val="FootnoteReference"/>
        </w:rPr>
        <w:footnoteRef/>
      </w:r>
      <w:r>
        <w:t xml:space="preserve"> </w:t>
      </w:r>
      <w:r>
        <w:rPr>
          <w:rFonts w:ascii="Times New Roman" w:hAnsi="Times New Roman" w:cs="Times New Roman"/>
          <w:spacing w:val="-2"/>
        </w:rPr>
        <w:t xml:space="preserve">Corresponding author, </w:t>
      </w:r>
      <w:r>
        <w:rPr>
          <w:rFonts w:ascii="Times New Roman" w:hAnsi="Times New Roman" w:cs="Times New Roman"/>
        </w:rPr>
        <w:t>PhD candidate</w:t>
      </w:r>
      <w:r>
        <w:rPr>
          <w:rFonts w:ascii="Times New Roman" w:hAnsi="Times New Roman" w:cs="Times New Roman"/>
          <w:spacing w:val="-2"/>
        </w:rPr>
        <w:t xml:space="preserve">, School of Languages, International University - VNU HCM, HCMC, Vietnam; </w:t>
      </w:r>
      <w:hyperlink r:id="rId1" w:history="1">
        <w:r>
          <w:rPr>
            <w:rStyle w:val="Hyperlink"/>
            <w:rFonts w:ascii="Times New Roman" w:hAnsi="Times New Roman" w:cs="Times New Roman"/>
            <w:i/>
            <w:iCs/>
            <w:spacing w:val="-2"/>
          </w:rPr>
          <w:t>vtthinh@hcmiu.edu.vn</w:t>
        </w:r>
      </w:hyperlink>
    </w:p>
  </w:footnote>
  <w:footnote w:id="2">
    <w:p w14:paraId="564562E4" w14:textId="77777777" w:rsidR="00F078BF" w:rsidRDefault="00000000">
      <w:pPr>
        <w:pStyle w:val="FootnoteText"/>
      </w:pPr>
      <w:r>
        <w:rPr>
          <w:rStyle w:val="FootnoteReference"/>
        </w:rPr>
        <w:footnoteRef/>
      </w:r>
      <w:r>
        <w:t xml:space="preserve"> </w:t>
      </w:r>
      <w:r>
        <w:rPr>
          <w:rFonts w:ascii="Times New Roman" w:hAnsi="Times New Roman" w:cs="Times New Roman"/>
        </w:rPr>
        <w:t>BA</w:t>
      </w:r>
      <w:r>
        <w:rPr>
          <w:rFonts w:ascii="Times New Roman" w:hAnsi="Times New Roman" w:cs="Times New Roman"/>
          <w:spacing w:val="-2"/>
        </w:rPr>
        <w:t>, School of Languages, International University - VNU HCM, HCMC, Vietnam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717"/>
    <w:rsid w:val="00007D76"/>
    <w:rsid w:val="000C4193"/>
    <w:rsid w:val="001109E0"/>
    <w:rsid w:val="00162FD9"/>
    <w:rsid w:val="00192704"/>
    <w:rsid w:val="00195F3D"/>
    <w:rsid w:val="001C6CCC"/>
    <w:rsid w:val="001E4A78"/>
    <w:rsid w:val="00241EC1"/>
    <w:rsid w:val="003E339D"/>
    <w:rsid w:val="004054D9"/>
    <w:rsid w:val="004266D5"/>
    <w:rsid w:val="0044520E"/>
    <w:rsid w:val="00497416"/>
    <w:rsid w:val="005B123F"/>
    <w:rsid w:val="0066238F"/>
    <w:rsid w:val="00694717"/>
    <w:rsid w:val="006F7B40"/>
    <w:rsid w:val="00741AA9"/>
    <w:rsid w:val="00787C20"/>
    <w:rsid w:val="007F2681"/>
    <w:rsid w:val="00871FD2"/>
    <w:rsid w:val="008955D7"/>
    <w:rsid w:val="00B51973"/>
    <w:rsid w:val="00B5390C"/>
    <w:rsid w:val="00CB4556"/>
    <w:rsid w:val="00D15BFC"/>
    <w:rsid w:val="00D33E72"/>
    <w:rsid w:val="00DB3A15"/>
    <w:rsid w:val="00E90F6D"/>
    <w:rsid w:val="00EB45C5"/>
    <w:rsid w:val="00F078BF"/>
    <w:rsid w:val="00F9253B"/>
    <w:rsid w:val="00FB3C70"/>
    <w:rsid w:val="00FE535B"/>
    <w:rsid w:val="00FE58BA"/>
    <w:rsid w:val="2B2B6D42"/>
    <w:rsid w:val="429C7DBF"/>
    <w:rsid w:val="4BDF1D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22020"/>
  <w15:docId w15:val="{1E7C36FB-35C1-4429-93C3-6119270B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60" w:line="276" w:lineRule="auto"/>
      <w:ind w:firstLine="720"/>
      <w:jc w:val="both"/>
    </w:pPr>
    <w:rPr>
      <w:rFonts w:eastAsia="Times New Roman"/>
      <w:lang w:val="en"/>
    </w:r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800080" w:themeColor="followedHyperlink"/>
      <w:u w:val="single"/>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before="0" w:after="0" w:line="240" w:lineRule="auto"/>
      <w:ind w:firstLine="0"/>
      <w:jc w:val="left"/>
    </w:pPr>
    <w:rPr>
      <w:rFonts w:asciiTheme="minorHAnsi" w:eastAsiaTheme="minorEastAsia" w:hAnsiTheme="minorHAnsi" w:cstheme="minorBidi"/>
      <w:lang w:val="en-US" w:eastAsia="zh-CN"/>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semiHidden/>
    <w:unhideWhenUsed/>
    <w:rPr>
      <w:sz w:val="24"/>
      <w:szCs w:val="24"/>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
    <w:name w:val="TableNormal"/>
    <w:qFormat/>
    <w:tblPr>
      <w:tblCellMar>
        <w:top w:w="100" w:type="dxa"/>
        <w:left w:w="100" w:type="dxa"/>
        <w:bottom w:w="100" w:type="dxa"/>
        <w:right w:w="100" w:type="dxa"/>
      </w:tblCellMar>
    </w:tblPr>
  </w:style>
  <w:style w:type="table" w:customStyle="1" w:styleId="Style12">
    <w:name w:val="_Style 12"/>
    <w:basedOn w:val="TableNormal0"/>
    <w:qFormat/>
    <w:tblPr/>
    <w:tcPr>
      <w:shd w:val="clear" w:color="auto" w:fill="FFFFFF"/>
    </w:tcPr>
  </w:style>
  <w:style w:type="table" w:customStyle="1" w:styleId="Style13">
    <w:name w:val="_Style 13"/>
    <w:basedOn w:val="TableNormal0"/>
    <w:qFormat/>
    <w:tblPr/>
  </w:style>
  <w:style w:type="table" w:customStyle="1" w:styleId="Style14">
    <w:name w:val="_Style 14"/>
    <w:basedOn w:val="TableNormal0"/>
    <w:qFormat/>
    <w:tblPr/>
  </w:style>
  <w:style w:type="table" w:customStyle="1" w:styleId="Style15">
    <w:name w:val="_Style 15"/>
    <w:basedOn w:val="TableNormal0"/>
    <w:qFormat/>
    <w:tblPr/>
  </w:style>
  <w:style w:type="table" w:customStyle="1" w:styleId="Style16">
    <w:name w:val="_Style 16"/>
    <w:basedOn w:val="TableNormal0"/>
    <w:qFormat/>
    <w:tblPr/>
  </w:style>
  <w:style w:type="table" w:customStyle="1" w:styleId="Style17">
    <w:name w:val="_Style 17"/>
    <w:basedOn w:val="TableNormal0"/>
    <w:qFormat/>
    <w:tblPr/>
  </w:style>
  <w:style w:type="table" w:customStyle="1" w:styleId="Style18">
    <w:name w:val="_Style 18"/>
    <w:basedOn w:val="TableNormal0"/>
    <w:qFormat/>
    <w:tblPr/>
  </w:style>
  <w:style w:type="table" w:customStyle="1" w:styleId="Style19">
    <w:name w:val="_Style 19"/>
    <w:basedOn w:val="TableNormal0"/>
    <w:qFormat/>
    <w:tblPr/>
  </w:style>
  <w:style w:type="character" w:customStyle="1" w:styleId="FootnoteTextChar">
    <w:name w:val="Footnote Text Char"/>
    <w:basedOn w:val="DefaultParagraphFont"/>
    <w:link w:val="FootnoteText"/>
    <w:uiPriority w:val="99"/>
    <w:semiHidden/>
    <w:qFormat/>
    <w:rPr>
      <w:rFonts w:asciiTheme="minorHAnsi" w:eastAsiaTheme="minorEastAsia" w:hAnsiTheme="minorHAnsi" w:cstheme="minorBidi"/>
      <w:lang w:val="en-US" w:eastAsia="zh-C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RALs-ReferencesList">
    <w:name w:val="RALs-ReferencesList"/>
    <w:basedOn w:val="Normal"/>
    <w:qFormat/>
    <w:pPr>
      <w:spacing w:after="100"/>
      <w:ind w:left="426" w:hanging="426"/>
    </w:pPr>
    <w:rPr>
      <w:rFonts w:cs="B Zar"/>
      <w:lang w:val="en-US"/>
    </w:rPr>
  </w:style>
  <w:style w:type="character" w:customStyle="1" w:styleId="UnresolvedMention2">
    <w:name w:val="Unresolved Mention2"/>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4689/ejer.2021.91.15" TargetMode="External"/><Relationship Id="rId18" Type="http://schemas.openxmlformats.org/officeDocument/2006/relationships/hyperlink" Target="https://doi.org/10.1007/BF01077414" TargetMode="External"/><Relationship Id="rId26" Type="http://schemas.openxmlformats.org/officeDocument/2006/relationships/hyperlink" Target="https://doi.org/10.1080/17501229.2017.1364252" TargetMode="External"/><Relationship Id="rId39" Type="http://schemas.openxmlformats.org/officeDocument/2006/relationships/hyperlink" Target="https://doi.org/10.29333/iji.2024.17333a" TargetMode="External"/><Relationship Id="rId21" Type="http://schemas.openxmlformats.org/officeDocument/2006/relationships/hyperlink" Target="https://doi.org/10.1017/S0958344013000153" TargetMode="External"/><Relationship Id="rId34" Type="http://schemas.openxmlformats.org/officeDocument/2006/relationships/hyperlink" Target="https://doi.org/10.5539/elt.v12n5p88" TargetMode="External"/><Relationship Id="rId42" Type="http://schemas.openxmlformats.org/officeDocument/2006/relationships/hyperlink" Target="https://doi.org/10.12738/estp.2016.5.0116"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readingonline.org/electronic/elec_index.asp?HREF=/electronic/rt/203_Column/index.html" TargetMode="External"/><Relationship Id="rId29" Type="http://schemas.openxmlformats.org/officeDocument/2006/relationships/hyperlink" Target="https://doi.org/10.1080/10790195.2008.10850307"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20372/ajbs.2023.8.2.887" TargetMode="External"/><Relationship Id="rId24" Type="http://schemas.openxmlformats.org/officeDocument/2006/relationships/hyperlink" Target="https://doi.org/10.5861/ijrsll.2012.118" TargetMode="External"/><Relationship Id="rId32" Type="http://schemas.openxmlformats.org/officeDocument/2006/relationships/hyperlink" Target="https://doi.org/10.29333/iji.2020.13216a" TargetMode="External"/><Relationship Id="rId37" Type="http://schemas.openxmlformats.org/officeDocument/2006/relationships/hyperlink" Target="https://doi.org/10.21839/jaar.2018.v3S1.165" TargetMode="External"/><Relationship Id="rId40" Type="http://schemas.openxmlformats.org/officeDocument/2006/relationships/hyperlink" Target="https://doi.org/10.1016/S0346-251X(01)00039-2"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floppybunny.org/robin/web/virtualclassroom/chap5/s5/articles_qual_quant_approaches/combining_qual_quant.pdf" TargetMode="External"/><Relationship Id="rId23" Type="http://schemas.openxmlformats.org/officeDocument/2006/relationships/hyperlink" Target="https://doi.org/10.21315/mjde2015.17.2.5" TargetMode="External"/><Relationship Id="rId28" Type="http://schemas.openxmlformats.org/officeDocument/2006/relationships/hyperlink" Target="https://doi.org/10.1080/10790195.2008.10850307" TargetMode="External"/><Relationship Id="rId36" Type="http://schemas.openxmlformats.org/officeDocument/2006/relationships/hyperlink" Target="https://doi.org/10.18860/jetle.v5i2.26522" TargetMode="External"/><Relationship Id="rId10" Type="http://schemas.openxmlformats.org/officeDocument/2006/relationships/hyperlink" Target="https://doi.org/10.18538/lthe.v10.n2.140" TargetMode="External"/><Relationship Id="rId19" Type="http://schemas.openxmlformats.org/officeDocument/2006/relationships/hyperlink" Target="https://www.awej.org/images/conferences/BejaiaProceedings2015/16.pdf" TargetMode="External"/><Relationship Id="rId31" Type="http://schemas.openxmlformats.org/officeDocument/2006/relationships/hyperlink" Target="https://doi.org/10.1201/9781003597216"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598/RT.61.5.1" TargetMode="External"/><Relationship Id="rId14" Type="http://schemas.openxmlformats.org/officeDocument/2006/relationships/hyperlink" Target="https://doi.org/10.2307/3587536" TargetMode="External"/><Relationship Id="rId22" Type="http://schemas.openxmlformats.org/officeDocument/2006/relationships/hyperlink" Target="https://doi.org/10.1016/j.compedu.2008.06.003" TargetMode="External"/><Relationship Id="rId27" Type="http://schemas.openxmlformats.org/officeDocument/2006/relationships/hyperlink" Target="https://doi.org/10.1016/0010-0285(74)90015-2" TargetMode="External"/><Relationship Id="rId30" Type="http://schemas.openxmlformats.org/officeDocument/2006/relationships/hyperlink" Target="https://doi.org/10.5539/elt.v9n3p117" TargetMode="External"/><Relationship Id="rId35" Type="http://schemas.openxmlformats.org/officeDocument/2006/relationships/hyperlink" Target="https://doi.org/10.1080/10790195.2005.10850177" TargetMode="External"/><Relationship Id="rId43" Type="http://schemas.openxmlformats.org/officeDocument/2006/relationships/hyperlink" Target="https://doi.org/10.13189/ujer.2017.050309" TargetMode="Externa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www.readingmatrix.com/articles/anderson/article.pdf" TargetMode="External"/><Relationship Id="rId17" Type="http://schemas.openxmlformats.org/officeDocument/2006/relationships/hyperlink" Target="https://doi.org/10.24093/awej/vol12no1.7" TargetMode="External"/><Relationship Id="rId25" Type="http://schemas.openxmlformats.org/officeDocument/2006/relationships/hyperlink" Target="https://conferences.uinsgd.ac.id/" TargetMode="External"/><Relationship Id="rId33" Type="http://schemas.openxmlformats.org/officeDocument/2006/relationships/hyperlink" Target="https://www.pewresearch.org/social-trends/2011/08/28/the-digital-revolution-and-higher-education/" TargetMode="External"/><Relationship Id="rId38" Type="http://schemas.openxmlformats.org/officeDocument/2006/relationships/hyperlink" Target="https://doi.org/10.4236/ojml.2017.72006" TargetMode="External"/><Relationship Id="rId46" Type="http://schemas.openxmlformats.org/officeDocument/2006/relationships/theme" Target="theme/theme1.xml"/><Relationship Id="rId20" Type="http://schemas.openxmlformats.org/officeDocument/2006/relationships/hyperlink" Target="https://jurnal.radisi.or.id/index.php/JournalETANIC/article/view/257" TargetMode="External"/><Relationship Id="rId41" Type="http://schemas.openxmlformats.org/officeDocument/2006/relationships/hyperlink" Target="https://doi.org/10.1007/s11165-016-9602-2"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mailto:vtthinh@hcmiu.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tikmmvVuyeZgLl7P/rF0UUgqRw==">CgMxLjAaHwoBMBIaChgICVIUChJ0YWJsZS5ucHZzNHoyNm83MXkaHwoBMRIaChgICVIUChJ0YWJsZS5ueDI1YWpxcG9uc2QaHwoBMhIaChgICVIUChJ0YWJsZS5ydTIxa3NteWZnaHoaHwoBMxIaChgICVIUChJ0YWJsZS5jMjBiNjhxamlldGQyDmgua2luaXpocjFoM3FmOAByITF2N3p4a09xazhJUkg4RGNxNk9BN2VGcjBrWUk0STBGbg==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24</Pages>
  <Words>6994</Words>
  <Characters>39869</Characters>
  <Application>Microsoft Office Word</Application>
  <DocSecurity>0</DocSecurity>
  <Lines>332</Lines>
  <Paragraphs>93</Paragraphs>
  <ScaleCrop>false</ScaleCrop>
  <Company/>
  <LinksUpToDate>false</LinksUpToDate>
  <CharactersWithSpaces>46770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Reviewer</cp:lastModifiedBy>
  <cp:revision>7</cp:revision>
  <dcterms:created xsi:type="dcterms:W3CDTF">2026-06-05T14:16:00Z</dcterms:created>
  <dcterms:modified xsi:type="dcterms:W3CDTF">2026-07-12T00:26:00Z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ca4f3f20-cc23-4b7d-8eb5-17861103286a</vt:lpwstr>
  </property>
  <property fmtid="{D5CDD505-2E9C-101B-9397-08002B2CF9AE}" pid="3" name="KSOTemplateDocerSaveRecord">
    <vt:lpwstr>eyJoZGlkIjoiYWNlNzNhNmIzOTIzZGY2M2QzZGFjMTM3NDZmMGZlYmUiLCJ1c2VySWQiOiIxMzkxODI1MzgzMzY0In0=</vt:lpwstr>
  </property>
  <property fmtid="{D5CDD505-2E9C-101B-9397-08002B2CF9AE}" pid="4" name="KSOProductBuildVer">
    <vt:lpwstr>1033-12.1.0.26880</vt:lpwstr>
  </property>
  <property fmtid="{D5CDD505-2E9C-101B-9397-08002B2CF9AE}" pid="5" name="ICV">
    <vt:lpwstr>250C13FF4A5A4684849A8C6D8BDD8AB5_13</vt:lpwstr>
  </property>
</Properties>
</file>