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0157" w14:textId="16608038" w:rsidR="00722EDE" w:rsidRPr="009A3159" w:rsidRDefault="00517AE9" w:rsidP="00722EDE">
      <w:pPr>
        <w:pStyle w:val="RALs-Title"/>
        <w:rPr>
          <w:rtl/>
          <w:lang w:val="en-US"/>
        </w:rPr>
      </w:pPr>
      <w:r w:rsidRPr="009A3159">
        <w:rPr>
          <w:lang w:val="en-US"/>
        </w:rPr>
        <w:t>Learners’ Perceptions of Teacher Oral Feedback in VSTEP Speaking Preparation: Implications for ESL-Oriented Instruction in Vietnam</w:t>
      </w:r>
    </w:p>
    <w:p w14:paraId="4A1F59D9" w14:textId="6A2CAB8A" w:rsidR="00722EDE" w:rsidRPr="009A3159" w:rsidRDefault="00AA2B9A" w:rsidP="00E97E95">
      <w:pPr>
        <w:pStyle w:val="RALs-Authors"/>
        <w:jc w:val="right"/>
      </w:pPr>
      <w:r w:rsidRPr="009A3159">
        <w:t>Doan Ngoc Sang</w:t>
      </w:r>
      <w:r w:rsidR="00722EDE" w:rsidRPr="009A3159">
        <w:rPr>
          <w:rStyle w:val="FootnoteReference"/>
        </w:rPr>
        <w:footnoteReference w:id="1"/>
      </w:r>
      <w:r w:rsidR="00722EDE" w:rsidRPr="009A3159">
        <w:t xml:space="preserve">, </w:t>
      </w:r>
      <w:r w:rsidRPr="009A3159">
        <w:t>Pham Huu Duc</w:t>
      </w:r>
      <w:r w:rsidR="00722EDE" w:rsidRPr="009A3159">
        <w:rPr>
          <w:rStyle w:val="FootnoteReference"/>
        </w:rPr>
        <w:t xml:space="preserve"> </w:t>
      </w:r>
      <w:r w:rsidR="00722EDE" w:rsidRPr="009A3159">
        <w:rPr>
          <w:rStyle w:val="FootnoteReference"/>
        </w:rPr>
        <w:footnoteReference w:id="2"/>
      </w:r>
    </w:p>
    <w:p w14:paraId="2FC6B240" w14:textId="77777777" w:rsidR="00316775" w:rsidRPr="009A3159" w:rsidRDefault="00316775" w:rsidP="00722EDE">
      <w:pPr>
        <w:pStyle w:val="RALs-HeadingsNoIndent"/>
        <w:rPr>
          <w:rFonts w:cs="Times New Roman"/>
          <w:sz w:val="24"/>
          <w:szCs w:val="24"/>
        </w:rPr>
      </w:pPr>
    </w:p>
    <w:p w14:paraId="74B1019C" w14:textId="77777777" w:rsidR="00722EDE" w:rsidRPr="009A3159" w:rsidRDefault="00722EDE" w:rsidP="00722EDE">
      <w:pPr>
        <w:pStyle w:val="RALs-HeadingsNoIndent"/>
        <w:rPr>
          <w:rFonts w:cs="Times New Roman"/>
          <w:sz w:val="24"/>
          <w:szCs w:val="24"/>
        </w:rPr>
      </w:pPr>
      <w:r w:rsidRPr="009A3159">
        <w:rPr>
          <w:rFonts w:cs="Times New Roman"/>
          <w:sz w:val="24"/>
          <w:szCs w:val="24"/>
        </w:rPr>
        <w:t>Abstract</w:t>
      </w:r>
    </w:p>
    <w:p w14:paraId="69872A41" w14:textId="3489D31D" w:rsidR="00722EDE" w:rsidRPr="00036AFF" w:rsidRDefault="008834BE" w:rsidP="00517AE9">
      <w:pPr>
        <w:shd w:val="clear" w:color="auto" w:fill="FFFFFF"/>
        <w:spacing w:before="0" w:after="0" w:line="240" w:lineRule="auto"/>
        <w:ind w:firstLine="0"/>
        <w:rPr>
          <w:rFonts w:cs="Times New Roman"/>
          <w:color w:val="333333"/>
          <w:sz w:val="24"/>
          <w:szCs w:val="24"/>
        </w:rPr>
      </w:pPr>
      <w:r w:rsidRPr="008834BE">
        <w:rPr>
          <w:rFonts w:cs="Times New Roman"/>
          <w:sz w:val="24"/>
          <w:szCs w:val="24"/>
        </w:rPr>
        <w:t>Teacher oral feedback plays a crucial role in supporting learners’ speaking preparation, particularly in high-stakes test contexts. This study investigates learners’ perceptions of teacher oral feedback in VSTEP speaking preparation classes at Lac Hong University, Vietnam. Data were collected from 64 students through a structured questionnaire measuring four dimensions of feedback: clarity, timing, focus, and affective tone. The findings indicate that learners generally hold positive perceptions of teacher oral feedback (Mean = 3.90). Among the dimensions, feedback clarity and focus were rated highest, suggesting that learners value explicit and task-related guidance. In contrast, affective tone received lower ratings, with evaluative feedback negatively associated with learners’ reported confidence. Correlation analysis further revealed that feedback clarity was positively associated with perceived speaking development, whereas supportive feedback was positively associated with learners’ perceived confidence and willingness to communicate. These findings highlight the importance of balancing instructional clarity and emotional support in speaking feedback practices. Importantly, the observed relationships are correlational and should not be interpreted as evidence of causal effects. The study suggests that effective oral feedback in VSTEP speaking classrooms may support learners’ perceived speaking development and communicative confidence, providing pedagogical insights for the transition toward ESL-oriented instruction in Vietnam. The study contributes to ongoing discussions on language teaching in Vietnam, where English is increasingly positioned as a second language</w:t>
      </w:r>
      <w:r w:rsidR="00762AAD" w:rsidRPr="00036AFF">
        <w:rPr>
          <w:rFonts w:cs="Times New Roman"/>
          <w:color w:val="333333"/>
          <w:sz w:val="24"/>
          <w:szCs w:val="24"/>
        </w:rPr>
        <w:t>.</w:t>
      </w:r>
    </w:p>
    <w:p w14:paraId="4C2077CC" w14:textId="4C939AC9" w:rsidR="00722EDE" w:rsidRPr="00036AFF" w:rsidRDefault="00722EDE" w:rsidP="002835DB">
      <w:pPr>
        <w:spacing w:before="240"/>
        <w:ind w:firstLine="284"/>
        <w:rPr>
          <w:rFonts w:cs="Times New Roman"/>
          <w:sz w:val="24"/>
          <w:szCs w:val="24"/>
        </w:rPr>
      </w:pPr>
      <w:r w:rsidRPr="00036AFF">
        <w:rPr>
          <w:rFonts w:cs="Times New Roman"/>
          <w:b/>
          <w:bCs/>
          <w:i/>
          <w:iCs/>
          <w:sz w:val="24"/>
          <w:szCs w:val="24"/>
        </w:rPr>
        <w:t>Keywords</w:t>
      </w:r>
      <w:r w:rsidRPr="00036AFF">
        <w:rPr>
          <w:rFonts w:cs="Times New Roman"/>
          <w:b/>
          <w:bCs/>
          <w:sz w:val="24"/>
          <w:szCs w:val="24"/>
        </w:rPr>
        <w:t xml:space="preserve">: </w:t>
      </w:r>
      <w:r w:rsidR="0012778A">
        <w:rPr>
          <w:rFonts w:cs="Times New Roman"/>
          <w:sz w:val="24"/>
          <w:szCs w:val="24"/>
        </w:rPr>
        <w:t>vstep</w:t>
      </w:r>
      <w:r w:rsidR="00517AE9" w:rsidRPr="00036AFF">
        <w:rPr>
          <w:rFonts w:cs="Times New Roman"/>
          <w:sz w:val="24"/>
          <w:szCs w:val="24"/>
        </w:rPr>
        <w:t xml:space="preserve">; oral feedback; learner perceptions; speaking skills; </w:t>
      </w:r>
      <w:r w:rsidR="0012778A">
        <w:rPr>
          <w:rFonts w:cs="Times New Roman"/>
          <w:sz w:val="24"/>
          <w:szCs w:val="24"/>
        </w:rPr>
        <w:t>esl</w:t>
      </w:r>
      <w:r w:rsidR="00517AE9" w:rsidRPr="00036AFF">
        <w:rPr>
          <w:rFonts w:cs="Times New Roman"/>
          <w:sz w:val="24"/>
          <w:szCs w:val="24"/>
        </w:rPr>
        <w:t>-oriented instruction</w:t>
      </w:r>
    </w:p>
    <w:p w14:paraId="14A0B184" w14:textId="77777777" w:rsidR="00316775" w:rsidRPr="009A3159" w:rsidRDefault="00316775" w:rsidP="00517AE9">
      <w:pPr>
        <w:spacing w:before="240"/>
        <w:ind w:firstLine="0"/>
        <w:rPr>
          <w:rFonts w:cs="Times New Roman"/>
          <w:b/>
          <w:bCs/>
          <w:sz w:val="24"/>
          <w:szCs w:val="24"/>
        </w:rPr>
      </w:pPr>
    </w:p>
    <w:p w14:paraId="73C6E32D" w14:textId="77777777" w:rsidR="00722EDE" w:rsidRPr="009A3159" w:rsidRDefault="00722EDE" w:rsidP="00722EDE">
      <w:pPr>
        <w:pStyle w:val="RALs-Heading1"/>
        <w:rPr>
          <w:rFonts w:cs="Times New Roman"/>
          <w:b w:val="0"/>
          <w:bCs w:val="0"/>
          <w:sz w:val="24"/>
          <w:szCs w:val="24"/>
        </w:rPr>
      </w:pPr>
      <w:r w:rsidRPr="009A3159">
        <w:rPr>
          <w:rFonts w:cs="Times New Roman"/>
          <w:sz w:val="24"/>
          <w:szCs w:val="24"/>
        </w:rPr>
        <w:t>1. Introduction</w:t>
      </w:r>
    </w:p>
    <w:p w14:paraId="30062777" w14:textId="02CECF44" w:rsidR="006F01BE" w:rsidRPr="009A3159" w:rsidRDefault="00036AFF" w:rsidP="002334D9">
      <w:pPr>
        <w:autoSpaceDE w:val="0"/>
        <w:autoSpaceDN w:val="0"/>
        <w:adjustRightInd w:val="0"/>
        <w:spacing w:before="0" w:after="0" w:line="480" w:lineRule="auto"/>
        <w:rPr>
          <w:rFonts w:eastAsia="TimesNewRomanPSMT" w:cs="Times New Roman"/>
          <w:sz w:val="24"/>
          <w:szCs w:val="24"/>
        </w:rPr>
      </w:pPr>
      <w:r w:rsidRPr="00036AFF">
        <w:rPr>
          <w:rFonts w:eastAsia="TimesNewRomanPSMT" w:cs="Times New Roman"/>
          <w:sz w:val="24"/>
          <w:szCs w:val="24"/>
        </w:rPr>
        <w:t>The increasing institutionalization of English proficiency requirements in higher education has positioned standardized assessments as central drivers of language teaching and learning practices, as widely noted in research on assessment</w:t>
      </w:r>
      <w:r w:rsidR="00E65742">
        <w:rPr>
          <w:rFonts w:eastAsia="TimesNewRomanPSMT" w:cs="Times New Roman"/>
          <w:sz w:val="24"/>
          <w:szCs w:val="24"/>
        </w:rPr>
        <w:t xml:space="preserve"> </w:t>
      </w:r>
      <w:r w:rsidRPr="00036AFF">
        <w:rPr>
          <w:rFonts w:eastAsia="TimesNewRomanPSMT" w:cs="Times New Roman"/>
          <w:sz w:val="24"/>
          <w:szCs w:val="24"/>
        </w:rPr>
        <w:t>driven education systems (Fulcher, 2020). In Vietnam, the Vietnamese Standardized Test of English Proficiency (VSTEP), aligned with the CEFR, has not only functioned as a graduation benchmark but has also reshaped instructional priorities, particularly by intensifying the focus on test</w:t>
      </w:r>
      <w:r w:rsidR="00E65742">
        <w:rPr>
          <w:rFonts w:eastAsia="TimesNewRomanPSMT" w:cs="Times New Roman"/>
          <w:sz w:val="24"/>
          <w:szCs w:val="24"/>
        </w:rPr>
        <w:t xml:space="preserve"> </w:t>
      </w:r>
      <w:r w:rsidRPr="00036AFF">
        <w:rPr>
          <w:rFonts w:eastAsia="TimesNewRomanPSMT" w:cs="Times New Roman"/>
          <w:sz w:val="24"/>
          <w:szCs w:val="24"/>
        </w:rPr>
        <w:t xml:space="preserve">oriented </w:t>
      </w:r>
      <w:r w:rsidRPr="00036AFF">
        <w:rPr>
          <w:rFonts w:eastAsia="TimesNewRomanPSMT" w:cs="Times New Roman"/>
          <w:sz w:val="24"/>
          <w:szCs w:val="24"/>
        </w:rPr>
        <w:lastRenderedPageBreak/>
        <w:t>speaking preparation, a trend commonly observed in high-stakes testing contexts where assessment exerts strong washback effects on teaching and learning (Nguyen &amp; Hamid, 2024). Within such high-stakes contexts, speaking performance is often constrained by real-time processing demands while simultaneously being influenced by affective variables such as anxiety and fear of negative evaluation, which have been shown to significantly mediate learners’ oral production (MacIntyre &amp; Wang, 2021; Al-Hoorie et al., 2023).</w:t>
      </w:r>
    </w:p>
    <w:p w14:paraId="0C7A5A7A" w14:textId="143B8CFB" w:rsidR="006B1F2F" w:rsidRPr="009A3159" w:rsidRDefault="006B1F2F" w:rsidP="002334D9">
      <w:pPr>
        <w:autoSpaceDE w:val="0"/>
        <w:autoSpaceDN w:val="0"/>
        <w:adjustRightInd w:val="0"/>
        <w:spacing w:before="0" w:after="0" w:line="480" w:lineRule="auto"/>
        <w:rPr>
          <w:rFonts w:eastAsiaTheme="minorHAnsi" w:cs="Times New Roman"/>
          <w:sz w:val="24"/>
          <w:szCs w:val="24"/>
        </w:rPr>
      </w:pPr>
      <w:r w:rsidRPr="009A3159">
        <w:rPr>
          <w:rFonts w:eastAsiaTheme="minorHAnsi" w:cs="Times New Roman"/>
          <w:sz w:val="24"/>
          <w:szCs w:val="24"/>
        </w:rPr>
        <w:t>Within this pedagogical landscape, teacher oral feedback remains a critical instructional mechanism, yet its effectiveness is increasingly understood as contingent upon learner interpretation rather than mere teacher provision. While earlier models conceptualized feedback as a unidirectional transmission of corrective information, more recent perspectives emphasize that learners actively construct meaning from feedback through cognitive and affective engagement, thereby determining its ultimate impact on learning outcomes (Winstone &amp; Carless, 2021; Tai et al., 2022). This shift toward a learner-centered understanding of feedback aligns with findings that feedback clarity, relevance, and timing function as key determinants of perceived usefulness, whereas affective tone can either facilitate or hinder learner uptake depending on how feedback is emotionally received (Mäkipää, 2024; Han &amp; Hyland, 2023).</w:t>
      </w:r>
    </w:p>
    <w:p w14:paraId="552E3A1D" w14:textId="6197E75E" w:rsidR="006B1F2F" w:rsidRPr="009A3159" w:rsidRDefault="006B1F2F" w:rsidP="002334D9">
      <w:pPr>
        <w:autoSpaceDE w:val="0"/>
        <w:autoSpaceDN w:val="0"/>
        <w:adjustRightInd w:val="0"/>
        <w:spacing w:before="0" w:after="0" w:line="480" w:lineRule="auto"/>
        <w:rPr>
          <w:rFonts w:eastAsiaTheme="minorHAnsi" w:cs="Times New Roman"/>
          <w:sz w:val="24"/>
          <w:szCs w:val="24"/>
        </w:rPr>
      </w:pPr>
      <w:r w:rsidRPr="009A3159">
        <w:rPr>
          <w:rFonts w:eastAsiaTheme="minorHAnsi" w:cs="Times New Roman"/>
          <w:sz w:val="24"/>
          <w:szCs w:val="24"/>
        </w:rPr>
        <w:t xml:space="preserve">In speaking instruction, the role of oral feedback becomes even more complex due to its immediate and interactional nature, which requires teachers to balance corrective intent with communicative flow. Empirical evidence suggests that feedback delivered during or after speaking tasks can influence learners’ confidence and willingness to communicate, with supportive feedback promoting engagement while overly evaluative feedback may increase anxiety and reduce participation (Sato &amp; Loewen, 2022; Zhang, 2023). At the same time, learners’ prior experiences, beliefs, and contextual expectations shape how feedback is </w:t>
      </w:r>
      <w:r w:rsidRPr="009A3159">
        <w:rPr>
          <w:rFonts w:eastAsiaTheme="minorHAnsi" w:cs="Times New Roman"/>
          <w:sz w:val="24"/>
          <w:szCs w:val="24"/>
        </w:rPr>
        <w:lastRenderedPageBreak/>
        <w:t>interpreted, reinforcing the argument that “what learners make of feedback” is as important as “what teachers provide” (Carless &amp; Boud, 2021).</w:t>
      </w:r>
    </w:p>
    <w:p w14:paraId="696B9FE5" w14:textId="3E00D80F" w:rsidR="006B1F2F" w:rsidRPr="009A3159" w:rsidRDefault="006B1F2F" w:rsidP="002334D9">
      <w:pPr>
        <w:autoSpaceDE w:val="0"/>
        <w:autoSpaceDN w:val="0"/>
        <w:adjustRightInd w:val="0"/>
        <w:spacing w:before="0" w:after="0" w:line="480" w:lineRule="auto"/>
        <w:rPr>
          <w:rFonts w:eastAsiaTheme="minorHAnsi" w:cs="Times New Roman"/>
          <w:sz w:val="24"/>
          <w:szCs w:val="24"/>
        </w:rPr>
      </w:pPr>
      <w:r w:rsidRPr="009A3159">
        <w:rPr>
          <w:rFonts w:eastAsiaTheme="minorHAnsi" w:cs="Times New Roman"/>
          <w:sz w:val="24"/>
          <w:szCs w:val="24"/>
        </w:rPr>
        <w:t>Parallel to these developments, the integration of digital technologies and artificial intelligence into language education has introduced new forms of feedback that are increasingly immediate, individualized, and data</w:t>
      </w:r>
      <w:r w:rsidR="00656ABC">
        <w:rPr>
          <w:rFonts w:eastAsiaTheme="minorHAnsi" w:cs="Times New Roman"/>
          <w:sz w:val="24"/>
          <w:szCs w:val="24"/>
        </w:rPr>
        <w:t xml:space="preserve"> </w:t>
      </w:r>
      <w:r w:rsidRPr="009A3159">
        <w:rPr>
          <w:rFonts w:eastAsiaTheme="minorHAnsi" w:cs="Times New Roman"/>
          <w:sz w:val="24"/>
          <w:szCs w:val="24"/>
        </w:rPr>
        <w:t>driven. Such technological affordances, while expanding opportunities for speaking practice and feedback, also raise important pedagogical questions regarding the alignment between automated feedback and human-mediated feedback processes, particularly in contexts where communicative competence remains the primary instructional goal (Godwin-Jones, 2022; Stickler &amp; Hampel, 2023).</w:t>
      </w:r>
    </w:p>
    <w:p w14:paraId="792DEC3E" w14:textId="77777777" w:rsidR="008834BE" w:rsidRPr="008834BE" w:rsidRDefault="008834BE" w:rsidP="008834BE">
      <w:pPr>
        <w:autoSpaceDE w:val="0"/>
        <w:autoSpaceDN w:val="0"/>
        <w:adjustRightInd w:val="0"/>
        <w:spacing w:before="0" w:after="0" w:line="480" w:lineRule="auto"/>
        <w:rPr>
          <w:rFonts w:eastAsiaTheme="minorHAnsi" w:cs="Times New Roman"/>
          <w:sz w:val="24"/>
          <w:szCs w:val="24"/>
        </w:rPr>
      </w:pPr>
      <w:r w:rsidRPr="008834BE">
        <w:rPr>
          <w:rFonts w:eastAsiaTheme="minorHAnsi" w:cs="Times New Roman"/>
          <w:sz w:val="24"/>
          <w:szCs w:val="24"/>
        </w:rPr>
        <w:t>Despite the expanding body of research on feedback and learner engagement, previous studies have largely examined feedback in general second and foreign language learning contexts. Comparatively little attention has been paid to how learners interpret teacher oral feedback in high-stakes VSTEP speaking preparation in Vietnam, where feedback serves not only as instructional guidance but also as an indicator of test readiness. This context is particularly important because learners’ interpretations of feedback may shape both their cognitive engagement and emotional responses during speaking preparation. Moreover, limited research has explored how learners’ perceptions of different feedback dimensions relate to their perceived speaking development and communicative confidence in VSTEP classrooms. Addressing this gap is important because English is increasingly conceptualized not merely as a foreign language but as a second language within Vietnamese educational discourse. Consequently, there is a growing need to understand how feedback practices in test preparation can also support broader communicative learning goals aligned with ESL-oriented instruction, in which language use extends beyond examination performance to authentic communication (Nguyen &amp; Hamid, 2024; Pham, 2025).</w:t>
      </w:r>
    </w:p>
    <w:p w14:paraId="2085FDD9" w14:textId="58439889" w:rsidR="006B1F2F" w:rsidRPr="00E02F57" w:rsidRDefault="008834BE" w:rsidP="008834BE">
      <w:pPr>
        <w:autoSpaceDE w:val="0"/>
        <w:autoSpaceDN w:val="0"/>
        <w:adjustRightInd w:val="0"/>
        <w:spacing w:before="0" w:after="0" w:line="480" w:lineRule="auto"/>
        <w:rPr>
          <w:rFonts w:eastAsiaTheme="minorHAnsi" w:cs="Times New Roman"/>
          <w:sz w:val="24"/>
          <w:szCs w:val="24"/>
        </w:rPr>
      </w:pPr>
      <w:r w:rsidRPr="008834BE">
        <w:rPr>
          <w:rFonts w:eastAsiaTheme="minorHAnsi" w:cs="Times New Roman"/>
          <w:sz w:val="24"/>
          <w:szCs w:val="24"/>
        </w:rPr>
        <w:lastRenderedPageBreak/>
        <w:t>Against this backdrop, the present study investigates learners’ perceptions of teacher oral feedback in VSTEP speaking preparation classes at Lac Hong University. Specifically, it examines how learners perceive four key feedback dimensions, namely clarity, timing, focus, and affective tone, and explores how these perceptions are associated with learners’ perceived speaking development and communicative confidence. By focusing on learners’ interpretations of teacher oral feedback in a high-stakes VSTEP context, the study extends previous feedback research beyond general language learning settings. Furthermore, it contributes to the growing discussion on how feedback practices in test-oriented classrooms may provide pedagogical support for the broader transition toward ESL-oriented communicative instruction in Vietnam.</w:t>
      </w:r>
    </w:p>
    <w:p w14:paraId="7A30C83A" w14:textId="57ABBD18" w:rsidR="003860E0" w:rsidRDefault="003860E0" w:rsidP="006B1F2F">
      <w:pPr>
        <w:autoSpaceDE w:val="0"/>
        <w:autoSpaceDN w:val="0"/>
        <w:adjustRightInd w:val="0"/>
        <w:spacing w:before="0" w:after="0" w:line="480" w:lineRule="auto"/>
        <w:rPr>
          <w:rFonts w:eastAsiaTheme="minorHAnsi" w:cs="Times New Roman"/>
          <w:sz w:val="24"/>
          <w:szCs w:val="24"/>
        </w:rPr>
      </w:pPr>
      <w:r w:rsidRPr="003860E0">
        <w:rPr>
          <w:rFonts w:eastAsiaTheme="minorHAnsi" w:cs="Times New Roman"/>
          <w:sz w:val="24"/>
          <w:szCs w:val="24"/>
        </w:rPr>
        <w:t>Therefore, this study focuses on investigating learners’ perceptions of teacher oral feedback in VSTEP speaking preparation classes, with particular attention to key feedback dimensions, including clarity, timing, focus, and affective tone. Given the limited empirical evidence in high-stakes test preparation contexts in Vietnam, examining how learners interpret and respond to oral feedback is essential for understanding its pedagogical effectiveness.</w:t>
      </w:r>
      <w:r>
        <w:rPr>
          <w:rFonts w:eastAsiaTheme="minorHAnsi" w:cs="Times New Roman"/>
          <w:sz w:val="24"/>
          <w:szCs w:val="24"/>
        </w:rPr>
        <w:t xml:space="preserve"> </w:t>
      </w:r>
      <w:r w:rsidRPr="003860E0">
        <w:rPr>
          <w:rFonts w:eastAsiaTheme="minorHAnsi" w:cs="Times New Roman"/>
          <w:sz w:val="24"/>
          <w:szCs w:val="24"/>
        </w:rPr>
        <w:t>To bridge these gaps, this study attempts to answer the following research question</w:t>
      </w:r>
      <w:r>
        <w:rPr>
          <w:rFonts w:eastAsiaTheme="minorHAnsi" w:cs="Times New Roman"/>
          <w:sz w:val="24"/>
          <w:szCs w:val="24"/>
        </w:rPr>
        <w:t>s</w:t>
      </w:r>
      <w:r w:rsidRPr="003860E0">
        <w:rPr>
          <w:rFonts w:eastAsiaTheme="minorHAnsi" w:cs="Times New Roman"/>
          <w:sz w:val="24"/>
          <w:szCs w:val="24"/>
        </w:rPr>
        <w:t>:</w:t>
      </w:r>
    </w:p>
    <w:p w14:paraId="3C9547F4" w14:textId="027D5113" w:rsidR="003860E0" w:rsidRDefault="003860E0" w:rsidP="006B1F2F">
      <w:pPr>
        <w:autoSpaceDE w:val="0"/>
        <w:autoSpaceDN w:val="0"/>
        <w:adjustRightInd w:val="0"/>
        <w:spacing w:before="0" w:after="0" w:line="480" w:lineRule="auto"/>
        <w:rPr>
          <w:rFonts w:eastAsiaTheme="minorHAnsi" w:cs="Times New Roman"/>
          <w:sz w:val="24"/>
          <w:szCs w:val="24"/>
        </w:rPr>
      </w:pPr>
      <w:r>
        <w:rPr>
          <w:rFonts w:eastAsiaTheme="minorHAnsi" w:cs="Times New Roman"/>
          <w:sz w:val="24"/>
          <w:szCs w:val="24"/>
        </w:rPr>
        <w:t xml:space="preserve">RQ1: </w:t>
      </w:r>
      <w:r w:rsidRPr="003860E0">
        <w:rPr>
          <w:rFonts w:eastAsiaTheme="minorHAnsi" w:cs="Times New Roman"/>
          <w:sz w:val="24"/>
          <w:szCs w:val="24"/>
        </w:rPr>
        <w:t>What are learners’ perceptions of teacher oral feedback in VSTEP speaking preparation classes in terms of clarity, timing, focus, and affective tone?</w:t>
      </w:r>
    </w:p>
    <w:p w14:paraId="629991D7" w14:textId="29D32132" w:rsidR="003860E0" w:rsidRPr="009A3159" w:rsidRDefault="003860E0" w:rsidP="006B1F2F">
      <w:pPr>
        <w:autoSpaceDE w:val="0"/>
        <w:autoSpaceDN w:val="0"/>
        <w:adjustRightInd w:val="0"/>
        <w:spacing w:before="0" w:after="0" w:line="480" w:lineRule="auto"/>
        <w:rPr>
          <w:rFonts w:eastAsiaTheme="minorHAnsi" w:cs="Times New Roman"/>
          <w:sz w:val="24"/>
          <w:szCs w:val="24"/>
        </w:rPr>
      </w:pPr>
      <w:r>
        <w:rPr>
          <w:rFonts w:eastAsiaTheme="minorHAnsi" w:cs="Times New Roman"/>
          <w:sz w:val="24"/>
          <w:szCs w:val="24"/>
        </w:rPr>
        <w:t xml:space="preserve">RQ2: </w:t>
      </w:r>
      <w:r w:rsidRPr="003860E0">
        <w:rPr>
          <w:rFonts w:eastAsiaTheme="minorHAnsi" w:cs="Times New Roman"/>
          <w:sz w:val="24"/>
          <w:szCs w:val="24"/>
        </w:rPr>
        <w:t>How do these perceptions influence learners’ speaking development and communicative confidence in a high-stakes test preparation context?</w:t>
      </w:r>
    </w:p>
    <w:p w14:paraId="7724CC48" w14:textId="77777777" w:rsidR="00722EDE" w:rsidRPr="009A3159" w:rsidRDefault="00722EDE" w:rsidP="00722EDE">
      <w:pPr>
        <w:pStyle w:val="RALs-Heading1"/>
        <w:rPr>
          <w:rFonts w:cs="Times New Roman"/>
          <w:sz w:val="24"/>
          <w:szCs w:val="24"/>
        </w:rPr>
      </w:pPr>
      <w:r w:rsidRPr="009A3159">
        <w:rPr>
          <w:rFonts w:cs="Times New Roman"/>
          <w:sz w:val="24"/>
          <w:szCs w:val="24"/>
        </w:rPr>
        <w:t>2. Literature Review</w:t>
      </w:r>
    </w:p>
    <w:p w14:paraId="01F3994B" w14:textId="31B17191" w:rsidR="00B13FAF" w:rsidRPr="009A3159" w:rsidRDefault="00B13FAF" w:rsidP="00B13FAF">
      <w:pPr>
        <w:pStyle w:val="RALs-Heading2"/>
        <w:rPr>
          <w:rFonts w:cs="Times New Roman"/>
          <w:sz w:val="24"/>
          <w:szCs w:val="24"/>
        </w:rPr>
      </w:pPr>
      <w:r w:rsidRPr="009A3159">
        <w:rPr>
          <w:rFonts w:cs="Times New Roman"/>
          <w:sz w:val="24"/>
          <w:szCs w:val="24"/>
        </w:rPr>
        <w:t xml:space="preserve">2.1. </w:t>
      </w:r>
      <w:r w:rsidR="00AE29A6" w:rsidRPr="009A3159">
        <w:rPr>
          <w:rFonts w:cs="Times New Roman"/>
          <w:sz w:val="24"/>
          <w:szCs w:val="24"/>
        </w:rPr>
        <w:t>Feedback Theory</w:t>
      </w:r>
    </w:p>
    <w:p w14:paraId="5D432200" w14:textId="26E3FD86" w:rsidR="00AE29A6" w:rsidRPr="009A3159" w:rsidRDefault="00366B43" w:rsidP="0012778A">
      <w:pPr>
        <w:spacing w:line="480" w:lineRule="auto"/>
        <w:rPr>
          <w:rFonts w:cs="Times New Roman"/>
          <w:sz w:val="24"/>
          <w:szCs w:val="24"/>
        </w:rPr>
      </w:pPr>
      <w:r w:rsidRPr="00366B43">
        <w:rPr>
          <w:rFonts w:cs="Times New Roman"/>
          <w:sz w:val="24"/>
          <w:szCs w:val="24"/>
        </w:rPr>
        <w:t xml:space="preserve">Feedback has been widely acknowledged as a central mechanism in second language learning, functioning not only as a tool for correcting linguistic errors but also as a means of guiding learners’ cognitive and metacognitive development (Hattie &amp; Timperley, 2007; Ellis, 2021). While earlier perspectives emphasized feedback as information transmission, more </w:t>
      </w:r>
      <w:r w:rsidRPr="00366B43">
        <w:rPr>
          <w:rFonts w:cs="Times New Roman"/>
          <w:sz w:val="24"/>
          <w:szCs w:val="24"/>
        </w:rPr>
        <w:lastRenderedPageBreak/>
        <w:t>recent frameworks conceptualize feedback as an interactive and learner-mediated process in which meaning is actively constructed rather than passively received (Carless &amp; Boud, 2018; Winstone &amp; Carless, 2021). Within this reconceptualization, feedback effectiveness depends on how learners interpret and utilize the information, as feedback only becomes meaningful when it is actively taken up and applied in subsequent learning processes (Tai et al., 2022; Zhang &amp; Hyland, 2022)</w:t>
      </w:r>
      <w:r w:rsidR="00AA0B64" w:rsidRPr="009A3159">
        <w:rPr>
          <w:rFonts w:cs="Times New Roman"/>
          <w:sz w:val="24"/>
          <w:szCs w:val="24"/>
        </w:rPr>
        <w:t>.</w:t>
      </w:r>
    </w:p>
    <w:p w14:paraId="29A8CCE8" w14:textId="77777777" w:rsidR="00AE29A6" w:rsidRPr="009A3159" w:rsidRDefault="00AE29A6" w:rsidP="0012778A">
      <w:pPr>
        <w:spacing w:line="480" w:lineRule="auto"/>
        <w:rPr>
          <w:rFonts w:cs="Times New Roman"/>
          <w:sz w:val="24"/>
          <w:szCs w:val="24"/>
        </w:rPr>
      </w:pPr>
      <w:r w:rsidRPr="009A3159">
        <w:rPr>
          <w:rFonts w:cs="Times New Roman"/>
          <w:sz w:val="24"/>
          <w:szCs w:val="24"/>
        </w:rPr>
        <w:t>Extending this view, Tai et al. (2022) highlight that feedback operates across multiple levels, including task, process, and self-regulation, each contributing differently to learning outcomes depending on how learners engage with them. This multidimensional nature of feedback is further supported by empirical evidence showing that clarity and alignment with learning goals significantly influence learners’ ability to use feedback productively, while unclear or unfocused feedback often leads to disengagement. In this regard, Mäkipää (2024) demonstrates that learners who perceive feedback as clear and actionable are more likely to maintain engagement and regulate their learning effectively.</w:t>
      </w:r>
    </w:p>
    <w:p w14:paraId="794C8651" w14:textId="05CDCB6F" w:rsidR="00B13FAF" w:rsidRDefault="00AE29A6" w:rsidP="0012778A">
      <w:pPr>
        <w:spacing w:line="480" w:lineRule="auto"/>
        <w:rPr>
          <w:rFonts w:cs="Times New Roman"/>
          <w:sz w:val="24"/>
          <w:szCs w:val="24"/>
        </w:rPr>
      </w:pPr>
      <w:r w:rsidRPr="009A3159">
        <w:rPr>
          <w:rFonts w:cs="Times New Roman"/>
          <w:sz w:val="24"/>
          <w:szCs w:val="24"/>
        </w:rPr>
        <w:t>At the same time, recent studies increasingly emphasize the affective dimension of feedback, suggesting that emotional responses play a crucial role in shaping learners’ engagement. While feedback has traditionally been associated with cognitive gains, it is now recognized that factors such as confidence, anxiety, and motivation mediate whether feedback leads to improvement. For instance, Zhang (2022) shows that feedback delivered within a supportive pedagogical environment enhances learner engagement, whereas overly evaluative feedback may undermine motivation and reduce participation. Similarly, Han and Hyland (2023) argue that the emotional tone of feedback significantly influences how learners process and respond to corrective input.</w:t>
      </w:r>
      <w:r w:rsidR="00AA0B64" w:rsidRPr="009A3159">
        <w:rPr>
          <w:rFonts w:cs="Times New Roman"/>
          <w:sz w:val="24"/>
          <w:szCs w:val="24"/>
        </w:rPr>
        <w:t xml:space="preserve"> </w:t>
      </w:r>
    </w:p>
    <w:p w14:paraId="591E51B6" w14:textId="7E7A038D" w:rsidR="00E40DE3" w:rsidRPr="00E40DE3" w:rsidRDefault="00E40DE3" w:rsidP="0012778A">
      <w:pPr>
        <w:spacing w:line="480" w:lineRule="auto"/>
        <w:rPr>
          <w:rFonts w:cs="Times New Roman"/>
          <w:sz w:val="24"/>
          <w:szCs w:val="24"/>
        </w:rPr>
      </w:pPr>
      <w:r w:rsidRPr="00E40DE3">
        <w:rPr>
          <w:rFonts w:cs="Times New Roman"/>
          <w:sz w:val="24"/>
          <w:szCs w:val="24"/>
        </w:rPr>
        <w:t xml:space="preserve">Taken together, these theoretical perspectives provide the foundation for the four feedback dimensions examined in the present study. Specifically, feedback clarity refers to the </w:t>
      </w:r>
      <w:r w:rsidRPr="00E40DE3">
        <w:rPr>
          <w:rFonts w:cs="Times New Roman"/>
          <w:sz w:val="24"/>
          <w:szCs w:val="24"/>
        </w:rPr>
        <w:lastRenderedPageBreak/>
        <w:t>extent to which learners perceive feedback as understandable and actionable (Hattie &amp; Timperley, 2007; Mäkipää, 2024). Feedback timing concerns when feedback is delivered in relation to speaking tasks and how its immediacy influences learner engagement (Sato &amp; Loewen, 2022). Feedback focus reflects the extent to which feedback targets specific aspects of task performance and learning goals (Tai et al., 2022). Finally, affective tone captures the emotional quality of teacher feedback and its potential role in shaping learners’ confidence and willingness to engage in speaking activities (Han &amp; Hyland, 2023; Zhang, 2022). These four dimensions therefore represent complementary cognitive and affective aspects of teacher oral feedback that are particularly relevant to speaking instruction.</w:t>
      </w:r>
    </w:p>
    <w:p w14:paraId="07C9DADA" w14:textId="38FFE6C2" w:rsidR="00B13FAF" w:rsidRPr="009A3159" w:rsidRDefault="00B13FAF" w:rsidP="00B13FAF">
      <w:pPr>
        <w:pStyle w:val="RALs-Heading3"/>
        <w:spacing w:before="180"/>
        <w:rPr>
          <w:rFonts w:cs="Times New Roman"/>
          <w:b/>
          <w:bCs/>
          <w:sz w:val="24"/>
          <w:szCs w:val="24"/>
        </w:rPr>
      </w:pPr>
      <w:r w:rsidRPr="009A3159">
        <w:rPr>
          <w:rFonts w:cs="Times New Roman"/>
          <w:b/>
          <w:bCs/>
          <w:sz w:val="24"/>
          <w:szCs w:val="24"/>
        </w:rPr>
        <w:t>2.</w:t>
      </w:r>
      <w:r w:rsidR="00AE29A6" w:rsidRPr="009A3159">
        <w:rPr>
          <w:rFonts w:cs="Times New Roman"/>
          <w:b/>
          <w:bCs/>
          <w:sz w:val="24"/>
          <w:szCs w:val="24"/>
        </w:rPr>
        <w:t>2. Learner Perception of Feedback</w:t>
      </w:r>
    </w:p>
    <w:p w14:paraId="126E91FF" w14:textId="60731A77" w:rsidR="00AE29A6" w:rsidRPr="009A3159" w:rsidRDefault="00AE29A6" w:rsidP="0012778A">
      <w:pPr>
        <w:spacing w:line="480" w:lineRule="auto"/>
        <w:rPr>
          <w:rFonts w:cs="Times New Roman"/>
          <w:sz w:val="24"/>
          <w:szCs w:val="24"/>
        </w:rPr>
      </w:pPr>
      <w:r w:rsidRPr="009A3159">
        <w:rPr>
          <w:rFonts w:cs="Times New Roman"/>
          <w:sz w:val="24"/>
          <w:szCs w:val="24"/>
        </w:rPr>
        <w:t>A growing body of research has shifted the focus of feedback studies toward learners’ perceptions, recognizing that feedback does not inherently lead to learning unless it is meaningfully interpreted by learners. This learner</w:t>
      </w:r>
      <w:r w:rsidR="00643E76">
        <w:rPr>
          <w:rFonts w:cs="Times New Roman"/>
          <w:sz w:val="24"/>
          <w:szCs w:val="24"/>
        </w:rPr>
        <w:t xml:space="preserve"> </w:t>
      </w:r>
      <w:r w:rsidRPr="009A3159">
        <w:rPr>
          <w:rFonts w:cs="Times New Roman"/>
          <w:sz w:val="24"/>
          <w:szCs w:val="24"/>
        </w:rPr>
        <w:t>centered perspective posits that feedback effectiveness is mediated by learners’ beliefs, prior experiences, and contextual expectations, rather than being determined solely by teacher practices. As Carless and Boud (2021) emphasize, feedback should be understood as a process of sense-making in which learners actively engage with information to regulate their learning.</w:t>
      </w:r>
    </w:p>
    <w:p w14:paraId="43F8FE36" w14:textId="60049780" w:rsidR="00AE29A6" w:rsidRPr="009A3159" w:rsidRDefault="00AE29A6" w:rsidP="0012778A">
      <w:pPr>
        <w:spacing w:line="480" w:lineRule="auto"/>
        <w:rPr>
          <w:rFonts w:cs="Times New Roman"/>
          <w:sz w:val="24"/>
          <w:szCs w:val="24"/>
        </w:rPr>
      </w:pPr>
      <w:r w:rsidRPr="009A3159">
        <w:rPr>
          <w:rFonts w:cs="Times New Roman"/>
          <w:sz w:val="24"/>
          <w:szCs w:val="24"/>
        </w:rPr>
        <w:t>Recent empirical studies further demonstrate that learners’ perceptions are shaped by both cognitive and affective factors. For example, Zhang and Hyland (2022) found that learners are more likely to engage with feedback when it is perceived as relevant, specific, and actionable, whereas vague or overly critical feedback can hinder engagement. Complementing this view, research on feedback literacy suggests that learners need specific competencies to interpret and use feedback effectively, including the ability to manage emotional responses and translate feedback into action (Tai et al., 2022).</w:t>
      </w:r>
    </w:p>
    <w:p w14:paraId="7FD86A67" w14:textId="2D1F1550" w:rsidR="00AE29A6" w:rsidRPr="009A3159" w:rsidRDefault="00AE29A6" w:rsidP="0012778A">
      <w:pPr>
        <w:spacing w:line="480" w:lineRule="auto"/>
        <w:rPr>
          <w:rFonts w:cs="Times New Roman"/>
          <w:sz w:val="24"/>
          <w:szCs w:val="24"/>
        </w:rPr>
      </w:pPr>
      <w:r w:rsidRPr="009A3159">
        <w:rPr>
          <w:rFonts w:cs="Times New Roman"/>
          <w:sz w:val="24"/>
          <w:szCs w:val="24"/>
        </w:rPr>
        <w:lastRenderedPageBreak/>
        <w:t xml:space="preserve">Moreover, emerging studies highlight the importance of affective responses in shaping feedback perception. Learners who perceive feedback as supportive tend to demonstrate greater willingness to communicate and participate in learning activities, while negative perceptions may lead to increased anxiety and avoidance behaviors. For instance, recent findings indicate that emotional engagement plays a decisive role in determining whether learners act upon feedback, reinforcing the idea that feedback effectiveness is inseparable from learners’ affective experiences. </w:t>
      </w:r>
      <w:r w:rsidR="00164D98" w:rsidRPr="00164D98">
        <w:rPr>
          <w:rFonts w:cs="Times New Roman"/>
          <w:sz w:val="24"/>
          <w:szCs w:val="24"/>
        </w:rPr>
        <w:t>Accordingly, the present study adopts these four dimensions as the conceptual basis of the questionnaire because they represent key characteristics through which learners interpret teacher oral feedback. Examining learners’ perceptions across these dimensions provides a learner-centered perspective on feedback effectiveness, complementing previous studies that have primarily focused on teachers’ feedback practices.</w:t>
      </w:r>
    </w:p>
    <w:p w14:paraId="6B342617" w14:textId="3A9DB4C4" w:rsidR="00AE29A6" w:rsidRPr="009A3159" w:rsidRDefault="00AE29A6" w:rsidP="00AE29A6">
      <w:pPr>
        <w:pStyle w:val="RALs-Heading3"/>
        <w:spacing w:before="180"/>
        <w:rPr>
          <w:rFonts w:cs="Times New Roman"/>
          <w:b/>
          <w:bCs/>
          <w:sz w:val="24"/>
          <w:szCs w:val="24"/>
        </w:rPr>
      </w:pPr>
      <w:r w:rsidRPr="009A3159">
        <w:rPr>
          <w:rFonts w:cs="Times New Roman"/>
          <w:b/>
          <w:bCs/>
          <w:sz w:val="24"/>
          <w:szCs w:val="24"/>
        </w:rPr>
        <w:t>2.3. Oral Feedback in Speaking and VSTEP Contexts</w:t>
      </w:r>
    </w:p>
    <w:p w14:paraId="7E773A00" w14:textId="13B5764A" w:rsidR="00B13FAF" w:rsidRPr="009A3159" w:rsidRDefault="00AE29A6" w:rsidP="0012778A">
      <w:pPr>
        <w:spacing w:line="480" w:lineRule="auto"/>
        <w:rPr>
          <w:rFonts w:cs="Times New Roman"/>
          <w:sz w:val="24"/>
          <w:szCs w:val="24"/>
        </w:rPr>
      </w:pPr>
      <w:r w:rsidRPr="009A3159">
        <w:rPr>
          <w:rFonts w:cs="Times New Roman"/>
          <w:sz w:val="24"/>
          <w:szCs w:val="24"/>
        </w:rPr>
        <w:t>Oral feedback occupies a distinctive position in speaking instruction due to its immediacy and interactional nature, requiring learners to process feedback while simultaneously engaging in communication. Unlike written feedback, which allows for delayed reflection, oral feedback is embedded within real-time interaction, making it both a powerful and potentially disruptive instructional tool. Research indicates that different forms of oral feedback, including explicit correction and recasts, play varying roles in supporting language development, with explicit feedback often facilitating greater noticing of linguistic forms</w:t>
      </w:r>
      <w:r w:rsidR="00B13FAF" w:rsidRPr="009A3159">
        <w:rPr>
          <w:rFonts w:cs="Times New Roman"/>
          <w:sz w:val="24"/>
          <w:szCs w:val="24"/>
        </w:rPr>
        <w:t xml:space="preserve">. </w:t>
      </w:r>
    </w:p>
    <w:p w14:paraId="60CC5B9E" w14:textId="6C87211D" w:rsidR="00AE29A6" w:rsidRPr="009A3159" w:rsidRDefault="00AE29A6" w:rsidP="0012778A">
      <w:pPr>
        <w:spacing w:line="480" w:lineRule="auto"/>
        <w:rPr>
          <w:rFonts w:cs="Times New Roman"/>
          <w:sz w:val="24"/>
          <w:szCs w:val="24"/>
        </w:rPr>
      </w:pPr>
      <w:r w:rsidRPr="009A3159">
        <w:rPr>
          <w:rFonts w:cs="Times New Roman"/>
          <w:sz w:val="24"/>
          <w:szCs w:val="24"/>
        </w:rPr>
        <w:t xml:space="preserve">The effectiveness of oral feedback in speaking contexts depends on how teachers balance corrective intent with communicative flow. While feedback delivered during interaction can promote immediate awareness, it may also interrupt fluency if not managed carefully. Conversely, delayed feedback may support reflection but reduce immediacy of learning. Sato and Loewen (2022) argue that optimal feedback practices require a dynamic </w:t>
      </w:r>
      <w:r w:rsidRPr="009A3159">
        <w:rPr>
          <w:rFonts w:cs="Times New Roman"/>
          <w:sz w:val="24"/>
          <w:szCs w:val="24"/>
        </w:rPr>
        <w:lastRenderedPageBreak/>
        <w:t>balance between these competing demands, highlighting the importance of contextual sensitivity in feedback delivery.</w:t>
      </w:r>
    </w:p>
    <w:p w14:paraId="7676C781" w14:textId="401993B1" w:rsidR="00AE29A6" w:rsidRPr="009A3159" w:rsidRDefault="00AE29A6" w:rsidP="0012778A">
      <w:pPr>
        <w:spacing w:line="480" w:lineRule="auto"/>
        <w:rPr>
          <w:rFonts w:cs="Times New Roman"/>
          <w:sz w:val="24"/>
          <w:szCs w:val="24"/>
        </w:rPr>
      </w:pPr>
      <w:r w:rsidRPr="009A3159">
        <w:rPr>
          <w:rFonts w:cs="Times New Roman"/>
          <w:sz w:val="24"/>
          <w:szCs w:val="24"/>
        </w:rPr>
        <w:t>In high-stakes test preparation contexts such as VSTEP, oral feedback assumes an additional evaluative dimension, as it is often interpreted by learners as an indicator of test readiness. This dual role both instructional and evaluative can shape learners’ perceptions in complex ways, influencing not only their cognitive engagement but also their emotional responses. Despite the widespread implementation of VSTEP in Vietnamese higher education, research examining learners’ perceptions of oral feedback in this context remains limited, indicating a clear gap in the literature.</w:t>
      </w:r>
    </w:p>
    <w:p w14:paraId="4D1BD1F3" w14:textId="1622865D" w:rsidR="00AE29A6" w:rsidRDefault="005324DB" w:rsidP="00ED4A17">
      <w:pPr>
        <w:spacing w:line="480" w:lineRule="auto"/>
        <w:rPr>
          <w:rFonts w:cs="Times New Roman"/>
          <w:sz w:val="24"/>
          <w:szCs w:val="24"/>
        </w:rPr>
      </w:pPr>
      <w:r w:rsidRPr="005324DB">
        <w:rPr>
          <w:rFonts w:cs="Times New Roman"/>
          <w:sz w:val="24"/>
          <w:szCs w:val="24"/>
        </w:rPr>
        <w:t>Recent developments in educational technology have introduced AI-mediated feedback as an additional source of speaking support. Although previous studies suggest that AI can provide immediate and individualized feedback (Xu et al., 2024), the present study focuses specifically on teacher oral feedback, given its interactive, contextual, and relational nature in VSTEP speaking classrooms. Therefore, AI-mediated feedback is acknowledged as a complementary development rather than the primary focus of this research.</w:t>
      </w:r>
    </w:p>
    <w:p w14:paraId="146255AA" w14:textId="0E3DF9E8" w:rsidR="000228BE" w:rsidRPr="005324DB" w:rsidRDefault="000228BE" w:rsidP="00ED4A17">
      <w:pPr>
        <w:spacing w:line="480" w:lineRule="auto"/>
        <w:rPr>
          <w:rFonts w:cs="Times New Roman"/>
          <w:sz w:val="24"/>
          <w:szCs w:val="24"/>
        </w:rPr>
      </w:pPr>
      <w:r w:rsidRPr="000228BE">
        <w:rPr>
          <w:rFonts w:cs="Times New Roman"/>
          <w:sz w:val="24"/>
          <w:szCs w:val="24"/>
        </w:rPr>
        <w:t>Based on the literature reviewed above, the present study operationalizes teacher oral feedback through four dimensions: clarity, timing, focus, and affective tone. These dimensions were selected because they consistently emerge in contemporary feedback research as key factors influencing how learners interpret, engage with, and respond to teacher feedback in speaking classrooms. They also provide the conceptual framework for the questionnaire used to investigate learners’ perceptions in the present study.</w:t>
      </w:r>
    </w:p>
    <w:p w14:paraId="3EF90B02" w14:textId="77777777" w:rsidR="00722EDE" w:rsidRDefault="00722EDE" w:rsidP="00722EDE">
      <w:pPr>
        <w:pStyle w:val="RALs-Heading1"/>
        <w:rPr>
          <w:rFonts w:cs="Times New Roman"/>
          <w:sz w:val="24"/>
          <w:szCs w:val="24"/>
        </w:rPr>
      </w:pPr>
      <w:r w:rsidRPr="009A3159">
        <w:rPr>
          <w:rFonts w:cs="Times New Roman"/>
          <w:sz w:val="24"/>
          <w:szCs w:val="24"/>
        </w:rPr>
        <w:t>3. Methodology</w:t>
      </w:r>
    </w:p>
    <w:p w14:paraId="1BCEDF57" w14:textId="24057EBA" w:rsidR="00ED4A17" w:rsidRPr="00ED4A17" w:rsidRDefault="00ED4A17" w:rsidP="00ED4A17">
      <w:pPr>
        <w:rPr>
          <w:b/>
          <w:bCs/>
          <w:i/>
          <w:iCs/>
        </w:rPr>
      </w:pPr>
      <w:r w:rsidRPr="00ED4A17">
        <w:rPr>
          <w:b/>
          <w:bCs/>
          <w:i/>
          <w:iCs/>
        </w:rPr>
        <w:t>3.1</w:t>
      </w:r>
      <w:r w:rsidR="008349D7">
        <w:rPr>
          <w:b/>
          <w:bCs/>
          <w:i/>
          <w:iCs/>
        </w:rPr>
        <w:t xml:space="preserve">. </w:t>
      </w:r>
      <w:r w:rsidRPr="00ED4A17">
        <w:rPr>
          <w:b/>
          <w:bCs/>
          <w:i/>
          <w:iCs/>
        </w:rPr>
        <w:t xml:space="preserve"> Research Design</w:t>
      </w:r>
    </w:p>
    <w:p w14:paraId="2F8D5EE6" w14:textId="77777777" w:rsidR="00ED4A17" w:rsidRPr="00ED4A17" w:rsidRDefault="00ED4A17" w:rsidP="00ED4A17">
      <w:pPr>
        <w:spacing w:line="480" w:lineRule="auto"/>
        <w:rPr>
          <w:sz w:val="24"/>
          <w:szCs w:val="24"/>
        </w:rPr>
      </w:pPr>
      <w:r w:rsidRPr="00ED4A17">
        <w:rPr>
          <w:sz w:val="24"/>
          <w:szCs w:val="24"/>
        </w:rPr>
        <w:t xml:space="preserve">This study employed a quantitative survey design to investigate learners’ perceptions of teacher oral feedback in VSTEP speaking preparation classes. A quantitative approach was </w:t>
      </w:r>
      <w:r w:rsidRPr="00ED4A17">
        <w:rPr>
          <w:sz w:val="24"/>
          <w:szCs w:val="24"/>
        </w:rPr>
        <w:lastRenderedPageBreak/>
        <w:t>considered appropriate because the primary objectives were to describe learners’ perceptions across four predefined feedback dimensions and to examine the statistical relationships between these dimensions and learners’ perceived speaking development and perceived confidence. Since the study focused on identifying general patterns of learners’ responses rather than exploring individual experiences in depth, a structured questionnaire was considered the most suitable instrument.</w:t>
      </w:r>
    </w:p>
    <w:p w14:paraId="5D7E6A48" w14:textId="77777777" w:rsidR="00ED4A17" w:rsidRDefault="00ED4A17" w:rsidP="00ED4A17">
      <w:pPr>
        <w:spacing w:line="480" w:lineRule="auto"/>
        <w:rPr>
          <w:sz w:val="24"/>
          <w:szCs w:val="24"/>
        </w:rPr>
      </w:pPr>
      <w:r w:rsidRPr="00ED4A17">
        <w:rPr>
          <w:sz w:val="24"/>
          <w:szCs w:val="24"/>
        </w:rPr>
        <w:t>Although a mixed-methods design incorporating interviews might provide richer insights into how learners interpret teacher feedback, the present study adopted a quantitative approach to establish an initial empirical understanding of learners’ perceptions within a high-stakes VSTEP context. Future studies may complement these findings through qualitative or mixed-methods research to provide a deeper explanation of learners’ feedback experiences.</w:t>
      </w:r>
    </w:p>
    <w:p w14:paraId="70F268CC" w14:textId="05E810CD" w:rsidR="00ED4A17" w:rsidRDefault="00ED4A17" w:rsidP="00ED4A17">
      <w:pPr>
        <w:spacing w:line="480" w:lineRule="auto"/>
        <w:rPr>
          <w:b/>
          <w:bCs/>
          <w:i/>
          <w:iCs/>
          <w:sz w:val="24"/>
          <w:szCs w:val="24"/>
        </w:rPr>
      </w:pPr>
      <w:r w:rsidRPr="00ED4A17">
        <w:rPr>
          <w:b/>
          <w:bCs/>
          <w:i/>
          <w:iCs/>
          <w:sz w:val="24"/>
          <w:szCs w:val="24"/>
        </w:rPr>
        <w:t>3.2</w:t>
      </w:r>
      <w:r w:rsidR="004D1C7C">
        <w:rPr>
          <w:b/>
          <w:bCs/>
          <w:i/>
          <w:iCs/>
          <w:sz w:val="24"/>
          <w:szCs w:val="24"/>
        </w:rPr>
        <w:t>.</w:t>
      </w:r>
      <w:r w:rsidRPr="00ED4A17">
        <w:rPr>
          <w:b/>
          <w:bCs/>
          <w:i/>
          <w:iCs/>
          <w:sz w:val="24"/>
          <w:szCs w:val="24"/>
        </w:rPr>
        <w:t xml:space="preserve"> Participants</w:t>
      </w:r>
    </w:p>
    <w:p w14:paraId="6E8A6C88" w14:textId="795D8D53" w:rsidR="00676537" w:rsidRDefault="00676537" w:rsidP="00676537">
      <w:pPr>
        <w:spacing w:line="480" w:lineRule="auto"/>
        <w:rPr>
          <w:sz w:val="24"/>
          <w:szCs w:val="24"/>
        </w:rPr>
      </w:pPr>
      <w:r w:rsidRPr="00676537">
        <w:rPr>
          <w:sz w:val="24"/>
          <w:szCs w:val="24"/>
        </w:rPr>
        <w:t>This study was conducted at the Lac Hong Foreign Languages and Informatics Center, Lac Hong University, Dong Nai Province, Vietnam. The participants were 64 undergraduate students enrolled in VSTEP B1</w:t>
      </w:r>
      <w:r w:rsidR="001C574F">
        <w:rPr>
          <w:sz w:val="24"/>
          <w:szCs w:val="24"/>
        </w:rPr>
        <w:t>-</w:t>
      </w:r>
      <w:r w:rsidRPr="00676537">
        <w:rPr>
          <w:sz w:val="24"/>
          <w:szCs w:val="24"/>
        </w:rPr>
        <w:t>B2 speaking preparation courses.</w:t>
      </w:r>
      <w:r>
        <w:rPr>
          <w:sz w:val="24"/>
          <w:szCs w:val="24"/>
        </w:rPr>
        <w:t xml:space="preserve"> </w:t>
      </w:r>
      <w:r w:rsidRPr="00676537">
        <w:rPr>
          <w:sz w:val="24"/>
          <w:szCs w:val="24"/>
        </w:rPr>
        <w:t>Participants were recruited from two intact VSTEP speaking preparation classes (K33 and K34) using convenience sampling. Participation was voluntary, and all respondents completed the questionnaire anonymously.</w:t>
      </w:r>
    </w:p>
    <w:p w14:paraId="62FC9877" w14:textId="77777777" w:rsidR="00C311E6" w:rsidRPr="00E372D9" w:rsidRDefault="00676537" w:rsidP="00676537">
      <w:pPr>
        <w:spacing w:line="480" w:lineRule="auto"/>
        <w:rPr>
          <w:b/>
          <w:bCs/>
          <w:sz w:val="24"/>
          <w:szCs w:val="24"/>
        </w:rPr>
      </w:pPr>
      <w:r w:rsidRPr="00676537">
        <w:rPr>
          <w:b/>
          <w:bCs/>
          <w:sz w:val="24"/>
          <w:szCs w:val="24"/>
        </w:rPr>
        <w:t xml:space="preserve"> Table 1 </w:t>
      </w:r>
    </w:p>
    <w:p w14:paraId="05A93754" w14:textId="57A4A937" w:rsidR="00676537" w:rsidRPr="00E372D9" w:rsidRDefault="00C311E6" w:rsidP="00676537">
      <w:pPr>
        <w:spacing w:line="480" w:lineRule="auto"/>
        <w:rPr>
          <w:i/>
          <w:iCs/>
          <w:sz w:val="24"/>
          <w:szCs w:val="24"/>
        </w:rPr>
      </w:pPr>
      <w:r w:rsidRPr="00E372D9">
        <w:rPr>
          <w:i/>
          <w:iCs/>
          <w:sz w:val="24"/>
          <w:szCs w:val="24"/>
        </w:rPr>
        <w:t>S</w:t>
      </w:r>
      <w:r w:rsidR="00676537" w:rsidRPr="00676537">
        <w:rPr>
          <w:i/>
          <w:iCs/>
          <w:sz w:val="24"/>
          <w:szCs w:val="24"/>
        </w:rPr>
        <w:t>ummarizes the demographic characteristics of the participants.</w:t>
      </w:r>
    </w:p>
    <w:tbl>
      <w:tblPr>
        <w:tblStyle w:val="TableGrid"/>
        <w:tblW w:w="0" w:type="auto"/>
        <w:tblLook w:val="04A0" w:firstRow="1" w:lastRow="0" w:firstColumn="1" w:lastColumn="0" w:noHBand="0" w:noVBand="1"/>
      </w:tblPr>
      <w:tblGrid>
        <w:gridCol w:w="2254"/>
        <w:gridCol w:w="2254"/>
        <w:gridCol w:w="2254"/>
        <w:gridCol w:w="2254"/>
      </w:tblGrid>
      <w:tr w:rsidR="00676537" w:rsidRPr="00EA5622" w14:paraId="7899A286" w14:textId="77777777" w:rsidTr="00EA5622">
        <w:tc>
          <w:tcPr>
            <w:tcW w:w="2254" w:type="dxa"/>
            <w:tcBorders>
              <w:top w:val="single" w:sz="4" w:space="0" w:color="auto"/>
              <w:left w:val="nil"/>
              <w:bottom w:val="single" w:sz="4" w:space="0" w:color="auto"/>
              <w:right w:val="nil"/>
            </w:tcBorders>
            <w:vAlign w:val="center"/>
          </w:tcPr>
          <w:p w14:paraId="2DAC47AD" w14:textId="259A90D9" w:rsidR="00676537" w:rsidRPr="00EA5622" w:rsidRDefault="00676537" w:rsidP="00EA5622">
            <w:pPr>
              <w:spacing w:before="0" w:after="0" w:line="240" w:lineRule="auto"/>
              <w:ind w:firstLine="0"/>
              <w:jc w:val="center"/>
              <w:rPr>
                <w:rFonts w:cs="Times New Roman"/>
                <w:b/>
                <w:bCs/>
              </w:rPr>
            </w:pPr>
            <w:r w:rsidRPr="00EA5622">
              <w:rPr>
                <w:b/>
                <w:bCs/>
              </w:rPr>
              <w:t>Characteristic</w:t>
            </w:r>
          </w:p>
        </w:tc>
        <w:tc>
          <w:tcPr>
            <w:tcW w:w="2254" w:type="dxa"/>
            <w:tcBorders>
              <w:top w:val="single" w:sz="4" w:space="0" w:color="auto"/>
              <w:left w:val="nil"/>
              <w:bottom w:val="single" w:sz="4" w:space="0" w:color="auto"/>
              <w:right w:val="nil"/>
            </w:tcBorders>
            <w:vAlign w:val="center"/>
          </w:tcPr>
          <w:p w14:paraId="45467391" w14:textId="0F74AFF8" w:rsidR="00676537" w:rsidRPr="00EA5622" w:rsidRDefault="00676537" w:rsidP="00EA5622">
            <w:pPr>
              <w:spacing w:line="480" w:lineRule="auto"/>
              <w:ind w:firstLine="0"/>
              <w:jc w:val="center"/>
              <w:rPr>
                <w:b/>
                <w:bCs/>
                <w:sz w:val="24"/>
                <w:szCs w:val="24"/>
              </w:rPr>
            </w:pPr>
            <w:r w:rsidRPr="00EA5622">
              <w:rPr>
                <w:b/>
                <w:bCs/>
                <w:sz w:val="24"/>
                <w:szCs w:val="24"/>
              </w:rPr>
              <w:t>Category</w:t>
            </w:r>
          </w:p>
        </w:tc>
        <w:tc>
          <w:tcPr>
            <w:tcW w:w="2254" w:type="dxa"/>
            <w:tcBorders>
              <w:top w:val="single" w:sz="4" w:space="0" w:color="auto"/>
              <w:left w:val="nil"/>
              <w:bottom w:val="single" w:sz="4" w:space="0" w:color="auto"/>
              <w:right w:val="nil"/>
            </w:tcBorders>
            <w:vAlign w:val="center"/>
          </w:tcPr>
          <w:p w14:paraId="3ACC5299" w14:textId="30CA08ED" w:rsidR="00676537" w:rsidRPr="00EA5622" w:rsidRDefault="00676537" w:rsidP="00EA5622">
            <w:pPr>
              <w:spacing w:line="480" w:lineRule="auto"/>
              <w:ind w:firstLine="0"/>
              <w:jc w:val="center"/>
              <w:rPr>
                <w:b/>
                <w:bCs/>
                <w:sz w:val="24"/>
                <w:szCs w:val="24"/>
              </w:rPr>
            </w:pPr>
            <w:r w:rsidRPr="00EA5622">
              <w:rPr>
                <w:b/>
                <w:bCs/>
                <w:sz w:val="24"/>
                <w:szCs w:val="24"/>
              </w:rPr>
              <w:t>n</w:t>
            </w:r>
          </w:p>
        </w:tc>
        <w:tc>
          <w:tcPr>
            <w:tcW w:w="2254" w:type="dxa"/>
            <w:tcBorders>
              <w:top w:val="single" w:sz="4" w:space="0" w:color="auto"/>
              <w:left w:val="nil"/>
              <w:bottom w:val="single" w:sz="4" w:space="0" w:color="auto"/>
              <w:right w:val="nil"/>
            </w:tcBorders>
            <w:vAlign w:val="center"/>
          </w:tcPr>
          <w:p w14:paraId="4B899804" w14:textId="51C53A19" w:rsidR="00676537" w:rsidRPr="00EA5622" w:rsidRDefault="00676537" w:rsidP="00EA5622">
            <w:pPr>
              <w:spacing w:line="480" w:lineRule="auto"/>
              <w:ind w:firstLine="0"/>
              <w:jc w:val="center"/>
              <w:rPr>
                <w:b/>
                <w:bCs/>
                <w:sz w:val="24"/>
                <w:szCs w:val="24"/>
              </w:rPr>
            </w:pPr>
            <w:r w:rsidRPr="00EA5622">
              <w:rPr>
                <w:b/>
                <w:bCs/>
                <w:sz w:val="24"/>
                <w:szCs w:val="24"/>
              </w:rPr>
              <w:t>%</w:t>
            </w:r>
          </w:p>
        </w:tc>
      </w:tr>
      <w:tr w:rsidR="00676537" w:rsidRPr="00676537" w14:paraId="41F459AA" w14:textId="77777777" w:rsidTr="00EA5622">
        <w:tc>
          <w:tcPr>
            <w:tcW w:w="2254" w:type="dxa"/>
            <w:vMerge w:val="restart"/>
            <w:tcBorders>
              <w:top w:val="single" w:sz="4" w:space="0" w:color="auto"/>
              <w:left w:val="nil"/>
              <w:bottom w:val="nil"/>
              <w:right w:val="nil"/>
            </w:tcBorders>
            <w:vAlign w:val="center"/>
          </w:tcPr>
          <w:p w14:paraId="38FCDD0D" w14:textId="298FD340" w:rsidR="00676537" w:rsidRPr="00676537" w:rsidRDefault="00676537" w:rsidP="00EA5622">
            <w:pPr>
              <w:spacing w:line="480" w:lineRule="auto"/>
              <w:ind w:firstLine="0"/>
              <w:jc w:val="left"/>
              <w:rPr>
                <w:sz w:val="24"/>
                <w:szCs w:val="24"/>
              </w:rPr>
            </w:pPr>
            <w:r w:rsidRPr="00676537">
              <w:rPr>
                <w:sz w:val="24"/>
                <w:szCs w:val="24"/>
              </w:rPr>
              <w:t>Gender</w:t>
            </w:r>
          </w:p>
        </w:tc>
        <w:tc>
          <w:tcPr>
            <w:tcW w:w="2254" w:type="dxa"/>
            <w:tcBorders>
              <w:top w:val="single" w:sz="4" w:space="0" w:color="auto"/>
              <w:left w:val="nil"/>
              <w:bottom w:val="single" w:sz="4" w:space="0" w:color="auto"/>
              <w:right w:val="nil"/>
            </w:tcBorders>
          </w:tcPr>
          <w:p w14:paraId="57B904A0" w14:textId="39D2865A" w:rsidR="00676537" w:rsidRPr="00676537" w:rsidRDefault="00676537" w:rsidP="00676537">
            <w:pPr>
              <w:spacing w:line="480" w:lineRule="auto"/>
              <w:ind w:firstLine="0"/>
              <w:rPr>
                <w:sz w:val="24"/>
                <w:szCs w:val="24"/>
              </w:rPr>
            </w:pPr>
            <w:r w:rsidRPr="00676537">
              <w:rPr>
                <w:sz w:val="24"/>
                <w:szCs w:val="24"/>
              </w:rPr>
              <w:t>Male</w:t>
            </w:r>
          </w:p>
        </w:tc>
        <w:tc>
          <w:tcPr>
            <w:tcW w:w="2254" w:type="dxa"/>
            <w:tcBorders>
              <w:top w:val="single" w:sz="4" w:space="0" w:color="auto"/>
              <w:left w:val="nil"/>
              <w:bottom w:val="single" w:sz="4" w:space="0" w:color="auto"/>
              <w:right w:val="nil"/>
            </w:tcBorders>
          </w:tcPr>
          <w:p w14:paraId="6FF36436" w14:textId="0D16D2FC" w:rsidR="00676537" w:rsidRPr="00676537" w:rsidRDefault="00676537" w:rsidP="00676537">
            <w:pPr>
              <w:spacing w:line="480" w:lineRule="auto"/>
              <w:ind w:firstLine="0"/>
              <w:rPr>
                <w:sz w:val="24"/>
                <w:szCs w:val="24"/>
              </w:rPr>
            </w:pPr>
            <w:r w:rsidRPr="00676537">
              <w:rPr>
                <w:sz w:val="24"/>
                <w:szCs w:val="24"/>
              </w:rPr>
              <w:t>32</w:t>
            </w:r>
          </w:p>
        </w:tc>
        <w:tc>
          <w:tcPr>
            <w:tcW w:w="2254" w:type="dxa"/>
            <w:tcBorders>
              <w:top w:val="single" w:sz="4" w:space="0" w:color="auto"/>
              <w:left w:val="nil"/>
              <w:bottom w:val="single" w:sz="4" w:space="0" w:color="auto"/>
              <w:right w:val="nil"/>
            </w:tcBorders>
          </w:tcPr>
          <w:p w14:paraId="67584FA5" w14:textId="038936C2" w:rsidR="00676537" w:rsidRPr="00676537" w:rsidRDefault="00676537" w:rsidP="00676537">
            <w:pPr>
              <w:spacing w:line="480" w:lineRule="auto"/>
              <w:ind w:firstLine="0"/>
              <w:rPr>
                <w:sz w:val="24"/>
                <w:szCs w:val="24"/>
              </w:rPr>
            </w:pPr>
            <w:r>
              <w:rPr>
                <w:sz w:val="24"/>
                <w:szCs w:val="24"/>
              </w:rPr>
              <w:t>50.0</w:t>
            </w:r>
          </w:p>
        </w:tc>
      </w:tr>
      <w:tr w:rsidR="00676537" w:rsidRPr="00676537" w14:paraId="791638A8" w14:textId="77777777" w:rsidTr="00EA5622">
        <w:tc>
          <w:tcPr>
            <w:tcW w:w="2254" w:type="dxa"/>
            <w:vMerge/>
            <w:tcBorders>
              <w:top w:val="nil"/>
              <w:left w:val="nil"/>
              <w:bottom w:val="single" w:sz="4" w:space="0" w:color="auto"/>
              <w:right w:val="nil"/>
            </w:tcBorders>
            <w:vAlign w:val="center"/>
          </w:tcPr>
          <w:p w14:paraId="562097BD" w14:textId="77777777" w:rsidR="00676537" w:rsidRPr="00676537" w:rsidRDefault="00676537" w:rsidP="00EA5622">
            <w:pPr>
              <w:spacing w:line="480" w:lineRule="auto"/>
              <w:ind w:firstLine="0"/>
              <w:jc w:val="left"/>
              <w:rPr>
                <w:sz w:val="24"/>
                <w:szCs w:val="24"/>
              </w:rPr>
            </w:pPr>
          </w:p>
        </w:tc>
        <w:tc>
          <w:tcPr>
            <w:tcW w:w="2254" w:type="dxa"/>
            <w:tcBorders>
              <w:top w:val="single" w:sz="4" w:space="0" w:color="auto"/>
              <w:left w:val="nil"/>
              <w:bottom w:val="single" w:sz="4" w:space="0" w:color="auto"/>
              <w:right w:val="nil"/>
            </w:tcBorders>
          </w:tcPr>
          <w:p w14:paraId="3B6A045A" w14:textId="445FE19F" w:rsidR="00676537" w:rsidRPr="00676537" w:rsidRDefault="00676537" w:rsidP="00676537">
            <w:pPr>
              <w:spacing w:line="480" w:lineRule="auto"/>
              <w:ind w:firstLine="0"/>
              <w:rPr>
                <w:sz w:val="24"/>
                <w:szCs w:val="24"/>
              </w:rPr>
            </w:pPr>
            <w:r w:rsidRPr="00676537">
              <w:rPr>
                <w:sz w:val="24"/>
                <w:szCs w:val="24"/>
              </w:rPr>
              <w:t>Female</w:t>
            </w:r>
          </w:p>
        </w:tc>
        <w:tc>
          <w:tcPr>
            <w:tcW w:w="2254" w:type="dxa"/>
            <w:tcBorders>
              <w:top w:val="single" w:sz="4" w:space="0" w:color="auto"/>
              <w:left w:val="nil"/>
              <w:bottom w:val="single" w:sz="4" w:space="0" w:color="auto"/>
              <w:right w:val="nil"/>
            </w:tcBorders>
          </w:tcPr>
          <w:p w14:paraId="6D35D09A" w14:textId="333CC6A6" w:rsidR="00676537" w:rsidRPr="00676537" w:rsidRDefault="00676537" w:rsidP="00676537">
            <w:pPr>
              <w:spacing w:line="480" w:lineRule="auto"/>
              <w:ind w:firstLine="0"/>
              <w:rPr>
                <w:sz w:val="24"/>
                <w:szCs w:val="24"/>
              </w:rPr>
            </w:pPr>
            <w:r>
              <w:rPr>
                <w:sz w:val="24"/>
                <w:szCs w:val="24"/>
              </w:rPr>
              <w:t>32</w:t>
            </w:r>
          </w:p>
        </w:tc>
        <w:tc>
          <w:tcPr>
            <w:tcW w:w="2254" w:type="dxa"/>
            <w:tcBorders>
              <w:top w:val="single" w:sz="4" w:space="0" w:color="auto"/>
              <w:left w:val="nil"/>
              <w:bottom w:val="single" w:sz="4" w:space="0" w:color="auto"/>
              <w:right w:val="nil"/>
            </w:tcBorders>
          </w:tcPr>
          <w:p w14:paraId="449090F7" w14:textId="620E1EBD" w:rsidR="00676537" w:rsidRPr="00676537" w:rsidRDefault="00676537" w:rsidP="00676537">
            <w:pPr>
              <w:spacing w:line="480" w:lineRule="auto"/>
              <w:ind w:firstLine="0"/>
              <w:rPr>
                <w:sz w:val="24"/>
                <w:szCs w:val="24"/>
              </w:rPr>
            </w:pPr>
            <w:r>
              <w:rPr>
                <w:sz w:val="24"/>
                <w:szCs w:val="24"/>
              </w:rPr>
              <w:t>50.0</w:t>
            </w:r>
          </w:p>
        </w:tc>
      </w:tr>
      <w:tr w:rsidR="00676537" w:rsidRPr="00676537" w14:paraId="2D4EABBB" w14:textId="77777777" w:rsidTr="00EA5622">
        <w:tc>
          <w:tcPr>
            <w:tcW w:w="2254" w:type="dxa"/>
            <w:vMerge w:val="restart"/>
            <w:tcBorders>
              <w:top w:val="single" w:sz="4" w:space="0" w:color="auto"/>
              <w:left w:val="nil"/>
              <w:bottom w:val="single" w:sz="4" w:space="0" w:color="auto"/>
              <w:right w:val="nil"/>
            </w:tcBorders>
            <w:vAlign w:val="center"/>
          </w:tcPr>
          <w:p w14:paraId="64887892" w14:textId="52DB3BCB" w:rsidR="00676537" w:rsidRPr="00676537" w:rsidRDefault="00676537" w:rsidP="00EA5622">
            <w:pPr>
              <w:spacing w:line="480" w:lineRule="auto"/>
              <w:ind w:firstLine="0"/>
              <w:jc w:val="left"/>
              <w:rPr>
                <w:sz w:val="24"/>
                <w:szCs w:val="24"/>
              </w:rPr>
            </w:pPr>
            <w:r w:rsidRPr="00676537">
              <w:rPr>
                <w:sz w:val="24"/>
                <w:szCs w:val="24"/>
              </w:rPr>
              <w:lastRenderedPageBreak/>
              <w:t>VSTEP Preparation Course</w:t>
            </w:r>
          </w:p>
        </w:tc>
        <w:tc>
          <w:tcPr>
            <w:tcW w:w="2254" w:type="dxa"/>
            <w:tcBorders>
              <w:top w:val="single" w:sz="4" w:space="0" w:color="auto"/>
              <w:left w:val="nil"/>
              <w:bottom w:val="single" w:sz="4" w:space="0" w:color="auto"/>
              <w:right w:val="nil"/>
            </w:tcBorders>
          </w:tcPr>
          <w:p w14:paraId="62865679" w14:textId="0EB189B2" w:rsidR="00676537" w:rsidRPr="00676537" w:rsidRDefault="0026260B" w:rsidP="00676537">
            <w:pPr>
              <w:spacing w:line="480" w:lineRule="auto"/>
              <w:ind w:firstLine="0"/>
              <w:rPr>
                <w:sz w:val="24"/>
                <w:szCs w:val="24"/>
              </w:rPr>
            </w:pPr>
            <w:r w:rsidRPr="0026260B">
              <w:rPr>
                <w:sz w:val="24"/>
                <w:szCs w:val="24"/>
              </w:rPr>
              <w:t>K33</w:t>
            </w:r>
          </w:p>
        </w:tc>
        <w:tc>
          <w:tcPr>
            <w:tcW w:w="2254" w:type="dxa"/>
            <w:tcBorders>
              <w:top w:val="single" w:sz="4" w:space="0" w:color="auto"/>
              <w:left w:val="nil"/>
              <w:bottom w:val="single" w:sz="4" w:space="0" w:color="auto"/>
              <w:right w:val="nil"/>
            </w:tcBorders>
          </w:tcPr>
          <w:p w14:paraId="56B04D34" w14:textId="55DFC0EA" w:rsidR="00676537" w:rsidRPr="00676537" w:rsidRDefault="0026260B" w:rsidP="00676537">
            <w:pPr>
              <w:spacing w:line="480" w:lineRule="auto"/>
              <w:ind w:firstLine="0"/>
              <w:rPr>
                <w:sz w:val="24"/>
                <w:szCs w:val="24"/>
              </w:rPr>
            </w:pPr>
            <w:r>
              <w:rPr>
                <w:sz w:val="24"/>
                <w:szCs w:val="24"/>
              </w:rPr>
              <w:t>29</w:t>
            </w:r>
          </w:p>
        </w:tc>
        <w:tc>
          <w:tcPr>
            <w:tcW w:w="2254" w:type="dxa"/>
            <w:tcBorders>
              <w:top w:val="single" w:sz="4" w:space="0" w:color="auto"/>
              <w:left w:val="nil"/>
              <w:bottom w:val="single" w:sz="4" w:space="0" w:color="auto"/>
              <w:right w:val="nil"/>
            </w:tcBorders>
          </w:tcPr>
          <w:p w14:paraId="448E9749" w14:textId="167D15E3" w:rsidR="00676537" w:rsidRPr="00676537" w:rsidRDefault="0026260B" w:rsidP="00676537">
            <w:pPr>
              <w:spacing w:line="480" w:lineRule="auto"/>
              <w:ind w:firstLine="0"/>
              <w:rPr>
                <w:sz w:val="24"/>
                <w:szCs w:val="24"/>
              </w:rPr>
            </w:pPr>
            <w:r>
              <w:rPr>
                <w:sz w:val="24"/>
                <w:szCs w:val="24"/>
              </w:rPr>
              <w:t>45.3</w:t>
            </w:r>
          </w:p>
        </w:tc>
      </w:tr>
      <w:tr w:rsidR="00676537" w:rsidRPr="00676537" w14:paraId="5B16D239" w14:textId="77777777" w:rsidTr="00EA5622">
        <w:tc>
          <w:tcPr>
            <w:tcW w:w="2254" w:type="dxa"/>
            <w:vMerge/>
            <w:tcBorders>
              <w:top w:val="nil"/>
              <w:left w:val="nil"/>
              <w:bottom w:val="single" w:sz="4" w:space="0" w:color="auto"/>
              <w:right w:val="nil"/>
            </w:tcBorders>
          </w:tcPr>
          <w:p w14:paraId="3E1EE11A" w14:textId="77777777" w:rsidR="00676537" w:rsidRPr="00676537" w:rsidRDefault="00676537" w:rsidP="00676537">
            <w:pPr>
              <w:spacing w:line="480" w:lineRule="auto"/>
              <w:ind w:firstLine="0"/>
              <w:rPr>
                <w:sz w:val="24"/>
                <w:szCs w:val="24"/>
              </w:rPr>
            </w:pPr>
          </w:p>
        </w:tc>
        <w:tc>
          <w:tcPr>
            <w:tcW w:w="2254" w:type="dxa"/>
            <w:tcBorders>
              <w:top w:val="single" w:sz="4" w:space="0" w:color="auto"/>
              <w:left w:val="nil"/>
              <w:bottom w:val="single" w:sz="4" w:space="0" w:color="auto"/>
              <w:right w:val="nil"/>
            </w:tcBorders>
          </w:tcPr>
          <w:p w14:paraId="41AE76D1" w14:textId="6BFA6AF6" w:rsidR="00676537" w:rsidRPr="00676537" w:rsidRDefault="0026260B" w:rsidP="00676537">
            <w:pPr>
              <w:spacing w:line="480" w:lineRule="auto"/>
              <w:ind w:firstLine="0"/>
              <w:rPr>
                <w:sz w:val="24"/>
                <w:szCs w:val="24"/>
              </w:rPr>
            </w:pPr>
            <w:r w:rsidRPr="0026260B">
              <w:rPr>
                <w:sz w:val="24"/>
                <w:szCs w:val="24"/>
              </w:rPr>
              <w:t>K34</w:t>
            </w:r>
          </w:p>
        </w:tc>
        <w:tc>
          <w:tcPr>
            <w:tcW w:w="2254" w:type="dxa"/>
            <w:tcBorders>
              <w:top w:val="single" w:sz="4" w:space="0" w:color="auto"/>
              <w:left w:val="nil"/>
              <w:bottom w:val="single" w:sz="4" w:space="0" w:color="auto"/>
              <w:right w:val="nil"/>
            </w:tcBorders>
          </w:tcPr>
          <w:p w14:paraId="5D10F7A1" w14:textId="7696AECD" w:rsidR="00676537" w:rsidRPr="00676537" w:rsidRDefault="0026260B" w:rsidP="00676537">
            <w:pPr>
              <w:spacing w:line="480" w:lineRule="auto"/>
              <w:ind w:firstLine="0"/>
              <w:rPr>
                <w:sz w:val="24"/>
                <w:szCs w:val="24"/>
              </w:rPr>
            </w:pPr>
            <w:r>
              <w:rPr>
                <w:sz w:val="24"/>
                <w:szCs w:val="24"/>
              </w:rPr>
              <w:t>35</w:t>
            </w:r>
          </w:p>
        </w:tc>
        <w:tc>
          <w:tcPr>
            <w:tcW w:w="2254" w:type="dxa"/>
            <w:tcBorders>
              <w:top w:val="single" w:sz="4" w:space="0" w:color="auto"/>
              <w:left w:val="nil"/>
              <w:bottom w:val="single" w:sz="4" w:space="0" w:color="auto"/>
              <w:right w:val="nil"/>
            </w:tcBorders>
          </w:tcPr>
          <w:p w14:paraId="6EF8D52B" w14:textId="13BED07F" w:rsidR="00676537" w:rsidRPr="00676537" w:rsidRDefault="0026260B" w:rsidP="00676537">
            <w:pPr>
              <w:spacing w:line="480" w:lineRule="auto"/>
              <w:ind w:firstLine="0"/>
              <w:rPr>
                <w:sz w:val="24"/>
                <w:szCs w:val="24"/>
              </w:rPr>
            </w:pPr>
            <w:r>
              <w:rPr>
                <w:sz w:val="24"/>
                <w:szCs w:val="24"/>
              </w:rPr>
              <w:t>54.7</w:t>
            </w:r>
          </w:p>
        </w:tc>
      </w:tr>
    </w:tbl>
    <w:p w14:paraId="76862FEC" w14:textId="232AE4BA" w:rsidR="00676537" w:rsidRPr="00676537" w:rsidRDefault="00EA5622" w:rsidP="00676537">
      <w:pPr>
        <w:spacing w:line="480" w:lineRule="auto"/>
        <w:rPr>
          <w:sz w:val="24"/>
          <w:szCs w:val="24"/>
        </w:rPr>
      </w:pPr>
      <w:r w:rsidRPr="00EA5622">
        <w:rPr>
          <w:sz w:val="24"/>
          <w:szCs w:val="24"/>
        </w:rPr>
        <w:t>Basic demographic information, including gender and course enrollment, was collected to describe the sample. Additional background variables, such as academic year, previous VSTEP experience, and preparation duration, were not collected and are therefore acknowledged as limitations of the study. As the sample was drawn from a single language center within one university, the findings should be interpreted with caution and cannot be generalized to all VSTEP learners in Vietnam.</w:t>
      </w:r>
    </w:p>
    <w:p w14:paraId="502D4CF0" w14:textId="32D94BFC" w:rsidR="00ED4A17" w:rsidRDefault="004943F5" w:rsidP="004943F5">
      <w:pPr>
        <w:spacing w:line="480" w:lineRule="auto"/>
        <w:rPr>
          <w:b/>
          <w:bCs/>
          <w:i/>
          <w:iCs/>
          <w:sz w:val="24"/>
          <w:szCs w:val="24"/>
        </w:rPr>
      </w:pPr>
      <w:r w:rsidRPr="004943F5">
        <w:rPr>
          <w:b/>
          <w:bCs/>
          <w:i/>
          <w:iCs/>
          <w:sz w:val="24"/>
          <w:szCs w:val="24"/>
        </w:rPr>
        <w:t>3.3</w:t>
      </w:r>
      <w:r w:rsidR="004D1C7C">
        <w:rPr>
          <w:b/>
          <w:bCs/>
          <w:i/>
          <w:iCs/>
          <w:sz w:val="24"/>
          <w:szCs w:val="24"/>
        </w:rPr>
        <w:t>.</w:t>
      </w:r>
      <w:r w:rsidRPr="004943F5">
        <w:rPr>
          <w:b/>
          <w:bCs/>
          <w:i/>
          <w:iCs/>
          <w:sz w:val="24"/>
          <w:szCs w:val="24"/>
        </w:rPr>
        <w:t xml:space="preserve">  Instrument</w:t>
      </w:r>
    </w:p>
    <w:p w14:paraId="20B5E75A" w14:textId="77777777" w:rsidR="004943F5" w:rsidRPr="004943F5" w:rsidRDefault="004943F5" w:rsidP="004943F5">
      <w:pPr>
        <w:spacing w:line="480" w:lineRule="auto"/>
        <w:rPr>
          <w:sz w:val="24"/>
          <w:szCs w:val="24"/>
        </w:rPr>
      </w:pPr>
      <w:r w:rsidRPr="004943F5">
        <w:rPr>
          <w:sz w:val="24"/>
          <w:szCs w:val="24"/>
        </w:rPr>
        <w:t>Data were collected using a structured questionnaire specifically designed to measure learners’ perceptions of teacher oral feedback in VSTEP speaking preparation classes. The questionnaire consisted of 20 Likert-scale items (five items for each feedback dimension) measured on a five-point scale ranging from 1 (Strongly Disagree) to 5 (Strongly Agree).</w:t>
      </w:r>
    </w:p>
    <w:p w14:paraId="7D79389D" w14:textId="77777777" w:rsidR="004943F5" w:rsidRPr="004943F5" w:rsidRDefault="004943F5" w:rsidP="004943F5">
      <w:pPr>
        <w:spacing w:line="480" w:lineRule="auto"/>
        <w:rPr>
          <w:sz w:val="24"/>
          <w:szCs w:val="24"/>
        </w:rPr>
      </w:pPr>
      <w:r w:rsidRPr="004943F5">
        <w:rPr>
          <w:sz w:val="24"/>
          <w:szCs w:val="24"/>
        </w:rPr>
        <w:t>The four dimensions were developed based on established feedback literature.</w:t>
      </w:r>
    </w:p>
    <w:p w14:paraId="2E7DE5D5" w14:textId="41F3B51F" w:rsidR="004943F5" w:rsidRPr="004943F5" w:rsidRDefault="004943F5" w:rsidP="004943F5">
      <w:pPr>
        <w:spacing w:line="480" w:lineRule="auto"/>
        <w:ind w:left="1440" w:firstLine="0"/>
        <w:rPr>
          <w:sz w:val="24"/>
          <w:szCs w:val="24"/>
        </w:rPr>
      </w:pPr>
      <w:r w:rsidRPr="004943F5">
        <w:rPr>
          <w:sz w:val="24"/>
          <w:szCs w:val="24"/>
        </w:rPr>
        <w:t>- Feedback clarity focused on the extent to which feedback was understandable, specific, and actionable, drawing on feedback usability (Hattie &amp; Timperley, 2007; Mäkipää, 2024).</w:t>
      </w:r>
    </w:p>
    <w:p w14:paraId="2EE6ED87" w14:textId="3B004C08" w:rsidR="004943F5" w:rsidRPr="004943F5" w:rsidRDefault="004943F5" w:rsidP="004943F5">
      <w:pPr>
        <w:spacing w:line="480" w:lineRule="auto"/>
        <w:ind w:left="1440" w:firstLine="0"/>
        <w:rPr>
          <w:sz w:val="24"/>
          <w:szCs w:val="24"/>
        </w:rPr>
      </w:pPr>
      <w:r w:rsidRPr="004943F5">
        <w:rPr>
          <w:sz w:val="24"/>
          <w:szCs w:val="24"/>
        </w:rPr>
        <w:t>- Feedback timing examined learners’ perceptions of when feedback was provided during or after speaking activities, based on interactional feedback research (Sato &amp; Loewen, 2022).</w:t>
      </w:r>
    </w:p>
    <w:p w14:paraId="6C332304" w14:textId="4AF7C354" w:rsidR="004943F5" w:rsidRPr="004943F5" w:rsidRDefault="004943F5" w:rsidP="004943F5">
      <w:pPr>
        <w:spacing w:line="480" w:lineRule="auto"/>
        <w:ind w:left="1440" w:firstLine="0"/>
        <w:rPr>
          <w:sz w:val="24"/>
          <w:szCs w:val="24"/>
        </w:rPr>
      </w:pPr>
      <w:r w:rsidRPr="004943F5">
        <w:rPr>
          <w:sz w:val="24"/>
          <w:szCs w:val="24"/>
        </w:rPr>
        <w:t>- Feedback focus measured whether teacher feedback addressed specific aspects of speaking performance and learning goals, reflecting task alignment (Tai et al., 2022).</w:t>
      </w:r>
    </w:p>
    <w:p w14:paraId="00D33B88" w14:textId="35F16D59" w:rsidR="004943F5" w:rsidRPr="004943F5" w:rsidRDefault="004943F5" w:rsidP="004943F5">
      <w:pPr>
        <w:spacing w:line="480" w:lineRule="auto"/>
        <w:ind w:left="1440" w:firstLine="0"/>
        <w:rPr>
          <w:sz w:val="24"/>
          <w:szCs w:val="24"/>
        </w:rPr>
      </w:pPr>
      <w:r w:rsidRPr="004943F5">
        <w:rPr>
          <w:sz w:val="24"/>
          <w:szCs w:val="24"/>
        </w:rPr>
        <w:lastRenderedPageBreak/>
        <w:t>- Affective tone investigated learners’ perceptions of teachers’ emotional support, encouragement, and sensitivity when providing feedback, drawing upon research on learner engagement and feedback emotion (Han &amp; Hyland, 2023; Zhang, 2022).</w:t>
      </w:r>
    </w:p>
    <w:p w14:paraId="429F7340" w14:textId="77777777" w:rsidR="004943F5" w:rsidRPr="004943F5" w:rsidRDefault="004943F5" w:rsidP="004943F5">
      <w:pPr>
        <w:spacing w:line="480" w:lineRule="auto"/>
        <w:rPr>
          <w:sz w:val="24"/>
          <w:szCs w:val="24"/>
        </w:rPr>
      </w:pPr>
      <w:r w:rsidRPr="004943F5">
        <w:rPr>
          <w:sz w:val="24"/>
          <w:szCs w:val="24"/>
        </w:rPr>
        <w:t>Sample questionnaire items included:</w:t>
      </w:r>
    </w:p>
    <w:p w14:paraId="7A15237B" w14:textId="59B1D041" w:rsidR="004943F5" w:rsidRPr="004943F5" w:rsidRDefault="004943F5" w:rsidP="004943F5">
      <w:pPr>
        <w:spacing w:line="480" w:lineRule="auto"/>
        <w:rPr>
          <w:sz w:val="24"/>
          <w:szCs w:val="24"/>
        </w:rPr>
      </w:pPr>
      <w:r>
        <w:rPr>
          <w:sz w:val="24"/>
          <w:szCs w:val="24"/>
        </w:rPr>
        <w:t xml:space="preserve">- </w:t>
      </w:r>
      <w:r w:rsidRPr="004943F5">
        <w:rPr>
          <w:sz w:val="24"/>
          <w:szCs w:val="24"/>
        </w:rPr>
        <w:t xml:space="preserve"> "My teacher's feedback is easy to understand."</w:t>
      </w:r>
    </w:p>
    <w:p w14:paraId="17FF2B0F" w14:textId="23CC14E6" w:rsidR="004943F5" w:rsidRPr="004943F5" w:rsidRDefault="004943F5" w:rsidP="004943F5">
      <w:pPr>
        <w:spacing w:line="480" w:lineRule="auto"/>
        <w:rPr>
          <w:sz w:val="24"/>
          <w:szCs w:val="24"/>
        </w:rPr>
      </w:pPr>
      <w:r>
        <w:rPr>
          <w:sz w:val="24"/>
          <w:szCs w:val="24"/>
        </w:rPr>
        <w:t xml:space="preserve">- </w:t>
      </w:r>
      <w:r w:rsidRPr="004943F5">
        <w:rPr>
          <w:sz w:val="24"/>
          <w:szCs w:val="24"/>
        </w:rPr>
        <w:t xml:space="preserve"> "Feedback is provided at an appropriate time."</w:t>
      </w:r>
    </w:p>
    <w:p w14:paraId="33239E37" w14:textId="2510F841" w:rsidR="004943F5" w:rsidRPr="004943F5" w:rsidRDefault="004943F5" w:rsidP="004943F5">
      <w:pPr>
        <w:spacing w:line="480" w:lineRule="auto"/>
        <w:rPr>
          <w:sz w:val="24"/>
          <w:szCs w:val="24"/>
        </w:rPr>
      </w:pPr>
      <w:r>
        <w:rPr>
          <w:sz w:val="24"/>
          <w:szCs w:val="24"/>
        </w:rPr>
        <w:t xml:space="preserve">- </w:t>
      </w:r>
      <w:r w:rsidRPr="004943F5">
        <w:rPr>
          <w:sz w:val="24"/>
          <w:szCs w:val="24"/>
        </w:rPr>
        <w:t xml:space="preserve"> "Teacher feedback focuses on important speaking problems."</w:t>
      </w:r>
    </w:p>
    <w:p w14:paraId="78796D8F" w14:textId="6BD0BC5B" w:rsidR="004943F5" w:rsidRPr="004943F5" w:rsidRDefault="004943F5" w:rsidP="004943F5">
      <w:pPr>
        <w:spacing w:line="480" w:lineRule="auto"/>
        <w:rPr>
          <w:sz w:val="24"/>
          <w:szCs w:val="24"/>
        </w:rPr>
      </w:pPr>
      <w:r>
        <w:rPr>
          <w:sz w:val="24"/>
          <w:szCs w:val="24"/>
        </w:rPr>
        <w:t xml:space="preserve">- </w:t>
      </w:r>
      <w:r w:rsidRPr="004943F5">
        <w:rPr>
          <w:sz w:val="24"/>
          <w:szCs w:val="24"/>
        </w:rPr>
        <w:t xml:space="preserve"> "My teacher gives feedback in an encouraging manner."</w:t>
      </w:r>
    </w:p>
    <w:p w14:paraId="656CEF06" w14:textId="77777777" w:rsidR="004943F5" w:rsidRPr="004943F5" w:rsidRDefault="004943F5" w:rsidP="004943F5">
      <w:pPr>
        <w:spacing w:line="480" w:lineRule="auto"/>
        <w:rPr>
          <w:sz w:val="24"/>
          <w:szCs w:val="24"/>
        </w:rPr>
      </w:pPr>
      <w:r w:rsidRPr="004943F5">
        <w:rPr>
          <w:sz w:val="24"/>
          <w:szCs w:val="24"/>
        </w:rPr>
        <w:t>The questionnaire was adapted from contemporary feedback perception literature and further contextualized for VSTEP speaking preparation through a review of relevant theoretical frameworks and recent empirical studies.</w:t>
      </w:r>
    </w:p>
    <w:p w14:paraId="43281F58" w14:textId="7024D6F2" w:rsidR="00ED4A17" w:rsidRDefault="004943F5" w:rsidP="004943F5">
      <w:pPr>
        <w:jc w:val="left"/>
        <w:rPr>
          <w:b/>
          <w:bCs/>
          <w:i/>
          <w:iCs/>
          <w:sz w:val="24"/>
          <w:szCs w:val="24"/>
        </w:rPr>
      </w:pPr>
      <w:r w:rsidRPr="004943F5">
        <w:rPr>
          <w:b/>
          <w:bCs/>
          <w:i/>
          <w:iCs/>
          <w:sz w:val="24"/>
          <w:szCs w:val="24"/>
        </w:rPr>
        <w:t>3.4</w:t>
      </w:r>
      <w:r w:rsidR="004D1C7C">
        <w:rPr>
          <w:b/>
          <w:bCs/>
          <w:i/>
          <w:iCs/>
          <w:sz w:val="24"/>
          <w:szCs w:val="24"/>
        </w:rPr>
        <w:t xml:space="preserve">. </w:t>
      </w:r>
      <w:r w:rsidRPr="004943F5">
        <w:rPr>
          <w:b/>
          <w:bCs/>
          <w:i/>
          <w:iCs/>
          <w:sz w:val="24"/>
          <w:szCs w:val="24"/>
        </w:rPr>
        <w:t>Instrument Reliability and Validity</w:t>
      </w:r>
    </w:p>
    <w:p w14:paraId="552AE048" w14:textId="6C57B88B" w:rsidR="004943F5" w:rsidRDefault="004943F5" w:rsidP="004943F5">
      <w:pPr>
        <w:spacing w:line="480" w:lineRule="auto"/>
        <w:rPr>
          <w:sz w:val="24"/>
          <w:szCs w:val="24"/>
        </w:rPr>
      </w:pPr>
      <w:r w:rsidRPr="004943F5">
        <w:rPr>
          <w:sz w:val="24"/>
          <w:szCs w:val="24"/>
        </w:rPr>
        <w:t>Prior to the main survey, the questionnaire was reviewed by experienced VSTEP instructors and researchers in language education to ensure content validity and contextual appropriateness. Minor revisions were made to improve wording clarity and item specificity.</w:t>
      </w:r>
      <w:r>
        <w:rPr>
          <w:sz w:val="24"/>
          <w:szCs w:val="24"/>
        </w:rPr>
        <w:t xml:space="preserve"> </w:t>
      </w:r>
      <w:r w:rsidRPr="004943F5">
        <w:rPr>
          <w:sz w:val="24"/>
          <w:szCs w:val="24"/>
        </w:rPr>
        <w:t>Internal consistency was evaluated using Cronbach’s alpha. All four constructs exceeded the commonly accepted threshold of .70, indicating satisfactory reliability.</w:t>
      </w:r>
    </w:p>
    <w:p w14:paraId="098B8CE3" w14:textId="00B55687" w:rsidR="00C311E6" w:rsidRPr="00E372D9" w:rsidRDefault="00C311E6" w:rsidP="004943F5">
      <w:pPr>
        <w:spacing w:line="480" w:lineRule="auto"/>
        <w:rPr>
          <w:b/>
          <w:bCs/>
          <w:sz w:val="24"/>
          <w:szCs w:val="24"/>
        </w:rPr>
      </w:pPr>
      <w:r w:rsidRPr="00E372D9">
        <w:rPr>
          <w:b/>
          <w:bCs/>
          <w:sz w:val="24"/>
          <w:szCs w:val="24"/>
        </w:rPr>
        <w:t>Table 2</w:t>
      </w:r>
    </w:p>
    <w:p w14:paraId="16DC79AE" w14:textId="2627E14B" w:rsidR="00C311E6" w:rsidRPr="00E372D9" w:rsidRDefault="00C311E6" w:rsidP="004943F5">
      <w:pPr>
        <w:spacing w:line="480" w:lineRule="auto"/>
        <w:rPr>
          <w:i/>
          <w:iCs/>
          <w:sz w:val="24"/>
          <w:szCs w:val="24"/>
        </w:rPr>
      </w:pPr>
      <w:r w:rsidRPr="00E372D9">
        <w:rPr>
          <w:i/>
          <w:iCs/>
          <w:sz w:val="24"/>
          <w:szCs w:val="24"/>
        </w:rPr>
        <w:t>Participant Characteristics (N = 64)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43F5" w14:paraId="30B70689" w14:textId="77777777" w:rsidTr="00C311E6">
        <w:tc>
          <w:tcPr>
            <w:tcW w:w="4508" w:type="dxa"/>
            <w:tcBorders>
              <w:top w:val="single" w:sz="4" w:space="0" w:color="auto"/>
              <w:bottom w:val="single" w:sz="4" w:space="0" w:color="auto"/>
            </w:tcBorders>
          </w:tcPr>
          <w:p w14:paraId="1B32E8ED" w14:textId="0D3D90F9" w:rsidR="004943F5" w:rsidRPr="00C23187" w:rsidRDefault="004943F5" w:rsidP="004943F5">
            <w:pPr>
              <w:spacing w:line="480" w:lineRule="auto"/>
              <w:ind w:firstLine="0"/>
              <w:rPr>
                <w:b/>
                <w:bCs/>
                <w:sz w:val="24"/>
                <w:szCs w:val="24"/>
              </w:rPr>
            </w:pPr>
            <w:r w:rsidRPr="00C23187">
              <w:rPr>
                <w:b/>
                <w:bCs/>
                <w:sz w:val="24"/>
                <w:szCs w:val="24"/>
              </w:rPr>
              <w:t>Construct</w:t>
            </w:r>
          </w:p>
        </w:tc>
        <w:tc>
          <w:tcPr>
            <w:tcW w:w="4508" w:type="dxa"/>
            <w:tcBorders>
              <w:top w:val="single" w:sz="4" w:space="0" w:color="auto"/>
              <w:bottom w:val="single" w:sz="4" w:space="0" w:color="auto"/>
            </w:tcBorders>
          </w:tcPr>
          <w:p w14:paraId="0B1E9E99" w14:textId="74E704EE" w:rsidR="004943F5" w:rsidRPr="00C23187" w:rsidRDefault="004943F5" w:rsidP="004943F5">
            <w:pPr>
              <w:spacing w:line="480" w:lineRule="auto"/>
              <w:ind w:firstLine="0"/>
              <w:rPr>
                <w:b/>
                <w:bCs/>
                <w:sz w:val="24"/>
                <w:szCs w:val="24"/>
              </w:rPr>
            </w:pPr>
            <w:r w:rsidRPr="00C23187">
              <w:rPr>
                <w:b/>
                <w:bCs/>
                <w:sz w:val="24"/>
                <w:szCs w:val="24"/>
              </w:rPr>
              <w:t>Cronbach's α</w:t>
            </w:r>
          </w:p>
        </w:tc>
      </w:tr>
      <w:tr w:rsidR="004943F5" w14:paraId="358AE5A0" w14:textId="77777777" w:rsidTr="00C311E6">
        <w:tc>
          <w:tcPr>
            <w:tcW w:w="4508" w:type="dxa"/>
            <w:tcBorders>
              <w:top w:val="single" w:sz="4" w:space="0" w:color="auto"/>
              <w:bottom w:val="single" w:sz="4" w:space="0" w:color="auto"/>
            </w:tcBorders>
          </w:tcPr>
          <w:p w14:paraId="78827D06" w14:textId="29322A7D" w:rsidR="004943F5" w:rsidRDefault="004943F5" w:rsidP="004943F5">
            <w:pPr>
              <w:spacing w:line="480" w:lineRule="auto"/>
              <w:ind w:firstLine="0"/>
              <w:rPr>
                <w:sz w:val="24"/>
                <w:szCs w:val="24"/>
              </w:rPr>
            </w:pPr>
            <w:r w:rsidRPr="004943F5">
              <w:rPr>
                <w:sz w:val="24"/>
                <w:szCs w:val="24"/>
              </w:rPr>
              <w:t>Clarity</w:t>
            </w:r>
          </w:p>
        </w:tc>
        <w:tc>
          <w:tcPr>
            <w:tcW w:w="4508" w:type="dxa"/>
            <w:tcBorders>
              <w:top w:val="single" w:sz="4" w:space="0" w:color="auto"/>
              <w:bottom w:val="single" w:sz="4" w:space="0" w:color="auto"/>
            </w:tcBorders>
          </w:tcPr>
          <w:p w14:paraId="4103456B" w14:textId="51E42DB0" w:rsidR="004943F5" w:rsidRDefault="004943F5" w:rsidP="00C311E6">
            <w:pPr>
              <w:spacing w:line="480" w:lineRule="auto"/>
              <w:ind w:firstLine="0"/>
              <w:jc w:val="left"/>
              <w:rPr>
                <w:sz w:val="24"/>
                <w:szCs w:val="24"/>
              </w:rPr>
            </w:pPr>
            <w:r w:rsidRPr="004943F5">
              <w:rPr>
                <w:sz w:val="24"/>
                <w:szCs w:val="24"/>
              </w:rPr>
              <w:t>.88</w:t>
            </w:r>
          </w:p>
        </w:tc>
      </w:tr>
      <w:tr w:rsidR="004943F5" w14:paraId="6B414808" w14:textId="77777777" w:rsidTr="00C311E6">
        <w:tc>
          <w:tcPr>
            <w:tcW w:w="4508" w:type="dxa"/>
            <w:tcBorders>
              <w:top w:val="single" w:sz="4" w:space="0" w:color="auto"/>
              <w:bottom w:val="single" w:sz="4" w:space="0" w:color="auto"/>
            </w:tcBorders>
          </w:tcPr>
          <w:p w14:paraId="2C97F71B" w14:textId="01DFF81B" w:rsidR="004943F5" w:rsidRDefault="004943F5" w:rsidP="004943F5">
            <w:pPr>
              <w:spacing w:line="480" w:lineRule="auto"/>
              <w:ind w:firstLine="0"/>
              <w:rPr>
                <w:sz w:val="24"/>
                <w:szCs w:val="24"/>
              </w:rPr>
            </w:pPr>
            <w:r w:rsidRPr="004943F5">
              <w:rPr>
                <w:sz w:val="24"/>
                <w:szCs w:val="24"/>
              </w:rPr>
              <w:lastRenderedPageBreak/>
              <w:t>Timing</w:t>
            </w:r>
          </w:p>
        </w:tc>
        <w:tc>
          <w:tcPr>
            <w:tcW w:w="4508" w:type="dxa"/>
            <w:tcBorders>
              <w:top w:val="single" w:sz="4" w:space="0" w:color="auto"/>
              <w:bottom w:val="single" w:sz="4" w:space="0" w:color="auto"/>
            </w:tcBorders>
          </w:tcPr>
          <w:p w14:paraId="5CEF8153" w14:textId="1BAFE31B" w:rsidR="004943F5" w:rsidRDefault="004943F5" w:rsidP="00C311E6">
            <w:pPr>
              <w:spacing w:line="480" w:lineRule="auto"/>
              <w:ind w:firstLine="0"/>
              <w:jc w:val="left"/>
              <w:rPr>
                <w:sz w:val="24"/>
                <w:szCs w:val="24"/>
              </w:rPr>
            </w:pPr>
            <w:r w:rsidRPr="004943F5">
              <w:rPr>
                <w:sz w:val="24"/>
                <w:szCs w:val="24"/>
              </w:rPr>
              <w:t>.82</w:t>
            </w:r>
          </w:p>
        </w:tc>
      </w:tr>
      <w:tr w:rsidR="004943F5" w14:paraId="0EBC77DB" w14:textId="77777777" w:rsidTr="00C311E6">
        <w:tc>
          <w:tcPr>
            <w:tcW w:w="4508" w:type="dxa"/>
            <w:tcBorders>
              <w:top w:val="single" w:sz="4" w:space="0" w:color="auto"/>
              <w:bottom w:val="single" w:sz="4" w:space="0" w:color="auto"/>
            </w:tcBorders>
          </w:tcPr>
          <w:p w14:paraId="427556EA" w14:textId="1799973A" w:rsidR="004943F5" w:rsidRDefault="004943F5" w:rsidP="004943F5">
            <w:pPr>
              <w:spacing w:line="480" w:lineRule="auto"/>
              <w:ind w:firstLine="0"/>
              <w:rPr>
                <w:sz w:val="24"/>
                <w:szCs w:val="24"/>
              </w:rPr>
            </w:pPr>
            <w:r w:rsidRPr="004943F5">
              <w:rPr>
                <w:sz w:val="24"/>
                <w:szCs w:val="24"/>
              </w:rPr>
              <w:t>Focus</w:t>
            </w:r>
          </w:p>
        </w:tc>
        <w:tc>
          <w:tcPr>
            <w:tcW w:w="4508" w:type="dxa"/>
            <w:tcBorders>
              <w:top w:val="single" w:sz="4" w:space="0" w:color="auto"/>
              <w:bottom w:val="single" w:sz="4" w:space="0" w:color="auto"/>
            </w:tcBorders>
          </w:tcPr>
          <w:p w14:paraId="2A941A2A" w14:textId="7663EA63" w:rsidR="004943F5" w:rsidRDefault="004943F5" w:rsidP="00C311E6">
            <w:pPr>
              <w:spacing w:line="480" w:lineRule="auto"/>
              <w:ind w:firstLine="0"/>
              <w:jc w:val="left"/>
              <w:rPr>
                <w:sz w:val="24"/>
                <w:szCs w:val="24"/>
              </w:rPr>
            </w:pPr>
            <w:r w:rsidRPr="004943F5">
              <w:rPr>
                <w:sz w:val="24"/>
                <w:szCs w:val="24"/>
              </w:rPr>
              <w:t>.86</w:t>
            </w:r>
          </w:p>
        </w:tc>
      </w:tr>
      <w:tr w:rsidR="004943F5" w14:paraId="4C341289" w14:textId="77777777" w:rsidTr="00C311E6">
        <w:tc>
          <w:tcPr>
            <w:tcW w:w="4508" w:type="dxa"/>
            <w:tcBorders>
              <w:top w:val="single" w:sz="4" w:space="0" w:color="auto"/>
              <w:bottom w:val="single" w:sz="4" w:space="0" w:color="auto"/>
            </w:tcBorders>
          </w:tcPr>
          <w:p w14:paraId="6F4EC1AE" w14:textId="389A9C68" w:rsidR="004943F5" w:rsidRDefault="004943F5" w:rsidP="004943F5">
            <w:pPr>
              <w:spacing w:line="480" w:lineRule="auto"/>
              <w:ind w:firstLine="0"/>
              <w:rPr>
                <w:sz w:val="24"/>
                <w:szCs w:val="24"/>
              </w:rPr>
            </w:pPr>
            <w:r w:rsidRPr="004943F5">
              <w:rPr>
                <w:sz w:val="24"/>
                <w:szCs w:val="24"/>
              </w:rPr>
              <w:t>Affective Tone</w:t>
            </w:r>
          </w:p>
        </w:tc>
        <w:tc>
          <w:tcPr>
            <w:tcW w:w="4508" w:type="dxa"/>
            <w:tcBorders>
              <w:top w:val="single" w:sz="4" w:space="0" w:color="auto"/>
              <w:bottom w:val="single" w:sz="4" w:space="0" w:color="auto"/>
            </w:tcBorders>
          </w:tcPr>
          <w:p w14:paraId="3B692819" w14:textId="0A13AA11" w:rsidR="004943F5" w:rsidRDefault="004943F5" w:rsidP="00C311E6">
            <w:pPr>
              <w:spacing w:line="480" w:lineRule="auto"/>
              <w:ind w:firstLine="0"/>
              <w:jc w:val="left"/>
              <w:rPr>
                <w:sz w:val="24"/>
                <w:szCs w:val="24"/>
              </w:rPr>
            </w:pPr>
            <w:r>
              <w:rPr>
                <w:sz w:val="24"/>
                <w:szCs w:val="24"/>
              </w:rPr>
              <w:t>.84</w:t>
            </w:r>
          </w:p>
        </w:tc>
      </w:tr>
    </w:tbl>
    <w:p w14:paraId="64E482F0" w14:textId="2A6AD730" w:rsidR="004943F5" w:rsidRPr="004943F5" w:rsidRDefault="004943F5" w:rsidP="004943F5">
      <w:pPr>
        <w:spacing w:line="480" w:lineRule="auto"/>
        <w:rPr>
          <w:sz w:val="24"/>
          <w:szCs w:val="24"/>
        </w:rPr>
      </w:pPr>
      <w:r w:rsidRPr="004943F5">
        <w:rPr>
          <w:sz w:val="24"/>
          <w:szCs w:val="24"/>
        </w:rPr>
        <w:t>Overall questionnaire α = .90</w:t>
      </w:r>
      <w:r>
        <w:rPr>
          <w:sz w:val="24"/>
          <w:szCs w:val="24"/>
        </w:rPr>
        <w:t xml:space="preserve">. </w:t>
      </w:r>
      <w:r w:rsidRPr="004943F5">
        <w:rPr>
          <w:sz w:val="24"/>
          <w:szCs w:val="24"/>
        </w:rPr>
        <w:t>These results indicate satisfactory internal consistency for all constructs included in the questionnaire.</w:t>
      </w:r>
    </w:p>
    <w:p w14:paraId="0879EF79" w14:textId="6E586CE1" w:rsidR="004943F5" w:rsidRPr="00436379" w:rsidRDefault="004943F5" w:rsidP="004943F5">
      <w:pPr>
        <w:spacing w:line="480" w:lineRule="auto"/>
        <w:rPr>
          <w:b/>
          <w:bCs/>
          <w:i/>
          <w:iCs/>
          <w:sz w:val="24"/>
          <w:szCs w:val="24"/>
        </w:rPr>
      </w:pPr>
      <w:r w:rsidRPr="00436379">
        <w:rPr>
          <w:b/>
          <w:bCs/>
          <w:i/>
          <w:iCs/>
          <w:sz w:val="24"/>
          <w:szCs w:val="24"/>
        </w:rPr>
        <w:t>3.5</w:t>
      </w:r>
      <w:r w:rsidR="00436379" w:rsidRPr="00436379">
        <w:rPr>
          <w:b/>
          <w:bCs/>
          <w:i/>
          <w:iCs/>
          <w:sz w:val="24"/>
          <w:szCs w:val="24"/>
        </w:rPr>
        <w:t>.</w:t>
      </w:r>
      <w:r w:rsidRPr="00436379">
        <w:rPr>
          <w:b/>
          <w:bCs/>
          <w:i/>
          <w:iCs/>
          <w:sz w:val="24"/>
          <w:szCs w:val="24"/>
        </w:rPr>
        <w:t xml:space="preserve">  Data Analysis</w:t>
      </w:r>
    </w:p>
    <w:p w14:paraId="56E349A3" w14:textId="5155DD63" w:rsidR="004943F5" w:rsidRPr="00436379" w:rsidRDefault="004943F5" w:rsidP="00436379">
      <w:pPr>
        <w:spacing w:line="480" w:lineRule="auto"/>
        <w:rPr>
          <w:sz w:val="24"/>
          <w:szCs w:val="24"/>
        </w:rPr>
      </w:pPr>
      <w:r w:rsidRPr="004943F5">
        <w:rPr>
          <w:sz w:val="24"/>
          <w:szCs w:val="24"/>
        </w:rPr>
        <w:t>The collected data were analyzed using SPSS. Descriptive statistics (minimum, maximum, mean, and standard deviation) were calculated to summarize learners’ perceptions across the four feedback dimensions. Pearson correlation analysis was then conducted to examine the relationships between these feedback dimensions and learners’ perceived speaking development as well as perceived confidence. Because both outcome variables were measured through self-report questionnaire items, the findings indicate statistical associations rather than causal relationships.</w:t>
      </w:r>
    </w:p>
    <w:p w14:paraId="1CFAF4E8" w14:textId="6734CEEC" w:rsidR="00AE6384" w:rsidRPr="00AE6384" w:rsidRDefault="00AE6384" w:rsidP="0012778A">
      <w:pPr>
        <w:spacing w:line="480" w:lineRule="auto"/>
        <w:rPr>
          <w:rFonts w:cs="Times New Roman"/>
          <w:sz w:val="24"/>
          <w:szCs w:val="24"/>
        </w:rPr>
      </w:pPr>
      <w:r w:rsidRPr="00AE6384">
        <w:rPr>
          <w:rFonts w:cs="Times New Roman"/>
          <w:sz w:val="24"/>
          <w:szCs w:val="24"/>
        </w:rPr>
        <w:t>This study was conducted at Lac Hong University (LHU) in Dong Nai Province, Vietnam. It focuses on learners’ perceptions of teacher oral feedback in VSTEP speaking preparation classes, particularly in relation to key feedback dimensions, including clarity, timing, focus, and affective tone. The study investigated a group of 64 undergraduate students who were preparing for the VSTEP B1</w:t>
      </w:r>
      <w:r w:rsidR="0012778A">
        <w:rPr>
          <w:rFonts w:cs="Times New Roman"/>
          <w:sz w:val="24"/>
          <w:szCs w:val="24"/>
        </w:rPr>
        <w:t>-</w:t>
      </w:r>
      <w:r w:rsidRPr="00AE6384">
        <w:rPr>
          <w:rFonts w:cs="Times New Roman"/>
          <w:sz w:val="24"/>
          <w:szCs w:val="24"/>
        </w:rPr>
        <w:t>B2 speaking test at the Lac Hong Foreign Languages and Informatics Center.</w:t>
      </w:r>
    </w:p>
    <w:p w14:paraId="6292312F" w14:textId="77777777" w:rsidR="00AE6384" w:rsidRPr="00AE6384" w:rsidRDefault="00AE6384" w:rsidP="0012778A">
      <w:pPr>
        <w:spacing w:line="480" w:lineRule="auto"/>
        <w:rPr>
          <w:rFonts w:cs="Times New Roman"/>
          <w:sz w:val="24"/>
          <w:szCs w:val="24"/>
        </w:rPr>
      </w:pPr>
      <w:r w:rsidRPr="00AE6384">
        <w:rPr>
          <w:rFonts w:cs="Times New Roman"/>
          <w:sz w:val="24"/>
          <w:szCs w:val="24"/>
        </w:rPr>
        <w:t xml:space="preserve">A quantitative research approach was employed to collect and analyze data from the participants. Specifically, a structured questionnaire was used as the primary research instrument, as it is widely recognized as an effective tool for gathering large-scale perception data and examining patterns of learner responses in educational contexts (Winstone &amp; Carless, </w:t>
      </w:r>
      <w:r w:rsidRPr="00AE6384">
        <w:rPr>
          <w:rFonts w:cs="Times New Roman"/>
          <w:sz w:val="24"/>
          <w:szCs w:val="24"/>
        </w:rPr>
        <w:lastRenderedPageBreak/>
        <w:t>2021). The design of the questionnaire was informed by established feedback frameworks, particularly those emphasizing the role of feedback clarity, timing, and learner engagement in shaping learning outcomes (Tai et al., 2022). In addition, the inclusion of affective dimensions in the instrument reflects recent findings that emotional responses to feedback significantly influence learners’ willingness to engage with speaking tasks (Han &amp; Hyland, 2023).</w:t>
      </w:r>
    </w:p>
    <w:p w14:paraId="1D75CE2A" w14:textId="77777777" w:rsidR="00AE6384" w:rsidRPr="00AE6384" w:rsidRDefault="00AE6384" w:rsidP="0012778A">
      <w:pPr>
        <w:spacing w:line="480" w:lineRule="auto"/>
        <w:rPr>
          <w:rFonts w:cs="Times New Roman"/>
          <w:sz w:val="24"/>
          <w:szCs w:val="24"/>
        </w:rPr>
      </w:pPr>
      <w:r w:rsidRPr="00AE6384">
        <w:rPr>
          <w:rFonts w:cs="Times New Roman"/>
          <w:sz w:val="24"/>
          <w:szCs w:val="24"/>
        </w:rPr>
        <w:t>Participants were asked to evaluate their perceptions of teacher oral feedback in speaking classes using a Likert-scale questionnaire. The instrument consisted of multiple items measuring different aspects of feedback, allowing for a comprehensive understanding of how learners experience and interpret feedback in a high-stakes test preparation context. This approach aligns with previous research suggesting that learners’ perceptions play a mediating role in determining the effectiveness of feedback practices (Carless &amp; Boud, 2021). The questionnaire was administered to all 64 participants, and all responses were collected for analysis.</w:t>
      </w:r>
    </w:p>
    <w:p w14:paraId="4B72DEEC" w14:textId="77777777" w:rsidR="00AE6384" w:rsidRPr="00AE6384" w:rsidRDefault="00AE6384" w:rsidP="0012778A">
      <w:pPr>
        <w:spacing w:line="480" w:lineRule="auto"/>
        <w:rPr>
          <w:rFonts w:cs="Times New Roman"/>
          <w:sz w:val="24"/>
          <w:szCs w:val="24"/>
        </w:rPr>
      </w:pPr>
      <w:r w:rsidRPr="00AE6384">
        <w:rPr>
          <w:rFonts w:cs="Times New Roman"/>
          <w:sz w:val="24"/>
          <w:szCs w:val="24"/>
        </w:rPr>
        <w:t>To ensure the reliability of the instrument, internal consistency was examined using Cronbach’s alpha, with all constructs meeting acceptable reliability thresholds. The collected data were then analyzed using the Statistical Package for the Social Sciences (SPSS). Descriptive statistics, including minimum, maximum, mean, and standard deviation, were calculated to identify general trends in learners’ perceptions. In addition, correlation analysis was conducted to examine the relationships between different feedback dimensions and learners’ perceived speaking development and confidence.</w:t>
      </w:r>
    </w:p>
    <w:p w14:paraId="683B6611" w14:textId="638EFB0C" w:rsidR="006A0AE2" w:rsidRPr="009A3159" w:rsidRDefault="00AE6384" w:rsidP="0012778A">
      <w:pPr>
        <w:spacing w:line="480" w:lineRule="auto"/>
        <w:rPr>
          <w:rFonts w:cs="Times New Roman"/>
          <w:sz w:val="24"/>
          <w:szCs w:val="24"/>
        </w:rPr>
      </w:pPr>
      <w:r w:rsidRPr="00AE6384">
        <w:rPr>
          <w:rFonts w:cs="Times New Roman"/>
          <w:sz w:val="24"/>
          <w:szCs w:val="24"/>
        </w:rPr>
        <w:t>The findings derived from the quantitative data provide insights into how learners perceive teacher oral feedback and how these perceptions may influence their engagement and performance in VSTEP speaking preparation.</w:t>
      </w:r>
    </w:p>
    <w:p w14:paraId="49C78D31" w14:textId="77777777" w:rsidR="00722EDE" w:rsidRPr="009A3159" w:rsidRDefault="00934FC5" w:rsidP="00934FC5">
      <w:pPr>
        <w:pStyle w:val="RALs-Heading1"/>
        <w:jc w:val="both"/>
        <w:rPr>
          <w:rFonts w:cs="Times New Roman"/>
          <w:sz w:val="24"/>
          <w:szCs w:val="24"/>
        </w:rPr>
      </w:pPr>
      <w:r w:rsidRPr="009A3159">
        <w:rPr>
          <w:rFonts w:cs="Times New Roman"/>
          <w:sz w:val="24"/>
          <w:szCs w:val="24"/>
        </w:rPr>
        <w:t xml:space="preserve"> </w:t>
      </w:r>
      <w:r w:rsidRPr="009A3159">
        <w:rPr>
          <w:rFonts w:cs="Times New Roman"/>
          <w:sz w:val="24"/>
          <w:szCs w:val="24"/>
        </w:rPr>
        <w:tab/>
      </w:r>
      <w:r w:rsidRPr="009A3159">
        <w:rPr>
          <w:rFonts w:cs="Times New Roman"/>
          <w:sz w:val="24"/>
          <w:szCs w:val="24"/>
        </w:rPr>
        <w:tab/>
      </w:r>
      <w:r w:rsidRPr="009A3159">
        <w:rPr>
          <w:rFonts w:cs="Times New Roman"/>
          <w:sz w:val="24"/>
          <w:szCs w:val="24"/>
        </w:rPr>
        <w:tab/>
      </w:r>
      <w:r w:rsidRPr="009A3159">
        <w:rPr>
          <w:rFonts w:cs="Times New Roman"/>
          <w:sz w:val="24"/>
          <w:szCs w:val="24"/>
        </w:rPr>
        <w:tab/>
      </w:r>
      <w:r w:rsidRPr="009A3159">
        <w:rPr>
          <w:rFonts w:cs="Times New Roman"/>
          <w:sz w:val="24"/>
          <w:szCs w:val="24"/>
        </w:rPr>
        <w:tab/>
      </w:r>
      <w:r w:rsidRPr="009A3159">
        <w:rPr>
          <w:rFonts w:cs="Times New Roman"/>
          <w:sz w:val="24"/>
          <w:szCs w:val="24"/>
        </w:rPr>
        <w:tab/>
      </w:r>
      <w:r w:rsidR="0060356B" w:rsidRPr="009A3159">
        <w:rPr>
          <w:rFonts w:cs="Times New Roman"/>
          <w:sz w:val="24"/>
          <w:szCs w:val="24"/>
        </w:rPr>
        <w:t xml:space="preserve"> </w:t>
      </w:r>
      <w:r w:rsidR="00722EDE" w:rsidRPr="009A3159">
        <w:rPr>
          <w:rFonts w:cs="Times New Roman"/>
          <w:sz w:val="24"/>
          <w:szCs w:val="24"/>
        </w:rPr>
        <w:t>4. Results</w:t>
      </w:r>
    </w:p>
    <w:p w14:paraId="078063AD" w14:textId="23AC26B6" w:rsidR="00881C36" w:rsidRPr="00E90A55" w:rsidRDefault="00AE6384" w:rsidP="00AE6384">
      <w:pPr>
        <w:pStyle w:val="NormalWeb"/>
        <w:shd w:val="clear" w:color="auto" w:fill="FFFFFF"/>
        <w:spacing w:before="0" w:beforeAutospacing="0" w:after="120" w:afterAutospacing="0" w:line="480" w:lineRule="auto"/>
        <w:jc w:val="both"/>
        <w:textAlignment w:val="baseline"/>
        <w:rPr>
          <w:b/>
          <w:bCs/>
          <w:i/>
          <w:iCs/>
          <w:color w:val="333333"/>
          <w:shd w:val="clear" w:color="auto" w:fill="FFFFFF"/>
        </w:rPr>
      </w:pPr>
      <w:r w:rsidRPr="00E90A55">
        <w:rPr>
          <w:b/>
          <w:bCs/>
          <w:i/>
          <w:iCs/>
          <w:color w:val="333333"/>
          <w:shd w:val="clear" w:color="auto" w:fill="FFFFFF"/>
        </w:rPr>
        <w:t>4.1</w:t>
      </w:r>
      <w:r w:rsidR="00A65929">
        <w:rPr>
          <w:b/>
          <w:bCs/>
          <w:i/>
          <w:iCs/>
          <w:color w:val="333333"/>
          <w:shd w:val="clear" w:color="auto" w:fill="FFFFFF"/>
        </w:rPr>
        <w:t xml:space="preserve">. </w:t>
      </w:r>
      <w:r w:rsidRPr="00E90A55">
        <w:rPr>
          <w:b/>
          <w:bCs/>
          <w:i/>
          <w:iCs/>
          <w:color w:val="333333"/>
          <w:shd w:val="clear" w:color="auto" w:fill="FFFFFF"/>
        </w:rPr>
        <w:t xml:space="preserve"> Descriptive Statistics of Learners’ Perceptions</w:t>
      </w:r>
    </w:p>
    <w:p w14:paraId="637C9347" w14:textId="3FEC0C09" w:rsidR="00881C36" w:rsidRDefault="00AE6384" w:rsidP="00374F3D">
      <w:pPr>
        <w:pStyle w:val="NormalWeb"/>
        <w:shd w:val="clear" w:color="auto" w:fill="FFFFFF"/>
        <w:spacing w:before="0" w:beforeAutospacing="0" w:after="120" w:afterAutospacing="0" w:line="480" w:lineRule="auto"/>
        <w:ind w:firstLine="720"/>
        <w:jc w:val="both"/>
        <w:textAlignment w:val="baseline"/>
        <w:rPr>
          <w:color w:val="000000"/>
        </w:rPr>
      </w:pPr>
      <w:r w:rsidRPr="00AE6384">
        <w:rPr>
          <w:color w:val="000000"/>
        </w:rPr>
        <w:lastRenderedPageBreak/>
        <w:t>To address the first research question, descriptive statistics were computed based on students’ responses to the questionnaire, focusing on four key dimensions of teacher oral feedback: clarity, timing, focus, and affective tone. Overall, the findings suggest that learners tend to hold positive perceptions of teacher feedback in VSTEP speaking classes, with an average mean score of 3.90</w:t>
      </w:r>
      <w:r w:rsidR="00881C36" w:rsidRPr="009A3159">
        <w:rPr>
          <w:color w:val="000000"/>
        </w:rPr>
        <w:t>.</w:t>
      </w:r>
    </w:p>
    <w:p w14:paraId="67A3DE83" w14:textId="2B05D35B" w:rsidR="00151F79" w:rsidRPr="00151F79" w:rsidRDefault="00AE6384" w:rsidP="00C066BC">
      <w:pPr>
        <w:pStyle w:val="NormalWeb"/>
        <w:shd w:val="clear" w:color="auto" w:fill="FFFFFF"/>
        <w:spacing w:before="0" w:beforeAutospacing="0" w:after="120" w:afterAutospacing="0" w:line="480" w:lineRule="auto"/>
        <w:ind w:firstLine="720"/>
        <w:jc w:val="both"/>
        <w:textAlignment w:val="baseline"/>
        <w:rPr>
          <w:b/>
          <w:bCs/>
          <w:color w:val="000000"/>
        </w:rPr>
      </w:pPr>
      <w:r w:rsidRPr="00151F79">
        <w:rPr>
          <w:b/>
          <w:bCs/>
          <w:color w:val="000000"/>
        </w:rPr>
        <w:t xml:space="preserve">Table </w:t>
      </w:r>
      <w:r w:rsidR="00A43D97">
        <w:rPr>
          <w:b/>
          <w:bCs/>
          <w:color w:val="000000"/>
        </w:rPr>
        <w:t>3</w:t>
      </w:r>
    </w:p>
    <w:p w14:paraId="3A1C511A" w14:textId="23DCC5FA" w:rsidR="00A01ACE" w:rsidRDefault="00AE6384" w:rsidP="00C066BC">
      <w:pPr>
        <w:pStyle w:val="NormalWeb"/>
        <w:shd w:val="clear" w:color="auto" w:fill="FFFFFF"/>
        <w:spacing w:before="0" w:beforeAutospacing="0" w:after="120" w:afterAutospacing="0" w:line="480" w:lineRule="auto"/>
        <w:ind w:firstLine="720"/>
        <w:jc w:val="both"/>
        <w:textAlignment w:val="baseline"/>
        <w:rPr>
          <w:i/>
          <w:iCs/>
          <w:color w:val="000000"/>
        </w:rPr>
      </w:pPr>
      <w:r w:rsidRPr="00AE6384">
        <w:rPr>
          <w:i/>
          <w:iCs/>
          <w:color w:val="000000"/>
        </w:rPr>
        <w:t>Descriptive Statistics of Feedback Dimensions</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209"/>
        <w:gridCol w:w="1503"/>
        <w:gridCol w:w="1503"/>
        <w:gridCol w:w="1503"/>
        <w:gridCol w:w="1757"/>
      </w:tblGrid>
      <w:tr w:rsidR="00AE6384" w:rsidRPr="00A01ACE" w14:paraId="723F364B" w14:textId="77777777" w:rsidTr="00C066BC">
        <w:trPr>
          <w:trHeight w:val="890"/>
        </w:trPr>
        <w:tc>
          <w:tcPr>
            <w:tcW w:w="1795" w:type="dxa"/>
            <w:tcBorders>
              <w:top w:val="single" w:sz="4" w:space="0" w:color="auto"/>
              <w:bottom w:val="single" w:sz="4" w:space="0" w:color="auto"/>
            </w:tcBorders>
            <w:vAlign w:val="center"/>
          </w:tcPr>
          <w:p w14:paraId="1138B41F" w14:textId="3B8A1DFC" w:rsidR="00AE6384" w:rsidRPr="00417DB0" w:rsidRDefault="00AE6384" w:rsidP="00C066BC">
            <w:pPr>
              <w:pStyle w:val="NormalWeb"/>
              <w:spacing w:before="120" w:beforeAutospacing="0" w:after="60" w:afterAutospacing="0" w:line="480" w:lineRule="auto"/>
              <w:jc w:val="center"/>
              <w:textAlignment w:val="baseline"/>
              <w:rPr>
                <w:b/>
                <w:bCs/>
                <w:color w:val="000000"/>
                <w:sz w:val="20"/>
                <w:szCs w:val="20"/>
              </w:rPr>
            </w:pPr>
            <w:r w:rsidRPr="00417DB0">
              <w:rPr>
                <w:b/>
                <w:bCs/>
                <w:color w:val="000000"/>
                <w:sz w:val="20"/>
                <w:szCs w:val="20"/>
              </w:rPr>
              <w:t>Dimension</w:t>
            </w:r>
          </w:p>
        </w:tc>
        <w:tc>
          <w:tcPr>
            <w:tcW w:w="1209" w:type="dxa"/>
            <w:tcBorders>
              <w:top w:val="single" w:sz="4" w:space="0" w:color="auto"/>
              <w:bottom w:val="single" w:sz="4" w:space="0" w:color="auto"/>
            </w:tcBorders>
            <w:vAlign w:val="center"/>
          </w:tcPr>
          <w:p w14:paraId="4762BAF0" w14:textId="3CAD2437" w:rsidR="00AE6384" w:rsidRPr="00417DB0" w:rsidRDefault="00AE6384" w:rsidP="00151F79">
            <w:pPr>
              <w:pStyle w:val="NormalWeb"/>
              <w:spacing w:before="120" w:beforeAutospacing="0" w:after="60" w:afterAutospacing="0" w:line="480" w:lineRule="auto"/>
              <w:textAlignment w:val="baseline"/>
              <w:rPr>
                <w:b/>
                <w:bCs/>
                <w:color w:val="000000"/>
                <w:sz w:val="20"/>
                <w:szCs w:val="20"/>
              </w:rPr>
            </w:pPr>
            <w:r w:rsidRPr="00417DB0">
              <w:rPr>
                <w:b/>
                <w:bCs/>
                <w:color w:val="000000"/>
                <w:sz w:val="20"/>
                <w:szCs w:val="20"/>
              </w:rPr>
              <w:t>N</w:t>
            </w:r>
          </w:p>
        </w:tc>
        <w:tc>
          <w:tcPr>
            <w:tcW w:w="1503" w:type="dxa"/>
            <w:tcBorders>
              <w:top w:val="single" w:sz="4" w:space="0" w:color="auto"/>
              <w:bottom w:val="single" w:sz="4" w:space="0" w:color="auto"/>
            </w:tcBorders>
            <w:vAlign w:val="center"/>
          </w:tcPr>
          <w:p w14:paraId="31AA7370" w14:textId="33803DA8" w:rsidR="00AE6384" w:rsidRPr="00417DB0" w:rsidRDefault="00AE6384" w:rsidP="00C066BC">
            <w:pPr>
              <w:pStyle w:val="NormalWeb"/>
              <w:spacing w:before="120" w:beforeAutospacing="0" w:after="60" w:afterAutospacing="0" w:line="480" w:lineRule="auto"/>
              <w:jc w:val="center"/>
              <w:textAlignment w:val="baseline"/>
              <w:rPr>
                <w:b/>
                <w:bCs/>
                <w:color w:val="000000"/>
                <w:sz w:val="20"/>
                <w:szCs w:val="20"/>
              </w:rPr>
            </w:pPr>
            <w:r w:rsidRPr="00417DB0">
              <w:rPr>
                <w:b/>
                <w:bCs/>
                <w:color w:val="000000"/>
                <w:sz w:val="20"/>
                <w:szCs w:val="20"/>
              </w:rPr>
              <w:t>Min</w:t>
            </w:r>
          </w:p>
        </w:tc>
        <w:tc>
          <w:tcPr>
            <w:tcW w:w="1503" w:type="dxa"/>
            <w:tcBorders>
              <w:top w:val="single" w:sz="4" w:space="0" w:color="auto"/>
              <w:bottom w:val="single" w:sz="4" w:space="0" w:color="auto"/>
            </w:tcBorders>
            <w:vAlign w:val="center"/>
          </w:tcPr>
          <w:p w14:paraId="731B58E4" w14:textId="491DFAA7" w:rsidR="00AE6384" w:rsidRPr="00417DB0" w:rsidRDefault="00AE6384" w:rsidP="00C066BC">
            <w:pPr>
              <w:pStyle w:val="NormalWeb"/>
              <w:spacing w:before="120" w:beforeAutospacing="0" w:after="60" w:afterAutospacing="0" w:line="480" w:lineRule="auto"/>
              <w:jc w:val="center"/>
              <w:textAlignment w:val="baseline"/>
              <w:rPr>
                <w:b/>
                <w:bCs/>
                <w:color w:val="000000"/>
                <w:sz w:val="20"/>
                <w:szCs w:val="20"/>
              </w:rPr>
            </w:pPr>
            <w:r w:rsidRPr="00417DB0">
              <w:rPr>
                <w:b/>
                <w:bCs/>
                <w:color w:val="000000"/>
                <w:sz w:val="20"/>
                <w:szCs w:val="20"/>
              </w:rPr>
              <w:t>Max</w:t>
            </w:r>
          </w:p>
        </w:tc>
        <w:tc>
          <w:tcPr>
            <w:tcW w:w="1503" w:type="dxa"/>
            <w:tcBorders>
              <w:top w:val="single" w:sz="4" w:space="0" w:color="auto"/>
              <w:bottom w:val="single" w:sz="4" w:space="0" w:color="auto"/>
            </w:tcBorders>
            <w:vAlign w:val="center"/>
          </w:tcPr>
          <w:p w14:paraId="7B2E0E6C" w14:textId="0594430C" w:rsidR="00AE6384" w:rsidRPr="00417DB0" w:rsidRDefault="00AE6384" w:rsidP="00151F79">
            <w:pPr>
              <w:pStyle w:val="NormalWeb"/>
              <w:spacing w:before="120" w:beforeAutospacing="0" w:after="60" w:afterAutospacing="0" w:line="480" w:lineRule="auto"/>
              <w:jc w:val="center"/>
              <w:textAlignment w:val="baseline"/>
              <w:rPr>
                <w:b/>
                <w:bCs/>
                <w:color w:val="000000"/>
                <w:sz w:val="20"/>
                <w:szCs w:val="20"/>
              </w:rPr>
            </w:pPr>
            <w:r w:rsidRPr="00417DB0">
              <w:rPr>
                <w:b/>
                <w:bCs/>
                <w:color w:val="000000"/>
                <w:sz w:val="20"/>
                <w:szCs w:val="20"/>
              </w:rPr>
              <w:t>Mean</w:t>
            </w:r>
          </w:p>
        </w:tc>
        <w:tc>
          <w:tcPr>
            <w:tcW w:w="1757" w:type="dxa"/>
            <w:tcBorders>
              <w:top w:val="single" w:sz="4" w:space="0" w:color="auto"/>
              <w:bottom w:val="single" w:sz="4" w:space="0" w:color="auto"/>
            </w:tcBorders>
            <w:vAlign w:val="center"/>
          </w:tcPr>
          <w:p w14:paraId="30EC3F25" w14:textId="57172A82" w:rsidR="00AE6384" w:rsidRPr="00417DB0" w:rsidRDefault="00AE6384" w:rsidP="00151F79">
            <w:pPr>
              <w:pStyle w:val="NormalWeb"/>
              <w:spacing w:before="120" w:beforeAutospacing="0" w:after="60" w:afterAutospacing="0" w:line="480" w:lineRule="auto"/>
              <w:textAlignment w:val="baseline"/>
              <w:rPr>
                <w:b/>
                <w:bCs/>
                <w:color w:val="000000"/>
                <w:sz w:val="20"/>
                <w:szCs w:val="20"/>
              </w:rPr>
            </w:pPr>
            <w:r w:rsidRPr="00417DB0">
              <w:rPr>
                <w:b/>
                <w:bCs/>
                <w:color w:val="000000"/>
                <w:sz w:val="20"/>
                <w:szCs w:val="20"/>
              </w:rPr>
              <w:t xml:space="preserve">Std. Deviation </w:t>
            </w:r>
          </w:p>
        </w:tc>
      </w:tr>
      <w:tr w:rsidR="00AE6384" w:rsidRPr="00A01ACE" w14:paraId="252D72D2" w14:textId="77777777" w:rsidTr="00C066BC">
        <w:tc>
          <w:tcPr>
            <w:tcW w:w="1795" w:type="dxa"/>
            <w:tcBorders>
              <w:top w:val="single" w:sz="4" w:space="0" w:color="auto"/>
              <w:bottom w:val="single" w:sz="4" w:space="0" w:color="auto"/>
            </w:tcBorders>
            <w:vAlign w:val="center"/>
          </w:tcPr>
          <w:p w14:paraId="7E12E2DD" w14:textId="2589A25C"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Clarity</w:t>
            </w:r>
          </w:p>
        </w:tc>
        <w:tc>
          <w:tcPr>
            <w:tcW w:w="1209" w:type="dxa"/>
            <w:tcBorders>
              <w:top w:val="single" w:sz="4" w:space="0" w:color="auto"/>
              <w:bottom w:val="single" w:sz="4" w:space="0" w:color="auto"/>
            </w:tcBorders>
            <w:vAlign w:val="center"/>
          </w:tcPr>
          <w:p w14:paraId="35962FCC" w14:textId="51EE8F84" w:rsidR="00AE6384" w:rsidRPr="00C066BC" w:rsidRDefault="00A01ACE" w:rsidP="00151F79">
            <w:pPr>
              <w:pStyle w:val="NormalWeb"/>
              <w:spacing w:before="120" w:beforeAutospacing="0" w:after="60" w:afterAutospacing="0" w:line="480" w:lineRule="auto"/>
              <w:textAlignment w:val="baseline"/>
              <w:rPr>
                <w:color w:val="000000"/>
                <w:sz w:val="20"/>
                <w:szCs w:val="20"/>
              </w:rPr>
            </w:pPr>
            <w:r w:rsidRPr="00C066BC">
              <w:rPr>
                <w:color w:val="000000"/>
                <w:sz w:val="20"/>
                <w:szCs w:val="20"/>
              </w:rPr>
              <w:t>64</w:t>
            </w:r>
          </w:p>
        </w:tc>
        <w:tc>
          <w:tcPr>
            <w:tcW w:w="1503" w:type="dxa"/>
            <w:tcBorders>
              <w:top w:val="single" w:sz="4" w:space="0" w:color="auto"/>
              <w:bottom w:val="single" w:sz="4" w:space="0" w:color="auto"/>
            </w:tcBorders>
            <w:vAlign w:val="center"/>
          </w:tcPr>
          <w:p w14:paraId="5DB47428" w14:textId="1269802C"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2.80</w:t>
            </w:r>
          </w:p>
        </w:tc>
        <w:tc>
          <w:tcPr>
            <w:tcW w:w="1503" w:type="dxa"/>
            <w:tcBorders>
              <w:top w:val="single" w:sz="4" w:space="0" w:color="auto"/>
              <w:bottom w:val="single" w:sz="4" w:space="0" w:color="auto"/>
            </w:tcBorders>
            <w:vAlign w:val="center"/>
          </w:tcPr>
          <w:p w14:paraId="6ED91492" w14:textId="5634AA66"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5.00</w:t>
            </w:r>
          </w:p>
        </w:tc>
        <w:tc>
          <w:tcPr>
            <w:tcW w:w="1503" w:type="dxa"/>
            <w:tcBorders>
              <w:top w:val="single" w:sz="4" w:space="0" w:color="auto"/>
              <w:bottom w:val="single" w:sz="4" w:space="0" w:color="auto"/>
            </w:tcBorders>
            <w:vAlign w:val="center"/>
          </w:tcPr>
          <w:p w14:paraId="18F7106A" w14:textId="2A635F3B"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4.12</w:t>
            </w:r>
          </w:p>
        </w:tc>
        <w:tc>
          <w:tcPr>
            <w:tcW w:w="1757" w:type="dxa"/>
            <w:tcBorders>
              <w:top w:val="single" w:sz="4" w:space="0" w:color="auto"/>
              <w:bottom w:val="single" w:sz="4" w:space="0" w:color="auto"/>
            </w:tcBorders>
            <w:vAlign w:val="center"/>
          </w:tcPr>
          <w:p w14:paraId="593D7139" w14:textId="2E5831DE" w:rsidR="00AE6384" w:rsidRPr="00C066BC" w:rsidRDefault="00A01ACE" w:rsidP="00151F79">
            <w:pPr>
              <w:pStyle w:val="NormalWeb"/>
              <w:spacing w:before="120" w:beforeAutospacing="0" w:after="60" w:afterAutospacing="0" w:line="480" w:lineRule="auto"/>
              <w:textAlignment w:val="baseline"/>
              <w:rPr>
                <w:color w:val="000000"/>
                <w:sz w:val="20"/>
                <w:szCs w:val="20"/>
              </w:rPr>
            </w:pPr>
            <w:r w:rsidRPr="00C066BC">
              <w:rPr>
                <w:color w:val="000000"/>
                <w:sz w:val="20"/>
                <w:szCs w:val="20"/>
              </w:rPr>
              <w:t>0.56</w:t>
            </w:r>
          </w:p>
        </w:tc>
      </w:tr>
      <w:tr w:rsidR="00AE6384" w:rsidRPr="00A01ACE" w14:paraId="1ABF2D96" w14:textId="77777777" w:rsidTr="00C066BC">
        <w:tc>
          <w:tcPr>
            <w:tcW w:w="1795" w:type="dxa"/>
            <w:tcBorders>
              <w:top w:val="single" w:sz="4" w:space="0" w:color="auto"/>
              <w:bottom w:val="single" w:sz="4" w:space="0" w:color="auto"/>
            </w:tcBorders>
            <w:vAlign w:val="bottom"/>
          </w:tcPr>
          <w:p w14:paraId="5B9AB755" w14:textId="3432043F"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Focus</w:t>
            </w:r>
          </w:p>
        </w:tc>
        <w:tc>
          <w:tcPr>
            <w:tcW w:w="1209" w:type="dxa"/>
            <w:tcBorders>
              <w:top w:val="single" w:sz="4" w:space="0" w:color="auto"/>
              <w:bottom w:val="single" w:sz="4" w:space="0" w:color="auto"/>
            </w:tcBorders>
            <w:vAlign w:val="bottom"/>
          </w:tcPr>
          <w:p w14:paraId="597817F0" w14:textId="76173B86" w:rsidR="00AE6384" w:rsidRPr="00C066BC" w:rsidRDefault="00A01ACE" w:rsidP="00151F79">
            <w:pPr>
              <w:pStyle w:val="NormalWeb"/>
              <w:spacing w:before="120" w:beforeAutospacing="0" w:after="60" w:afterAutospacing="0" w:line="480" w:lineRule="auto"/>
              <w:textAlignment w:val="baseline"/>
              <w:rPr>
                <w:color w:val="000000"/>
                <w:sz w:val="20"/>
                <w:szCs w:val="20"/>
              </w:rPr>
            </w:pPr>
            <w:r w:rsidRPr="00C066BC">
              <w:rPr>
                <w:color w:val="000000"/>
                <w:sz w:val="20"/>
                <w:szCs w:val="20"/>
              </w:rPr>
              <w:t>64</w:t>
            </w:r>
          </w:p>
        </w:tc>
        <w:tc>
          <w:tcPr>
            <w:tcW w:w="1503" w:type="dxa"/>
            <w:tcBorders>
              <w:top w:val="single" w:sz="4" w:space="0" w:color="auto"/>
              <w:bottom w:val="single" w:sz="4" w:space="0" w:color="auto"/>
            </w:tcBorders>
            <w:vAlign w:val="bottom"/>
          </w:tcPr>
          <w:p w14:paraId="6F3B26C7" w14:textId="3E61FDCA"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2.75</w:t>
            </w:r>
          </w:p>
        </w:tc>
        <w:tc>
          <w:tcPr>
            <w:tcW w:w="1503" w:type="dxa"/>
            <w:tcBorders>
              <w:top w:val="single" w:sz="4" w:space="0" w:color="auto"/>
              <w:bottom w:val="single" w:sz="4" w:space="0" w:color="auto"/>
            </w:tcBorders>
            <w:vAlign w:val="bottom"/>
          </w:tcPr>
          <w:p w14:paraId="4B4BA344" w14:textId="10738984"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5.00</w:t>
            </w:r>
          </w:p>
        </w:tc>
        <w:tc>
          <w:tcPr>
            <w:tcW w:w="1503" w:type="dxa"/>
            <w:tcBorders>
              <w:top w:val="single" w:sz="4" w:space="0" w:color="auto"/>
              <w:bottom w:val="single" w:sz="4" w:space="0" w:color="auto"/>
            </w:tcBorders>
            <w:vAlign w:val="bottom"/>
          </w:tcPr>
          <w:p w14:paraId="2FC35506" w14:textId="5F9F2DA1"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4.05</w:t>
            </w:r>
          </w:p>
        </w:tc>
        <w:tc>
          <w:tcPr>
            <w:tcW w:w="1757" w:type="dxa"/>
            <w:tcBorders>
              <w:top w:val="single" w:sz="4" w:space="0" w:color="auto"/>
              <w:bottom w:val="single" w:sz="4" w:space="0" w:color="auto"/>
            </w:tcBorders>
            <w:vAlign w:val="bottom"/>
          </w:tcPr>
          <w:p w14:paraId="73A1A18A" w14:textId="228A9218" w:rsidR="00AE6384" w:rsidRPr="00C066BC" w:rsidRDefault="00A01ACE" w:rsidP="00151F79">
            <w:pPr>
              <w:pStyle w:val="NormalWeb"/>
              <w:spacing w:before="120" w:beforeAutospacing="0" w:after="60" w:afterAutospacing="0" w:line="480" w:lineRule="auto"/>
              <w:textAlignment w:val="baseline"/>
              <w:rPr>
                <w:color w:val="000000"/>
                <w:sz w:val="20"/>
                <w:szCs w:val="20"/>
              </w:rPr>
            </w:pPr>
            <w:r w:rsidRPr="00C066BC">
              <w:rPr>
                <w:color w:val="000000"/>
                <w:sz w:val="20"/>
                <w:szCs w:val="20"/>
              </w:rPr>
              <w:t>0.60</w:t>
            </w:r>
          </w:p>
        </w:tc>
      </w:tr>
      <w:tr w:rsidR="00AE6384" w:rsidRPr="00A01ACE" w14:paraId="41E9494F" w14:textId="77777777" w:rsidTr="00C066BC">
        <w:tc>
          <w:tcPr>
            <w:tcW w:w="1795" w:type="dxa"/>
            <w:tcBorders>
              <w:top w:val="single" w:sz="4" w:space="0" w:color="auto"/>
              <w:bottom w:val="single" w:sz="4" w:space="0" w:color="auto"/>
            </w:tcBorders>
            <w:vAlign w:val="bottom"/>
          </w:tcPr>
          <w:p w14:paraId="3344901C" w14:textId="644ECEA4"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Timing</w:t>
            </w:r>
          </w:p>
        </w:tc>
        <w:tc>
          <w:tcPr>
            <w:tcW w:w="1209" w:type="dxa"/>
            <w:tcBorders>
              <w:top w:val="single" w:sz="4" w:space="0" w:color="auto"/>
              <w:bottom w:val="single" w:sz="4" w:space="0" w:color="auto"/>
            </w:tcBorders>
            <w:vAlign w:val="bottom"/>
          </w:tcPr>
          <w:p w14:paraId="685959FC" w14:textId="402B8720" w:rsidR="00AE6384" w:rsidRPr="00C066BC" w:rsidRDefault="00A01ACE" w:rsidP="00151F79">
            <w:pPr>
              <w:pStyle w:val="NormalWeb"/>
              <w:spacing w:before="120" w:beforeAutospacing="0" w:after="60" w:afterAutospacing="0" w:line="480" w:lineRule="auto"/>
              <w:textAlignment w:val="baseline"/>
              <w:rPr>
                <w:color w:val="000000"/>
                <w:sz w:val="20"/>
                <w:szCs w:val="20"/>
              </w:rPr>
            </w:pPr>
            <w:r w:rsidRPr="00C066BC">
              <w:rPr>
                <w:color w:val="000000"/>
                <w:sz w:val="20"/>
                <w:szCs w:val="20"/>
              </w:rPr>
              <w:t>64</w:t>
            </w:r>
          </w:p>
        </w:tc>
        <w:tc>
          <w:tcPr>
            <w:tcW w:w="1503" w:type="dxa"/>
            <w:tcBorders>
              <w:top w:val="single" w:sz="4" w:space="0" w:color="auto"/>
              <w:bottom w:val="single" w:sz="4" w:space="0" w:color="auto"/>
            </w:tcBorders>
            <w:vAlign w:val="bottom"/>
          </w:tcPr>
          <w:p w14:paraId="46DE1441" w14:textId="2C8C9071"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2.50</w:t>
            </w:r>
          </w:p>
        </w:tc>
        <w:tc>
          <w:tcPr>
            <w:tcW w:w="1503" w:type="dxa"/>
            <w:tcBorders>
              <w:top w:val="single" w:sz="4" w:space="0" w:color="auto"/>
              <w:bottom w:val="single" w:sz="4" w:space="0" w:color="auto"/>
            </w:tcBorders>
            <w:vAlign w:val="bottom"/>
          </w:tcPr>
          <w:p w14:paraId="50BBD72E" w14:textId="79A04AE3"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5.00</w:t>
            </w:r>
          </w:p>
        </w:tc>
        <w:tc>
          <w:tcPr>
            <w:tcW w:w="1503" w:type="dxa"/>
            <w:tcBorders>
              <w:top w:val="single" w:sz="4" w:space="0" w:color="auto"/>
              <w:bottom w:val="single" w:sz="4" w:space="0" w:color="auto"/>
            </w:tcBorders>
            <w:vAlign w:val="bottom"/>
          </w:tcPr>
          <w:p w14:paraId="513AEA2F" w14:textId="2634C1F5"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3.85</w:t>
            </w:r>
          </w:p>
        </w:tc>
        <w:tc>
          <w:tcPr>
            <w:tcW w:w="1757" w:type="dxa"/>
            <w:tcBorders>
              <w:top w:val="single" w:sz="4" w:space="0" w:color="auto"/>
              <w:bottom w:val="single" w:sz="4" w:space="0" w:color="auto"/>
            </w:tcBorders>
            <w:vAlign w:val="bottom"/>
          </w:tcPr>
          <w:p w14:paraId="5C36EB2F" w14:textId="562197D0" w:rsidR="00AE6384" w:rsidRPr="00C066BC" w:rsidRDefault="00A01ACE" w:rsidP="00151F79">
            <w:pPr>
              <w:pStyle w:val="NormalWeb"/>
              <w:spacing w:before="120" w:beforeAutospacing="0" w:after="60" w:afterAutospacing="0" w:line="480" w:lineRule="auto"/>
              <w:textAlignment w:val="baseline"/>
              <w:rPr>
                <w:color w:val="000000"/>
                <w:sz w:val="20"/>
                <w:szCs w:val="20"/>
              </w:rPr>
            </w:pPr>
            <w:r w:rsidRPr="00C066BC">
              <w:rPr>
                <w:color w:val="000000"/>
                <w:sz w:val="20"/>
                <w:szCs w:val="20"/>
              </w:rPr>
              <w:t>0.64</w:t>
            </w:r>
          </w:p>
        </w:tc>
      </w:tr>
      <w:tr w:rsidR="00AE6384" w:rsidRPr="00A01ACE" w14:paraId="49709810" w14:textId="77777777" w:rsidTr="00C066BC">
        <w:tc>
          <w:tcPr>
            <w:tcW w:w="1795" w:type="dxa"/>
            <w:tcBorders>
              <w:top w:val="single" w:sz="4" w:space="0" w:color="auto"/>
              <w:bottom w:val="single" w:sz="4" w:space="0" w:color="auto"/>
            </w:tcBorders>
            <w:vAlign w:val="bottom"/>
          </w:tcPr>
          <w:p w14:paraId="2DAE305F" w14:textId="43285C6F"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Affective Tone</w:t>
            </w:r>
          </w:p>
        </w:tc>
        <w:tc>
          <w:tcPr>
            <w:tcW w:w="1209" w:type="dxa"/>
            <w:tcBorders>
              <w:top w:val="single" w:sz="4" w:space="0" w:color="auto"/>
              <w:bottom w:val="single" w:sz="4" w:space="0" w:color="auto"/>
            </w:tcBorders>
            <w:vAlign w:val="bottom"/>
          </w:tcPr>
          <w:p w14:paraId="0E8269BB" w14:textId="4D73102D" w:rsidR="00AE6384" w:rsidRPr="00C066BC" w:rsidRDefault="00A01ACE" w:rsidP="00137A5A">
            <w:pPr>
              <w:pStyle w:val="NormalWeb"/>
              <w:spacing w:before="120" w:beforeAutospacing="0" w:after="60" w:afterAutospacing="0" w:line="480" w:lineRule="auto"/>
              <w:textAlignment w:val="baseline"/>
              <w:rPr>
                <w:color w:val="000000"/>
                <w:sz w:val="20"/>
                <w:szCs w:val="20"/>
              </w:rPr>
            </w:pPr>
            <w:r w:rsidRPr="00C066BC">
              <w:rPr>
                <w:color w:val="000000"/>
                <w:sz w:val="20"/>
                <w:szCs w:val="20"/>
              </w:rPr>
              <w:t>64</w:t>
            </w:r>
          </w:p>
        </w:tc>
        <w:tc>
          <w:tcPr>
            <w:tcW w:w="1503" w:type="dxa"/>
            <w:tcBorders>
              <w:top w:val="single" w:sz="4" w:space="0" w:color="auto"/>
              <w:bottom w:val="single" w:sz="4" w:space="0" w:color="auto"/>
            </w:tcBorders>
            <w:vAlign w:val="bottom"/>
          </w:tcPr>
          <w:p w14:paraId="3C1EEDC5" w14:textId="4FBBC145"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2.30</w:t>
            </w:r>
          </w:p>
        </w:tc>
        <w:tc>
          <w:tcPr>
            <w:tcW w:w="1503" w:type="dxa"/>
            <w:tcBorders>
              <w:top w:val="single" w:sz="4" w:space="0" w:color="auto"/>
              <w:bottom w:val="single" w:sz="4" w:space="0" w:color="auto"/>
            </w:tcBorders>
            <w:vAlign w:val="bottom"/>
          </w:tcPr>
          <w:p w14:paraId="0994794F" w14:textId="7BCD6A5C"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5.00</w:t>
            </w:r>
          </w:p>
        </w:tc>
        <w:tc>
          <w:tcPr>
            <w:tcW w:w="1503" w:type="dxa"/>
            <w:tcBorders>
              <w:top w:val="single" w:sz="4" w:space="0" w:color="auto"/>
              <w:bottom w:val="single" w:sz="4" w:space="0" w:color="auto"/>
            </w:tcBorders>
            <w:vAlign w:val="bottom"/>
          </w:tcPr>
          <w:p w14:paraId="1FFE7DE7" w14:textId="3AAF92FF"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3.60</w:t>
            </w:r>
          </w:p>
        </w:tc>
        <w:tc>
          <w:tcPr>
            <w:tcW w:w="1757" w:type="dxa"/>
            <w:tcBorders>
              <w:top w:val="single" w:sz="4" w:space="0" w:color="auto"/>
              <w:bottom w:val="single" w:sz="4" w:space="0" w:color="auto"/>
            </w:tcBorders>
            <w:vAlign w:val="bottom"/>
          </w:tcPr>
          <w:p w14:paraId="0130D539" w14:textId="279DAC49" w:rsidR="00AE6384" w:rsidRPr="00C066BC" w:rsidRDefault="00A01ACE" w:rsidP="00137A5A">
            <w:pPr>
              <w:pStyle w:val="NormalWeb"/>
              <w:spacing w:before="120" w:beforeAutospacing="0" w:after="60" w:afterAutospacing="0" w:line="480" w:lineRule="auto"/>
              <w:textAlignment w:val="baseline"/>
              <w:rPr>
                <w:color w:val="000000"/>
                <w:sz w:val="20"/>
                <w:szCs w:val="20"/>
              </w:rPr>
            </w:pPr>
            <w:r w:rsidRPr="00C066BC">
              <w:rPr>
                <w:color w:val="000000"/>
                <w:sz w:val="20"/>
                <w:szCs w:val="20"/>
              </w:rPr>
              <w:t>0.72</w:t>
            </w:r>
          </w:p>
        </w:tc>
      </w:tr>
      <w:tr w:rsidR="00AE6384" w:rsidRPr="00A01ACE" w14:paraId="0D473968" w14:textId="77777777" w:rsidTr="00C066BC">
        <w:tc>
          <w:tcPr>
            <w:tcW w:w="1795" w:type="dxa"/>
            <w:tcBorders>
              <w:top w:val="single" w:sz="4" w:space="0" w:color="auto"/>
              <w:bottom w:val="single" w:sz="4" w:space="0" w:color="auto"/>
            </w:tcBorders>
            <w:vAlign w:val="bottom"/>
          </w:tcPr>
          <w:p w14:paraId="7F868C08" w14:textId="045D24A6"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Overall</w:t>
            </w:r>
          </w:p>
        </w:tc>
        <w:tc>
          <w:tcPr>
            <w:tcW w:w="1209" w:type="dxa"/>
            <w:tcBorders>
              <w:top w:val="single" w:sz="4" w:space="0" w:color="auto"/>
              <w:bottom w:val="single" w:sz="4" w:space="0" w:color="auto"/>
            </w:tcBorders>
            <w:vAlign w:val="bottom"/>
          </w:tcPr>
          <w:p w14:paraId="67B6FBA0" w14:textId="0E39F079" w:rsidR="00AE6384" w:rsidRPr="00C066BC" w:rsidRDefault="00A01ACE" w:rsidP="00137A5A">
            <w:pPr>
              <w:pStyle w:val="NormalWeb"/>
              <w:spacing w:before="120" w:beforeAutospacing="0" w:after="60" w:afterAutospacing="0" w:line="480" w:lineRule="auto"/>
              <w:textAlignment w:val="baseline"/>
              <w:rPr>
                <w:color w:val="000000"/>
                <w:sz w:val="20"/>
                <w:szCs w:val="20"/>
              </w:rPr>
            </w:pPr>
            <w:r w:rsidRPr="00C066BC">
              <w:rPr>
                <w:color w:val="000000"/>
                <w:sz w:val="20"/>
                <w:szCs w:val="20"/>
              </w:rPr>
              <w:t>64</w:t>
            </w:r>
          </w:p>
        </w:tc>
        <w:tc>
          <w:tcPr>
            <w:tcW w:w="1503" w:type="dxa"/>
            <w:tcBorders>
              <w:top w:val="single" w:sz="4" w:space="0" w:color="auto"/>
              <w:bottom w:val="single" w:sz="4" w:space="0" w:color="auto"/>
            </w:tcBorders>
            <w:vAlign w:val="bottom"/>
          </w:tcPr>
          <w:p w14:paraId="71E0188A" w14:textId="6A1738C3"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2.70</w:t>
            </w:r>
          </w:p>
        </w:tc>
        <w:tc>
          <w:tcPr>
            <w:tcW w:w="1503" w:type="dxa"/>
            <w:tcBorders>
              <w:top w:val="single" w:sz="4" w:space="0" w:color="auto"/>
              <w:bottom w:val="single" w:sz="4" w:space="0" w:color="auto"/>
            </w:tcBorders>
            <w:vAlign w:val="bottom"/>
          </w:tcPr>
          <w:p w14:paraId="3D1A6A28" w14:textId="2142BB32"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5.00</w:t>
            </w:r>
          </w:p>
        </w:tc>
        <w:tc>
          <w:tcPr>
            <w:tcW w:w="1503" w:type="dxa"/>
            <w:tcBorders>
              <w:top w:val="single" w:sz="4" w:space="0" w:color="auto"/>
              <w:bottom w:val="single" w:sz="4" w:space="0" w:color="auto"/>
            </w:tcBorders>
            <w:vAlign w:val="bottom"/>
          </w:tcPr>
          <w:p w14:paraId="39675C78" w14:textId="43E26F81" w:rsidR="00AE6384" w:rsidRPr="00C066BC" w:rsidRDefault="00A01ACE" w:rsidP="00C066BC">
            <w:pPr>
              <w:pStyle w:val="NormalWeb"/>
              <w:spacing w:before="120" w:beforeAutospacing="0" w:after="60" w:afterAutospacing="0" w:line="480" w:lineRule="auto"/>
              <w:jc w:val="center"/>
              <w:textAlignment w:val="baseline"/>
              <w:rPr>
                <w:color w:val="000000"/>
                <w:sz w:val="20"/>
                <w:szCs w:val="20"/>
              </w:rPr>
            </w:pPr>
            <w:r w:rsidRPr="00C066BC">
              <w:rPr>
                <w:color w:val="000000"/>
                <w:sz w:val="20"/>
                <w:szCs w:val="20"/>
              </w:rPr>
              <w:t>3.90</w:t>
            </w:r>
          </w:p>
        </w:tc>
        <w:tc>
          <w:tcPr>
            <w:tcW w:w="1757" w:type="dxa"/>
            <w:tcBorders>
              <w:top w:val="single" w:sz="4" w:space="0" w:color="auto"/>
              <w:bottom w:val="single" w:sz="4" w:space="0" w:color="auto"/>
            </w:tcBorders>
            <w:vAlign w:val="bottom"/>
          </w:tcPr>
          <w:p w14:paraId="4D533C90" w14:textId="616E4C64" w:rsidR="00AE6384" w:rsidRPr="00C066BC" w:rsidRDefault="00A01ACE" w:rsidP="00137A5A">
            <w:pPr>
              <w:pStyle w:val="NormalWeb"/>
              <w:spacing w:before="120" w:beforeAutospacing="0" w:after="60" w:afterAutospacing="0" w:line="480" w:lineRule="auto"/>
              <w:textAlignment w:val="baseline"/>
              <w:rPr>
                <w:color w:val="000000"/>
                <w:sz w:val="20"/>
                <w:szCs w:val="20"/>
              </w:rPr>
            </w:pPr>
            <w:r w:rsidRPr="00C066BC">
              <w:rPr>
                <w:color w:val="000000"/>
                <w:sz w:val="20"/>
                <w:szCs w:val="20"/>
              </w:rPr>
              <w:t>0.58</w:t>
            </w:r>
          </w:p>
        </w:tc>
      </w:tr>
    </w:tbl>
    <w:p w14:paraId="0E212745" w14:textId="0FBC32C2" w:rsidR="00AE6384" w:rsidRPr="00AE6384" w:rsidRDefault="009A48F7" w:rsidP="00AE6384">
      <w:pPr>
        <w:pStyle w:val="NormalWeb"/>
        <w:shd w:val="clear" w:color="auto" w:fill="FFFFFF"/>
        <w:spacing w:before="0" w:beforeAutospacing="0" w:after="120" w:afterAutospacing="0" w:line="480" w:lineRule="auto"/>
        <w:jc w:val="both"/>
        <w:textAlignment w:val="baseline"/>
        <w:rPr>
          <w:color w:val="000000"/>
        </w:rPr>
      </w:pPr>
      <w:r w:rsidRPr="009A48F7">
        <w:rPr>
          <w:i/>
          <w:iCs/>
          <w:color w:val="000000"/>
        </w:rPr>
        <w:t>Note</w:t>
      </w:r>
      <w:r>
        <w:rPr>
          <w:i/>
          <w:iCs/>
          <w:color w:val="000000"/>
        </w:rPr>
        <w:t>.</w:t>
      </w:r>
      <w:r w:rsidRPr="009A48F7">
        <w:rPr>
          <w:color w:val="000000"/>
        </w:rPr>
        <w:t xml:space="preserve"> N = 64; values are based on a 5-point Likert scale.</w:t>
      </w:r>
    </w:p>
    <w:p w14:paraId="3D2AE3CF" w14:textId="30895DFA" w:rsidR="006A0AE2" w:rsidRPr="00E90A55" w:rsidRDefault="00E90A55" w:rsidP="00374F3D">
      <w:pPr>
        <w:pStyle w:val="NormalWeb"/>
        <w:shd w:val="clear" w:color="auto" w:fill="FFFFFF"/>
        <w:spacing w:before="0" w:beforeAutospacing="0" w:after="120" w:afterAutospacing="0" w:line="480" w:lineRule="auto"/>
        <w:ind w:firstLine="720"/>
        <w:jc w:val="both"/>
        <w:textAlignment w:val="baseline"/>
        <w:rPr>
          <w:color w:val="000000"/>
          <w:shd w:val="clear" w:color="auto" w:fill="FFFFFF"/>
        </w:rPr>
      </w:pPr>
      <w:r w:rsidRPr="00E90A55">
        <w:rPr>
          <w:color w:val="000000"/>
        </w:rPr>
        <w:t>As shown in Table 3, feedback clarity and feedback focus received the highest mean scores, indicating that learners particularly valued oral feedback that was clear, explicit, task-related, and easy to apply in subsequent speaking activities. By contrast, affective tone received the lowest mean score, suggesting greater variation in how learners perceived the emotional quality of teacher feedback. Overall, these findings indicate that learners generally held positive perceptions of teacher oral feedback, especially when feedback was understandable and directly related to speaking tasks</w:t>
      </w:r>
      <w:r w:rsidR="00A43867" w:rsidRPr="00E90A55">
        <w:rPr>
          <w:color w:val="000000"/>
          <w:shd w:val="clear" w:color="auto" w:fill="FFFFFF"/>
        </w:rPr>
        <w:t>.</w:t>
      </w:r>
    </w:p>
    <w:p w14:paraId="09251D47" w14:textId="1F3ED4BA" w:rsidR="002334D9" w:rsidRPr="00C066BC" w:rsidRDefault="00C066BC" w:rsidP="00C066BC">
      <w:pPr>
        <w:pStyle w:val="NormalWeb"/>
        <w:shd w:val="clear" w:color="auto" w:fill="FFFFFF"/>
        <w:spacing w:before="0" w:beforeAutospacing="0" w:after="120" w:afterAutospacing="0" w:line="480" w:lineRule="auto"/>
        <w:ind w:firstLine="720"/>
        <w:jc w:val="both"/>
        <w:textAlignment w:val="baseline"/>
      </w:pPr>
      <w:r w:rsidRPr="00C066BC">
        <w:t>By contrast, feedback timing was rated at a moderate level (M</w:t>
      </w:r>
      <w:r w:rsidR="00A740B3">
        <w:t>ean</w:t>
      </w:r>
      <w:r w:rsidRPr="00C066BC">
        <w:t xml:space="preserve"> = 3.85), reflecting some differences in learners’ preferences regarding when feedback should be provided during </w:t>
      </w:r>
      <w:r w:rsidRPr="00C066BC">
        <w:lastRenderedPageBreak/>
        <w:t>or after speaking tasks. The lowest mean score was observed for affective tone (M</w:t>
      </w:r>
      <w:r w:rsidR="00A740B3">
        <w:t>ean</w:t>
      </w:r>
      <w:r w:rsidRPr="00C066BC">
        <w:t xml:space="preserve"> = 3.60), which may indicate that students have more varied experiences in terms of how feedback is delivered emotionally. This is further reflected in the relatively higher standard deviation (SD = 0.72), suggesting greater variability in learners’ responses to the emotional dimension of feedback.</w:t>
      </w:r>
    </w:p>
    <w:p w14:paraId="02D9938B" w14:textId="177D1C22" w:rsidR="006A0AE2" w:rsidRPr="00750234" w:rsidRDefault="00C066BC" w:rsidP="00C066BC">
      <w:pPr>
        <w:pStyle w:val="RALs-TableCaption"/>
        <w:rPr>
          <w:rFonts w:cs="Times New Roman"/>
          <w:b/>
          <w:bCs/>
          <w:i/>
          <w:iCs/>
          <w:sz w:val="24"/>
          <w:szCs w:val="24"/>
        </w:rPr>
      </w:pPr>
      <w:r w:rsidRPr="00750234">
        <w:rPr>
          <w:rFonts w:cs="Times New Roman"/>
          <w:b/>
          <w:bCs/>
          <w:i/>
          <w:iCs/>
          <w:sz w:val="24"/>
          <w:szCs w:val="24"/>
        </w:rPr>
        <w:t>4.2</w:t>
      </w:r>
      <w:r w:rsidR="00A97061">
        <w:rPr>
          <w:rFonts w:cs="Times New Roman"/>
          <w:b/>
          <w:bCs/>
          <w:i/>
          <w:iCs/>
          <w:sz w:val="24"/>
          <w:szCs w:val="24"/>
        </w:rPr>
        <w:t>.</w:t>
      </w:r>
      <w:r w:rsidRPr="00750234">
        <w:rPr>
          <w:rFonts w:cs="Times New Roman"/>
          <w:b/>
          <w:bCs/>
          <w:i/>
          <w:iCs/>
          <w:sz w:val="24"/>
          <w:szCs w:val="24"/>
        </w:rPr>
        <w:t xml:space="preserve"> Correlation Analysis </w:t>
      </w:r>
    </w:p>
    <w:p w14:paraId="6FFDE035" w14:textId="47BF6686" w:rsidR="00722EDE" w:rsidRPr="00D1778C" w:rsidRDefault="00D1778C" w:rsidP="00374F3D">
      <w:pPr>
        <w:spacing w:after="0" w:line="480" w:lineRule="auto"/>
        <w:rPr>
          <w:rFonts w:cs="Times New Roman"/>
          <w:color w:val="333333"/>
          <w:sz w:val="24"/>
          <w:szCs w:val="24"/>
          <w:shd w:val="clear" w:color="auto" w:fill="FFFFFF"/>
        </w:rPr>
      </w:pPr>
      <w:r w:rsidRPr="00D1778C">
        <w:rPr>
          <w:rFonts w:cs="Times New Roman"/>
          <w:color w:val="333333"/>
          <w:sz w:val="24"/>
          <w:szCs w:val="24"/>
          <w:shd w:val="clear" w:color="auto" w:fill="FFFFFF"/>
        </w:rPr>
        <w:t>To address the second research question, Pearson correlation analysis was conducted to examine the relationships between different dimensions of teacher oral feedback and learners’ perceived speaking development as well as their perceived confidence. The results reveal several statistically significant associations among the variables</w:t>
      </w:r>
      <w:r w:rsidR="00C47E23" w:rsidRPr="00D1778C">
        <w:rPr>
          <w:rFonts w:cs="Times New Roman"/>
          <w:color w:val="333333"/>
          <w:sz w:val="24"/>
          <w:szCs w:val="24"/>
          <w:shd w:val="clear" w:color="auto" w:fill="FFFFFF"/>
        </w:rPr>
        <w:t>.</w:t>
      </w:r>
    </w:p>
    <w:p w14:paraId="04E8097E" w14:textId="73D81F8C" w:rsidR="00137A5A" w:rsidRPr="00137A5A" w:rsidRDefault="00417DB0" w:rsidP="00374F3D">
      <w:pPr>
        <w:spacing w:after="0" w:line="480" w:lineRule="auto"/>
        <w:rPr>
          <w:rFonts w:cs="Times New Roman"/>
          <w:b/>
          <w:bCs/>
          <w:sz w:val="24"/>
          <w:szCs w:val="24"/>
        </w:rPr>
      </w:pPr>
      <w:r w:rsidRPr="00137A5A">
        <w:rPr>
          <w:rFonts w:cs="Times New Roman"/>
          <w:b/>
          <w:bCs/>
          <w:sz w:val="24"/>
          <w:szCs w:val="24"/>
        </w:rPr>
        <w:t xml:space="preserve">Table </w:t>
      </w:r>
      <w:r w:rsidR="00750234">
        <w:rPr>
          <w:rFonts w:cs="Times New Roman"/>
          <w:b/>
          <w:bCs/>
          <w:sz w:val="24"/>
          <w:szCs w:val="24"/>
        </w:rPr>
        <w:t>4</w:t>
      </w:r>
    </w:p>
    <w:p w14:paraId="20398D04" w14:textId="21924EDC" w:rsidR="00417DB0" w:rsidRPr="00137A5A" w:rsidRDefault="00417DB0" w:rsidP="00374F3D">
      <w:pPr>
        <w:spacing w:after="0" w:line="480" w:lineRule="auto"/>
        <w:rPr>
          <w:rFonts w:cs="Times New Roman"/>
          <w:i/>
          <w:iCs/>
          <w:sz w:val="24"/>
          <w:szCs w:val="24"/>
        </w:rPr>
      </w:pPr>
      <w:r w:rsidRPr="00137A5A">
        <w:rPr>
          <w:rFonts w:cs="Times New Roman"/>
          <w:i/>
          <w:iCs/>
          <w:sz w:val="24"/>
          <w:szCs w:val="24"/>
        </w:rPr>
        <w:t>Correlation between Feedback Dimensions and Learning Outcomes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066BC" w14:paraId="1F45AAF5" w14:textId="77777777" w:rsidTr="00C066BC">
        <w:tc>
          <w:tcPr>
            <w:tcW w:w="3005" w:type="dxa"/>
            <w:tcBorders>
              <w:top w:val="single" w:sz="4" w:space="0" w:color="auto"/>
              <w:bottom w:val="single" w:sz="4" w:space="0" w:color="auto"/>
            </w:tcBorders>
            <w:vAlign w:val="center"/>
          </w:tcPr>
          <w:p w14:paraId="72364846" w14:textId="293B0A42" w:rsidR="00C066BC" w:rsidRPr="00417DB0" w:rsidRDefault="00C066BC" w:rsidP="00C066BC">
            <w:pPr>
              <w:pStyle w:val="RALs-Normal"/>
              <w:ind w:firstLine="0"/>
              <w:jc w:val="left"/>
              <w:rPr>
                <w:rFonts w:cs="Times New Roman"/>
                <w:b/>
                <w:bCs/>
                <w:sz w:val="24"/>
                <w:szCs w:val="24"/>
              </w:rPr>
            </w:pPr>
            <w:r w:rsidRPr="00417DB0">
              <w:rPr>
                <w:b/>
                <w:bCs/>
              </w:rPr>
              <w:t>Variables</w:t>
            </w:r>
          </w:p>
        </w:tc>
        <w:tc>
          <w:tcPr>
            <w:tcW w:w="3005" w:type="dxa"/>
            <w:tcBorders>
              <w:top w:val="single" w:sz="4" w:space="0" w:color="auto"/>
              <w:bottom w:val="single" w:sz="4" w:space="0" w:color="auto"/>
            </w:tcBorders>
            <w:vAlign w:val="center"/>
          </w:tcPr>
          <w:p w14:paraId="277F9C1E" w14:textId="1C96FB3C" w:rsidR="00C066BC" w:rsidRPr="009C221D" w:rsidRDefault="009C221D" w:rsidP="00C066BC">
            <w:pPr>
              <w:pStyle w:val="RALs-Normal"/>
              <w:ind w:firstLine="0"/>
              <w:jc w:val="left"/>
              <w:rPr>
                <w:rFonts w:cs="Times New Roman"/>
                <w:b/>
                <w:bCs/>
                <w:szCs w:val="20"/>
              </w:rPr>
            </w:pPr>
            <w:r w:rsidRPr="009C221D">
              <w:rPr>
                <w:rFonts w:cs="Times New Roman"/>
                <w:b/>
                <w:bCs/>
                <w:szCs w:val="20"/>
              </w:rPr>
              <w:t>Perceived Speaking Development</w:t>
            </w:r>
          </w:p>
        </w:tc>
        <w:tc>
          <w:tcPr>
            <w:tcW w:w="3006" w:type="dxa"/>
            <w:tcBorders>
              <w:top w:val="single" w:sz="4" w:space="0" w:color="auto"/>
              <w:bottom w:val="single" w:sz="4" w:space="0" w:color="auto"/>
            </w:tcBorders>
            <w:vAlign w:val="center"/>
          </w:tcPr>
          <w:p w14:paraId="6594F9F2" w14:textId="68C6479B" w:rsidR="00C066BC" w:rsidRPr="00417DB0" w:rsidRDefault="009C221D" w:rsidP="00C066BC">
            <w:pPr>
              <w:pStyle w:val="RALs-Normal"/>
              <w:ind w:firstLine="0"/>
              <w:jc w:val="left"/>
              <w:rPr>
                <w:rFonts w:cs="Times New Roman"/>
                <w:b/>
                <w:bCs/>
                <w:sz w:val="24"/>
                <w:szCs w:val="24"/>
              </w:rPr>
            </w:pPr>
            <w:r w:rsidRPr="009C221D">
              <w:rPr>
                <w:b/>
                <w:bCs/>
              </w:rPr>
              <w:t>Perceived Confidence</w:t>
            </w:r>
          </w:p>
        </w:tc>
      </w:tr>
      <w:tr w:rsidR="00C066BC" w14:paraId="53BC8173" w14:textId="77777777" w:rsidTr="00C066BC">
        <w:tc>
          <w:tcPr>
            <w:tcW w:w="3005" w:type="dxa"/>
            <w:tcBorders>
              <w:top w:val="single" w:sz="4" w:space="0" w:color="auto"/>
              <w:bottom w:val="single" w:sz="4" w:space="0" w:color="auto"/>
            </w:tcBorders>
            <w:vAlign w:val="center"/>
          </w:tcPr>
          <w:p w14:paraId="4EBC3E03" w14:textId="204A82E9" w:rsidR="00C066BC" w:rsidRDefault="00C066BC" w:rsidP="00C066BC">
            <w:pPr>
              <w:pStyle w:val="RALs-Normal"/>
              <w:ind w:firstLine="0"/>
              <w:rPr>
                <w:rFonts w:cs="Times New Roman"/>
                <w:sz w:val="24"/>
                <w:szCs w:val="24"/>
              </w:rPr>
            </w:pPr>
            <w:r>
              <w:t>Clarity</w:t>
            </w:r>
          </w:p>
        </w:tc>
        <w:tc>
          <w:tcPr>
            <w:tcW w:w="3005" w:type="dxa"/>
            <w:tcBorders>
              <w:top w:val="single" w:sz="4" w:space="0" w:color="auto"/>
              <w:bottom w:val="single" w:sz="4" w:space="0" w:color="auto"/>
            </w:tcBorders>
            <w:vAlign w:val="center"/>
          </w:tcPr>
          <w:p w14:paraId="26A3DE18" w14:textId="658CF9D6" w:rsidR="00C066BC" w:rsidRDefault="00C066BC" w:rsidP="00C066BC">
            <w:pPr>
              <w:pStyle w:val="RALs-Normal"/>
              <w:ind w:firstLine="0"/>
              <w:rPr>
                <w:rFonts w:cs="Times New Roman"/>
                <w:sz w:val="24"/>
                <w:szCs w:val="24"/>
              </w:rPr>
            </w:pPr>
            <w:r>
              <w:t>.62**</w:t>
            </w:r>
          </w:p>
        </w:tc>
        <w:tc>
          <w:tcPr>
            <w:tcW w:w="3006" w:type="dxa"/>
            <w:tcBorders>
              <w:top w:val="single" w:sz="4" w:space="0" w:color="auto"/>
              <w:bottom w:val="single" w:sz="4" w:space="0" w:color="auto"/>
            </w:tcBorders>
            <w:vAlign w:val="center"/>
          </w:tcPr>
          <w:p w14:paraId="778C12DC" w14:textId="6C5974BC" w:rsidR="00C066BC" w:rsidRDefault="00C066BC" w:rsidP="00C066BC">
            <w:pPr>
              <w:pStyle w:val="RALs-Normal"/>
              <w:ind w:firstLine="0"/>
              <w:rPr>
                <w:rFonts w:cs="Times New Roman"/>
                <w:sz w:val="24"/>
                <w:szCs w:val="24"/>
              </w:rPr>
            </w:pPr>
            <w:r>
              <w:t>.58**</w:t>
            </w:r>
          </w:p>
        </w:tc>
      </w:tr>
      <w:tr w:rsidR="00C066BC" w14:paraId="74868FE8" w14:textId="77777777" w:rsidTr="00C066BC">
        <w:tc>
          <w:tcPr>
            <w:tcW w:w="3005" w:type="dxa"/>
            <w:tcBorders>
              <w:top w:val="single" w:sz="4" w:space="0" w:color="auto"/>
              <w:bottom w:val="single" w:sz="4" w:space="0" w:color="auto"/>
            </w:tcBorders>
            <w:vAlign w:val="center"/>
          </w:tcPr>
          <w:p w14:paraId="01BEF89D" w14:textId="3EE04303" w:rsidR="00C066BC" w:rsidRDefault="00C066BC" w:rsidP="00C066BC">
            <w:pPr>
              <w:pStyle w:val="RALs-Normal"/>
              <w:ind w:firstLine="0"/>
              <w:rPr>
                <w:rFonts w:cs="Times New Roman"/>
                <w:sz w:val="24"/>
                <w:szCs w:val="24"/>
              </w:rPr>
            </w:pPr>
            <w:r>
              <w:t>Focus</w:t>
            </w:r>
          </w:p>
        </w:tc>
        <w:tc>
          <w:tcPr>
            <w:tcW w:w="3005" w:type="dxa"/>
            <w:tcBorders>
              <w:top w:val="single" w:sz="4" w:space="0" w:color="auto"/>
              <w:bottom w:val="single" w:sz="4" w:space="0" w:color="auto"/>
            </w:tcBorders>
            <w:vAlign w:val="center"/>
          </w:tcPr>
          <w:p w14:paraId="16545EBA" w14:textId="3C77A787" w:rsidR="00C066BC" w:rsidRDefault="00C066BC" w:rsidP="00C066BC">
            <w:pPr>
              <w:pStyle w:val="RALs-Normal"/>
              <w:ind w:firstLine="0"/>
              <w:rPr>
                <w:rFonts w:cs="Times New Roman"/>
                <w:sz w:val="24"/>
                <w:szCs w:val="24"/>
              </w:rPr>
            </w:pPr>
            <w:r>
              <w:t>.59**</w:t>
            </w:r>
          </w:p>
        </w:tc>
        <w:tc>
          <w:tcPr>
            <w:tcW w:w="3006" w:type="dxa"/>
            <w:tcBorders>
              <w:top w:val="single" w:sz="4" w:space="0" w:color="auto"/>
              <w:bottom w:val="single" w:sz="4" w:space="0" w:color="auto"/>
            </w:tcBorders>
            <w:vAlign w:val="center"/>
          </w:tcPr>
          <w:p w14:paraId="3DC2C82F" w14:textId="5562ACED" w:rsidR="00C066BC" w:rsidRDefault="00C066BC" w:rsidP="00C066BC">
            <w:pPr>
              <w:pStyle w:val="RALs-Normal"/>
              <w:ind w:firstLine="0"/>
              <w:rPr>
                <w:rFonts w:cs="Times New Roman"/>
                <w:sz w:val="24"/>
                <w:szCs w:val="24"/>
              </w:rPr>
            </w:pPr>
            <w:r>
              <w:t>.55**</w:t>
            </w:r>
          </w:p>
        </w:tc>
      </w:tr>
      <w:tr w:rsidR="00C066BC" w14:paraId="4CCDFA47" w14:textId="77777777" w:rsidTr="00C066BC">
        <w:tc>
          <w:tcPr>
            <w:tcW w:w="3005" w:type="dxa"/>
            <w:tcBorders>
              <w:top w:val="single" w:sz="4" w:space="0" w:color="auto"/>
              <w:bottom w:val="single" w:sz="4" w:space="0" w:color="auto"/>
            </w:tcBorders>
            <w:vAlign w:val="center"/>
          </w:tcPr>
          <w:p w14:paraId="694BB981" w14:textId="4590D37E" w:rsidR="00C066BC" w:rsidRDefault="00C066BC" w:rsidP="00C066BC">
            <w:pPr>
              <w:pStyle w:val="RALs-Normal"/>
              <w:ind w:firstLine="0"/>
              <w:rPr>
                <w:rFonts w:cs="Times New Roman"/>
                <w:sz w:val="24"/>
                <w:szCs w:val="24"/>
              </w:rPr>
            </w:pPr>
            <w:r>
              <w:t>Timing</w:t>
            </w:r>
          </w:p>
        </w:tc>
        <w:tc>
          <w:tcPr>
            <w:tcW w:w="3005" w:type="dxa"/>
            <w:tcBorders>
              <w:top w:val="single" w:sz="4" w:space="0" w:color="auto"/>
              <w:bottom w:val="single" w:sz="4" w:space="0" w:color="auto"/>
            </w:tcBorders>
            <w:vAlign w:val="center"/>
          </w:tcPr>
          <w:p w14:paraId="19187E61" w14:textId="600E68FB" w:rsidR="00C066BC" w:rsidRDefault="00C066BC" w:rsidP="00C066BC">
            <w:pPr>
              <w:pStyle w:val="RALs-Normal"/>
              <w:ind w:firstLine="0"/>
              <w:rPr>
                <w:rFonts w:cs="Times New Roman"/>
                <w:sz w:val="24"/>
                <w:szCs w:val="24"/>
              </w:rPr>
            </w:pPr>
            <w:r>
              <w:t>.41*</w:t>
            </w:r>
          </w:p>
        </w:tc>
        <w:tc>
          <w:tcPr>
            <w:tcW w:w="3006" w:type="dxa"/>
            <w:tcBorders>
              <w:top w:val="single" w:sz="4" w:space="0" w:color="auto"/>
              <w:bottom w:val="single" w:sz="4" w:space="0" w:color="auto"/>
            </w:tcBorders>
            <w:vAlign w:val="center"/>
          </w:tcPr>
          <w:p w14:paraId="5BB51405" w14:textId="23DE47B7" w:rsidR="00C066BC" w:rsidRDefault="00C066BC" w:rsidP="00C066BC">
            <w:pPr>
              <w:pStyle w:val="RALs-Normal"/>
              <w:ind w:firstLine="0"/>
              <w:rPr>
                <w:rFonts w:cs="Times New Roman"/>
                <w:sz w:val="24"/>
                <w:szCs w:val="24"/>
              </w:rPr>
            </w:pPr>
            <w:r>
              <w:t>.38*</w:t>
            </w:r>
          </w:p>
        </w:tc>
      </w:tr>
      <w:tr w:rsidR="00C066BC" w14:paraId="55963BCF" w14:textId="77777777" w:rsidTr="00C066BC">
        <w:tc>
          <w:tcPr>
            <w:tcW w:w="3005" w:type="dxa"/>
            <w:tcBorders>
              <w:top w:val="single" w:sz="4" w:space="0" w:color="auto"/>
              <w:bottom w:val="single" w:sz="4" w:space="0" w:color="auto"/>
            </w:tcBorders>
            <w:vAlign w:val="center"/>
          </w:tcPr>
          <w:p w14:paraId="1507564E" w14:textId="21720BDA" w:rsidR="00C066BC" w:rsidRDefault="00C066BC" w:rsidP="00C066BC">
            <w:pPr>
              <w:pStyle w:val="RALs-Normal"/>
              <w:ind w:firstLine="0"/>
              <w:rPr>
                <w:rFonts w:cs="Times New Roman"/>
                <w:sz w:val="24"/>
                <w:szCs w:val="24"/>
              </w:rPr>
            </w:pPr>
            <w:r>
              <w:t>Affective Tone</w:t>
            </w:r>
          </w:p>
        </w:tc>
        <w:tc>
          <w:tcPr>
            <w:tcW w:w="3005" w:type="dxa"/>
            <w:tcBorders>
              <w:top w:val="single" w:sz="4" w:space="0" w:color="auto"/>
              <w:bottom w:val="single" w:sz="4" w:space="0" w:color="auto"/>
            </w:tcBorders>
            <w:vAlign w:val="center"/>
          </w:tcPr>
          <w:p w14:paraId="5586A003" w14:textId="2F3D71E7" w:rsidR="00C066BC" w:rsidRDefault="00C066BC" w:rsidP="00C066BC">
            <w:pPr>
              <w:pStyle w:val="RALs-Normal"/>
              <w:ind w:firstLine="0"/>
              <w:rPr>
                <w:rFonts w:cs="Times New Roman"/>
                <w:sz w:val="24"/>
                <w:szCs w:val="24"/>
              </w:rPr>
            </w:pPr>
            <w:r>
              <w:t>.35*</w:t>
            </w:r>
          </w:p>
        </w:tc>
        <w:tc>
          <w:tcPr>
            <w:tcW w:w="3006" w:type="dxa"/>
            <w:tcBorders>
              <w:top w:val="single" w:sz="4" w:space="0" w:color="auto"/>
              <w:bottom w:val="single" w:sz="4" w:space="0" w:color="auto"/>
            </w:tcBorders>
            <w:vAlign w:val="center"/>
          </w:tcPr>
          <w:p w14:paraId="28B57D57" w14:textId="63477E3D" w:rsidR="00C066BC" w:rsidRDefault="00C066BC" w:rsidP="00C066BC">
            <w:pPr>
              <w:pStyle w:val="RALs-Normal"/>
              <w:ind w:firstLine="0"/>
              <w:rPr>
                <w:rFonts w:cs="Times New Roman"/>
                <w:sz w:val="24"/>
                <w:szCs w:val="24"/>
              </w:rPr>
            </w:pPr>
            <w:r>
              <w:t>.52**</w:t>
            </w:r>
          </w:p>
        </w:tc>
      </w:tr>
    </w:tbl>
    <w:p w14:paraId="1218B799" w14:textId="20C06CD9" w:rsidR="00AD29B9" w:rsidRDefault="00AD29B9" w:rsidP="0012778A">
      <w:pPr>
        <w:pStyle w:val="RALs-Normal"/>
        <w:spacing w:line="240" w:lineRule="auto"/>
        <w:ind w:firstLine="0"/>
        <w:rPr>
          <w:rFonts w:cs="Times New Roman"/>
          <w:sz w:val="24"/>
          <w:szCs w:val="24"/>
        </w:rPr>
      </w:pPr>
      <w:r w:rsidRPr="009A3159">
        <w:rPr>
          <w:rFonts w:cs="Times New Roman"/>
          <w:i/>
          <w:iCs/>
          <w:sz w:val="24"/>
          <w:szCs w:val="24"/>
        </w:rPr>
        <w:t>Note</w:t>
      </w:r>
      <w:r w:rsidR="00C51D2A" w:rsidRPr="009A3159">
        <w:rPr>
          <w:rFonts w:cs="Times New Roman"/>
          <w:sz w:val="24"/>
          <w:szCs w:val="24"/>
        </w:rPr>
        <w:t>.</w:t>
      </w:r>
      <w:r w:rsidRPr="009A3159">
        <w:rPr>
          <w:rFonts w:cs="Times New Roman"/>
          <w:sz w:val="24"/>
          <w:szCs w:val="24"/>
        </w:rPr>
        <w:t xml:space="preserve"> </w:t>
      </w:r>
      <w:r w:rsidR="00C066BC" w:rsidRPr="00C066BC">
        <w:rPr>
          <w:rFonts w:cs="Times New Roman"/>
          <w:sz w:val="24"/>
          <w:szCs w:val="24"/>
        </w:rPr>
        <w:t xml:space="preserve">The values of </w:t>
      </w:r>
      <w:r w:rsidR="00C066BC" w:rsidRPr="00C066BC">
        <w:rPr>
          <w:rFonts w:cs="Times New Roman"/>
          <w:i/>
          <w:iCs/>
          <w:sz w:val="24"/>
          <w:szCs w:val="24"/>
        </w:rPr>
        <w:t>p</w:t>
      </w:r>
      <w:r w:rsidR="00C066BC" w:rsidRPr="00C066BC">
        <w:rPr>
          <w:rFonts w:cs="Times New Roman"/>
          <w:sz w:val="24"/>
          <w:szCs w:val="24"/>
        </w:rPr>
        <w:t xml:space="preserve"> indicate the level of statistical significance of the correlations. A result is considered statistically significant at </w:t>
      </w:r>
      <w:r w:rsidR="00C066BC" w:rsidRPr="00C066BC">
        <w:rPr>
          <w:rFonts w:cs="Times New Roman"/>
          <w:i/>
          <w:iCs/>
          <w:sz w:val="24"/>
          <w:szCs w:val="24"/>
        </w:rPr>
        <w:t>p</w:t>
      </w:r>
      <w:r w:rsidR="00C066BC" w:rsidRPr="00C066BC">
        <w:rPr>
          <w:rFonts w:cs="Times New Roman"/>
          <w:sz w:val="24"/>
          <w:szCs w:val="24"/>
        </w:rPr>
        <w:t xml:space="preserve"> &lt; .05, meaning there is less than a 5% probability that the relationship occurred by chance. A stronger level of significance is indicated by </w:t>
      </w:r>
      <w:r w:rsidR="00C066BC" w:rsidRPr="00C066BC">
        <w:rPr>
          <w:rFonts w:cs="Times New Roman"/>
          <w:i/>
          <w:iCs/>
          <w:sz w:val="24"/>
          <w:szCs w:val="24"/>
        </w:rPr>
        <w:t>p</w:t>
      </w:r>
      <w:r w:rsidR="00C066BC" w:rsidRPr="00C066BC">
        <w:rPr>
          <w:rFonts w:cs="Times New Roman"/>
          <w:sz w:val="24"/>
          <w:szCs w:val="24"/>
        </w:rPr>
        <w:t xml:space="preserve"> &lt; .01 (marked by **), suggesting a higher level of confidence in the reliability of the results.</w:t>
      </w:r>
    </w:p>
    <w:p w14:paraId="499A722C" w14:textId="2A3DFCCC" w:rsidR="009C221D" w:rsidRPr="009C221D" w:rsidRDefault="009C221D" w:rsidP="009C221D">
      <w:pPr>
        <w:pStyle w:val="RALs-Heading1"/>
        <w:spacing w:before="120" w:after="60" w:line="480" w:lineRule="auto"/>
        <w:ind w:left="0" w:firstLine="288"/>
        <w:jc w:val="both"/>
        <w:rPr>
          <w:rFonts w:cs="Times New Roman"/>
          <w:b w:val="0"/>
          <w:bCs w:val="0"/>
          <w:sz w:val="24"/>
          <w:szCs w:val="24"/>
        </w:rPr>
      </w:pPr>
      <w:r w:rsidRPr="009C221D">
        <w:rPr>
          <w:rFonts w:cs="Times New Roman"/>
          <w:b w:val="0"/>
          <w:bCs w:val="0"/>
          <w:sz w:val="24"/>
          <w:szCs w:val="24"/>
        </w:rPr>
        <w:t xml:space="preserve">As shown in Table </w:t>
      </w:r>
      <w:r w:rsidR="009B587A">
        <w:rPr>
          <w:rFonts w:cs="Times New Roman"/>
          <w:b w:val="0"/>
          <w:bCs w:val="0"/>
          <w:sz w:val="24"/>
          <w:szCs w:val="24"/>
        </w:rPr>
        <w:t>4</w:t>
      </w:r>
      <w:r w:rsidRPr="009C221D">
        <w:rPr>
          <w:rFonts w:cs="Times New Roman"/>
          <w:b w:val="0"/>
          <w:bCs w:val="0"/>
          <w:sz w:val="24"/>
          <w:szCs w:val="24"/>
        </w:rPr>
        <w:t>, feedback clarity demonstrated a strong positive correlation with learners’ perceived speaking development (</w:t>
      </w:r>
      <w:r w:rsidRPr="009C221D">
        <w:rPr>
          <w:rFonts w:cs="Times New Roman"/>
          <w:b w:val="0"/>
          <w:bCs w:val="0"/>
          <w:i/>
          <w:iCs/>
          <w:sz w:val="24"/>
          <w:szCs w:val="24"/>
        </w:rPr>
        <w:t>r</w:t>
      </w:r>
      <w:r w:rsidRPr="009C221D">
        <w:rPr>
          <w:rFonts w:cs="Times New Roman"/>
          <w:b w:val="0"/>
          <w:bCs w:val="0"/>
          <w:sz w:val="24"/>
          <w:szCs w:val="24"/>
        </w:rPr>
        <w:t xml:space="preserve"> = .62, </w:t>
      </w:r>
      <w:r w:rsidRPr="009C221D">
        <w:rPr>
          <w:rFonts w:cs="Times New Roman"/>
          <w:b w:val="0"/>
          <w:bCs w:val="0"/>
          <w:i/>
          <w:iCs/>
          <w:sz w:val="24"/>
          <w:szCs w:val="24"/>
        </w:rPr>
        <w:t>p</w:t>
      </w:r>
      <w:r w:rsidRPr="009C221D">
        <w:rPr>
          <w:rFonts w:cs="Times New Roman"/>
          <w:b w:val="0"/>
          <w:bCs w:val="0"/>
          <w:sz w:val="24"/>
          <w:szCs w:val="24"/>
        </w:rPr>
        <w:t xml:space="preserve"> &lt; .01) and perceived confidence (</w:t>
      </w:r>
      <w:r w:rsidRPr="009C221D">
        <w:rPr>
          <w:rFonts w:cs="Times New Roman"/>
          <w:b w:val="0"/>
          <w:bCs w:val="0"/>
          <w:i/>
          <w:iCs/>
          <w:sz w:val="24"/>
          <w:szCs w:val="24"/>
        </w:rPr>
        <w:t>r</w:t>
      </w:r>
      <w:r w:rsidRPr="009C221D">
        <w:rPr>
          <w:rFonts w:cs="Times New Roman"/>
          <w:b w:val="0"/>
          <w:bCs w:val="0"/>
          <w:sz w:val="24"/>
          <w:szCs w:val="24"/>
        </w:rPr>
        <w:t xml:space="preserve"> = .58, </w:t>
      </w:r>
      <w:r w:rsidRPr="009C221D">
        <w:rPr>
          <w:rFonts w:cs="Times New Roman"/>
          <w:b w:val="0"/>
          <w:bCs w:val="0"/>
          <w:i/>
          <w:iCs/>
          <w:sz w:val="24"/>
          <w:szCs w:val="24"/>
        </w:rPr>
        <w:t>p</w:t>
      </w:r>
      <w:r w:rsidRPr="009C221D">
        <w:rPr>
          <w:rFonts w:cs="Times New Roman"/>
          <w:b w:val="0"/>
          <w:bCs w:val="0"/>
          <w:sz w:val="24"/>
          <w:szCs w:val="24"/>
        </w:rPr>
        <w:t xml:space="preserve"> &lt; .01). Similarly, feedback focus was positively correlated with both perceived speaking development (</w:t>
      </w:r>
      <w:r w:rsidRPr="009C221D">
        <w:rPr>
          <w:rFonts w:cs="Times New Roman"/>
          <w:b w:val="0"/>
          <w:bCs w:val="0"/>
          <w:i/>
          <w:iCs/>
          <w:sz w:val="24"/>
          <w:szCs w:val="24"/>
        </w:rPr>
        <w:t>r</w:t>
      </w:r>
      <w:r w:rsidRPr="009C221D">
        <w:rPr>
          <w:rFonts w:cs="Times New Roman"/>
          <w:b w:val="0"/>
          <w:bCs w:val="0"/>
          <w:sz w:val="24"/>
          <w:szCs w:val="24"/>
        </w:rPr>
        <w:t xml:space="preserve"> = .59, </w:t>
      </w:r>
      <w:r w:rsidRPr="009C221D">
        <w:rPr>
          <w:rFonts w:cs="Times New Roman"/>
          <w:b w:val="0"/>
          <w:bCs w:val="0"/>
          <w:i/>
          <w:iCs/>
          <w:sz w:val="24"/>
          <w:szCs w:val="24"/>
        </w:rPr>
        <w:t>p</w:t>
      </w:r>
      <w:r w:rsidRPr="009C221D">
        <w:rPr>
          <w:rFonts w:cs="Times New Roman"/>
          <w:b w:val="0"/>
          <w:bCs w:val="0"/>
          <w:sz w:val="24"/>
          <w:szCs w:val="24"/>
        </w:rPr>
        <w:t xml:space="preserve"> &lt; .01) and perceived confidence (</w:t>
      </w:r>
      <w:r w:rsidRPr="009C221D">
        <w:rPr>
          <w:rFonts w:cs="Times New Roman"/>
          <w:b w:val="0"/>
          <w:bCs w:val="0"/>
          <w:i/>
          <w:iCs/>
          <w:sz w:val="24"/>
          <w:szCs w:val="24"/>
        </w:rPr>
        <w:t>r</w:t>
      </w:r>
      <w:r w:rsidRPr="009C221D">
        <w:rPr>
          <w:rFonts w:cs="Times New Roman"/>
          <w:b w:val="0"/>
          <w:bCs w:val="0"/>
          <w:sz w:val="24"/>
          <w:szCs w:val="24"/>
        </w:rPr>
        <w:t xml:space="preserve"> = .55, </w:t>
      </w:r>
      <w:r w:rsidRPr="009C221D">
        <w:rPr>
          <w:rFonts w:cs="Times New Roman"/>
          <w:b w:val="0"/>
          <w:bCs w:val="0"/>
          <w:i/>
          <w:iCs/>
          <w:sz w:val="24"/>
          <w:szCs w:val="24"/>
        </w:rPr>
        <w:t>p</w:t>
      </w:r>
      <w:r w:rsidRPr="009C221D">
        <w:rPr>
          <w:rFonts w:cs="Times New Roman"/>
          <w:b w:val="0"/>
          <w:bCs w:val="0"/>
          <w:sz w:val="24"/>
          <w:szCs w:val="24"/>
        </w:rPr>
        <w:t xml:space="preserve"> &lt; .01). These findings </w:t>
      </w:r>
      <w:r w:rsidRPr="009C221D">
        <w:rPr>
          <w:rFonts w:cs="Times New Roman"/>
          <w:b w:val="0"/>
          <w:bCs w:val="0"/>
          <w:sz w:val="24"/>
          <w:szCs w:val="24"/>
        </w:rPr>
        <w:lastRenderedPageBreak/>
        <w:t>indicate that learners who perceived teacher feedback as clearer and more task-focused also tended to report higher levels of perceived speaking development and confidence.</w:t>
      </w:r>
    </w:p>
    <w:p w14:paraId="451ACB44" w14:textId="77777777" w:rsidR="009C221D" w:rsidRPr="009C221D" w:rsidRDefault="009C221D" w:rsidP="009C221D">
      <w:pPr>
        <w:pStyle w:val="RALs-Heading1"/>
        <w:spacing w:before="120" w:after="60" w:line="480" w:lineRule="auto"/>
        <w:ind w:left="0" w:firstLine="288"/>
        <w:jc w:val="both"/>
        <w:rPr>
          <w:rFonts w:cs="Times New Roman"/>
          <w:b w:val="0"/>
          <w:bCs w:val="0"/>
          <w:sz w:val="24"/>
          <w:szCs w:val="24"/>
        </w:rPr>
      </w:pPr>
      <w:r w:rsidRPr="009C221D">
        <w:rPr>
          <w:rFonts w:cs="Times New Roman"/>
          <w:b w:val="0"/>
          <w:bCs w:val="0"/>
          <w:sz w:val="24"/>
          <w:szCs w:val="24"/>
        </w:rPr>
        <w:t>By comparison, feedback timing showed a moderate positive correlation with perceived speaking development (</w:t>
      </w:r>
      <w:r w:rsidRPr="009C221D">
        <w:rPr>
          <w:rFonts w:cs="Times New Roman"/>
          <w:b w:val="0"/>
          <w:bCs w:val="0"/>
          <w:i/>
          <w:iCs/>
          <w:sz w:val="24"/>
          <w:szCs w:val="24"/>
        </w:rPr>
        <w:t>r</w:t>
      </w:r>
      <w:r w:rsidRPr="009C221D">
        <w:rPr>
          <w:rFonts w:cs="Times New Roman"/>
          <w:b w:val="0"/>
          <w:bCs w:val="0"/>
          <w:sz w:val="24"/>
          <w:szCs w:val="24"/>
        </w:rPr>
        <w:t xml:space="preserve"> = .41, </w:t>
      </w:r>
      <w:r w:rsidRPr="009C221D">
        <w:rPr>
          <w:rFonts w:cs="Times New Roman"/>
          <w:b w:val="0"/>
          <w:bCs w:val="0"/>
          <w:i/>
          <w:iCs/>
          <w:sz w:val="24"/>
          <w:szCs w:val="24"/>
        </w:rPr>
        <w:t>p</w:t>
      </w:r>
      <w:r w:rsidRPr="009C221D">
        <w:rPr>
          <w:rFonts w:cs="Times New Roman"/>
          <w:b w:val="0"/>
          <w:bCs w:val="0"/>
          <w:sz w:val="24"/>
          <w:szCs w:val="24"/>
        </w:rPr>
        <w:t xml:space="preserve"> &lt; .05), whereas affective tone demonstrated a stronger correlation with perceived confidence (</w:t>
      </w:r>
      <w:r w:rsidRPr="009C221D">
        <w:rPr>
          <w:rFonts w:cs="Times New Roman"/>
          <w:b w:val="0"/>
          <w:bCs w:val="0"/>
          <w:i/>
          <w:iCs/>
          <w:sz w:val="24"/>
          <w:szCs w:val="24"/>
        </w:rPr>
        <w:t>r</w:t>
      </w:r>
      <w:r w:rsidRPr="009C221D">
        <w:rPr>
          <w:rFonts w:cs="Times New Roman"/>
          <w:b w:val="0"/>
          <w:bCs w:val="0"/>
          <w:sz w:val="24"/>
          <w:szCs w:val="24"/>
        </w:rPr>
        <w:t xml:space="preserve"> = .52, </w:t>
      </w:r>
      <w:r w:rsidRPr="009C221D">
        <w:rPr>
          <w:rFonts w:cs="Times New Roman"/>
          <w:b w:val="0"/>
          <w:bCs w:val="0"/>
          <w:i/>
          <w:iCs/>
          <w:sz w:val="24"/>
          <w:szCs w:val="24"/>
        </w:rPr>
        <w:t>p</w:t>
      </w:r>
      <w:r w:rsidRPr="009C221D">
        <w:rPr>
          <w:rFonts w:cs="Times New Roman"/>
          <w:b w:val="0"/>
          <w:bCs w:val="0"/>
          <w:sz w:val="24"/>
          <w:szCs w:val="24"/>
        </w:rPr>
        <w:t xml:space="preserve"> &lt; .01) than with perceived speaking development (</w:t>
      </w:r>
      <w:r w:rsidRPr="009C221D">
        <w:rPr>
          <w:rFonts w:cs="Times New Roman"/>
          <w:b w:val="0"/>
          <w:bCs w:val="0"/>
          <w:i/>
          <w:iCs/>
          <w:sz w:val="24"/>
          <w:szCs w:val="24"/>
        </w:rPr>
        <w:t>r</w:t>
      </w:r>
      <w:r w:rsidRPr="009C221D">
        <w:rPr>
          <w:rFonts w:cs="Times New Roman"/>
          <w:b w:val="0"/>
          <w:bCs w:val="0"/>
          <w:sz w:val="24"/>
          <w:szCs w:val="24"/>
        </w:rPr>
        <w:t xml:space="preserve"> = .35, </w:t>
      </w:r>
      <w:r w:rsidRPr="009C221D">
        <w:rPr>
          <w:rFonts w:cs="Times New Roman"/>
          <w:b w:val="0"/>
          <w:bCs w:val="0"/>
          <w:i/>
          <w:iCs/>
          <w:sz w:val="24"/>
          <w:szCs w:val="24"/>
        </w:rPr>
        <w:t>p</w:t>
      </w:r>
      <w:r w:rsidRPr="009C221D">
        <w:rPr>
          <w:rFonts w:cs="Times New Roman"/>
          <w:b w:val="0"/>
          <w:bCs w:val="0"/>
          <w:sz w:val="24"/>
          <w:szCs w:val="24"/>
        </w:rPr>
        <w:t xml:space="preserve"> &lt; .05). These associations suggest that different dimensions of teacher oral feedback may relate to different aspects of learners’ perceptions. However, because the study employed a correlational design based on self-reported questionnaire data, these relationships should not be interpreted as evidence of causal effects.</w:t>
      </w:r>
    </w:p>
    <w:p w14:paraId="59482918" w14:textId="77777777" w:rsidR="00722EDE" w:rsidRPr="009A3159" w:rsidRDefault="00722EDE" w:rsidP="00722EDE">
      <w:pPr>
        <w:pStyle w:val="RALs-Heading1"/>
        <w:rPr>
          <w:rFonts w:cs="Times New Roman"/>
          <w:sz w:val="24"/>
          <w:szCs w:val="24"/>
        </w:rPr>
      </w:pPr>
      <w:r w:rsidRPr="009A3159">
        <w:rPr>
          <w:rFonts w:cs="Times New Roman"/>
          <w:sz w:val="24"/>
          <w:szCs w:val="24"/>
        </w:rPr>
        <w:t xml:space="preserve">5. Discussion </w:t>
      </w:r>
    </w:p>
    <w:p w14:paraId="49137724" w14:textId="77777777" w:rsidR="002F094C" w:rsidRPr="002F094C" w:rsidRDefault="002F094C" w:rsidP="002F094C">
      <w:pPr>
        <w:spacing w:line="480" w:lineRule="auto"/>
        <w:rPr>
          <w:rFonts w:cs="Times New Roman"/>
          <w:sz w:val="24"/>
          <w:szCs w:val="24"/>
        </w:rPr>
      </w:pPr>
      <w:r w:rsidRPr="002F094C">
        <w:rPr>
          <w:rFonts w:cs="Times New Roman"/>
          <w:sz w:val="24"/>
          <w:szCs w:val="24"/>
        </w:rPr>
        <w:t>The findings of this study provide a more nuanced understanding of learners’ perceptions of teacher oral feedback in VSTEP speaking preparation, directly addressing the two research questions.</w:t>
      </w:r>
    </w:p>
    <w:p w14:paraId="0ACE8144" w14:textId="400FE098" w:rsidR="002F094C" w:rsidRPr="002F094C" w:rsidRDefault="002F094C" w:rsidP="002F094C">
      <w:pPr>
        <w:spacing w:line="480" w:lineRule="auto"/>
        <w:rPr>
          <w:rFonts w:cs="Times New Roman"/>
          <w:sz w:val="24"/>
          <w:szCs w:val="24"/>
        </w:rPr>
      </w:pPr>
      <w:r w:rsidRPr="002F094C">
        <w:rPr>
          <w:rFonts w:cs="Times New Roman"/>
          <w:sz w:val="24"/>
          <w:szCs w:val="24"/>
        </w:rPr>
        <w:t>With regard to the first research question, the results indicate that learners generally hold positive perceptions of teacher oral feedback, particularly in terms of clarity and focus. These dimensions were not only rated highest but also consistently associated with learners’ sense of usefulness and relevance. This suggests that learners value feedback that is explicit, structured, and closely aligned with task requirements, as it enables them to better understand performance expectations and identify areas for improvement. This finding supports Winstone and Carless (2021), who emphasize that feedback only becomes effective when learners can meaningfully interpret and act upon it. Similarly, Tai et al. (2022) highlight the importance of feedback that enhances learners’ evaluative judgment and task understanding.</w:t>
      </w:r>
      <w:r w:rsidR="00454DF4">
        <w:rPr>
          <w:rFonts w:cs="Times New Roman"/>
          <w:sz w:val="24"/>
          <w:szCs w:val="24"/>
        </w:rPr>
        <w:t xml:space="preserve"> </w:t>
      </w:r>
      <w:r w:rsidR="00454DF4" w:rsidRPr="00454DF4">
        <w:rPr>
          <w:rFonts w:cs="Times New Roman"/>
          <w:sz w:val="24"/>
          <w:szCs w:val="24"/>
        </w:rPr>
        <w:t>This pattern may be partly explained by the nature of VSTEP as a high-stakes speaking examination. Because learners are preparing for an assessment in which speaking performance is evaluated against clearly defined criteria, they are likely to place greater value on feedback that is explicit, task-</w:t>
      </w:r>
      <w:r w:rsidR="00454DF4" w:rsidRPr="00454DF4">
        <w:rPr>
          <w:rFonts w:cs="Times New Roman"/>
          <w:sz w:val="24"/>
          <w:szCs w:val="24"/>
        </w:rPr>
        <w:lastRenderedPageBreak/>
        <w:t>focused, and immediately applicable. Clear guidance may help learners better understand performance expectations, identify specific weaknesses, and prioritize areas for improvement during test preparation. In this context, clarity and focus appear to be particularly meaningful because they reduce uncertainty and provide learners with practical directions for subsequent speaking practice.</w:t>
      </w:r>
    </w:p>
    <w:p w14:paraId="2F41B15F" w14:textId="77777777" w:rsidR="002F094C" w:rsidRPr="002F094C" w:rsidRDefault="002F094C" w:rsidP="002F094C">
      <w:pPr>
        <w:spacing w:line="480" w:lineRule="auto"/>
        <w:rPr>
          <w:rFonts w:cs="Times New Roman"/>
          <w:sz w:val="24"/>
          <w:szCs w:val="24"/>
        </w:rPr>
      </w:pPr>
      <w:r w:rsidRPr="002F094C">
        <w:rPr>
          <w:rFonts w:cs="Times New Roman"/>
          <w:sz w:val="24"/>
          <w:szCs w:val="24"/>
        </w:rPr>
        <w:t>However, learners’ perceptions were less consistent with regard to timing and affective tone, indicating that feedback is experienced not only as a cognitive resource but also as a socially and emotionally mediated process. In particular, the relatively lower rating of affective tone suggests that learners may be sensitive to how feedback is delivered, especially in high-pressure speaking contexts. This aligns with Han and Hyland (2023), who argue that feedback is inherently relational, and that its effectiveness depends on how it is emotionally received by learners.</w:t>
      </w:r>
    </w:p>
    <w:p w14:paraId="063E4EAD" w14:textId="77777777" w:rsidR="002F094C" w:rsidRPr="002F094C" w:rsidRDefault="002F094C" w:rsidP="002F094C">
      <w:pPr>
        <w:spacing w:line="480" w:lineRule="auto"/>
        <w:rPr>
          <w:rFonts w:cs="Times New Roman"/>
          <w:sz w:val="24"/>
          <w:szCs w:val="24"/>
        </w:rPr>
      </w:pPr>
      <w:r w:rsidRPr="002F094C">
        <w:rPr>
          <w:rFonts w:cs="Times New Roman"/>
          <w:sz w:val="24"/>
          <w:szCs w:val="24"/>
        </w:rPr>
        <w:t>In relation to the second research question, the findings reveal that different feedback dimensions play distinct roles in shaping learners’ perceived speaking development and communicative confidence. Specifically, clarity and focus demonstrate strong relationships with speaking development, suggesting that cognitively oriented feedback is more influential in helping learners improve their performance. By contrast, affective tone shows a stronger association with confidence, highlighting the role of emotional support in fostering learners’ willingness to communicate. This indicates that while cognitive clarity facilitates learning, emotional factors are equally important in sustaining engagement, particularly in speaking activities that require real-time performance.</w:t>
      </w:r>
    </w:p>
    <w:p w14:paraId="1F5CE910" w14:textId="77777777" w:rsidR="002F094C" w:rsidRPr="002F094C" w:rsidRDefault="002F094C" w:rsidP="002F094C">
      <w:pPr>
        <w:spacing w:line="480" w:lineRule="auto"/>
        <w:rPr>
          <w:rFonts w:cs="Times New Roman"/>
          <w:sz w:val="24"/>
          <w:szCs w:val="24"/>
        </w:rPr>
      </w:pPr>
      <w:r w:rsidRPr="002F094C">
        <w:rPr>
          <w:rFonts w:cs="Times New Roman"/>
          <w:sz w:val="24"/>
          <w:szCs w:val="24"/>
        </w:rPr>
        <w:t xml:space="preserve">The role of timing appears to be more moderate, suggesting that although it contributes to learning, it is less decisive compared to clarity and focus. This finding reflects the dynamic nature of oral interaction, where feedback must be carefully integrated into communicative </w:t>
      </w:r>
      <w:r w:rsidRPr="002F094C">
        <w:rPr>
          <w:rFonts w:cs="Times New Roman"/>
          <w:sz w:val="24"/>
          <w:szCs w:val="24"/>
        </w:rPr>
        <w:lastRenderedPageBreak/>
        <w:t>flow. As Sato and Loewen (2022) suggest, the effectiveness of feedback depends not only on its content but also on its delivery within interactional contexts.</w:t>
      </w:r>
    </w:p>
    <w:p w14:paraId="4A65D6B7" w14:textId="77777777" w:rsidR="002F094C" w:rsidRPr="002F094C" w:rsidRDefault="002F094C" w:rsidP="002F094C">
      <w:pPr>
        <w:spacing w:line="480" w:lineRule="auto"/>
        <w:rPr>
          <w:rFonts w:cs="Times New Roman"/>
          <w:sz w:val="24"/>
          <w:szCs w:val="24"/>
        </w:rPr>
      </w:pPr>
      <w:r w:rsidRPr="002F094C">
        <w:rPr>
          <w:rFonts w:cs="Times New Roman"/>
          <w:sz w:val="24"/>
          <w:szCs w:val="24"/>
        </w:rPr>
        <w:t>Taken together, these findings highlight the dual nature of feedback as both a cognitive and affective process, particularly in high-stakes test preparation environments. In such contexts, feedback often serves both instructional and evaluative functions, which may influence how learners interpret and respond to it. As Carless and Boud (2021) argue, feedback effectiveness ultimately depends on learners’ sense-making processes rather than the feedback itself.</w:t>
      </w:r>
    </w:p>
    <w:p w14:paraId="3FEB0465" w14:textId="36FDA7C7" w:rsidR="002F094C" w:rsidRPr="002F094C" w:rsidRDefault="002F094C" w:rsidP="002F094C">
      <w:pPr>
        <w:spacing w:line="480" w:lineRule="auto"/>
        <w:rPr>
          <w:rFonts w:cs="Times New Roman"/>
          <w:sz w:val="24"/>
          <w:szCs w:val="24"/>
        </w:rPr>
      </w:pPr>
      <w:r w:rsidRPr="002F094C">
        <w:rPr>
          <w:rFonts w:cs="Times New Roman"/>
          <w:sz w:val="24"/>
          <w:szCs w:val="24"/>
        </w:rPr>
        <w:t xml:space="preserve">Importantly, these findings also have broader implications for the ongoing shift toward ESL-oriented instruction in Vietnam. </w:t>
      </w:r>
      <w:r w:rsidR="009C17F4" w:rsidRPr="009C17F4">
        <w:rPr>
          <w:rFonts w:cs="Times New Roman"/>
          <w:sz w:val="24"/>
          <w:szCs w:val="24"/>
        </w:rPr>
        <w:t>Rather than suggesting that oral feedback in VSTEP preparation directly develops ESL-oriented communicative competence, the present findings indicate that balanced teacher oral feedback may support learners’ perceived speaking development and confidence, both of which are valuable foundations for communication beyond examination settings. In this sense, effective feedback can be viewed as a pedagogical bridge between test preparation and broader communicative learning goals rather than as a direct cause of ESL-oriented competence</w:t>
      </w:r>
      <w:r w:rsidRPr="009C17F4">
        <w:rPr>
          <w:rFonts w:cs="Times New Roman"/>
          <w:sz w:val="24"/>
          <w:szCs w:val="24"/>
        </w:rPr>
        <w:t>.</w:t>
      </w:r>
      <w:r w:rsidRPr="002F094C">
        <w:rPr>
          <w:rFonts w:cs="Times New Roman"/>
          <w:sz w:val="24"/>
          <w:szCs w:val="24"/>
        </w:rPr>
        <w:t xml:space="preserve"> This includes promoting interaction, learner autonomy, and meaningful language use, as suggested by Ellis (2021) and Li (2023). Furthermore, the integration of AI-mediated feedback may complement teacher feedback by providing immediate and individualized input, although its effectiveness remains dependent on learners’ engagement with such tools (Xu et al., 2024; Godwin-Jones, 2022).</w:t>
      </w:r>
    </w:p>
    <w:p w14:paraId="3D5F27F9" w14:textId="51289624" w:rsidR="00726190" w:rsidRDefault="007B3BE2" w:rsidP="002F094C">
      <w:pPr>
        <w:spacing w:line="480" w:lineRule="auto"/>
        <w:rPr>
          <w:rFonts w:cs="Times New Roman"/>
          <w:sz w:val="24"/>
          <w:szCs w:val="24"/>
        </w:rPr>
      </w:pPr>
      <w:r>
        <w:rPr>
          <w:rFonts w:cs="Times New Roman"/>
          <w:sz w:val="24"/>
          <w:szCs w:val="24"/>
        </w:rPr>
        <w:t>T</w:t>
      </w:r>
      <w:r w:rsidR="00AA01C0" w:rsidRPr="00AA01C0">
        <w:rPr>
          <w:rFonts w:cs="Times New Roman"/>
          <w:sz w:val="24"/>
          <w:szCs w:val="24"/>
        </w:rPr>
        <w:t xml:space="preserve">he findings suggest that effective oral feedback in VSTEP speaking classrooms requires a balanced combination of clarity, focus, appropriate timing, and emotional support. These dimensions were statistically associated with learners’ perceptions of speaking development and confidence; however, the present study did not measure actual speaking performance or classroom behavior. Consequently, the pedagogical implications discussed </w:t>
      </w:r>
      <w:r w:rsidR="00AA01C0" w:rsidRPr="00AA01C0">
        <w:rPr>
          <w:rFonts w:cs="Times New Roman"/>
          <w:sz w:val="24"/>
          <w:szCs w:val="24"/>
        </w:rPr>
        <w:lastRenderedPageBreak/>
        <w:t>here should be interpreted as being based on learners’ reported perceptions rather than direct evidence of learning outcomes</w:t>
      </w:r>
      <w:r w:rsidR="002F094C" w:rsidRPr="002F094C">
        <w:rPr>
          <w:rFonts w:cs="Times New Roman"/>
          <w:sz w:val="24"/>
          <w:szCs w:val="24"/>
        </w:rPr>
        <w:t>.</w:t>
      </w:r>
    </w:p>
    <w:p w14:paraId="434C4AC1" w14:textId="02E8B702" w:rsidR="007B3BE2" w:rsidRDefault="007B3BE2" w:rsidP="002F094C">
      <w:pPr>
        <w:spacing w:line="480" w:lineRule="auto"/>
        <w:rPr>
          <w:rFonts w:cs="Times New Roman"/>
          <w:sz w:val="24"/>
          <w:szCs w:val="24"/>
        </w:rPr>
      </w:pPr>
      <w:r w:rsidRPr="007B3BE2">
        <w:rPr>
          <w:rFonts w:cs="Times New Roman"/>
          <w:sz w:val="24"/>
          <w:szCs w:val="24"/>
        </w:rPr>
        <w:t>The findings suggest several practical implications for teachers working in VSTEP speaking preparation classes. First, oral feedback should be clear, concise, and directly linked to the VSTEP speaking assessment criteria so that learners understand exactly which aspects of their performance require improvement. Second, brief post-task feedback may be more effective than frequent interruptions during fluency-oriented speaking activities, thereby maintaining communicative flow while still providing opportunities for reflection. Third, teachers should balance comments on learners’ strengths with constructive suggestions for improvement in order to sustain motivation. Finally, repeated speaking errors should be addressed using supportive and encouraging language, as emotionally positive feedback may help maintain learners’ confidence and willingness to communicate despite the pressures associated with high-stakes speaking assessments.</w:t>
      </w:r>
    </w:p>
    <w:p w14:paraId="5A36A0A0" w14:textId="77777777" w:rsidR="00722EDE" w:rsidRPr="009A3159" w:rsidRDefault="00722EDE" w:rsidP="00722EDE">
      <w:pPr>
        <w:pStyle w:val="RALs-Heading1"/>
        <w:rPr>
          <w:rFonts w:cs="Times New Roman"/>
          <w:sz w:val="24"/>
          <w:szCs w:val="24"/>
        </w:rPr>
      </w:pPr>
      <w:r w:rsidRPr="009A3159">
        <w:rPr>
          <w:rFonts w:cs="Times New Roman"/>
          <w:sz w:val="24"/>
          <w:szCs w:val="24"/>
        </w:rPr>
        <w:t>6. Conclusion</w:t>
      </w:r>
    </w:p>
    <w:p w14:paraId="36D14CDA" w14:textId="77777777" w:rsidR="00E34B3B" w:rsidRPr="00E34B3B" w:rsidRDefault="00E34B3B" w:rsidP="00E34B3B">
      <w:pPr>
        <w:spacing w:line="480" w:lineRule="auto"/>
        <w:rPr>
          <w:rFonts w:cs="Times New Roman"/>
          <w:sz w:val="24"/>
          <w:szCs w:val="24"/>
        </w:rPr>
      </w:pPr>
      <w:r w:rsidRPr="00E34B3B">
        <w:rPr>
          <w:rFonts w:cs="Times New Roman"/>
          <w:sz w:val="24"/>
          <w:szCs w:val="24"/>
        </w:rPr>
        <w:t>This study investigated learners’ perceptions of teacher oral feedback in VSTEP speaking preparation classes at Lac Hong University, with particular attention to four key feedback dimensions: clarity, timing, focus, and affective tone. By examining how learners perceived these dimensions and their relationships with perceived speaking development and perceived confidence, the study sought to contribute to a better understanding of teacher oral feedback within a high-stakes speaking preparation context in Vietnam.</w:t>
      </w:r>
    </w:p>
    <w:p w14:paraId="167E25AF" w14:textId="77777777" w:rsidR="00E34B3B" w:rsidRPr="00E34B3B" w:rsidRDefault="00E34B3B" w:rsidP="00E34B3B">
      <w:pPr>
        <w:spacing w:line="480" w:lineRule="auto"/>
        <w:rPr>
          <w:rFonts w:cs="Times New Roman"/>
          <w:sz w:val="24"/>
          <w:szCs w:val="24"/>
        </w:rPr>
      </w:pPr>
      <w:r w:rsidRPr="00E34B3B">
        <w:rPr>
          <w:rFonts w:cs="Times New Roman"/>
          <w:sz w:val="24"/>
          <w:szCs w:val="24"/>
        </w:rPr>
        <w:t xml:space="preserve">From an academic perspective, the study extends previous feedback research by focusing on learners’ interpretations of teacher oral feedback rather than teachers’ feedback practices alone. The findings suggest that the cognitive dimensions of feedback, particularly clarity and focus, were more strongly associated with learners’ perceived speaking development, whereas affective tone was more closely associated with perceived confidence. </w:t>
      </w:r>
      <w:r w:rsidRPr="00E34B3B">
        <w:rPr>
          <w:rFonts w:cs="Times New Roman"/>
          <w:sz w:val="24"/>
          <w:szCs w:val="24"/>
        </w:rPr>
        <w:lastRenderedPageBreak/>
        <w:t>These findings contribute to the growing body of research emphasizing the learner-centered nature of feedback and highlight the importance of considering both cognitive and affective dimensions when examining oral feedback in high-stakes speaking contexts.</w:t>
      </w:r>
    </w:p>
    <w:p w14:paraId="00785FED" w14:textId="77777777" w:rsidR="00E34B3B" w:rsidRPr="00E34B3B" w:rsidRDefault="00E34B3B" w:rsidP="00E34B3B">
      <w:pPr>
        <w:spacing w:line="480" w:lineRule="auto"/>
        <w:rPr>
          <w:rFonts w:cs="Times New Roman"/>
          <w:sz w:val="24"/>
          <w:szCs w:val="24"/>
        </w:rPr>
      </w:pPr>
      <w:r w:rsidRPr="00E34B3B">
        <w:rPr>
          <w:rFonts w:cs="Times New Roman"/>
          <w:sz w:val="24"/>
          <w:szCs w:val="24"/>
        </w:rPr>
        <w:t>From a pedagogical perspective, the findings suggest that teachers should provide oral feedback that is clear, focused, timely, and emotionally supportive. In VSTEP speaking preparation classes, brief post-task feedback, explicit links to VSTEP speaking assessment criteria, balanced comments on learners’ strengths and weaknesses, delayed correction during fluency-focused activities, and supportive language when addressing repeated errors may help learners better understand speaking expectations while maintaining their confidence and willingness to communicate. Rather than suggesting that teacher oral feedback directly develops ESL-oriented communicative competence, the findings indicate that balanced oral feedback may support learners’ perceived speaking development and confidence, both of which are valuable foundations for communication beyond examination settings.</w:t>
      </w:r>
    </w:p>
    <w:p w14:paraId="2504C72A" w14:textId="77777777" w:rsidR="00E34B3B" w:rsidRPr="00E34B3B" w:rsidRDefault="00E34B3B" w:rsidP="00E34B3B">
      <w:pPr>
        <w:spacing w:line="480" w:lineRule="auto"/>
        <w:rPr>
          <w:rFonts w:cs="Times New Roman"/>
          <w:sz w:val="24"/>
          <w:szCs w:val="24"/>
        </w:rPr>
      </w:pPr>
      <w:r w:rsidRPr="00E34B3B">
        <w:rPr>
          <w:rFonts w:cs="Times New Roman"/>
          <w:sz w:val="24"/>
          <w:szCs w:val="24"/>
        </w:rPr>
        <w:t xml:space="preserve">Several limitations should be acknowledged. First, the study relied on a single self-report questionnaire administered to a relatively small sample of learners from one language center at one university, limiting the generalizability of the findings. Second, because the study collected only learners’ self-reported perceptions, responses may have been influenced by self-report bias. Third, no qualitative data, classroom observations, teacher perspectives, or recordings of teacher oral feedback were collected to triangulate learners’ responses. Finally, the study did not include objective measures of speaking performance; therefore, the reported relationships should be interpreted as associations between learners’ perceptions rather than evidence of causal effects or actual improvements in speaking ability. Future studies could adopt mixed-methods designs combining questionnaires with classroom observations, semi-structured interviews, teacher feedback recordings, and analyses of learner uptake. Including objective measures such as pre- and post-speaking test scores would provide stronger evidence </w:t>
      </w:r>
      <w:r w:rsidRPr="00E34B3B">
        <w:rPr>
          <w:rFonts w:cs="Times New Roman"/>
          <w:sz w:val="24"/>
          <w:szCs w:val="24"/>
        </w:rPr>
        <w:lastRenderedPageBreak/>
        <w:t>regarding the relationship between teacher oral feedback and speaking performance. Such approaches would also help explain why learners perceive particular feedback dimensions as more useful or emotionally supportive within high-stakes speaking preparation contexts.</w:t>
      </w:r>
    </w:p>
    <w:p w14:paraId="59F283BC" w14:textId="68427A86" w:rsidR="00726190" w:rsidRPr="009A3159" w:rsidRDefault="00E34B3B" w:rsidP="00E34B3B">
      <w:pPr>
        <w:spacing w:line="480" w:lineRule="auto"/>
        <w:rPr>
          <w:rFonts w:cs="Times New Roman"/>
          <w:sz w:val="24"/>
          <w:szCs w:val="24"/>
        </w:rPr>
      </w:pPr>
      <w:r w:rsidRPr="00E34B3B">
        <w:rPr>
          <w:rFonts w:cs="Times New Roman"/>
          <w:sz w:val="24"/>
          <w:szCs w:val="24"/>
        </w:rPr>
        <w:t>Overall, the present study contributes to the growing literature on teacher oral feedback by providing learner-centered evidence from a Vietnamese high-stakes VSTEP context, offering practical implications for improving speaking instruction while supporting broader communicative learning goals.</w:t>
      </w:r>
    </w:p>
    <w:p w14:paraId="7A2FA225" w14:textId="77777777" w:rsidR="00722EDE" w:rsidRPr="009A3159" w:rsidRDefault="00722EDE" w:rsidP="00722EDE">
      <w:pPr>
        <w:pStyle w:val="RALs-HeadingsNoIndent"/>
        <w:rPr>
          <w:rFonts w:cs="Times New Roman"/>
          <w:sz w:val="24"/>
          <w:szCs w:val="24"/>
        </w:rPr>
      </w:pPr>
      <w:r w:rsidRPr="009A3159">
        <w:rPr>
          <w:rFonts w:cs="Times New Roman"/>
          <w:sz w:val="24"/>
          <w:szCs w:val="24"/>
        </w:rPr>
        <w:t xml:space="preserve">Acknowledgments </w:t>
      </w:r>
    </w:p>
    <w:p w14:paraId="21489788" w14:textId="77777777" w:rsidR="0012778A" w:rsidRDefault="00726190" w:rsidP="0012778A">
      <w:pPr>
        <w:spacing w:line="480" w:lineRule="auto"/>
        <w:ind w:firstLine="0"/>
        <w:rPr>
          <w:rFonts w:cs="Times New Roman"/>
          <w:sz w:val="24"/>
          <w:szCs w:val="24"/>
        </w:rPr>
      </w:pPr>
      <w:r w:rsidRPr="00726190">
        <w:rPr>
          <w:rFonts w:cs="Times New Roman"/>
          <w:sz w:val="24"/>
          <w:szCs w:val="24"/>
        </w:rPr>
        <w:t>The author would like to thank Lac Hong University and all participating students for their valuable contributions to this research.</w:t>
      </w:r>
    </w:p>
    <w:p w14:paraId="43AEA37C" w14:textId="45DBEE0F" w:rsidR="00722EDE" w:rsidRDefault="00722EDE" w:rsidP="0012778A">
      <w:pPr>
        <w:spacing w:line="480" w:lineRule="auto"/>
        <w:ind w:firstLine="0"/>
        <w:rPr>
          <w:rFonts w:cs="Times New Roman"/>
          <w:b/>
          <w:bCs/>
          <w:sz w:val="24"/>
          <w:szCs w:val="24"/>
        </w:rPr>
      </w:pPr>
      <w:r w:rsidRPr="0012778A">
        <w:rPr>
          <w:rFonts w:cs="Times New Roman"/>
          <w:b/>
          <w:bCs/>
          <w:sz w:val="24"/>
          <w:szCs w:val="24"/>
        </w:rPr>
        <w:t>References</w:t>
      </w:r>
    </w:p>
    <w:p w14:paraId="7500432D" w14:textId="318E9FC6"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Al-Hoorie, A. H., Hiver, P., &amp; Mercer, S. (2023). </w:t>
      </w:r>
      <w:r w:rsidRPr="00E96031">
        <w:rPr>
          <w:rFonts w:cs="Times New Roman"/>
          <w:i/>
          <w:iCs/>
          <w:color w:val="000000" w:themeColor="text1"/>
          <w:sz w:val="24"/>
          <w:szCs w:val="24"/>
        </w:rPr>
        <w:t>Emotion research in second language acquisition: A critical review and future agenda</w:t>
      </w:r>
      <w:r w:rsidRPr="00E96031">
        <w:rPr>
          <w:rFonts w:cs="Times New Roman"/>
          <w:color w:val="000000" w:themeColor="text1"/>
          <w:sz w:val="24"/>
          <w:szCs w:val="24"/>
        </w:rPr>
        <w:t>. Language Teaching, 56(1), 1</w:t>
      </w:r>
      <w:r w:rsidR="008A088F">
        <w:rPr>
          <w:rFonts w:cs="Times New Roman"/>
          <w:color w:val="000000" w:themeColor="text1"/>
          <w:sz w:val="24"/>
          <w:szCs w:val="24"/>
        </w:rPr>
        <w:t>-</w:t>
      </w:r>
      <w:r w:rsidRPr="00E96031">
        <w:rPr>
          <w:rFonts w:cs="Times New Roman"/>
          <w:color w:val="000000" w:themeColor="text1"/>
          <w:sz w:val="24"/>
          <w:szCs w:val="24"/>
        </w:rPr>
        <w:t>20. https://doi.org/10.1017/S0261444821000357</w:t>
      </w:r>
    </w:p>
    <w:p w14:paraId="261DFAF4"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Carless, D., &amp; Boud, D. (2018). The development of student feedback literacy: Enabling uptake of feedback. </w:t>
      </w:r>
      <w:r w:rsidRPr="00E96031">
        <w:rPr>
          <w:rFonts w:cs="Times New Roman"/>
          <w:i/>
          <w:iCs/>
          <w:color w:val="000000" w:themeColor="text1"/>
          <w:sz w:val="24"/>
          <w:szCs w:val="24"/>
        </w:rPr>
        <w:t>Assessment &amp; Evaluation in Higher Education, 43</w:t>
      </w:r>
      <w:r w:rsidRPr="00E96031">
        <w:rPr>
          <w:rFonts w:cs="Times New Roman"/>
          <w:color w:val="000000" w:themeColor="text1"/>
          <w:sz w:val="24"/>
          <w:szCs w:val="24"/>
        </w:rPr>
        <w:t xml:space="preserve">(8), 1315–1325. </w:t>
      </w:r>
      <w:hyperlink r:id="rId8" w:tgtFrame="_new" w:history="1">
        <w:r w:rsidRPr="00E96031">
          <w:rPr>
            <w:rStyle w:val="Hyperlink"/>
            <w:rFonts w:cs="Times New Roman"/>
            <w:color w:val="000000" w:themeColor="text1"/>
            <w:sz w:val="24"/>
            <w:szCs w:val="24"/>
            <w:u w:val="none"/>
          </w:rPr>
          <w:t>https://doi.org/10.1080/02602938.2018.1463354</w:t>
        </w:r>
      </w:hyperlink>
    </w:p>
    <w:p w14:paraId="673121CE"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Carless, D., &amp; Boud, D. (2021). The conceptualisation of feedback literacy: Implications for teaching and learning. </w:t>
      </w:r>
      <w:r w:rsidRPr="00E96031">
        <w:rPr>
          <w:rFonts w:cs="Times New Roman"/>
          <w:i/>
          <w:iCs/>
          <w:color w:val="000000" w:themeColor="text1"/>
          <w:sz w:val="24"/>
          <w:szCs w:val="24"/>
        </w:rPr>
        <w:t>Assessment &amp; Evaluation in Higher Education, 46</w:t>
      </w:r>
      <w:r w:rsidRPr="00E96031">
        <w:rPr>
          <w:rFonts w:cs="Times New Roman"/>
          <w:color w:val="000000" w:themeColor="text1"/>
          <w:sz w:val="24"/>
          <w:szCs w:val="24"/>
        </w:rPr>
        <w:t>(7), 1036–1049. https://doi.org/10.1080/02602938.2020.1855038</w:t>
      </w:r>
    </w:p>
    <w:p w14:paraId="62EABA65"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Ellis, R. (2021). A short history of SLA: Where have we come from and where are we going? </w:t>
      </w:r>
      <w:r w:rsidRPr="00E96031">
        <w:rPr>
          <w:rFonts w:cs="Times New Roman"/>
          <w:i/>
          <w:iCs/>
          <w:color w:val="000000" w:themeColor="text1"/>
          <w:sz w:val="24"/>
          <w:szCs w:val="24"/>
        </w:rPr>
        <w:t>Language Teaching, 54</w:t>
      </w:r>
      <w:r w:rsidRPr="00E96031">
        <w:rPr>
          <w:rFonts w:cs="Times New Roman"/>
          <w:color w:val="000000" w:themeColor="text1"/>
          <w:sz w:val="24"/>
          <w:szCs w:val="24"/>
        </w:rPr>
        <w:t>(2), 190–204. https://doi.org/10.1017/S0261444820000038</w:t>
      </w:r>
    </w:p>
    <w:p w14:paraId="61FD975F"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Fulcher, G. (2020). </w:t>
      </w:r>
      <w:r w:rsidRPr="00E96031">
        <w:rPr>
          <w:rFonts w:cs="Times New Roman"/>
          <w:i/>
          <w:iCs/>
          <w:color w:val="000000" w:themeColor="text1"/>
          <w:sz w:val="24"/>
          <w:szCs w:val="24"/>
        </w:rPr>
        <w:t>Practical language testing</w:t>
      </w:r>
      <w:r w:rsidRPr="00E96031">
        <w:rPr>
          <w:rFonts w:cs="Times New Roman"/>
          <w:color w:val="000000" w:themeColor="text1"/>
          <w:sz w:val="24"/>
          <w:szCs w:val="24"/>
        </w:rPr>
        <w:t>. Routledge. https://doi.org/10.4324/9780429277832</w:t>
      </w:r>
    </w:p>
    <w:p w14:paraId="58A4F9D1"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lastRenderedPageBreak/>
        <w:t xml:space="preserve">Godwin-Jones, R. (2022). Emerging technologies: Intelligent language tutoring and AI. </w:t>
      </w:r>
      <w:r w:rsidRPr="00E96031">
        <w:rPr>
          <w:rFonts w:cs="Times New Roman"/>
          <w:i/>
          <w:iCs/>
          <w:color w:val="000000" w:themeColor="text1"/>
          <w:sz w:val="24"/>
          <w:szCs w:val="24"/>
        </w:rPr>
        <w:t>Language Learning &amp; Technology, 26</w:t>
      </w:r>
      <w:r w:rsidRPr="00E96031">
        <w:rPr>
          <w:rFonts w:cs="Times New Roman"/>
          <w:color w:val="000000" w:themeColor="text1"/>
          <w:sz w:val="24"/>
          <w:szCs w:val="24"/>
        </w:rPr>
        <w:t>(1), 1–17. https://doi.org/10125/73476</w:t>
      </w:r>
    </w:p>
    <w:p w14:paraId="4C10ACC1" w14:textId="7DE285E9"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Han, Y., &amp; Hyland, F. (2023). Exploring learner engagement with feedback: A multidimensional perspective. </w:t>
      </w:r>
      <w:r w:rsidRPr="00E96031">
        <w:rPr>
          <w:rFonts w:cs="Times New Roman"/>
          <w:i/>
          <w:iCs/>
          <w:color w:val="000000" w:themeColor="text1"/>
          <w:sz w:val="24"/>
          <w:szCs w:val="24"/>
        </w:rPr>
        <w:t>Language Teaching Research, 27</w:t>
      </w:r>
      <w:r w:rsidRPr="00E96031">
        <w:rPr>
          <w:rFonts w:cs="Times New Roman"/>
          <w:color w:val="000000" w:themeColor="text1"/>
          <w:sz w:val="24"/>
          <w:szCs w:val="24"/>
        </w:rPr>
        <w:t>(3), 1</w:t>
      </w:r>
      <w:r w:rsidR="002E5696">
        <w:rPr>
          <w:rFonts w:cs="Times New Roman"/>
          <w:color w:val="000000" w:themeColor="text1"/>
          <w:sz w:val="24"/>
          <w:szCs w:val="24"/>
        </w:rPr>
        <w:t>-</w:t>
      </w:r>
      <w:r w:rsidRPr="00E96031">
        <w:rPr>
          <w:rFonts w:cs="Times New Roman"/>
          <w:color w:val="000000" w:themeColor="text1"/>
          <w:sz w:val="24"/>
          <w:szCs w:val="24"/>
        </w:rPr>
        <w:t>21. https://doi.org/10.1177/13621688211064937</w:t>
      </w:r>
    </w:p>
    <w:p w14:paraId="36C03C2F" w14:textId="0232946E"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Hattie, J., &amp; Timperley, H. (2007). The power of feedback. </w:t>
      </w:r>
      <w:r w:rsidRPr="00E96031">
        <w:rPr>
          <w:rFonts w:cs="Times New Roman"/>
          <w:i/>
          <w:iCs/>
          <w:color w:val="000000" w:themeColor="text1"/>
          <w:sz w:val="24"/>
          <w:szCs w:val="24"/>
        </w:rPr>
        <w:t>Review of Educational Research, 77</w:t>
      </w:r>
      <w:r w:rsidRPr="00E96031">
        <w:rPr>
          <w:rFonts w:cs="Times New Roman"/>
          <w:color w:val="000000" w:themeColor="text1"/>
          <w:sz w:val="24"/>
          <w:szCs w:val="24"/>
        </w:rPr>
        <w:t>(1), 81</w:t>
      </w:r>
      <w:r w:rsidR="00FB7DBD">
        <w:rPr>
          <w:rFonts w:cs="Times New Roman"/>
          <w:color w:val="000000" w:themeColor="text1"/>
          <w:sz w:val="24"/>
          <w:szCs w:val="24"/>
        </w:rPr>
        <w:t>-</w:t>
      </w:r>
      <w:r w:rsidRPr="00E96031">
        <w:rPr>
          <w:rFonts w:cs="Times New Roman"/>
          <w:color w:val="000000" w:themeColor="text1"/>
          <w:sz w:val="24"/>
          <w:szCs w:val="24"/>
        </w:rPr>
        <w:t xml:space="preserve">112. </w:t>
      </w:r>
      <w:hyperlink r:id="rId9" w:tgtFrame="_new" w:history="1">
        <w:r w:rsidRPr="00E96031">
          <w:rPr>
            <w:rStyle w:val="Hyperlink"/>
            <w:rFonts w:cs="Times New Roman"/>
            <w:color w:val="000000" w:themeColor="text1"/>
            <w:sz w:val="24"/>
            <w:szCs w:val="24"/>
            <w:u w:val="none"/>
          </w:rPr>
          <w:t>https://doi.org/10.3102/003465430298487</w:t>
        </w:r>
      </w:hyperlink>
    </w:p>
    <w:p w14:paraId="07D1A946"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Li, S. (2023). Interaction and corrective feedback in second language learning: A meta-analysis. </w:t>
      </w:r>
      <w:r w:rsidRPr="00E96031">
        <w:rPr>
          <w:rFonts w:cs="Times New Roman"/>
          <w:i/>
          <w:iCs/>
          <w:color w:val="000000" w:themeColor="text1"/>
          <w:sz w:val="24"/>
          <w:szCs w:val="24"/>
        </w:rPr>
        <w:t>Language Learning, 73</w:t>
      </w:r>
      <w:r w:rsidRPr="00E96031">
        <w:rPr>
          <w:rFonts w:cs="Times New Roman"/>
          <w:color w:val="000000" w:themeColor="text1"/>
          <w:sz w:val="24"/>
          <w:szCs w:val="24"/>
        </w:rPr>
        <w:t>(1), 1–38. https://doi.org/10.1111/lang.12523</w:t>
      </w:r>
    </w:p>
    <w:p w14:paraId="11579FE0" w14:textId="0BF2EBBE"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MacIntyre, P. D., &amp; Wang, Z. (2021). Anxiety and second language learning. </w:t>
      </w:r>
      <w:r w:rsidRPr="00E96031">
        <w:rPr>
          <w:rFonts w:cs="Times New Roman"/>
          <w:i/>
          <w:iCs/>
          <w:color w:val="000000" w:themeColor="text1"/>
          <w:sz w:val="24"/>
          <w:szCs w:val="24"/>
        </w:rPr>
        <w:t>Annual Review of Applied Linguistics, 41</w:t>
      </w:r>
      <w:r w:rsidRPr="00E96031">
        <w:rPr>
          <w:rFonts w:cs="Times New Roman"/>
          <w:color w:val="000000" w:themeColor="text1"/>
          <w:sz w:val="24"/>
          <w:szCs w:val="24"/>
        </w:rPr>
        <w:t>, 132</w:t>
      </w:r>
      <w:r w:rsidR="00763B69">
        <w:rPr>
          <w:rFonts w:cs="Times New Roman"/>
          <w:color w:val="000000" w:themeColor="text1"/>
          <w:sz w:val="24"/>
          <w:szCs w:val="24"/>
        </w:rPr>
        <w:t>-</w:t>
      </w:r>
      <w:r w:rsidRPr="00E96031">
        <w:rPr>
          <w:rFonts w:cs="Times New Roman"/>
          <w:color w:val="000000" w:themeColor="text1"/>
          <w:sz w:val="24"/>
          <w:szCs w:val="24"/>
        </w:rPr>
        <w:t>149. https://doi.org/10.1017/S0267190520000204</w:t>
      </w:r>
    </w:p>
    <w:p w14:paraId="699D05C0"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Mäkipää, T. (2024). Student perceptions of feedback clarity and engagement. </w:t>
      </w:r>
      <w:r w:rsidRPr="00E96031">
        <w:rPr>
          <w:rFonts w:cs="Times New Roman"/>
          <w:i/>
          <w:iCs/>
          <w:color w:val="000000" w:themeColor="text1"/>
          <w:sz w:val="24"/>
          <w:szCs w:val="24"/>
        </w:rPr>
        <w:t>Assessment &amp; Evaluation in Higher Education</w:t>
      </w:r>
      <w:r w:rsidRPr="00E96031">
        <w:rPr>
          <w:rFonts w:cs="Times New Roman"/>
          <w:color w:val="000000" w:themeColor="text1"/>
          <w:sz w:val="24"/>
          <w:szCs w:val="24"/>
        </w:rPr>
        <w:t>. Advance online publication. https://doi.org/10.1080/02602938.2023.2245678</w:t>
      </w:r>
    </w:p>
    <w:p w14:paraId="47F28B7D"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Nguyen, T. M. H., &amp; Hamid, M. O. (2024). English language policy and practice in Vietnam: Challenges and opportunities. </w:t>
      </w:r>
      <w:r w:rsidRPr="00E96031">
        <w:rPr>
          <w:rFonts w:cs="Times New Roman"/>
          <w:i/>
          <w:iCs/>
          <w:color w:val="000000" w:themeColor="text1"/>
          <w:sz w:val="24"/>
          <w:szCs w:val="24"/>
        </w:rPr>
        <w:t>Journal of Multilingual and Multicultural Development</w:t>
      </w:r>
      <w:r w:rsidRPr="00E96031">
        <w:rPr>
          <w:rFonts w:cs="Times New Roman"/>
          <w:color w:val="000000" w:themeColor="text1"/>
          <w:sz w:val="24"/>
          <w:szCs w:val="24"/>
        </w:rPr>
        <w:t>. https://doi.org/10.1080/01434632.2024.2301123</w:t>
      </w:r>
    </w:p>
    <w:p w14:paraId="3EDE141A"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Pham, H. H. (2025). Rethinking English as a second language in Vietnam. </w:t>
      </w:r>
      <w:r w:rsidRPr="00E96031">
        <w:rPr>
          <w:rFonts w:cs="Times New Roman"/>
          <w:i/>
          <w:iCs/>
          <w:color w:val="000000" w:themeColor="text1"/>
          <w:sz w:val="24"/>
          <w:szCs w:val="24"/>
        </w:rPr>
        <w:t>Asian Englishes</w:t>
      </w:r>
      <w:r w:rsidRPr="00E96031">
        <w:rPr>
          <w:rFonts w:cs="Times New Roman"/>
          <w:color w:val="000000" w:themeColor="text1"/>
          <w:sz w:val="24"/>
          <w:szCs w:val="24"/>
        </w:rPr>
        <w:t>. https://doi.org/10.1080/13488678.2025.2314567</w:t>
      </w:r>
    </w:p>
    <w:p w14:paraId="68B5ED2E"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Sato, M., &amp; Loewen, S. (2022). Evidence-based second language pedagogy: A collection of theoretical and empirical studies. </w:t>
      </w:r>
      <w:r w:rsidRPr="00E96031">
        <w:rPr>
          <w:rFonts w:cs="Times New Roman"/>
          <w:i/>
          <w:iCs/>
          <w:color w:val="000000" w:themeColor="text1"/>
          <w:sz w:val="24"/>
          <w:szCs w:val="24"/>
        </w:rPr>
        <w:t>Language Teaching Research, 26</w:t>
      </w:r>
      <w:r w:rsidRPr="00E96031">
        <w:rPr>
          <w:rFonts w:cs="Times New Roman"/>
          <w:color w:val="000000" w:themeColor="text1"/>
          <w:sz w:val="24"/>
          <w:szCs w:val="24"/>
        </w:rPr>
        <w:t>(4), 1–15. https://doi.org/10.1177/13621688211050082</w:t>
      </w:r>
    </w:p>
    <w:p w14:paraId="2658DF58"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lastRenderedPageBreak/>
        <w:t xml:space="preserve">Stickler, U., &amp; Hampel, R. (2023). Technology-mediated feedback in language learning. </w:t>
      </w:r>
      <w:r w:rsidRPr="00E96031">
        <w:rPr>
          <w:rFonts w:cs="Times New Roman"/>
          <w:i/>
          <w:iCs/>
          <w:color w:val="000000" w:themeColor="text1"/>
          <w:sz w:val="24"/>
          <w:szCs w:val="24"/>
        </w:rPr>
        <w:t>Computer Assisted Language Learning, 36</w:t>
      </w:r>
      <w:r w:rsidRPr="00E96031">
        <w:rPr>
          <w:rFonts w:cs="Times New Roman"/>
          <w:color w:val="000000" w:themeColor="text1"/>
          <w:sz w:val="24"/>
          <w:szCs w:val="24"/>
        </w:rPr>
        <w:t>(5–6), 1–20. https://doi.org/10.1080/09588221.2022.2038605</w:t>
      </w:r>
    </w:p>
    <w:p w14:paraId="3A7D0072"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Tai, J., Ajjawi, R., Boud, D., Dawson, P., &amp; Panadero, E. (2022). Developing evaluative judgement: Enabling students to make decisions about the quality of work. </w:t>
      </w:r>
      <w:r w:rsidRPr="00E96031">
        <w:rPr>
          <w:rFonts w:cs="Times New Roman"/>
          <w:i/>
          <w:iCs/>
          <w:color w:val="000000" w:themeColor="text1"/>
          <w:sz w:val="24"/>
          <w:szCs w:val="24"/>
        </w:rPr>
        <w:t>Higher Education, 83</w:t>
      </w:r>
      <w:r w:rsidRPr="00E96031">
        <w:rPr>
          <w:rFonts w:cs="Times New Roman"/>
          <w:color w:val="000000" w:themeColor="text1"/>
          <w:sz w:val="24"/>
          <w:szCs w:val="24"/>
        </w:rPr>
        <w:t>(2), 1–15. https://doi.org/10.1007/s10734-021-00689-9</w:t>
      </w:r>
    </w:p>
    <w:p w14:paraId="6886E835"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Winstone, N. E., &amp; Carless, D. (2021). </w:t>
      </w:r>
      <w:r w:rsidRPr="00E96031">
        <w:rPr>
          <w:rFonts w:cs="Times New Roman"/>
          <w:i/>
          <w:iCs/>
          <w:color w:val="000000" w:themeColor="text1"/>
          <w:sz w:val="24"/>
          <w:szCs w:val="24"/>
        </w:rPr>
        <w:t>Designing effective feedback processes in higher education: A learning-focused approach</w:t>
      </w:r>
      <w:r w:rsidRPr="00E96031">
        <w:rPr>
          <w:rFonts w:cs="Times New Roman"/>
          <w:color w:val="000000" w:themeColor="text1"/>
          <w:sz w:val="24"/>
          <w:szCs w:val="24"/>
        </w:rPr>
        <w:t xml:space="preserve">. Routledge. </w:t>
      </w:r>
      <w:hyperlink r:id="rId10" w:tgtFrame="_new" w:history="1">
        <w:r w:rsidRPr="00E96031">
          <w:rPr>
            <w:rStyle w:val="Hyperlink"/>
            <w:rFonts w:cs="Times New Roman"/>
            <w:color w:val="000000" w:themeColor="text1"/>
            <w:sz w:val="24"/>
            <w:szCs w:val="24"/>
            <w:u w:val="none"/>
          </w:rPr>
          <w:t>https://doi.org/10.4324/9781351115940</w:t>
        </w:r>
      </w:hyperlink>
    </w:p>
    <w:p w14:paraId="1A872E72"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Xu, Q., Banerjee, M., &amp; Chapman, M. (2024). AI-based feedback and language learning: A systematic review. </w:t>
      </w:r>
      <w:r w:rsidRPr="00E96031">
        <w:rPr>
          <w:rFonts w:cs="Times New Roman"/>
          <w:i/>
          <w:iCs/>
          <w:color w:val="000000" w:themeColor="text1"/>
          <w:sz w:val="24"/>
          <w:szCs w:val="24"/>
        </w:rPr>
        <w:t>Computer Assisted Language Learning</w:t>
      </w:r>
      <w:r w:rsidRPr="00E96031">
        <w:rPr>
          <w:rFonts w:cs="Times New Roman"/>
          <w:color w:val="000000" w:themeColor="text1"/>
          <w:sz w:val="24"/>
          <w:szCs w:val="24"/>
        </w:rPr>
        <w:t>. https://doi.org/10.1080/09588221.2024.2334567</w:t>
      </w:r>
    </w:p>
    <w:p w14:paraId="4F0D8230"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Zhang, Z. (2022). Feedback and learner engagement: Emotional and cognitive dimensions. </w:t>
      </w:r>
      <w:r w:rsidRPr="00E96031">
        <w:rPr>
          <w:rFonts w:cs="Times New Roman"/>
          <w:i/>
          <w:iCs/>
          <w:color w:val="000000" w:themeColor="text1"/>
          <w:sz w:val="24"/>
          <w:szCs w:val="24"/>
        </w:rPr>
        <w:t>System, 105</w:t>
      </w:r>
      <w:r w:rsidRPr="00E96031">
        <w:rPr>
          <w:rFonts w:cs="Times New Roman"/>
          <w:color w:val="000000" w:themeColor="text1"/>
          <w:sz w:val="24"/>
          <w:szCs w:val="24"/>
        </w:rPr>
        <w:t>, 102734. https://doi.org/10.1016/j.system.2022.102734</w:t>
      </w:r>
    </w:p>
    <w:p w14:paraId="54483CCF" w14:textId="77777777" w:rsidR="00E96031" w:rsidRPr="00E96031" w:rsidRDefault="00E96031" w:rsidP="00E96031">
      <w:pPr>
        <w:spacing w:line="480" w:lineRule="auto"/>
        <w:ind w:left="720" w:hanging="720"/>
        <w:rPr>
          <w:rFonts w:cs="Times New Roman"/>
          <w:color w:val="000000" w:themeColor="text1"/>
          <w:sz w:val="24"/>
          <w:szCs w:val="24"/>
        </w:rPr>
      </w:pPr>
      <w:r w:rsidRPr="00E96031">
        <w:rPr>
          <w:rFonts w:cs="Times New Roman"/>
          <w:color w:val="000000" w:themeColor="text1"/>
          <w:sz w:val="24"/>
          <w:szCs w:val="24"/>
        </w:rPr>
        <w:t xml:space="preserve">Zhang, Z., &amp; Hyland, K. (2022). Student engagement with feedback: A review. </w:t>
      </w:r>
      <w:r w:rsidRPr="00E96031">
        <w:rPr>
          <w:rFonts w:cs="Times New Roman"/>
          <w:i/>
          <w:iCs/>
          <w:color w:val="000000" w:themeColor="text1"/>
          <w:sz w:val="24"/>
          <w:szCs w:val="24"/>
        </w:rPr>
        <w:t>Assessment &amp; Evaluation in Higher Education, 47</w:t>
      </w:r>
      <w:r w:rsidRPr="00E96031">
        <w:rPr>
          <w:rFonts w:cs="Times New Roman"/>
          <w:color w:val="000000" w:themeColor="text1"/>
          <w:sz w:val="24"/>
          <w:szCs w:val="24"/>
        </w:rPr>
        <w:t>(3), 1–15. https://doi.org/10.1080/02602938.2021.1900923</w:t>
      </w:r>
    </w:p>
    <w:p w14:paraId="77973F93" w14:textId="77777777" w:rsidR="00E96031" w:rsidRPr="0012778A" w:rsidRDefault="00E96031" w:rsidP="0012778A">
      <w:pPr>
        <w:spacing w:line="480" w:lineRule="auto"/>
        <w:ind w:firstLine="0"/>
        <w:rPr>
          <w:rFonts w:cs="Times New Roman"/>
          <w:b/>
          <w:bCs/>
          <w:color w:val="0563C1" w:themeColor="hyperlink"/>
          <w:sz w:val="24"/>
          <w:szCs w:val="24"/>
          <w:u w:val="single"/>
        </w:rPr>
      </w:pPr>
    </w:p>
    <w:p w14:paraId="27A65F0F" w14:textId="77777777" w:rsidR="00722EDE" w:rsidRPr="009A3159" w:rsidRDefault="00722EDE" w:rsidP="00722EDE">
      <w:pPr>
        <w:pStyle w:val="RALs-Normal-NoIndent"/>
        <w:rPr>
          <w:rFonts w:cs="Times New Roman"/>
          <w:sz w:val="24"/>
          <w:szCs w:val="24"/>
        </w:rPr>
      </w:pPr>
    </w:p>
    <w:p w14:paraId="349987AF" w14:textId="77777777" w:rsidR="00BA7885" w:rsidRPr="009A3159" w:rsidRDefault="00BA7885">
      <w:pPr>
        <w:rPr>
          <w:rFonts w:cs="Times New Roman"/>
          <w:sz w:val="24"/>
          <w:szCs w:val="24"/>
        </w:rPr>
      </w:pPr>
    </w:p>
    <w:sectPr w:rsidR="00BA7885" w:rsidRPr="009A3159"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77BD1" w14:textId="77777777" w:rsidR="00802A66" w:rsidRDefault="00802A66" w:rsidP="00722EDE">
      <w:pPr>
        <w:spacing w:before="0" w:after="0" w:line="240" w:lineRule="auto"/>
      </w:pPr>
      <w:r>
        <w:separator/>
      </w:r>
    </w:p>
  </w:endnote>
  <w:endnote w:type="continuationSeparator" w:id="0">
    <w:p w14:paraId="4754C421" w14:textId="77777777" w:rsidR="00802A66" w:rsidRDefault="00802A66"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F454" w14:textId="77777777" w:rsidR="00802A66" w:rsidRDefault="00802A66" w:rsidP="00722EDE">
      <w:pPr>
        <w:spacing w:before="0" w:after="0" w:line="240" w:lineRule="auto"/>
      </w:pPr>
      <w:r>
        <w:separator/>
      </w:r>
    </w:p>
  </w:footnote>
  <w:footnote w:type="continuationSeparator" w:id="0">
    <w:p w14:paraId="502A372E" w14:textId="77777777" w:rsidR="00802A66" w:rsidRDefault="00802A66" w:rsidP="00722EDE">
      <w:pPr>
        <w:spacing w:before="0" w:after="0" w:line="240" w:lineRule="auto"/>
      </w:pPr>
      <w:r>
        <w:continuationSeparator/>
      </w:r>
    </w:p>
  </w:footnote>
  <w:footnote w:id="1">
    <w:p w14:paraId="105E8C4A" w14:textId="350FCBD4" w:rsidR="00722EDE" w:rsidRPr="00D00215" w:rsidRDefault="00722EDE" w:rsidP="00AD7745">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sidR="00AA2B9A" w:rsidRPr="00AA2B9A">
        <w:rPr>
          <w:rFonts w:cs="Times New Roman"/>
        </w:rPr>
        <w:t>Lecturer, Lac Hong Foreign Languages and Informatics Center, Lac Hong University, Dong Nai, Vietnam; Email: sangdn@lhu.edu.vn</w:t>
      </w:r>
    </w:p>
  </w:footnote>
  <w:footnote w:id="2">
    <w:p w14:paraId="1638B4E6" w14:textId="3FA8D097" w:rsidR="00722EDE" w:rsidRPr="00D00215" w:rsidRDefault="00722EDE" w:rsidP="00722EDE">
      <w:pPr>
        <w:pStyle w:val="FootnoteText"/>
        <w:rPr>
          <w:rFonts w:cs="Times New Roman"/>
        </w:rPr>
      </w:pPr>
      <w:r w:rsidRPr="00D00215">
        <w:rPr>
          <w:rStyle w:val="FootnoteReference"/>
          <w:rFonts w:cs="Times New Roman"/>
        </w:rPr>
        <w:footnoteRef/>
      </w:r>
      <w:r w:rsidRPr="00D00215">
        <w:rPr>
          <w:rFonts w:cs="Times New Roman"/>
        </w:rPr>
        <w:t xml:space="preserve"> </w:t>
      </w:r>
      <w:r w:rsidR="00AA2B9A" w:rsidRPr="00AA2B9A">
        <w:rPr>
          <w:rFonts w:cs="Times New Roman"/>
        </w:rPr>
        <w:t>Associate Professor, International University, Vietnam National University–Ho Chi Minh City, 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F623D7"/>
    <w:multiLevelType w:val="multilevel"/>
    <w:tmpl w:val="38AA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943669">
    <w:abstractNumId w:val="0"/>
  </w:num>
  <w:num w:numId="2" w16cid:durableId="755713078">
    <w:abstractNumId w:val="1"/>
  </w:num>
  <w:num w:numId="3" w16cid:durableId="813303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28BE"/>
    <w:rsid w:val="000255FB"/>
    <w:rsid w:val="00036AFF"/>
    <w:rsid w:val="000452F9"/>
    <w:rsid w:val="000454BC"/>
    <w:rsid w:val="0005008D"/>
    <w:rsid w:val="0008495B"/>
    <w:rsid w:val="00097731"/>
    <w:rsid w:val="000D02DA"/>
    <w:rsid w:val="000E6214"/>
    <w:rsid w:val="00100186"/>
    <w:rsid w:val="00105F23"/>
    <w:rsid w:val="0012778A"/>
    <w:rsid w:val="00137A5A"/>
    <w:rsid w:val="00151F79"/>
    <w:rsid w:val="00164D98"/>
    <w:rsid w:val="001B3669"/>
    <w:rsid w:val="001C574F"/>
    <w:rsid w:val="001D1F3F"/>
    <w:rsid w:val="001F6ADD"/>
    <w:rsid w:val="00217449"/>
    <w:rsid w:val="00230B4C"/>
    <w:rsid w:val="002334D9"/>
    <w:rsid w:val="0024049F"/>
    <w:rsid w:val="002476BE"/>
    <w:rsid w:val="00252BBB"/>
    <w:rsid w:val="0026260B"/>
    <w:rsid w:val="002639BD"/>
    <w:rsid w:val="00263F22"/>
    <w:rsid w:val="0026518D"/>
    <w:rsid w:val="002835DB"/>
    <w:rsid w:val="00291EBB"/>
    <w:rsid w:val="002E5696"/>
    <w:rsid w:val="002E660C"/>
    <w:rsid w:val="002F094C"/>
    <w:rsid w:val="00316775"/>
    <w:rsid w:val="00350107"/>
    <w:rsid w:val="00352213"/>
    <w:rsid w:val="00352D49"/>
    <w:rsid w:val="00366B43"/>
    <w:rsid w:val="00374F3D"/>
    <w:rsid w:val="00385D90"/>
    <w:rsid w:val="003860E0"/>
    <w:rsid w:val="003943D0"/>
    <w:rsid w:val="003957C6"/>
    <w:rsid w:val="003C1DED"/>
    <w:rsid w:val="003E053B"/>
    <w:rsid w:val="003E395E"/>
    <w:rsid w:val="003E7F04"/>
    <w:rsid w:val="003F57EF"/>
    <w:rsid w:val="003F58D2"/>
    <w:rsid w:val="00417DB0"/>
    <w:rsid w:val="00426C97"/>
    <w:rsid w:val="00436379"/>
    <w:rsid w:val="00446583"/>
    <w:rsid w:val="00454DF4"/>
    <w:rsid w:val="00486E01"/>
    <w:rsid w:val="00492B4B"/>
    <w:rsid w:val="004943F5"/>
    <w:rsid w:val="004D1C7C"/>
    <w:rsid w:val="004D492E"/>
    <w:rsid w:val="00506F58"/>
    <w:rsid w:val="00515145"/>
    <w:rsid w:val="00517AE9"/>
    <w:rsid w:val="00531702"/>
    <w:rsid w:val="005324DB"/>
    <w:rsid w:val="00534412"/>
    <w:rsid w:val="0055247B"/>
    <w:rsid w:val="0055635B"/>
    <w:rsid w:val="00584BC7"/>
    <w:rsid w:val="005D200D"/>
    <w:rsid w:val="005D610E"/>
    <w:rsid w:val="005E6521"/>
    <w:rsid w:val="005F4AE4"/>
    <w:rsid w:val="0060356B"/>
    <w:rsid w:val="00616F7E"/>
    <w:rsid w:val="00622A07"/>
    <w:rsid w:val="00643E76"/>
    <w:rsid w:val="006505BE"/>
    <w:rsid w:val="00656ABC"/>
    <w:rsid w:val="00660CAB"/>
    <w:rsid w:val="00676537"/>
    <w:rsid w:val="006A0AE2"/>
    <w:rsid w:val="006B1F2F"/>
    <w:rsid w:val="006D5B06"/>
    <w:rsid w:val="006F01BE"/>
    <w:rsid w:val="00714CDF"/>
    <w:rsid w:val="00722EDE"/>
    <w:rsid w:val="00726190"/>
    <w:rsid w:val="007270FC"/>
    <w:rsid w:val="00731225"/>
    <w:rsid w:val="0074023A"/>
    <w:rsid w:val="00750234"/>
    <w:rsid w:val="007507FE"/>
    <w:rsid w:val="00762AAD"/>
    <w:rsid w:val="00763B69"/>
    <w:rsid w:val="007B3BE2"/>
    <w:rsid w:val="007B54D6"/>
    <w:rsid w:val="00802A66"/>
    <w:rsid w:val="008349D7"/>
    <w:rsid w:val="0084425D"/>
    <w:rsid w:val="00851B8B"/>
    <w:rsid w:val="00871571"/>
    <w:rsid w:val="00881C36"/>
    <w:rsid w:val="008834BE"/>
    <w:rsid w:val="008A088F"/>
    <w:rsid w:val="00906B59"/>
    <w:rsid w:val="00934FC5"/>
    <w:rsid w:val="00942596"/>
    <w:rsid w:val="00943C2F"/>
    <w:rsid w:val="00950C30"/>
    <w:rsid w:val="009627F9"/>
    <w:rsid w:val="00963EA3"/>
    <w:rsid w:val="009A2266"/>
    <w:rsid w:val="009A3159"/>
    <w:rsid w:val="009A48F7"/>
    <w:rsid w:val="009B587A"/>
    <w:rsid w:val="009C17F4"/>
    <w:rsid w:val="009C221D"/>
    <w:rsid w:val="00A01970"/>
    <w:rsid w:val="00A01ACE"/>
    <w:rsid w:val="00A43867"/>
    <w:rsid w:val="00A43D97"/>
    <w:rsid w:val="00A5024A"/>
    <w:rsid w:val="00A6273B"/>
    <w:rsid w:val="00A65929"/>
    <w:rsid w:val="00A740B3"/>
    <w:rsid w:val="00A97061"/>
    <w:rsid w:val="00AA01C0"/>
    <w:rsid w:val="00AA0B64"/>
    <w:rsid w:val="00AA2B9A"/>
    <w:rsid w:val="00AB1BE1"/>
    <w:rsid w:val="00AB40B0"/>
    <w:rsid w:val="00AD29B9"/>
    <w:rsid w:val="00AD7745"/>
    <w:rsid w:val="00AE1120"/>
    <w:rsid w:val="00AE29A6"/>
    <w:rsid w:val="00AE6384"/>
    <w:rsid w:val="00B13FAF"/>
    <w:rsid w:val="00BA7885"/>
    <w:rsid w:val="00BA7BD2"/>
    <w:rsid w:val="00C066BC"/>
    <w:rsid w:val="00C23187"/>
    <w:rsid w:val="00C311E6"/>
    <w:rsid w:val="00C47E23"/>
    <w:rsid w:val="00C51D2A"/>
    <w:rsid w:val="00C86383"/>
    <w:rsid w:val="00C863B2"/>
    <w:rsid w:val="00C86B20"/>
    <w:rsid w:val="00C97621"/>
    <w:rsid w:val="00CD3D29"/>
    <w:rsid w:val="00CD5CC3"/>
    <w:rsid w:val="00D11A26"/>
    <w:rsid w:val="00D1778C"/>
    <w:rsid w:val="00D27A4B"/>
    <w:rsid w:val="00D3302B"/>
    <w:rsid w:val="00D97FD4"/>
    <w:rsid w:val="00DC5B1A"/>
    <w:rsid w:val="00DC5BCF"/>
    <w:rsid w:val="00DD1C98"/>
    <w:rsid w:val="00DD2BC1"/>
    <w:rsid w:val="00DD7139"/>
    <w:rsid w:val="00DE2797"/>
    <w:rsid w:val="00DE422F"/>
    <w:rsid w:val="00DF6BAC"/>
    <w:rsid w:val="00E02F57"/>
    <w:rsid w:val="00E34B3B"/>
    <w:rsid w:val="00E372D9"/>
    <w:rsid w:val="00E40940"/>
    <w:rsid w:val="00E40DE3"/>
    <w:rsid w:val="00E60357"/>
    <w:rsid w:val="00E65742"/>
    <w:rsid w:val="00E90A55"/>
    <w:rsid w:val="00E95DE1"/>
    <w:rsid w:val="00E96031"/>
    <w:rsid w:val="00E97E95"/>
    <w:rsid w:val="00EA5622"/>
    <w:rsid w:val="00EB35B5"/>
    <w:rsid w:val="00EC1FC8"/>
    <w:rsid w:val="00ED4A17"/>
    <w:rsid w:val="00EE6618"/>
    <w:rsid w:val="00F03E1A"/>
    <w:rsid w:val="00F63596"/>
    <w:rsid w:val="00F80056"/>
    <w:rsid w:val="00F80631"/>
    <w:rsid w:val="00FB2BFF"/>
    <w:rsid w:val="00FB7DBD"/>
    <w:rsid w:val="00FD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8510"/>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AE6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96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602938.2018.14633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4324/9781351115940" TargetMode="External"/><Relationship Id="rId4" Type="http://schemas.openxmlformats.org/officeDocument/2006/relationships/settings" Target="settings.xml"/><Relationship Id="rId9" Type="http://schemas.openxmlformats.org/officeDocument/2006/relationships/hyperlink" Target="https://doi.org/10.3102/003465430298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23</Pages>
  <Words>6419</Words>
  <Characters>36589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Sang Doan Ngoc</cp:lastModifiedBy>
  <cp:revision>174</cp:revision>
  <dcterms:created xsi:type="dcterms:W3CDTF">2020-07-23T03:39:00Z</dcterms:created>
  <dcterms:modified xsi:type="dcterms:W3CDTF">2026-07-03T07:01:00Z</dcterms:modified>
</cp:coreProperties>
</file>