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52E87" w14:textId="4DFF20AC" w:rsidR="00B01DD2" w:rsidRPr="00916B27" w:rsidRDefault="00B01DD2" w:rsidP="00C67256">
      <w:pPr>
        <w:spacing w:before="0" w:after="120" w:line="480" w:lineRule="auto"/>
        <w:jc w:val="center"/>
        <w:rPr>
          <w:rFonts w:cs="Times New Roman"/>
          <w:b/>
          <w:bCs/>
          <w:color w:val="000000" w:themeColor="text1"/>
          <w:sz w:val="24"/>
          <w:szCs w:val="24"/>
        </w:rPr>
      </w:pPr>
      <w:bookmarkStart w:id="0" w:name="_Hlk229931882"/>
      <w:bookmarkStart w:id="1" w:name="_Hlk229931641"/>
      <w:r w:rsidRPr="00916B27">
        <w:rPr>
          <w:rFonts w:cs="Times New Roman"/>
          <w:b/>
          <w:bCs/>
          <w:color w:val="000000" w:themeColor="text1"/>
          <w:sz w:val="24"/>
          <w:szCs w:val="24"/>
        </w:rPr>
        <w:t>Short-Form Video Platforms as Digital Tools for ESL Vocabulary Development: Evidence from Vietnamese University Students</w:t>
      </w:r>
    </w:p>
    <w:p w14:paraId="597669ED" w14:textId="5AB79B18" w:rsidR="00316775" w:rsidRPr="00D5074E" w:rsidRDefault="00B01DD2" w:rsidP="00582050">
      <w:pPr>
        <w:widowControl w:val="0"/>
        <w:spacing w:before="0" w:after="120" w:line="480" w:lineRule="auto"/>
        <w:ind w:firstLine="0"/>
        <w:jc w:val="center"/>
        <w:rPr>
          <w:rFonts w:cs="Times New Roman"/>
          <w:bCs/>
          <w:i/>
          <w:iCs/>
          <w:color w:val="000000" w:themeColor="text1"/>
          <w:sz w:val="24"/>
          <w:szCs w:val="24"/>
          <w:u w:val="single"/>
        </w:rPr>
      </w:pPr>
      <w:bookmarkStart w:id="2" w:name="_Hlk230264885"/>
      <w:r w:rsidRPr="00916B27">
        <w:rPr>
          <w:rFonts w:cs="Times New Roman"/>
          <w:bCs/>
          <w:i/>
          <w:iCs/>
          <w:color w:val="000000" w:themeColor="text1"/>
          <w:sz w:val="24"/>
          <w:szCs w:val="24"/>
        </w:rPr>
        <w:t xml:space="preserve">Nguyen </w:t>
      </w:r>
      <w:proofErr w:type="spellStart"/>
      <w:r w:rsidRPr="00916B27">
        <w:rPr>
          <w:rFonts w:cs="Times New Roman"/>
          <w:bCs/>
          <w:i/>
          <w:iCs/>
          <w:color w:val="000000" w:themeColor="text1"/>
          <w:sz w:val="24"/>
          <w:szCs w:val="24"/>
        </w:rPr>
        <w:t>Thi</w:t>
      </w:r>
      <w:proofErr w:type="spellEnd"/>
      <w:r w:rsidRPr="00916B27">
        <w:rPr>
          <w:rFonts w:cs="Times New Roman"/>
          <w:bCs/>
          <w:i/>
          <w:iCs/>
          <w:color w:val="000000" w:themeColor="text1"/>
          <w:sz w:val="24"/>
          <w:szCs w:val="24"/>
        </w:rPr>
        <w:t xml:space="preserve"> Nuong</w:t>
      </w:r>
      <w:r w:rsidRPr="00916B27">
        <w:rPr>
          <w:rFonts w:cs="Times New Roman"/>
          <w:bCs/>
          <w:i/>
          <w:iCs/>
          <w:color w:val="000000" w:themeColor="text1"/>
          <w:sz w:val="24"/>
          <w:szCs w:val="24"/>
          <w:vertAlign w:val="superscript"/>
        </w:rPr>
        <w:t>1</w:t>
      </w:r>
      <w:bookmarkEnd w:id="2"/>
      <w:r w:rsidRPr="00916B27">
        <w:rPr>
          <w:rFonts w:cs="Times New Roman"/>
          <w:bCs/>
          <w:i/>
          <w:iCs/>
          <w:color w:val="000000" w:themeColor="text1"/>
          <w:sz w:val="24"/>
          <w:szCs w:val="24"/>
        </w:rPr>
        <w:t xml:space="preserve">, Phan </w:t>
      </w:r>
      <w:proofErr w:type="spellStart"/>
      <w:r w:rsidRPr="00916B27">
        <w:rPr>
          <w:rFonts w:cs="Times New Roman"/>
          <w:bCs/>
          <w:i/>
          <w:iCs/>
          <w:color w:val="000000" w:themeColor="text1"/>
          <w:sz w:val="24"/>
          <w:szCs w:val="24"/>
        </w:rPr>
        <w:t>Thi</w:t>
      </w:r>
      <w:proofErr w:type="spellEnd"/>
      <w:r w:rsidRPr="00916B27">
        <w:rPr>
          <w:rFonts w:cs="Times New Roman"/>
          <w:bCs/>
          <w:i/>
          <w:iCs/>
          <w:color w:val="000000" w:themeColor="text1"/>
          <w:sz w:val="24"/>
          <w:szCs w:val="24"/>
        </w:rPr>
        <w:t xml:space="preserve"> Thanh Tam</w:t>
      </w:r>
      <w:r w:rsidRPr="00916B27">
        <w:rPr>
          <w:rFonts w:cs="Times New Roman"/>
          <w:bCs/>
          <w:i/>
          <w:iCs/>
          <w:color w:val="000000" w:themeColor="text1"/>
          <w:sz w:val="24"/>
          <w:szCs w:val="24"/>
          <w:vertAlign w:val="superscript"/>
        </w:rPr>
        <w:t>2</w:t>
      </w:r>
      <w:r w:rsidRPr="00916B27">
        <w:rPr>
          <w:rFonts w:cs="Times New Roman"/>
          <w:bCs/>
          <w:i/>
          <w:iCs/>
          <w:color w:val="000000" w:themeColor="text1"/>
          <w:sz w:val="24"/>
          <w:szCs w:val="24"/>
        </w:rPr>
        <w:t>,</w:t>
      </w:r>
      <w:r w:rsidRPr="00916B27">
        <w:rPr>
          <w:rFonts w:cs="Times New Roman"/>
          <w:bCs/>
          <w:i/>
          <w:iCs/>
          <w:color w:val="000000" w:themeColor="text1"/>
          <w:sz w:val="24"/>
          <w:szCs w:val="24"/>
          <w:vertAlign w:val="superscript"/>
        </w:rPr>
        <w:t xml:space="preserve"> </w:t>
      </w:r>
      <w:r w:rsidRPr="00916B27">
        <w:rPr>
          <w:rFonts w:cs="Times New Roman"/>
          <w:bCs/>
          <w:i/>
          <w:iCs/>
          <w:color w:val="000000" w:themeColor="text1"/>
          <w:sz w:val="24"/>
          <w:szCs w:val="24"/>
        </w:rPr>
        <w:t>Nguyen Thanh Dung</w:t>
      </w:r>
      <w:r w:rsidRPr="00916B27">
        <w:rPr>
          <w:rFonts w:cs="Times New Roman"/>
          <w:bCs/>
          <w:i/>
          <w:iCs/>
          <w:color w:val="000000" w:themeColor="text1"/>
          <w:sz w:val="24"/>
          <w:szCs w:val="24"/>
          <w:vertAlign w:val="superscript"/>
        </w:rPr>
        <w:t>3</w:t>
      </w:r>
      <w:r w:rsidRPr="00916B27">
        <w:rPr>
          <w:rFonts w:cs="Times New Roman"/>
          <w:bCs/>
          <w:i/>
          <w:iCs/>
          <w:color w:val="000000" w:themeColor="text1"/>
          <w:sz w:val="24"/>
          <w:szCs w:val="24"/>
        </w:rPr>
        <w:t>,</w:t>
      </w:r>
      <w:r w:rsidRPr="00916B27">
        <w:rPr>
          <w:rFonts w:cs="Times New Roman"/>
          <w:bCs/>
          <w:i/>
          <w:iCs/>
          <w:color w:val="000000" w:themeColor="text1"/>
          <w:sz w:val="24"/>
          <w:szCs w:val="24"/>
          <w:vertAlign w:val="superscript"/>
        </w:rPr>
        <w:t xml:space="preserve"> </w:t>
      </w:r>
      <w:r w:rsidRPr="00916B27">
        <w:rPr>
          <w:rFonts w:cs="Times New Roman"/>
          <w:bCs/>
          <w:i/>
          <w:iCs/>
          <w:color w:val="000000" w:themeColor="text1"/>
          <w:sz w:val="24"/>
          <w:szCs w:val="24"/>
        </w:rPr>
        <w:t xml:space="preserve">Duong </w:t>
      </w:r>
      <w:proofErr w:type="spellStart"/>
      <w:r w:rsidRPr="00916B27">
        <w:rPr>
          <w:rFonts w:cs="Times New Roman"/>
          <w:bCs/>
          <w:i/>
          <w:iCs/>
          <w:color w:val="000000" w:themeColor="text1"/>
          <w:sz w:val="24"/>
          <w:szCs w:val="24"/>
        </w:rPr>
        <w:t>Thi</w:t>
      </w:r>
      <w:proofErr w:type="spellEnd"/>
      <w:r w:rsidRPr="00916B27">
        <w:rPr>
          <w:rFonts w:cs="Times New Roman"/>
          <w:bCs/>
          <w:i/>
          <w:iCs/>
          <w:color w:val="000000" w:themeColor="text1"/>
          <w:sz w:val="24"/>
          <w:szCs w:val="24"/>
        </w:rPr>
        <w:t xml:space="preserve"> Thu Uyen</w:t>
      </w:r>
      <w:r w:rsidR="00582050">
        <w:rPr>
          <w:rFonts w:cs="Times New Roman"/>
          <w:bCs/>
          <w:i/>
          <w:iCs/>
          <w:color w:val="000000" w:themeColor="text1"/>
          <w:sz w:val="24"/>
          <w:szCs w:val="24"/>
          <w:vertAlign w:val="superscript"/>
        </w:rPr>
        <w:t>4</w:t>
      </w:r>
      <w:r w:rsidRPr="00916B27">
        <w:rPr>
          <w:rFonts w:cs="Times New Roman"/>
          <w:bCs/>
          <w:i/>
          <w:iCs/>
          <w:color w:val="000000" w:themeColor="text1"/>
          <w:sz w:val="24"/>
          <w:szCs w:val="24"/>
        </w:rPr>
        <w:t>,</w:t>
      </w:r>
      <w:r w:rsidRPr="00916B27">
        <w:rPr>
          <w:rFonts w:cs="Times New Roman"/>
          <w:bCs/>
          <w:i/>
          <w:iCs/>
          <w:color w:val="000000" w:themeColor="text1"/>
          <w:sz w:val="24"/>
          <w:szCs w:val="24"/>
          <w:vertAlign w:val="superscript"/>
        </w:rPr>
        <w:t xml:space="preserve"> </w:t>
      </w:r>
      <w:bookmarkEnd w:id="0"/>
    </w:p>
    <w:p w14:paraId="2ECA9F56" w14:textId="77777777" w:rsidR="00722EDE" w:rsidRPr="00916B27" w:rsidRDefault="00722EDE" w:rsidP="00D5074E">
      <w:pPr>
        <w:pStyle w:val="RALs-HeadingsNoIndent"/>
        <w:spacing w:before="0" w:after="120" w:line="480" w:lineRule="auto"/>
        <w:rPr>
          <w:rFonts w:cs="Times New Roman"/>
          <w:sz w:val="24"/>
          <w:szCs w:val="24"/>
        </w:rPr>
      </w:pPr>
      <w:r w:rsidRPr="00916B27">
        <w:rPr>
          <w:rFonts w:cs="Times New Roman"/>
          <w:sz w:val="24"/>
          <w:szCs w:val="24"/>
        </w:rPr>
        <w:t>Abstract</w:t>
      </w:r>
    </w:p>
    <w:p w14:paraId="5F31F522" w14:textId="7D0B4158" w:rsidR="00B01DD2" w:rsidRPr="00916B27" w:rsidRDefault="00281770" w:rsidP="00D5074E">
      <w:pPr>
        <w:pStyle w:val="isselectedend"/>
        <w:spacing w:before="0" w:beforeAutospacing="0" w:after="0" w:afterAutospacing="0"/>
        <w:ind w:firstLine="720"/>
        <w:jc w:val="both"/>
        <w:rPr>
          <w:color w:val="000000" w:themeColor="text1"/>
        </w:rPr>
      </w:pPr>
      <w:r w:rsidRPr="00281770">
        <w:rPr>
          <w:color w:val="FF0000"/>
        </w:rPr>
        <w:t>This study investigates the role of short-form video platforms, particularly TikTok and Instagram Reels, in supporting English vocabulary learning among Vietnamese EFL university students. B</w:t>
      </w:r>
      <w:r>
        <w:rPr>
          <w:color w:val="000000" w:themeColor="text1"/>
        </w:rPr>
        <w:t>ased on</w:t>
      </w:r>
      <w:r w:rsidR="00B01DD2" w:rsidRPr="00916B27">
        <w:rPr>
          <w:color w:val="000000" w:themeColor="text1"/>
        </w:rPr>
        <w:t xml:space="preserve"> Cognitive Theory of Multimedia Learning and micro-learning principles, the study examines the effects of engagement, repetition, multimedia elements, and distraction on vocabulary acquisition. A quantitative research design was employed, and data were collected from 220 university students through an online questionnaire. The data were analyzed using reliability analysis, Exploratory Factor Analysis (EFA), Confirmatory Factor Analysis (CFA), and Structural Equation Modeling (SEM). </w:t>
      </w:r>
      <w:r w:rsidRPr="00281770">
        <w:rPr>
          <w:color w:val="FF0000"/>
        </w:rPr>
        <w:t>The findings indicate that repetition was the only statistically significant predictor of vocabulary acquisition (β = .549, p = .012), whereas engagement, multimedia elements, and distraction did not demonstrate statistically significant effects.</w:t>
      </w:r>
      <w:r w:rsidR="002A41C8">
        <w:rPr>
          <w:color w:val="FF0000"/>
        </w:rPr>
        <w:t xml:space="preserve"> </w:t>
      </w:r>
      <w:proofErr w:type="gramStart"/>
      <w:r w:rsidR="00B01DD2" w:rsidRPr="00916B27">
        <w:rPr>
          <w:color w:val="000000" w:themeColor="text1"/>
        </w:rPr>
        <w:t>The</w:t>
      </w:r>
      <w:proofErr w:type="gramEnd"/>
      <w:r w:rsidR="00B01DD2" w:rsidRPr="00916B27">
        <w:rPr>
          <w:color w:val="000000" w:themeColor="text1"/>
        </w:rPr>
        <w:t xml:space="preserve"> results suggest that repeated encounters with vocabulary items play a more important role in vocabulary learning than entertainment-oriented features or passive multimedia exposure. The study contributes to the growing literature on digital language learning and provides pedagogical implications for integrating short-form video platforms into technology-enhanced vocabulary instruction.</w:t>
      </w:r>
    </w:p>
    <w:p w14:paraId="1A960600" w14:textId="43A70B8C" w:rsidR="00B01DD2" w:rsidRDefault="00B01DD2" w:rsidP="00D5074E">
      <w:pPr>
        <w:spacing w:before="0" w:after="0" w:line="240" w:lineRule="auto"/>
        <w:ind w:firstLine="0"/>
        <w:rPr>
          <w:rFonts w:cs="Times New Roman"/>
          <w:i/>
          <w:iCs/>
          <w:color w:val="000000" w:themeColor="text1"/>
          <w:sz w:val="24"/>
          <w:szCs w:val="24"/>
        </w:rPr>
      </w:pPr>
      <w:r w:rsidRPr="00916B27">
        <w:rPr>
          <w:rFonts w:cs="Times New Roman"/>
          <w:b/>
          <w:bCs/>
          <w:color w:val="000000" w:themeColor="text1"/>
          <w:sz w:val="24"/>
          <w:szCs w:val="24"/>
        </w:rPr>
        <w:t>Keywords:</w:t>
      </w:r>
      <w:r w:rsidRPr="00916B27">
        <w:rPr>
          <w:rFonts w:cs="Times New Roman"/>
          <w:color w:val="000000" w:themeColor="text1"/>
          <w:sz w:val="24"/>
          <w:szCs w:val="24"/>
        </w:rPr>
        <w:t xml:space="preserve"> </w:t>
      </w:r>
      <w:r w:rsidRPr="00916B27">
        <w:rPr>
          <w:rFonts w:cs="Times New Roman"/>
          <w:i/>
          <w:iCs/>
          <w:color w:val="000000" w:themeColor="text1"/>
          <w:sz w:val="24"/>
          <w:szCs w:val="24"/>
        </w:rPr>
        <w:t>short-form video platforms, vocabulary acquisition, repetition, micro-learning, ESL, Vietnam, TikTok, Instagram Reels.</w:t>
      </w:r>
    </w:p>
    <w:p w14:paraId="7A72E47B" w14:textId="0C696F46" w:rsidR="00582050" w:rsidRDefault="00582050" w:rsidP="00D5074E">
      <w:pPr>
        <w:spacing w:before="0" w:after="0" w:line="240" w:lineRule="auto"/>
        <w:ind w:firstLine="0"/>
        <w:rPr>
          <w:rFonts w:cs="Times New Roman"/>
          <w:i/>
          <w:iCs/>
          <w:color w:val="000000" w:themeColor="text1"/>
          <w:sz w:val="24"/>
          <w:szCs w:val="24"/>
        </w:rPr>
      </w:pPr>
    </w:p>
    <w:p w14:paraId="43DE912B" w14:textId="4C73F610" w:rsidR="00582050" w:rsidRDefault="00582050" w:rsidP="00D5074E">
      <w:pPr>
        <w:spacing w:before="0" w:after="0" w:line="240" w:lineRule="auto"/>
        <w:ind w:firstLine="0"/>
        <w:rPr>
          <w:rFonts w:cs="Times New Roman"/>
          <w:i/>
          <w:iCs/>
          <w:color w:val="000000" w:themeColor="text1"/>
          <w:sz w:val="24"/>
          <w:szCs w:val="24"/>
        </w:rPr>
      </w:pPr>
    </w:p>
    <w:p w14:paraId="17B39CAE" w14:textId="608E8305" w:rsidR="00582050" w:rsidRDefault="00582050" w:rsidP="00D5074E">
      <w:pPr>
        <w:spacing w:before="0" w:after="0" w:line="240" w:lineRule="auto"/>
        <w:ind w:firstLine="0"/>
        <w:rPr>
          <w:rFonts w:cs="Times New Roman"/>
          <w:i/>
          <w:iCs/>
          <w:color w:val="000000" w:themeColor="text1"/>
          <w:sz w:val="24"/>
          <w:szCs w:val="24"/>
        </w:rPr>
      </w:pPr>
    </w:p>
    <w:p w14:paraId="56453F6A" w14:textId="399EB53A" w:rsidR="00582050" w:rsidRDefault="00582050" w:rsidP="00D5074E">
      <w:pPr>
        <w:spacing w:before="0" w:after="0" w:line="240" w:lineRule="auto"/>
        <w:ind w:firstLine="0"/>
        <w:rPr>
          <w:rFonts w:cs="Times New Roman"/>
          <w:i/>
          <w:iCs/>
          <w:color w:val="000000" w:themeColor="text1"/>
          <w:sz w:val="24"/>
          <w:szCs w:val="24"/>
        </w:rPr>
      </w:pPr>
    </w:p>
    <w:p w14:paraId="189B453E" w14:textId="17BC26D4" w:rsidR="00582050" w:rsidRDefault="00582050" w:rsidP="00D5074E">
      <w:pPr>
        <w:spacing w:before="0" w:after="0" w:line="240" w:lineRule="auto"/>
        <w:ind w:firstLine="0"/>
        <w:rPr>
          <w:rFonts w:cs="Times New Roman"/>
          <w:i/>
          <w:iCs/>
          <w:color w:val="000000" w:themeColor="text1"/>
          <w:sz w:val="24"/>
          <w:szCs w:val="24"/>
        </w:rPr>
      </w:pPr>
    </w:p>
    <w:p w14:paraId="282A5B8C" w14:textId="7C06DD1A" w:rsidR="00582050" w:rsidRDefault="00582050" w:rsidP="00D5074E">
      <w:pPr>
        <w:spacing w:before="0" w:after="0" w:line="240" w:lineRule="auto"/>
        <w:ind w:firstLine="0"/>
        <w:rPr>
          <w:rFonts w:cs="Times New Roman"/>
          <w:i/>
          <w:iCs/>
          <w:color w:val="000000" w:themeColor="text1"/>
          <w:sz w:val="24"/>
          <w:szCs w:val="24"/>
        </w:rPr>
      </w:pPr>
    </w:p>
    <w:p w14:paraId="2E5D2715" w14:textId="46B11530" w:rsidR="00582050" w:rsidRDefault="00582050" w:rsidP="00D5074E">
      <w:pPr>
        <w:spacing w:before="0" w:after="0" w:line="240" w:lineRule="auto"/>
        <w:ind w:firstLine="0"/>
        <w:rPr>
          <w:rFonts w:cs="Times New Roman"/>
          <w:i/>
          <w:iCs/>
          <w:color w:val="000000" w:themeColor="text1"/>
          <w:sz w:val="24"/>
          <w:szCs w:val="24"/>
        </w:rPr>
      </w:pPr>
    </w:p>
    <w:p w14:paraId="1286B3FF" w14:textId="54B40425" w:rsidR="00582050" w:rsidRDefault="00582050" w:rsidP="00D5074E">
      <w:pPr>
        <w:spacing w:before="0" w:after="0" w:line="240" w:lineRule="auto"/>
        <w:ind w:firstLine="0"/>
        <w:rPr>
          <w:rFonts w:cs="Times New Roman"/>
          <w:i/>
          <w:iCs/>
          <w:color w:val="000000" w:themeColor="text1"/>
          <w:sz w:val="24"/>
          <w:szCs w:val="24"/>
        </w:rPr>
      </w:pPr>
    </w:p>
    <w:p w14:paraId="190FD65C" w14:textId="77777777" w:rsidR="00582050" w:rsidRPr="00916B27" w:rsidRDefault="00582050" w:rsidP="00D5074E">
      <w:pPr>
        <w:spacing w:before="0" w:after="0" w:line="240" w:lineRule="auto"/>
        <w:ind w:firstLine="0"/>
        <w:rPr>
          <w:rFonts w:cs="Times New Roman"/>
          <w:b/>
          <w:bCs/>
          <w:i/>
          <w:iCs/>
          <w:color w:val="000000" w:themeColor="text1"/>
          <w:sz w:val="24"/>
          <w:szCs w:val="24"/>
        </w:rPr>
      </w:pPr>
    </w:p>
    <w:p w14:paraId="05847ABD" w14:textId="151E3A16" w:rsidR="00316775" w:rsidRPr="00916B27" w:rsidRDefault="00582050" w:rsidP="00D5074E">
      <w:pPr>
        <w:spacing w:before="0" w:after="120" w:line="480" w:lineRule="auto"/>
        <w:ind w:firstLine="0"/>
        <w:rPr>
          <w:rFonts w:cs="Times New Roman"/>
          <w:b/>
          <w:bCs/>
          <w:sz w:val="24"/>
          <w:szCs w:val="24"/>
        </w:rPr>
      </w:pPr>
      <w:r>
        <w:rPr>
          <w:rFonts w:cs="Times New Roman"/>
          <w:b/>
          <w:bCs/>
          <w:noProof/>
          <w:sz w:val="24"/>
          <w:szCs w:val="24"/>
        </w:rPr>
        <mc:AlternateContent>
          <mc:Choice Requires="wps">
            <w:drawing>
              <wp:anchor distT="0" distB="0" distL="114300" distR="114300" simplePos="0" relativeHeight="251660288" behindDoc="0" locked="0" layoutInCell="1" allowOverlap="1" wp14:anchorId="304FC7A7" wp14:editId="6BA3C1AD">
                <wp:simplePos x="0" y="0"/>
                <wp:positionH relativeFrom="column">
                  <wp:posOffset>13855</wp:posOffset>
                </wp:positionH>
                <wp:positionV relativeFrom="paragraph">
                  <wp:posOffset>119784</wp:posOffset>
                </wp:positionV>
                <wp:extent cx="5735781" cy="1316182"/>
                <wp:effectExtent l="0" t="0" r="0" b="0"/>
                <wp:wrapNone/>
                <wp:docPr id="3" name="Rectangle 3"/>
                <wp:cNvGraphicFramePr/>
                <a:graphic xmlns:a="http://schemas.openxmlformats.org/drawingml/2006/main">
                  <a:graphicData uri="http://schemas.microsoft.com/office/word/2010/wordprocessingShape">
                    <wps:wsp>
                      <wps:cNvSpPr/>
                      <wps:spPr>
                        <a:xfrm>
                          <a:off x="0" y="0"/>
                          <a:ext cx="5735781" cy="1316182"/>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txbx>
                        <w:txbxContent>
                          <w:p w14:paraId="6D3B2234" w14:textId="0651A024" w:rsidR="00D5074E" w:rsidRDefault="00D5074E" w:rsidP="00A24758">
                            <w:pPr>
                              <w:spacing w:before="0" w:after="0"/>
                              <w:ind w:firstLine="0"/>
                              <w:rPr>
                                <w:rStyle w:val="Hyperlink"/>
                                <w:i/>
                                <w:iCs/>
                                <w:color w:val="000000" w:themeColor="text1"/>
                                <w:sz w:val="22"/>
                              </w:rPr>
                            </w:pPr>
                            <w:r w:rsidRPr="00A24758">
                              <w:rPr>
                                <w:rFonts w:cs="Times New Roman"/>
                                <w:bCs/>
                                <w:color w:val="000000" w:themeColor="text1"/>
                                <w:sz w:val="22"/>
                                <w:vertAlign w:val="superscript"/>
                              </w:rPr>
                              <w:t>1</w:t>
                            </w:r>
                            <w:r w:rsidRPr="00A24758">
                              <w:rPr>
                                <w:rFonts w:cs="Times New Roman"/>
                                <w:bCs/>
                                <w:color w:val="000000" w:themeColor="text1"/>
                                <w:sz w:val="22"/>
                              </w:rPr>
                              <w:t xml:space="preserve">Nguyen </w:t>
                            </w:r>
                            <w:proofErr w:type="spellStart"/>
                            <w:r w:rsidRPr="00A24758">
                              <w:rPr>
                                <w:rFonts w:cs="Times New Roman"/>
                                <w:bCs/>
                                <w:color w:val="000000" w:themeColor="text1"/>
                                <w:sz w:val="22"/>
                              </w:rPr>
                              <w:t>Thi</w:t>
                            </w:r>
                            <w:proofErr w:type="spellEnd"/>
                            <w:r w:rsidRPr="00A24758">
                              <w:rPr>
                                <w:rFonts w:cs="Times New Roman"/>
                                <w:bCs/>
                                <w:color w:val="000000" w:themeColor="text1"/>
                                <w:sz w:val="22"/>
                              </w:rPr>
                              <w:t xml:space="preserve"> </w:t>
                            </w:r>
                            <w:proofErr w:type="spellStart"/>
                            <w:r w:rsidRPr="00A24758">
                              <w:rPr>
                                <w:rFonts w:cs="Times New Roman"/>
                                <w:bCs/>
                                <w:color w:val="000000" w:themeColor="text1"/>
                                <w:sz w:val="22"/>
                              </w:rPr>
                              <w:t>Nuong</w:t>
                            </w:r>
                            <w:proofErr w:type="spellEnd"/>
                            <w:r w:rsidRPr="00A24758">
                              <w:rPr>
                                <w:rFonts w:cs="Times New Roman"/>
                                <w:bCs/>
                                <w:color w:val="000000" w:themeColor="text1"/>
                                <w:sz w:val="22"/>
                              </w:rPr>
                              <w:t>,</w:t>
                            </w:r>
                            <w:r w:rsidRPr="00A24758">
                              <w:rPr>
                                <w:color w:val="000000"/>
                                <w:sz w:val="22"/>
                              </w:rPr>
                              <w:t xml:space="preserve"> Faculty of Foundation Studies and Foreign Languages, Academy of Policy and Development, Hanoi City, Viet Nam, </w:t>
                            </w:r>
                            <w:r w:rsidRPr="00A24758">
                              <w:rPr>
                                <w:color w:val="000000" w:themeColor="text1"/>
                                <w:sz w:val="22"/>
                              </w:rPr>
                              <w:t xml:space="preserve">Email: </w:t>
                            </w:r>
                            <w:hyperlink r:id="rId8" w:history="1">
                              <w:r w:rsidRPr="00A24758">
                                <w:rPr>
                                  <w:rStyle w:val="Hyperlink"/>
                                  <w:i/>
                                  <w:iCs/>
                                  <w:color w:val="000000" w:themeColor="text1"/>
                                  <w:sz w:val="22"/>
                                </w:rPr>
                                <w:t>nuongnguyen@apd.edu.vn</w:t>
                              </w:r>
                            </w:hyperlink>
                          </w:p>
                          <w:p w14:paraId="04792E25" w14:textId="2CFAB9F2" w:rsidR="00A24758" w:rsidRPr="00582050" w:rsidRDefault="00A24758" w:rsidP="00A24758">
                            <w:pPr>
                              <w:spacing w:before="0" w:after="0"/>
                              <w:ind w:firstLine="0"/>
                              <w:rPr>
                                <w:rStyle w:val="Hyperlink"/>
                                <w:rFonts w:cs="Times New Roman"/>
                                <w:color w:val="000000" w:themeColor="text1"/>
                                <w:sz w:val="22"/>
                              </w:rPr>
                            </w:pPr>
                            <w:r w:rsidRPr="00582050">
                              <w:rPr>
                                <w:rFonts w:cs="Times New Roman"/>
                                <w:bCs/>
                                <w:color w:val="000000" w:themeColor="text1"/>
                                <w:sz w:val="22"/>
                                <w:vertAlign w:val="superscript"/>
                              </w:rPr>
                              <w:t>2</w:t>
                            </w:r>
                            <w:r w:rsidR="00582050" w:rsidRPr="00582050">
                              <w:rPr>
                                <w:rFonts w:cs="Times New Roman"/>
                                <w:color w:val="081B3A"/>
                                <w:spacing w:val="3"/>
                                <w:sz w:val="23"/>
                                <w:szCs w:val="23"/>
                                <w:shd w:val="clear" w:color="auto" w:fill="FFFFFF"/>
                              </w:rPr>
                              <w:t xml:space="preserve">Faculty of Foreign Languages, University of </w:t>
                            </w:r>
                            <w:proofErr w:type="spellStart"/>
                            <w:r w:rsidR="00582050" w:rsidRPr="00582050">
                              <w:rPr>
                                <w:rFonts w:cs="Times New Roman"/>
                                <w:color w:val="081B3A"/>
                                <w:spacing w:val="3"/>
                                <w:sz w:val="23"/>
                                <w:szCs w:val="23"/>
                                <w:shd w:val="clear" w:color="auto" w:fill="FFFFFF"/>
                              </w:rPr>
                              <w:t>Labour</w:t>
                            </w:r>
                            <w:proofErr w:type="spellEnd"/>
                            <w:r w:rsidR="00582050" w:rsidRPr="00582050">
                              <w:rPr>
                                <w:rFonts w:cs="Times New Roman"/>
                                <w:color w:val="081B3A"/>
                                <w:spacing w:val="3"/>
                                <w:sz w:val="23"/>
                                <w:szCs w:val="23"/>
                                <w:shd w:val="clear" w:color="auto" w:fill="FFFFFF"/>
                              </w:rPr>
                              <w:t xml:space="preserve"> and Social Affairs, Hanoi city, Viet Nam.</w:t>
                            </w:r>
                          </w:p>
                          <w:p w14:paraId="4F5F0FF8" w14:textId="41D640F8" w:rsidR="00A24758" w:rsidRDefault="00A24758" w:rsidP="00A24758">
                            <w:pPr>
                              <w:spacing w:before="0" w:after="0"/>
                              <w:ind w:firstLine="0"/>
                              <w:rPr>
                                <w:rFonts w:cs="Times New Roman"/>
                                <w:color w:val="081B3A"/>
                                <w:spacing w:val="3"/>
                                <w:sz w:val="22"/>
                                <w:shd w:val="clear" w:color="auto" w:fill="FFFFFF"/>
                              </w:rPr>
                            </w:pPr>
                            <w:r w:rsidRPr="00A24758">
                              <w:rPr>
                                <w:rFonts w:cs="Times New Roman"/>
                                <w:bCs/>
                                <w:color w:val="000000" w:themeColor="text1"/>
                                <w:sz w:val="22"/>
                                <w:vertAlign w:val="superscript"/>
                              </w:rPr>
                              <w:t>3</w:t>
                            </w:r>
                            <w:r w:rsidRPr="00A24758">
                              <w:rPr>
                                <w:rFonts w:cs="Times New Roman"/>
                                <w:color w:val="081B3A"/>
                                <w:spacing w:val="3"/>
                                <w:sz w:val="22"/>
                                <w:shd w:val="clear" w:color="auto" w:fill="FFFFFF"/>
                              </w:rPr>
                              <w:t>Department of General Education, National University of Arts Education</w:t>
                            </w:r>
                          </w:p>
                          <w:p w14:paraId="53874D99" w14:textId="7FDABCF8" w:rsidR="00582050" w:rsidRDefault="00582050" w:rsidP="00A24758">
                            <w:pPr>
                              <w:spacing w:before="0" w:after="0"/>
                              <w:ind w:firstLine="0"/>
                              <w:rPr>
                                <w:rFonts w:cs="Times New Roman"/>
                                <w:color w:val="081B3A"/>
                                <w:spacing w:val="3"/>
                                <w:sz w:val="22"/>
                                <w:shd w:val="clear" w:color="auto" w:fill="FFFFFF"/>
                              </w:rPr>
                            </w:pPr>
                            <w:r>
                              <w:rPr>
                                <w:rFonts w:cs="Times New Roman"/>
                                <w:bCs/>
                                <w:color w:val="000000" w:themeColor="text1"/>
                                <w:sz w:val="22"/>
                                <w:vertAlign w:val="superscript"/>
                              </w:rPr>
                              <w:t>4</w:t>
                            </w:r>
                            <w:r w:rsidRPr="00A24758">
                              <w:rPr>
                                <w:color w:val="000000"/>
                                <w:sz w:val="22"/>
                              </w:rPr>
                              <w:t>Faculty of Foundation Studies and Foreign Languages, Academy of Policy and Development</w:t>
                            </w:r>
                          </w:p>
                          <w:p w14:paraId="2DCA7ABC" w14:textId="77777777" w:rsidR="00582050" w:rsidRPr="00A24758" w:rsidRDefault="00582050" w:rsidP="00A24758">
                            <w:pPr>
                              <w:spacing w:before="0" w:after="0"/>
                              <w:ind w:firstLine="0"/>
                              <w:rPr>
                                <w:rStyle w:val="Hyperlink"/>
                                <w:rFonts w:cs="Times New Roman"/>
                                <w:color w:val="000000" w:themeColor="text1"/>
                                <w:sz w:val="22"/>
                              </w:rPr>
                            </w:pPr>
                          </w:p>
                          <w:p w14:paraId="74460B3B" w14:textId="77777777" w:rsidR="00E5015D" w:rsidRPr="00E5015D" w:rsidRDefault="00E5015D" w:rsidP="00D5074E">
                            <w:pPr>
                              <w:spacing w:after="120"/>
                              <w:ind w:firstLine="0"/>
                              <w:rPr>
                                <w:color w:val="000000" w:themeColor="text1"/>
                                <w:sz w:val="26"/>
                                <w:szCs w:val="26"/>
                              </w:rPr>
                            </w:pPr>
                          </w:p>
                          <w:p w14:paraId="46C61AC1" w14:textId="109C15F6" w:rsidR="00D5074E" w:rsidRPr="00D5074E" w:rsidRDefault="00D5074E" w:rsidP="00D5074E">
                            <w:pPr>
                              <w:ind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FC7A7" id="Rectangle 3" o:spid="_x0000_s1026" style="position:absolute;left:0;text-align:left;margin-left:1.1pt;margin-top:9.45pt;width:451.65pt;height:10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" fillcolor="white [3212]" stroked="f" strokeweight="1pt">
                <v:textbox>
                  <w:txbxContent>
                    <w:p w14:paraId="6D3B2234" w14:textId="0651A024" w:rsidR="00D5074E" w:rsidRDefault="00D5074E" w:rsidP="00A24758">
                      <w:pPr>
                        <w:spacing w:before="0" w:after="0"/>
                        <w:ind w:firstLine="0"/>
                        <w:rPr>
                          <w:rStyle w:val="Hyperlink"/>
                          <w:i/>
                          <w:iCs/>
                          <w:color w:val="000000" w:themeColor="text1"/>
                          <w:sz w:val="22"/>
                        </w:rPr>
                      </w:pPr>
                      <w:r w:rsidRPr="00A24758">
                        <w:rPr>
                          <w:rFonts w:cs="Times New Roman"/>
                          <w:bCs/>
                          <w:color w:val="000000" w:themeColor="text1"/>
                          <w:sz w:val="22"/>
                          <w:vertAlign w:val="superscript"/>
                        </w:rPr>
                        <w:t>1</w:t>
                      </w:r>
                      <w:r w:rsidRPr="00A24758">
                        <w:rPr>
                          <w:rFonts w:cs="Times New Roman"/>
                          <w:bCs/>
                          <w:color w:val="000000" w:themeColor="text1"/>
                          <w:sz w:val="22"/>
                        </w:rPr>
                        <w:t xml:space="preserve">Nguyen </w:t>
                      </w:r>
                      <w:proofErr w:type="spellStart"/>
                      <w:r w:rsidRPr="00A24758">
                        <w:rPr>
                          <w:rFonts w:cs="Times New Roman"/>
                          <w:bCs/>
                          <w:color w:val="000000" w:themeColor="text1"/>
                          <w:sz w:val="22"/>
                        </w:rPr>
                        <w:t>Thi</w:t>
                      </w:r>
                      <w:proofErr w:type="spellEnd"/>
                      <w:r w:rsidRPr="00A24758">
                        <w:rPr>
                          <w:rFonts w:cs="Times New Roman"/>
                          <w:bCs/>
                          <w:color w:val="000000" w:themeColor="text1"/>
                          <w:sz w:val="22"/>
                        </w:rPr>
                        <w:t xml:space="preserve"> </w:t>
                      </w:r>
                      <w:proofErr w:type="spellStart"/>
                      <w:r w:rsidRPr="00A24758">
                        <w:rPr>
                          <w:rFonts w:cs="Times New Roman"/>
                          <w:bCs/>
                          <w:color w:val="000000" w:themeColor="text1"/>
                          <w:sz w:val="22"/>
                        </w:rPr>
                        <w:t>Nuong</w:t>
                      </w:r>
                      <w:proofErr w:type="spellEnd"/>
                      <w:r w:rsidRPr="00A24758">
                        <w:rPr>
                          <w:rFonts w:cs="Times New Roman"/>
                          <w:bCs/>
                          <w:color w:val="000000" w:themeColor="text1"/>
                          <w:sz w:val="22"/>
                        </w:rPr>
                        <w:t>,</w:t>
                      </w:r>
                      <w:r w:rsidRPr="00A24758">
                        <w:rPr>
                          <w:color w:val="000000"/>
                          <w:sz w:val="22"/>
                        </w:rPr>
                        <w:t xml:space="preserve"> Faculty of Foundation Studies and Foreign Languages, Academy of Policy and Development, Hanoi City, Viet Nam, </w:t>
                      </w:r>
                      <w:r w:rsidRPr="00A24758">
                        <w:rPr>
                          <w:color w:val="000000" w:themeColor="text1"/>
                          <w:sz w:val="22"/>
                        </w:rPr>
                        <w:t xml:space="preserve">Email: </w:t>
                      </w:r>
                      <w:hyperlink r:id="rId9" w:history="1">
                        <w:r w:rsidRPr="00A24758">
                          <w:rPr>
                            <w:rStyle w:val="Hyperlink"/>
                            <w:i/>
                            <w:iCs/>
                            <w:color w:val="000000" w:themeColor="text1"/>
                            <w:sz w:val="22"/>
                          </w:rPr>
                          <w:t>nuongnguyen@apd.edu.vn</w:t>
                        </w:r>
                      </w:hyperlink>
                    </w:p>
                    <w:p w14:paraId="04792E25" w14:textId="2CFAB9F2" w:rsidR="00A24758" w:rsidRPr="00582050" w:rsidRDefault="00A24758" w:rsidP="00A24758">
                      <w:pPr>
                        <w:spacing w:before="0" w:after="0"/>
                        <w:ind w:firstLine="0"/>
                        <w:rPr>
                          <w:rStyle w:val="Hyperlink"/>
                          <w:rFonts w:cs="Times New Roman"/>
                          <w:color w:val="000000" w:themeColor="text1"/>
                          <w:sz w:val="22"/>
                        </w:rPr>
                      </w:pPr>
                      <w:r w:rsidRPr="00582050">
                        <w:rPr>
                          <w:rFonts w:cs="Times New Roman"/>
                          <w:bCs/>
                          <w:color w:val="000000" w:themeColor="text1"/>
                          <w:sz w:val="22"/>
                          <w:vertAlign w:val="superscript"/>
                        </w:rPr>
                        <w:t>2</w:t>
                      </w:r>
                      <w:r w:rsidR="00582050" w:rsidRPr="00582050">
                        <w:rPr>
                          <w:rFonts w:cs="Times New Roman"/>
                          <w:color w:val="081B3A"/>
                          <w:spacing w:val="3"/>
                          <w:sz w:val="23"/>
                          <w:szCs w:val="23"/>
                          <w:shd w:val="clear" w:color="auto" w:fill="FFFFFF"/>
                        </w:rPr>
                        <w:t xml:space="preserve">Faculty of Foreign Languages, University of </w:t>
                      </w:r>
                      <w:proofErr w:type="spellStart"/>
                      <w:r w:rsidR="00582050" w:rsidRPr="00582050">
                        <w:rPr>
                          <w:rFonts w:cs="Times New Roman"/>
                          <w:color w:val="081B3A"/>
                          <w:spacing w:val="3"/>
                          <w:sz w:val="23"/>
                          <w:szCs w:val="23"/>
                          <w:shd w:val="clear" w:color="auto" w:fill="FFFFFF"/>
                        </w:rPr>
                        <w:t>Labour</w:t>
                      </w:r>
                      <w:proofErr w:type="spellEnd"/>
                      <w:r w:rsidR="00582050" w:rsidRPr="00582050">
                        <w:rPr>
                          <w:rFonts w:cs="Times New Roman"/>
                          <w:color w:val="081B3A"/>
                          <w:spacing w:val="3"/>
                          <w:sz w:val="23"/>
                          <w:szCs w:val="23"/>
                          <w:shd w:val="clear" w:color="auto" w:fill="FFFFFF"/>
                        </w:rPr>
                        <w:t xml:space="preserve"> and Social Affairs, Hanoi city, Viet Nam.</w:t>
                      </w:r>
                    </w:p>
                    <w:p w14:paraId="4F5F0FF8" w14:textId="41D640F8" w:rsidR="00A24758" w:rsidRDefault="00A24758" w:rsidP="00A24758">
                      <w:pPr>
                        <w:spacing w:before="0" w:after="0"/>
                        <w:ind w:firstLine="0"/>
                        <w:rPr>
                          <w:rFonts w:cs="Times New Roman"/>
                          <w:color w:val="081B3A"/>
                          <w:spacing w:val="3"/>
                          <w:sz w:val="22"/>
                          <w:shd w:val="clear" w:color="auto" w:fill="FFFFFF"/>
                        </w:rPr>
                      </w:pPr>
                      <w:r w:rsidRPr="00A24758">
                        <w:rPr>
                          <w:rFonts w:cs="Times New Roman"/>
                          <w:bCs/>
                          <w:color w:val="000000" w:themeColor="text1"/>
                          <w:sz w:val="22"/>
                          <w:vertAlign w:val="superscript"/>
                        </w:rPr>
                        <w:t>3</w:t>
                      </w:r>
                      <w:r w:rsidRPr="00A24758">
                        <w:rPr>
                          <w:rFonts w:cs="Times New Roman"/>
                          <w:color w:val="081B3A"/>
                          <w:spacing w:val="3"/>
                          <w:sz w:val="22"/>
                          <w:shd w:val="clear" w:color="auto" w:fill="FFFFFF"/>
                        </w:rPr>
                        <w:t>Department of General Education, National University of Arts Education</w:t>
                      </w:r>
                    </w:p>
                    <w:p w14:paraId="53874D99" w14:textId="7FDABCF8" w:rsidR="00582050" w:rsidRDefault="00582050" w:rsidP="00A24758">
                      <w:pPr>
                        <w:spacing w:before="0" w:after="0"/>
                        <w:ind w:firstLine="0"/>
                        <w:rPr>
                          <w:rFonts w:cs="Times New Roman"/>
                          <w:color w:val="081B3A"/>
                          <w:spacing w:val="3"/>
                          <w:sz w:val="22"/>
                          <w:shd w:val="clear" w:color="auto" w:fill="FFFFFF"/>
                        </w:rPr>
                      </w:pPr>
                      <w:r>
                        <w:rPr>
                          <w:rFonts w:cs="Times New Roman"/>
                          <w:bCs/>
                          <w:color w:val="000000" w:themeColor="text1"/>
                          <w:sz w:val="22"/>
                          <w:vertAlign w:val="superscript"/>
                        </w:rPr>
                        <w:t>4</w:t>
                      </w:r>
                      <w:r w:rsidRPr="00A24758">
                        <w:rPr>
                          <w:color w:val="000000"/>
                          <w:sz w:val="22"/>
                        </w:rPr>
                        <w:t>Faculty of Foundation Studies and Foreign Languages, Academy of Policy and Development</w:t>
                      </w:r>
                    </w:p>
                    <w:p w14:paraId="2DCA7ABC" w14:textId="77777777" w:rsidR="00582050" w:rsidRPr="00A24758" w:rsidRDefault="00582050" w:rsidP="00A24758">
                      <w:pPr>
                        <w:spacing w:before="0" w:after="0"/>
                        <w:ind w:firstLine="0"/>
                        <w:rPr>
                          <w:rStyle w:val="Hyperlink"/>
                          <w:rFonts w:cs="Times New Roman"/>
                          <w:color w:val="000000" w:themeColor="text1"/>
                          <w:sz w:val="22"/>
                        </w:rPr>
                      </w:pPr>
                    </w:p>
                    <w:p w14:paraId="74460B3B" w14:textId="77777777" w:rsidR="00E5015D" w:rsidRPr="00E5015D" w:rsidRDefault="00E5015D" w:rsidP="00D5074E">
                      <w:pPr>
                        <w:spacing w:after="120"/>
                        <w:ind w:firstLine="0"/>
                        <w:rPr>
                          <w:color w:val="000000" w:themeColor="text1"/>
                          <w:sz w:val="26"/>
                          <w:szCs w:val="26"/>
                        </w:rPr>
                      </w:pPr>
                    </w:p>
                    <w:p w14:paraId="46C61AC1" w14:textId="109C15F6" w:rsidR="00D5074E" w:rsidRPr="00D5074E" w:rsidRDefault="00D5074E" w:rsidP="00D5074E">
                      <w:pPr>
                        <w:ind w:firstLine="0"/>
                      </w:pPr>
                    </w:p>
                  </w:txbxContent>
                </v:textbox>
              </v:rect>
            </w:pict>
          </mc:Fallback>
        </mc:AlternateContent>
      </w:r>
      <w:r w:rsidR="00D5074E">
        <w:rPr>
          <w:rFonts w:cs="Times New Roman"/>
          <w:b/>
          <w:bCs/>
          <w:noProof/>
          <w:sz w:val="24"/>
          <w:szCs w:val="24"/>
        </w:rPr>
        <mc:AlternateContent>
          <mc:Choice Requires="wps">
            <w:drawing>
              <wp:anchor distT="0" distB="0" distL="114300" distR="114300" simplePos="0" relativeHeight="251661312" behindDoc="0" locked="0" layoutInCell="1" allowOverlap="1" wp14:anchorId="4F7676B0" wp14:editId="488824A7">
                <wp:simplePos x="0" y="0"/>
                <wp:positionH relativeFrom="column">
                  <wp:posOffset>19182</wp:posOffset>
                </wp:positionH>
                <wp:positionV relativeFrom="paragraph">
                  <wp:posOffset>27438</wp:posOffset>
                </wp:positionV>
                <wp:extent cx="2436269" cy="6395"/>
                <wp:effectExtent l="0" t="0" r="21590" b="31750"/>
                <wp:wrapNone/>
                <wp:docPr id="4" name="Straight Connector 4"/>
                <wp:cNvGraphicFramePr/>
                <a:graphic xmlns:a="http://schemas.openxmlformats.org/drawingml/2006/main">
                  <a:graphicData uri="http://schemas.microsoft.com/office/word/2010/wordprocessingShape">
                    <wps:wsp>
                      <wps:cNvCnPr/>
                      <wps:spPr>
                        <a:xfrm flipV="1">
                          <a:off x="0" y="0"/>
                          <a:ext cx="2436269" cy="639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5C58D"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pt,2.15pt" to="193.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" strokecolor="black [3213]" strokeweight=".5pt">
                <v:stroke joinstyle="miter"/>
              </v:line>
            </w:pict>
          </mc:Fallback>
        </mc:AlternateContent>
      </w:r>
    </w:p>
    <w:bookmarkEnd w:id="1"/>
    <w:p w14:paraId="46654C4C" w14:textId="77777777" w:rsidR="00722EDE" w:rsidRPr="00916B27" w:rsidRDefault="00722EDE" w:rsidP="00D5074E">
      <w:pPr>
        <w:pStyle w:val="RALs-Heading1"/>
        <w:spacing w:before="0" w:after="120" w:line="480" w:lineRule="auto"/>
        <w:rPr>
          <w:rFonts w:cs="Times New Roman"/>
          <w:b w:val="0"/>
          <w:bCs w:val="0"/>
          <w:sz w:val="24"/>
          <w:szCs w:val="24"/>
        </w:rPr>
      </w:pPr>
      <w:r w:rsidRPr="00916B27">
        <w:rPr>
          <w:rFonts w:cs="Times New Roman"/>
          <w:sz w:val="24"/>
          <w:szCs w:val="24"/>
        </w:rPr>
        <w:t>1. Introduction</w:t>
      </w:r>
    </w:p>
    <w:p w14:paraId="1DCA3E5B" w14:textId="77777777" w:rsidR="00582050"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 xml:space="preserve">English has become the dominant global lingua franca in education, business, science, </w:t>
      </w:r>
    </w:p>
    <w:p w14:paraId="3A351A53" w14:textId="09A14CF8" w:rsidR="00582050" w:rsidRDefault="00582050" w:rsidP="00281770">
      <w:pPr>
        <w:pStyle w:val="NormalWeb"/>
        <w:spacing w:before="0" w:beforeAutospacing="0" w:after="120" w:afterAutospacing="0" w:line="480" w:lineRule="auto"/>
        <w:jc w:val="both"/>
        <w:rPr>
          <w:color w:val="000000" w:themeColor="text1"/>
        </w:rPr>
      </w:pPr>
    </w:p>
    <w:p w14:paraId="0C128E08" w14:textId="3EDF7B66" w:rsidR="00281770" w:rsidRDefault="00281770" w:rsidP="00281770">
      <w:pPr>
        <w:pStyle w:val="NormalWeb"/>
        <w:spacing w:before="0" w:beforeAutospacing="0" w:after="120" w:afterAutospacing="0" w:line="480" w:lineRule="auto"/>
        <w:jc w:val="both"/>
        <w:rPr>
          <w:color w:val="000000" w:themeColor="text1"/>
        </w:rPr>
      </w:pPr>
    </w:p>
    <w:p w14:paraId="1E8DD2F9" w14:textId="0D44C737" w:rsidR="00281770" w:rsidRDefault="00281770" w:rsidP="00281770">
      <w:pPr>
        <w:pStyle w:val="NormalWeb"/>
        <w:spacing w:before="0" w:beforeAutospacing="0" w:after="120" w:afterAutospacing="0" w:line="480" w:lineRule="auto"/>
        <w:jc w:val="both"/>
        <w:rPr>
          <w:color w:val="000000" w:themeColor="text1"/>
        </w:rPr>
      </w:pPr>
    </w:p>
    <w:p w14:paraId="3A5C6FCE" w14:textId="77777777" w:rsidR="00281770" w:rsidRPr="00361336" w:rsidRDefault="00281770" w:rsidP="00281770">
      <w:pPr>
        <w:pStyle w:val="Heading1"/>
        <w:spacing w:before="0" w:after="0" w:line="480" w:lineRule="auto"/>
        <w:jc w:val="both"/>
        <w:rPr>
          <w:color w:val="000000" w:themeColor="text1"/>
          <w:sz w:val="26"/>
          <w:szCs w:val="26"/>
        </w:rPr>
      </w:pPr>
      <w:r w:rsidRPr="00361336">
        <w:rPr>
          <w:color w:val="000000" w:themeColor="text1"/>
          <w:sz w:val="26"/>
          <w:szCs w:val="26"/>
        </w:rPr>
        <w:lastRenderedPageBreak/>
        <w:t>1. Introduction</w:t>
      </w:r>
    </w:p>
    <w:p w14:paraId="3013870F" w14:textId="77777777" w:rsidR="00010C99" w:rsidRPr="00010C99" w:rsidRDefault="00010C99" w:rsidP="00D5074E">
      <w:pPr>
        <w:pStyle w:val="NormalWeb"/>
        <w:spacing w:before="0" w:beforeAutospacing="0" w:after="120" w:afterAutospacing="0" w:line="480" w:lineRule="auto"/>
        <w:ind w:firstLine="720"/>
        <w:jc w:val="both"/>
        <w:rPr>
          <w:color w:val="FF0000"/>
        </w:rPr>
      </w:pPr>
      <w:r w:rsidRPr="00010C99">
        <w:rPr>
          <w:color w:val="FF0000"/>
        </w:rPr>
        <w:t xml:space="preserve">English has become the dominant global lingua franca in education, business, science, and international communication. In the Vietnamese context, English is generally regarded as a foreign language (EFL), although recent educational reforms have increasingly emphasized communicative competence and international integration. The growing importance of English proficiency has been institutionalized through national educational policies that promote English as a compulsory subject from primary school onward. Consequently, improving English language competence, particularly vocabulary knowledge, has become a major educational priority. </w:t>
      </w:r>
    </w:p>
    <w:p w14:paraId="5BD8A2E9" w14:textId="02B48123" w:rsidR="00B01DD2"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 xml:space="preserve">Vocabulary plays a fundamental role in second language acquisition because it forms the basis for listening, speaking, reading, and writing skills. Without sufficient vocabulary knowledge, learners struggle to communicate effectively regardless of their grammatical competence. Despite its importance, vocabulary acquisition remains challenging for many </w:t>
      </w:r>
      <w:proofErr w:type="gramStart"/>
      <w:r w:rsidR="00010C99">
        <w:t>English</w:t>
      </w:r>
      <w:proofErr w:type="gramEnd"/>
      <w:r w:rsidR="00010C99">
        <w:t xml:space="preserve"> as a Foreign Language (EFL) </w:t>
      </w:r>
      <w:r w:rsidRPr="00916B27">
        <w:rPr>
          <w:color w:val="000000" w:themeColor="text1"/>
        </w:rPr>
        <w:t xml:space="preserve">learners due to traditional teaching approaches that rely heavily on memorization and decontextualized exercises. In recent years, digital technologies and social media platforms have transformed language learning environments. Among these technologies, short-form video platforms such as TikTok and Instagram Reels have become increasingly popular among university students. These platforms provide highly visual, interactive, and concise content that aligns with contemporary learners’ media consumption habits. The growing popularity of short-form video content is particularly significant in Southeast Asia. According to Digital 2025 reports, Vietnamese users spend several hours each week consuming short-form videos on social media platforms. Beyond entertainment purposes, these platforms are increasingly used for informal learning activities, including English vocabulary development. The pedagogical potential of short-form videos can be explained through several theoretical perspectives. Mayer’s Cognitive Theory of Multimedia Learning </w:t>
      </w:r>
      <w:r w:rsidRPr="00916B27">
        <w:rPr>
          <w:color w:val="000000" w:themeColor="text1"/>
        </w:rPr>
        <w:lastRenderedPageBreak/>
        <w:t>suggests that learners process information more effectively when verbal and visual information are presented simultaneously. Similarly, micro-learning theory emphasizes the effectiveness of short, focused learning units that reduce cognitive overload and increase learner engagement. Short-form videos integrate audio, subtitles, visual illustrations, and contextualized language use, thereby potentially supporting vocabulary acquisition in meaningful and memorable ways. Previous studies have shown that social media-based learning can enhance learner motivation, engagement, and vocabulary retention. However, existing research presents several limitations. First, many studies focus on a single platform rather than comparing multiple short-form video environments. Second, empirical research examining the direct relationship between specific video characteristics and vocabulary acquisition remains limited. Third, little research has investigated these relationships within the Vietnamese higher education context.</w:t>
      </w:r>
    </w:p>
    <w:p w14:paraId="0DF94EBC" w14:textId="395801F7" w:rsidR="00010C99" w:rsidRPr="00010C99" w:rsidRDefault="00010C99" w:rsidP="00D5074E">
      <w:pPr>
        <w:pStyle w:val="NormalWeb"/>
        <w:spacing w:before="0" w:beforeAutospacing="0" w:after="120" w:afterAutospacing="0" w:line="480" w:lineRule="auto"/>
        <w:ind w:firstLine="720"/>
        <w:jc w:val="both"/>
        <w:rPr>
          <w:color w:val="FF0000"/>
        </w:rPr>
      </w:pPr>
      <w:r w:rsidRPr="00010C99">
        <w:rPr>
          <w:color w:val="FF0000"/>
        </w:rPr>
        <w:t>Although previous studies have highlighted the educational potential of social media platforms, most research has focused on learners’ motivation, engagement, attitudes, or general platform use. Relatively little attention has been paid to identifying which specific characteristics of short-form video platforms are associated with vocabulary learning outcomes. In particular, the respective roles of engagement, repetition, multimedia elements, and distraction remain insufficiently understood. By examining these factors simultaneously within a single structural model, the present study contributes to a more nuanced understanding of how short-form video platforms may support English vocabulary learning among Vietnamese EFL university students.</w:t>
      </w:r>
    </w:p>
    <w:p w14:paraId="20EEAF7F"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To address these gaps, the present study investigates the impact of engagement, repetition, multimedia elements, and distraction on English vocabulary acquisition through TikTok and Instagram Reels among Vietnamese university students.</w:t>
      </w:r>
    </w:p>
    <w:p w14:paraId="7FCF4F5C" w14:textId="77777777" w:rsidR="00B01DD2" w:rsidRPr="00916B27" w:rsidRDefault="00B01DD2" w:rsidP="00D5074E">
      <w:pPr>
        <w:pStyle w:val="NormalWeb"/>
        <w:spacing w:before="0" w:beforeAutospacing="0" w:after="120" w:afterAutospacing="0" w:line="480" w:lineRule="auto"/>
        <w:jc w:val="both"/>
        <w:rPr>
          <w:color w:val="000000" w:themeColor="text1"/>
        </w:rPr>
      </w:pPr>
      <w:r w:rsidRPr="00916B27">
        <w:rPr>
          <w:color w:val="000000" w:themeColor="text1"/>
        </w:rPr>
        <w:t>The study aims to answer the following research questions:</w:t>
      </w:r>
    </w:p>
    <w:p w14:paraId="4F246D6A" w14:textId="16747214" w:rsidR="00B01DD2" w:rsidRPr="00916B27" w:rsidRDefault="00B01DD2" w:rsidP="00D5074E">
      <w:pPr>
        <w:spacing w:before="0" w:after="120" w:line="480" w:lineRule="auto"/>
        <w:ind w:left="270" w:firstLine="0"/>
        <w:rPr>
          <w:rFonts w:cs="Times New Roman"/>
          <w:i/>
          <w:iCs/>
          <w:color w:val="000000" w:themeColor="text1"/>
          <w:sz w:val="24"/>
          <w:szCs w:val="24"/>
        </w:rPr>
      </w:pPr>
      <w:r w:rsidRPr="00916B27">
        <w:rPr>
          <w:rFonts w:cs="Times New Roman"/>
          <w:i/>
          <w:iCs/>
          <w:color w:val="000000" w:themeColor="text1"/>
          <w:sz w:val="24"/>
          <w:szCs w:val="24"/>
        </w:rPr>
        <w:lastRenderedPageBreak/>
        <w:t>RQ1. Which factors influence vocabulary acquisition through short-form video platforms?</w:t>
      </w:r>
    </w:p>
    <w:p w14:paraId="4386520D" w14:textId="21F48271" w:rsidR="00B01DD2" w:rsidRPr="00916B27" w:rsidRDefault="00B01DD2" w:rsidP="00D5074E">
      <w:pPr>
        <w:spacing w:before="0" w:after="120" w:line="480" w:lineRule="auto"/>
        <w:ind w:left="270" w:firstLine="0"/>
        <w:rPr>
          <w:rFonts w:cs="Times New Roman"/>
          <w:i/>
          <w:iCs/>
          <w:color w:val="000000" w:themeColor="text1"/>
          <w:sz w:val="24"/>
          <w:szCs w:val="24"/>
        </w:rPr>
      </w:pPr>
      <w:r w:rsidRPr="00916B27">
        <w:rPr>
          <w:rFonts w:cs="Times New Roman"/>
          <w:i/>
          <w:iCs/>
          <w:color w:val="000000" w:themeColor="text1"/>
          <w:sz w:val="24"/>
          <w:szCs w:val="24"/>
        </w:rPr>
        <w:t>RQ2. To what extent do these factors affect English vocabulary acquisition?</w:t>
      </w:r>
    </w:p>
    <w:p w14:paraId="13068EB3" w14:textId="4C59432E" w:rsidR="00B01DD2" w:rsidRPr="00916B27" w:rsidRDefault="00B01DD2" w:rsidP="00D5074E">
      <w:pPr>
        <w:spacing w:before="0" w:after="120" w:line="480" w:lineRule="auto"/>
        <w:ind w:left="270" w:firstLine="0"/>
        <w:rPr>
          <w:rFonts w:cs="Times New Roman"/>
          <w:i/>
          <w:iCs/>
          <w:color w:val="000000" w:themeColor="text1"/>
          <w:sz w:val="24"/>
          <w:szCs w:val="24"/>
        </w:rPr>
      </w:pPr>
      <w:r w:rsidRPr="00916B27">
        <w:rPr>
          <w:rFonts w:cs="Times New Roman"/>
          <w:i/>
          <w:iCs/>
          <w:color w:val="000000" w:themeColor="text1"/>
          <w:sz w:val="24"/>
          <w:szCs w:val="24"/>
        </w:rPr>
        <w:t>RQ3. Which factor exerts the strongest influence on vocabulary learning outcomes?</w:t>
      </w:r>
    </w:p>
    <w:p w14:paraId="7D9D118F" w14:textId="77777777" w:rsidR="00B01DD2" w:rsidRPr="00916B27" w:rsidRDefault="00B01DD2" w:rsidP="00D5074E">
      <w:pPr>
        <w:pStyle w:val="NormalWeb"/>
        <w:spacing w:before="0" w:beforeAutospacing="0" w:after="120" w:afterAutospacing="0" w:line="480" w:lineRule="auto"/>
        <w:jc w:val="both"/>
        <w:rPr>
          <w:color w:val="000000" w:themeColor="text1"/>
        </w:rPr>
      </w:pPr>
      <w:r w:rsidRPr="00916B27">
        <w:rPr>
          <w:color w:val="000000" w:themeColor="text1"/>
        </w:rPr>
        <w:t>The findings are expected to contribute both theoretically and practically to the field of digital language learning and technology-enhanced vocabulary instruction.</w:t>
      </w:r>
    </w:p>
    <w:p w14:paraId="4F203CA1" w14:textId="77777777" w:rsidR="00722EDE" w:rsidRPr="00916B27" w:rsidRDefault="00722EDE" w:rsidP="00D5074E">
      <w:pPr>
        <w:pStyle w:val="RALs-Heading1"/>
        <w:spacing w:before="0" w:after="120" w:line="480" w:lineRule="auto"/>
        <w:rPr>
          <w:rFonts w:cs="Times New Roman"/>
          <w:sz w:val="24"/>
          <w:szCs w:val="24"/>
        </w:rPr>
      </w:pPr>
      <w:r w:rsidRPr="00916B27">
        <w:rPr>
          <w:rFonts w:cs="Times New Roman"/>
          <w:sz w:val="24"/>
          <w:szCs w:val="24"/>
        </w:rPr>
        <w:t>2. Literature Review</w:t>
      </w:r>
    </w:p>
    <w:p w14:paraId="28381424" w14:textId="77777777" w:rsidR="00B01DD2" w:rsidRPr="005D18CA" w:rsidRDefault="00B01DD2" w:rsidP="00A61AFE">
      <w:pPr>
        <w:pStyle w:val="Heading3"/>
        <w:spacing w:before="0" w:after="0" w:line="480" w:lineRule="auto"/>
        <w:jc w:val="both"/>
        <w:rPr>
          <w:b/>
          <w:bCs/>
          <w:i/>
          <w:iCs/>
          <w:color w:val="000000" w:themeColor="text1"/>
          <w:sz w:val="24"/>
          <w:szCs w:val="24"/>
        </w:rPr>
      </w:pPr>
      <w:r w:rsidRPr="005D18CA">
        <w:rPr>
          <w:b/>
          <w:bCs/>
          <w:i/>
          <w:iCs/>
          <w:color w:val="000000" w:themeColor="text1"/>
          <w:sz w:val="24"/>
          <w:szCs w:val="24"/>
        </w:rPr>
        <w:t>2.1. Social media and language learning</w:t>
      </w:r>
    </w:p>
    <w:p w14:paraId="67C3FB96"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The rapid expansion of digital technologies has transformed how people communicate, interact, and access knowledge. Among these developments, social media platforms have become influential environments for information sharing, collaboration, and learning. Kaplan and Haenlein (2010) define social media as Internet-based applications built on Web 2.0 that enable the creation and exchange of user-generated content, while Boyd and Ellison (2007) describe social networking sites as web-based services that allow users to create profiles, establish connections, and interact within online communities. Their increasing accessibility has significantly influenced educational practices, particularly language learning.</w:t>
      </w:r>
    </w:p>
    <w:p w14:paraId="6497A3A0"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 xml:space="preserve">Recent research has highlighted the pedagogical value of social media in second and foreign language education. These platforms promote communication, collaboration, learner autonomy, and authentic language exposure, supporting interactive and learner-centered learning (Blattner &amp; Fiori, 2009; Manca &amp; Ranieri, 2016). Kabilan et al. (2010) found that social networking environments enhance vocabulary development, writing fluency, and communicative competence through authentic interaction, while </w:t>
      </w:r>
      <w:proofErr w:type="spellStart"/>
      <w:r w:rsidRPr="00A61AFE">
        <w:rPr>
          <w:rFonts w:cs="Times New Roman"/>
          <w:sz w:val="24"/>
          <w:szCs w:val="24"/>
          <w:lang w:eastAsia="zh-CN"/>
        </w:rPr>
        <w:t>Lomicka</w:t>
      </w:r>
      <w:proofErr w:type="spellEnd"/>
      <w:r w:rsidRPr="00A61AFE">
        <w:rPr>
          <w:rFonts w:cs="Times New Roman"/>
          <w:sz w:val="24"/>
          <w:szCs w:val="24"/>
          <w:lang w:eastAsia="zh-CN"/>
        </w:rPr>
        <w:t xml:space="preserve"> and Lord (2016) emphasized their role in fostering informal language learning and intercultural communication. From a sociocultural perspective, Vygotsky (1978) argues that social interaction is fundamental to cognitive development, and online communities provide opportunities for learners to </w:t>
      </w:r>
      <w:r w:rsidRPr="00A61AFE">
        <w:rPr>
          <w:rFonts w:cs="Times New Roman"/>
          <w:sz w:val="24"/>
          <w:szCs w:val="24"/>
          <w:lang w:eastAsia="zh-CN"/>
        </w:rPr>
        <w:lastRenderedPageBreak/>
        <w:t>negotiate meaning and co-construct knowledge (Reinhardt, 2019). These environments may also reduce language anxiety and encourage communication (Lee, 2014).</w:t>
      </w:r>
    </w:p>
    <w:p w14:paraId="7AB7B27C" w14:textId="754B30AE"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Social media has also been associated with greater learner motivation and engagement. Junco et al. (2011) reported positive effects on student engagement and academic performance, whereas the multimodal features of social media</w:t>
      </w:r>
      <w:r>
        <w:rPr>
          <w:rFonts w:cs="Times New Roman"/>
          <w:sz w:val="24"/>
          <w:szCs w:val="24"/>
          <w:lang w:eastAsia="zh-CN"/>
        </w:rPr>
        <w:t xml:space="preserve"> </w:t>
      </w:r>
      <w:r w:rsidRPr="00A61AFE">
        <w:rPr>
          <w:rFonts w:cs="Times New Roman"/>
          <w:sz w:val="24"/>
          <w:szCs w:val="24"/>
          <w:lang w:eastAsia="zh-CN"/>
        </w:rPr>
        <w:t>including text, images, audio, subtitles, and emojis</w:t>
      </w:r>
      <w:r>
        <w:rPr>
          <w:rFonts w:cs="Times New Roman"/>
          <w:sz w:val="24"/>
          <w:szCs w:val="24"/>
          <w:lang w:eastAsia="zh-CN"/>
        </w:rPr>
        <w:t xml:space="preserve"> </w:t>
      </w:r>
      <w:r w:rsidRPr="00A61AFE">
        <w:rPr>
          <w:rFonts w:cs="Times New Roman"/>
          <w:sz w:val="24"/>
          <w:szCs w:val="24"/>
          <w:lang w:eastAsia="zh-CN"/>
        </w:rPr>
        <w:t>provide rich linguistic input that supports comprehension and vocabulary retention (Godwin-Jones, 2018). Video-based content is particularly valuable because audiovisual input facilitates learning through multiple sensory channels (Mayer, 2009), improving listening comprehension, vocabulary acquisition, and pronunciation in authentic contexts (</w:t>
      </w:r>
      <w:proofErr w:type="spellStart"/>
      <w:r w:rsidRPr="00A61AFE">
        <w:rPr>
          <w:rFonts w:cs="Times New Roman"/>
          <w:sz w:val="24"/>
          <w:szCs w:val="24"/>
          <w:lang w:eastAsia="zh-CN"/>
        </w:rPr>
        <w:t>Vanderplank</w:t>
      </w:r>
      <w:proofErr w:type="spellEnd"/>
      <w:r w:rsidRPr="00A61AFE">
        <w:rPr>
          <w:rFonts w:cs="Times New Roman"/>
          <w:sz w:val="24"/>
          <w:szCs w:val="24"/>
          <w:lang w:eastAsia="zh-CN"/>
        </w:rPr>
        <w:t>, 2016).</w:t>
      </w:r>
      <w:r>
        <w:rPr>
          <w:rFonts w:cs="Times New Roman"/>
          <w:sz w:val="24"/>
          <w:szCs w:val="24"/>
          <w:lang w:eastAsia="zh-CN"/>
        </w:rPr>
        <w:t xml:space="preserve"> </w:t>
      </w:r>
      <w:r w:rsidRPr="00A61AFE">
        <w:rPr>
          <w:rFonts w:cs="Times New Roman"/>
          <w:sz w:val="24"/>
          <w:szCs w:val="24"/>
          <w:lang w:eastAsia="zh-CN"/>
        </w:rPr>
        <w:t>Despite these benefits, social media may also create learning challenges. Excessive use can negatively affect academic performance and time management (Kirschner &amp; Karpinski, 2010), while frequent digital multitasking may reduce sustained attention and cognitive performance (Rosen et al., 2013). These contrasting findings suggest that the relationship between social media use and language learning remains complex and context-dependent.</w:t>
      </w:r>
    </w:p>
    <w:p w14:paraId="74473BA6" w14:textId="2BC5176E" w:rsidR="00A61AFE" w:rsidRPr="00A61AFE" w:rsidRDefault="00A61AFE" w:rsidP="00A61AFE">
      <w:pPr>
        <w:spacing w:before="0" w:after="0" w:line="480" w:lineRule="auto"/>
        <w:ind w:firstLine="0"/>
        <w:rPr>
          <w:rFonts w:cs="Times New Roman"/>
          <w:sz w:val="24"/>
          <w:szCs w:val="24"/>
          <w:lang w:eastAsia="zh-CN"/>
        </w:rPr>
      </w:pPr>
      <w:r>
        <w:rPr>
          <w:rFonts w:cs="Times New Roman"/>
          <w:sz w:val="24"/>
          <w:szCs w:val="24"/>
          <w:lang w:eastAsia="zh-CN"/>
        </w:rPr>
        <w:t xml:space="preserve"> </w:t>
      </w:r>
      <w:r>
        <w:rPr>
          <w:rFonts w:cs="Times New Roman"/>
          <w:sz w:val="24"/>
          <w:szCs w:val="24"/>
          <w:lang w:eastAsia="zh-CN"/>
        </w:rPr>
        <w:tab/>
      </w:r>
      <w:r w:rsidRPr="00A61AFE">
        <w:rPr>
          <w:rFonts w:cs="Times New Roman"/>
          <w:sz w:val="24"/>
          <w:szCs w:val="24"/>
          <w:lang w:eastAsia="zh-CN"/>
        </w:rPr>
        <w:t>Consequently, greater attention should be given to examining how specific forms of social media content influence language learning. Among current digital trends, short-form video platforms such as TikTok and Instagram Reels have attracted increasing scholarly interest because of their rapid global growth and widespread popularity among younger learners.</w:t>
      </w:r>
    </w:p>
    <w:p w14:paraId="57FACA9D" w14:textId="77777777" w:rsidR="00B01DD2" w:rsidRPr="005D18CA" w:rsidRDefault="00B01DD2" w:rsidP="00A61AFE">
      <w:pPr>
        <w:pStyle w:val="Heading3"/>
        <w:spacing w:before="0" w:after="0" w:line="480" w:lineRule="auto"/>
        <w:jc w:val="both"/>
        <w:rPr>
          <w:b/>
          <w:bCs/>
          <w:i/>
          <w:iCs/>
          <w:color w:val="000000" w:themeColor="text1"/>
          <w:sz w:val="24"/>
          <w:szCs w:val="24"/>
        </w:rPr>
      </w:pPr>
      <w:r w:rsidRPr="005D18CA">
        <w:rPr>
          <w:b/>
          <w:bCs/>
          <w:i/>
          <w:iCs/>
          <w:color w:val="000000" w:themeColor="text1"/>
          <w:sz w:val="24"/>
          <w:szCs w:val="24"/>
        </w:rPr>
        <w:t>2.2 Short-form videos and micro-learning</w:t>
      </w:r>
    </w:p>
    <w:p w14:paraId="1106194D"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 xml:space="preserve">Short-form videos are concise audiovisual content, typically lasting from a few seconds to several minutes, and have gained widespread popularity through platforms such as TikTok, Instagram Reels, and YouTube Shorts. Kaye et al. (2021) </w:t>
      </w:r>
      <w:proofErr w:type="gramStart"/>
      <w:r w:rsidRPr="00A61AFE">
        <w:rPr>
          <w:rFonts w:cs="Times New Roman"/>
          <w:sz w:val="24"/>
          <w:szCs w:val="24"/>
          <w:lang w:eastAsia="zh-CN"/>
        </w:rPr>
        <w:t>attribute</w:t>
      </w:r>
      <w:proofErr w:type="gramEnd"/>
      <w:r w:rsidRPr="00A61AFE">
        <w:rPr>
          <w:rFonts w:cs="Times New Roman"/>
          <w:sz w:val="24"/>
          <w:szCs w:val="24"/>
          <w:lang w:eastAsia="zh-CN"/>
        </w:rPr>
        <w:t xml:space="preserve"> their popularity to accessibility, entertainment value, algorithmic personalization, and compatibility with mobile media consumption.</w:t>
      </w:r>
    </w:p>
    <w:p w14:paraId="32055226"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lastRenderedPageBreak/>
        <w:t xml:space="preserve">The educational potential of short-form videos can be explained through the concept of micro-learning. Hug (2005) defines micro-learning as delivering content in small, focused units that can be completed in a short time, while </w:t>
      </w:r>
      <w:proofErr w:type="spellStart"/>
      <w:r w:rsidRPr="00A61AFE">
        <w:rPr>
          <w:rFonts w:cs="Times New Roman"/>
          <w:sz w:val="24"/>
          <w:szCs w:val="24"/>
          <w:lang w:eastAsia="zh-CN"/>
        </w:rPr>
        <w:t>Buchem</w:t>
      </w:r>
      <w:proofErr w:type="spellEnd"/>
      <w:r w:rsidRPr="00A61AFE">
        <w:rPr>
          <w:rFonts w:cs="Times New Roman"/>
          <w:sz w:val="24"/>
          <w:szCs w:val="24"/>
          <w:lang w:eastAsia="zh-CN"/>
        </w:rPr>
        <w:t xml:space="preserve"> and </w:t>
      </w:r>
      <w:proofErr w:type="spellStart"/>
      <w:r w:rsidRPr="00A61AFE">
        <w:rPr>
          <w:rFonts w:cs="Times New Roman"/>
          <w:sz w:val="24"/>
          <w:szCs w:val="24"/>
          <w:lang w:eastAsia="zh-CN"/>
        </w:rPr>
        <w:t>Hamelmann</w:t>
      </w:r>
      <w:proofErr w:type="spellEnd"/>
      <w:r w:rsidRPr="00A61AFE">
        <w:rPr>
          <w:rFonts w:cs="Times New Roman"/>
          <w:sz w:val="24"/>
          <w:szCs w:val="24"/>
          <w:lang w:eastAsia="zh-CN"/>
        </w:rPr>
        <w:t xml:space="preserve"> (2010) argue that this approach aligns with learners’ preferences for flexible, mobile, and self-directed learning. Research further shows that concise and visually engaging instructional videos enhance learner attention and engagement. Guo et al. (2014) found that shorter videos achieved higher completion rates and sustained learner attention, whereas Bétrancourt and </w:t>
      </w:r>
      <w:proofErr w:type="spellStart"/>
      <w:r w:rsidRPr="00A61AFE">
        <w:rPr>
          <w:rFonts w:cs="Times New Roman"/>
          <w:sz w:val="24"/>
          <w:szCs w:val="24"/>
          <w:lang w:eastAsia="zh-CN"/>
        </w:rPr>
        <w:t>Benetos</w:t>
      </w:r>
      <w:proofErr w:type="spellEnd"/>
      <w:r w:rsidRPr="00A61AFE">
        <w:rPr>
          <w:rFonts w:cs="Times New Roman"/>
          <w:sz w:val="24"/>
          <w:szCs w:val="24"/>
          <w:lang w:eastAsia="zh-CN"/>
        </w:rPr>
        <w:t xml:space="preserve"> (2018) argued that brief video segments facilitate information processing by reducing unnecessary cognitive demands.</w:t>
      </w:r>
    </w:p>
    <w:p w14:paraId="112D57F8"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The effectiveness of short-form videos is also supported by Mayer’s (2009) Cognitive Theory of Multimedia Learning, which suggests that learners process verbal and visual information through dual channels. Accordingly, multimedia elements such as narration, subtitles, visuals, and contextual demonstrations can enhance comprehension and memory retention. Likewise, Cognitive Load Theory (</w:t>
      </w:r>
      <w:proofErr w:type="spellStart"/>
      <w:r w:rsidRPr="00A61AFE">
        <w:rPr>
          <w:rFonts w:cs="Times New Roman"/>
          <w:sz w:val="24"/>
          <w:szCs w:val="24"/>
          <w:lang w:eastAsia="zh-CN"/>
        </w:rPr>
        <w:t>Sweller</w:t>
      </w:r>
      <w:proofErr w:type="spellEnd"/>
      <w:r w:rsidRPr="00A61AFE">
        <w:rPr>
          <w:rFonts w:cs="Times New Roman"/>
          <w:sz w:val="24"/>
          <w:szCs w:val="24"/>
          <w:lang w:eastAsia="zh-CN"/>
        </w:rPr>
        <w:t>, 1988) proposes that presenting information in manageable segments reduces cognitive overload, although excessive pacing or visual complexity may hinder learning (</w:t>
      </w:r>
      <w:proofErr w:type="spellStart"/>
      <w:r w:rsidRPr="00A61AFE">
        <w:rPr>
          <w:rFonts w:cs="Times New Roman"/>
          <w:sz w:val="24"/>
          <w:szCs w:val="24"/>
          <w:lang w:eastAsia="zh-CN"/>
        </w:rPr>
        <w:t>Paas</w:t>
      </w:r>
      <w:proofErr w:type="spellEnd"/>
      <w:r w:rsidRPr="00A61AFE">
        <w:rPr>
          <w:rFonts w:cs="Times New Roman"/>
          <w:sz w:val="24"/>
          <w:szCs w:val="24"/>
          <w:lang w:eastAsia="zh-CN"/>
        </w:rPr>
        <w:t xml:space="preserve"> &amp; </w:t>
      </w:r>
      <w:proofErr w:type="spellStart"/>
      <w:r w:rsidRPr="00A61AFE">
        <w:rPr>
          <w:rFonts w:cs="Times New Roman"/>
          <w:sz w:val="24"/>
          <w:szCs w:val="24"/>
          <w:lang w:eastAsia="zh-CN"/>
        </w:rPr>
        <w:t>Sweller</w:t>
      </w:r>
      <w:proofErr w:type="spellEnd"/>
      <w:r w:rsidRPr="00A61AFE">
        <w:rPr>
          <w:rFonts w:cs="Times New Roman"/>
          <w:sz w:val="24"/>
          <w:szCs w:val="24"/>
          <w:lang w:eastAsia="zh-CN"/>
        </w:rPr>
        <w:t>, 2014).</w:t>
      </w:r>
    </w:p>
    <w:p w14:paraId="1394889B"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The growing popularity of TikTok and Instagram Reels has encouraged research on their educational applications. Escamilla-Fajardo et al. (2021) suggest that TikTok promotes active and collaborative learning through its interactive features. Similarly, Dizon (2021) found that learners perceived TikTok as an engaging platform for English learning because it provides authentic input, contextualized language use, and repeated lexical exposure. In addition, subtitles, hashtags, music, and visual illustrations may facilitate vocabulary recognition and contextual comprehension (</w:t>
      </w:r>
      <w:proofErr w:type="spellStart"/>
      <w:r w:rsidRPr="00A61AFE">
        <w:rPr>
          <w:rFonts w:cs="Times New Roman"/>
          <w:sz w:val="24"/>
          <w:szCs w:val="24"/>
          <w:lang w:eastAsia="zh-CN"/>
        </w:rPr>
        <w:t>Vanderplank</w:t>
      </w:r>
      <w:proofErr w:type="spellEnd"/>
      <w:r w:rsidRPr="00A61AFE">
        <w:rPr>
          <w:rFonts w:cs="Times New Roman"/>
          <w:sz w:val="24"/>
          <w:szCs w:val="24"/>
          <w:lang w:eastAsia="zh-CN"/>
        </w:rPr>
        <w:t>, 2016).</w:t>
      </w:r>
    </w:p>
    <w:p w14:paraId="44496F09"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 xml:space="preserve">Despite these advantages, the educational value of short-form videos remains debated. Firth et al. (2019) argue that their rapid and fragmented nature may encourage superficial </w:t>
      </w:r>
      <w:r w:rsidRPr="00A61AFE">
        <w:rPr>
          <w:rFonts w:cs="Times New Roman"/>
          <w:sz w:val="24"/>
          <w:szCs w:val="24"/>
          <w:lang w:eastAsia="zh-CN"/>
        </w:rPr>
        <w:lastRenderedPageBreak/>
        <w:t>information processing rather than reflective learning. Therefore, further empirical research is needed to determine whether short-form videos genuinely promote language acquisition or primarily increase temporary learner engagement.</w:t>
      </w:r>
    </w:p>
    <w:p w14:paraId="5BE0FDD4" w14:textId="77777777" w:rsidR="00B01DD2" w:rsidRPr="005D18CA" w:rsidRDefault="00B01DD2" w:rsidP="00D5074E">
      <w:pPr>
        <w:pStyle w:val="Heading3"/>
        <w:spacing w:before="0" w:after="120" w:line="480" w:lineRule="auto"/>
        <w:jc w:val="both"/>
        <w:rPr>
          <w:b/>
          <w:bCs/>
          <w:i/>
          <w:iCs/>
          <w:color w:val="000000" w:themeColor="text1"/>
          <w:sz w:val="24"/>
          <w:szCs w:val="24"/>
        </w:rPr>
      </w:pPr>
      <w:r w:rsidRPr="005D18CA">
        <w:rPr>
          <w:b/>
          <w:bCs/>
          <w:i/>
          <w:iCs/>
          <w:color w:val="000000" w:themeColor="text1"/>
          <w:sz w:val="24"/>
          <w:szCs w:val="24"/>
        </w:rPr>
        <w:t>2.3. Vocabulary acquisition in digital environments</w:t>
      </w:r>
    </w:p>
    <w:p w14:paraId="1E0EF2A1" w14:textId="77777777" w:rsidR="00A61AFE" w:rsidRPr="00A61AFE" w:rsidRDefault="00A61AFE" w:rsidP="00A61AFE">
      <w:pPr>
        <w:spacing w:before="0" w:after="0" w:line="480" w:lineRule="auto"/>
        <w:rPr>
          <w:rFonts w:cs="Times New Roman"/>
          <w:sz w:val="24"/>
          <w:szCs w:val="24"/>
          <w:lang w:eastAsia="zh-CN"/>
        </w:rPr>
      </w:pPr>
      <w:r w:rsidRPr="00A61AFE">
        <w:rPr>
          <w:rFonts w:cs="Times New Roman"/>
          <w:sz w:val="24"/>
          <w:szCs w:val="24"/>
          <w:lang w:eastAsia="zh-CN"/>
        </w:rPr>
        <w:t>Vocabulary knowledge is a fundamental component of language proficiency because it underpins learners’ ability to comprehend and produce language across listening, speaking, reading, and writing (Nation, 2001; Schmitt, 2010). Contemporary research suggests that vocabulary learning is a gradual process influenced by repeated exposure, meaningful input, cognitive engagement, and opportunities for retrieval and use (Webb &amp; Nation, 2017). In digital learning environments, these processes are increasingly supported by audiovisual content, mobile applications, and social media platforms that provide continuous access to authentic language input (Godwin-Jones, 2018). Based on previous research, the present study examines four factors influencing vocabulary learning through short-form video platforms: repetition, multimedia elements, engagement, and distraction.</w:t>
      </w:r>
    </w:p>
    <w:p w14:paraId="3E7EDD49" w14:textId="77777777" w:rsidR="00A61AFE" w:rsidRPr="00A61AFE" w:rsidRDefault="00A61AFE" w:rsidP="00A61AFE">
      <w:pPr>
        <w:spacing w:before="0" w:after="0" w:line="480" w:lineRule="auto"/>
        <w:rPr>
          <w:rFonts w:cs="Times New Roman"/>
          <w:color w:val="FF0000"/>
          <w:sz w:val="24"/>
          <w:szCs w:val="24"/>
          <w:lang w:eastAsia="zh-CN"/>
        </w:rPr>
      </w:pPr>
      <w:r w:rsidRPr="00A61AFE">
        <w:rPr>
          <w:rFonts w:cs="Times New Roman"/>
          <w:color w:val="FF0000"/>
          <w:sz w:val="24"/>
          <w:szCs w:val="24"/>
          <w:lang w:eastAsia="zh-CN"/>
        </w:rPr>
        <w:t>First, repetition is widely recognized as a key mechanism for vocabulary acquisition. Nation (2001) argues that repeated encounters strengthen form–meaning connections, while Webb (2007) suggests that multiple exposures improve learners’ ability to recognize, recall, and use vocabulary. Similar findings have been reported by Pellicer-Sánchez and Schmitt (2010), Waring and Takaki (2003), and Horst et al. (1998). However, most previous studies were conducted in reading-based or classroom settings, leaving the effectiveness of algorithm-driven repeated exposure on short-form video platforms insufficiently explored.</w:t>
      </w:r>
    </w:p>
    <w:p w14:paraId="23FC0859" w14:textId="77777777" w:rsidR="00A61AFE" w:rsidRPr="00A61AFE" w:rsidRDefault="00A61AFE" w:rsidP="00A61AFE">
      <w:pPr>
        <w:spacing w:before="0" w:after="0" w:line="480" w:lineRule="auto"/>
        <w:rPr>
          <w:rFonts w:cs="Times New Roman"/>
          <w:color w:val="FF0000"/>
          <w:sz w:val="24"/>
          <w:szCs w:val="24"/>
          <w:lang w:eastAsia="zh-CN"/>
        </w:rPr>
      </w:pPr>
      <w:r w:rsidRPr="00A61AFE">
        <w:rPr>
          <w:rFonts w:cs="Times New Roman"/>
          <w:color w:val="FF0000"/>
          <w:sz w:val="24"/>
          <w:szCs w:val="24"/>
          <w:lang w:eastAsia="zh-CN"/>
        </w:rPr>
        <w:t>Second, multimedia elements play an important role in digital vocabulary learning. According to the Cognitive Theory of Multimedia Learning (Mayer, 2009) and Dual Coding Theory (</w:t>
      </w:r>
      <w:proofErr w:type="spellStart"/>
      <w:r w:rsidRPr="00A61AFE">
        <w:rPr>
          <w:rFonts w:cs="Times New Roman"/>
          <w:color w:val="FF0000"/>
          <w:sz w:val="24"/>
          <w:szCs w:val="24"/>
          <w:lang w:eastAsia="zh-CN"/>
        </w:rPr>
        <w:t>Paivio</w:t>
      </w:r>
      <w:proofErr w:type="spellEnd"/>
      <w:r w:rsidRPr="00A61AFE">
        <w:rPr>
          <w:rFonts w:cs="Times New Roman"/>
          <w:color w:val="FF0000"/>
          <w:sz w:val="24"/>
          <w:szCs w:val="24"/>
          <w:lang w:eastAsia="zh-CN"/>
        </w:rPr>
        <w:t xml:space="preserve">, 1991), combining verbal and visual information enhances learning. In language education, subtitles, images, narration, and contextual demonstrations support </w:t>
      </w:r>
      <w:r w:rsidRPr="00A61AFE">
        <w:rPr>
          <w:rFonts w:cs="Times New Roman"/>
          <w:color w:val="FF0000"/>
          <w:sz w:val="24"/>
          <w:szCs w:val="24"/>
          <w:lang w:eastAsia="zh-CN"/>
        </w:rPr>
        <w:lastRenderedPageBreak/>
        <w:t>vocabulary recognition and comprehension (</w:t>
      </w:r>
      <w:proofErr w:type="spellStart"/>
      <w:r w:rsidRPr="00A61AFE">
        <w:rPr>
          <w:rFonts w:cs="Times New Roman"/>
          <w:color w:val="FF0000"/>
          <w:sz w:val="24"/>
          <w:szCs w:val="24"/>
          <w:lang w:eastAsia="zh-CN"/>
        </w:rPr>
        <w:t>Vanderplank</w:t>
      </w:r>
      <w:proofErr w:type="spellEnd"/>
      <w:r w:rsidRPr="00A61AFE">
        <w:rPr>
          <w:rFonts w:cs="Times New Roman"/>
          <w:color w:val="FF0000"/>
          <w:sz w:val="24"/>
          <w:szCs w:val="24"/>
          <w:lang w:eastAsia="zh-CN"/>
        </w:rPr>
        <w:t>, 2016). Previous studies have reported positive effects of audiovisual input and captioned videos on incidental vocabulary learning (Montero Perez et al., 2014; Peters &amp; Webb, 2018). Nevertheless, it remains unclear whether multimedia directly improves vocabulary acquisition or mainly increases learners’ attention and interest.</w:t>
      </w:r>
    </w:p>
    <w:p w14:paraId="16D8F51C" w14:textId="77777777" w:rsidR="00A61AFE" w:rsidRPr="00A61AFE" w:rsidRDefault="00A61AFE" w:rsidP="00A61AFE">
      <w:pPr>
        <w:spacing w:before="0" w:after="0" w:line="480" w:lineRule="auto"/>
        <w:rPr>
          <w:rFonts w:cs="Times New Roman"/>
          <w:color w:val="FF0000"/>
          <w:sz w:val="24"/>
          <w:szCs w:val="24"/>
          <w:lang w:eastAsia="zh-CN"/>
        </w:rPr>
      </w:pPr>
      <w:r w:rsidRPr="00A61AFE">
        <w:rPr>
          <w:rFonts w:cs="Times New Roman"/>
          <w:color w:val="FF0000"/>
          <w:sz w:val="24"/>
          <w:szCs w:val="24"/>
          <w:lang w:eastAsia="zh-CN"/>
        </w:rPr>
        <w:t>Third, engagement reflects learners’ behavioral, emotional, and cognitive involvement in learning (Fredricks et al., 2004). Greater engagement is generally associated with higher attention, persistence, and learning effectiveness (Skinner &amp; Pitzer, 2012). Interactive features on social media may encourage participation and prolonged exposure to language content (Hamari et al., 2016). However, prolonged engagement does not necessarily result in meaningful vocabulary processing, making its contribution to vocabulary learning uncertain.</w:t>
      </w:r>
    </w:p>
    <w:p w14:paraId="1C3FDE2F" w14:textId="77777777" w:rsidR="00A61AFE" w:rsidRPr="00A61AFE" w:rsidRDefault="00A61AFE" w:rsidP="00A61AFE">
      <w:pPr>
        <w:spacing w:before="0" w:after="0" w:line="480" w:lineRule="auto"/>
        <w:ind w:firstLine="0"/>
        <w:rPr>
          <w:rFonts w:cs="Times New Roman"/>
          <w:color w:val="FF0000"/>
          <w:sz w:val="24"/>
          <w:szCs w:val="24"/>
          <w:lang w:eastAsia="zh-CN"/>
        </w:rPr>
      </w:pPr>
      <w:r w:rsidRPr="00A61AFE">
        <w:rPr>
          <w:rFonts w:cs="Times New Roman"/>
          <w:color w:val="FF0000"/>
          <w:sz w:val="24"/>
          <w:szCs w:val="24"/>
          <w:lang w:eastAsia="zh-CN"/>
        </w:rPr>
        <w:t>Finally, despite their educational benefits, short-form video platforms may also create distractions that interfere with learning. Cognitive Load Theory suggests that excessive stimulation can overload working memory and reduce learning efficiency (</w:t>
      </w:r>
      <w:proofErr w:type="spellStart"/>
      <w:r w:rsidRPr="00A61AFE">
        <w:rPr>
          <w:rFonts w:cs="Times New Roman"/>
          <w:color w:val="FF0000"/>
          <w:sz w:val="24"/>
          <w:szCs w:val="24"/>
          <w:lang w:eastAsia="zh-CN"/>
        </w:rPr>
        <w:t>Sweller</w:t>
      </w:r>
      <w:proofErr w:type="spellEnd"/>
      <w:r w:rsidRPr="00A61AFE">
        <w:rPr>
          <w:rFonts w:cs="Times New Roman"/>
          <w:color w:val="FF0000"/>
          <w:sz w:val="24"/>
          <w:szCs w:val="24"/>
          <w:lang w:eastAsia="zh-CN"/>
        </w:rPr>
        <w:t xml:space="preserve"> et al., 2011). Rapid transitions, background music, algorithmic recommendations, and entertainment-oriented content may divert learners’ attention, while digital multitasking has been shown to impair concentration and academic performance (Ophir et al., 2009; Rosen et al., 2013). At the same time, some evidence suggests that learners can adapt to highly stimulating digital environments, leaving the relationship between distraction and vocabulary learning inconclusive.</w:t>
      </w:r>
    </w:p>
    <w:p w14:paraId="593B6E97" w14:textId="77777777" w:rsidR="00A61AFE" w:rsidRPr="00A61AFE" w:rsidRDefault="00A61AFE" w:rsidP="00A61AFE">
      <w:pPr>
        <w:spacing w:before="0" w:after="0" w:line="480" w:lineRule="auto"/>
        <w:rPr>
          <w:rFonts w:cs="Times New Roman"/>
          <w:color w:val="FF0000"/>
          <w:sz w:val="24"/>
          <w:szCs w:val="24"/>
          <w:lang w:eastAsia="zh-CN"/>
        </w:rPr>
      </w:pPr>
      <w:r w:rsidRPr="00A61AFE">
        <w:rPr>
          <w:rFonts w:cs="Times New Roman"/>
          <w:color w:val="FF0000"/>
          <w:sz w:val="24"/>
          <w:szCs w:val="24"/>
          <w:lang w:eastAsia="zh-CN"/>
        </w:rPr>
        <w:t xml:space="preserve">Overall, the literature indicates that repetition, multimedia elements, engagement, and distraction influence vocabulary learning through different cognitive and behavioral mechanisms. However, evidence regarding their relative contributions in short-form video environments remains limited and inconsistent, highlighting the need for further investigation </w:t>
      </w:r>
      <w:r w:rsidRPr="00A61AFE">
        <w:rPr>
          <w:rFonts w:cs="Times New Roman"/>
          <w:color w:val="FF0000"/>
          <w:sz w:val="24"/>
          <w:szCs w:val="24"/>
          <w:lang w:eastAsia="zh-CN"/>
        </w:rPr>
        <w:lastRenderedPageBreak/>
        <w:t>into how these factors shape vocabulary learning on platforms such as TikTok and Instagram Reels.</w:t>
      </w:r>
    </w:p>
    <w:p w14:paraId="2B0533FC" w14:textId="0BEEF3B6" w:rsidR="00B01DD2" w:rsidRPr="006C58CB" w:rsidRDefault="005D18CA" w:rsidP="00D5074E">
      <w:pPr>
        <w:pStyle w:val="Heading1"/>
        <w:spacing w:before="0" w:after="120" w:line="480" w:lineRule="auto"/>
        <w:jc w:val="both"/>
        <w:rPr>
          <w:i/>
          <w:iCs/>
          <w:color w:val="FF0000"/>
          <w:sz w:val="24"/>
          <w:szCs w:val="24"/>
        </w:rPr>
      </w:pPr>
      <w:r w:rsidRPr="006C58CB">
        <w:rPr>
          <w:i/>
          <w:iCs/>
          <w:color w:val="FF0000"/>
          <w:sz w:val="24"/>
          <w:szCs w:val="24"/>
        </w:rPr>
        <w:t>2.</w:t>
      </w:r>
      <w:r w:rsidR="00A706F6" w:rsidRPr="006C58CB">
        <w:rPr>
          <w:i/>
          <w:iCs/>
          <w:color w:val="FF0000"/>
          <w:sz w:val="24"/>
          <w:szCs w:val="24"/>
        </w:rPr>
        <w:t>4</w:t>
      </w:r>
      <w:r w:rsidR="00B01DD2" w:rsidRPr="006C58CB">
        <w:rPr>
          <w:i/>
          <w:iCs/>
          <w:color w:val="FF0000"/>
          <w:sz w:val="24"/>
          <w:szCs w:val="24"/>
        </w:rPr>
        <w:t>. Research model and hypotheses</w:t>
      </w:r>
    </w:p>
    <w:p w14:paraId="5E1EEA53" w14:textId="77777777" w:rsidR="006C58CB" w:rsidRPr="006C58CB" w:rsidRDefault="006C58CB" w:rsidP="006C58CB">
      <w:pPr>
        <w:spacing w:before="0" w:after="0" w:line="480" w:lineRule="auto"/>
        <w:rPr>
          <w:rFonts w:cs="Times New Roman"/>
          <w:color w:val="FF0000"/>
          <w:sz w:val="24"/>
          <w:szCs w:val="24"/>
          <w:lang w:eastAsia="zh-CN"/>
        </w:rPr>
      </w:pPr>
      <w:r w:rsidRPr="006C58CB">
        <w:rPr>
          <w:rFonts w:cs="Times New Roman"/>
          <w:color w:val="FF0000"/>
          <w:sz w:val="24"/>
          <w:szCs w:val="24"/>
          <w:lang w:eastAsia="zh-CN"/>
        </w:rPr>
        <w:t xml:space="preserve">Drawing upon the theoretical foundations discussed in the preceding literature review, this study proposes a conceptual research model to examine the factors influencing English vocabulary acquisition through short-form video platforms, particularly TikTok and Instagram Reels. The model is grounded primarily in Mayer’s (2009) Cognitive Theory of Multimedia Learning, </w:t>
      </w:r>
      <w:proofErr w:type="spellStart"/>
      <w:r w:rsidRPr="006C58CB">
        <w:rPr>
          <w:rFonts w:cs="Times New Roman"/>
          <w:color w:val="FF0000"/>
          <w:sz w:val="24"/>
          <w:szCs w:val="24"/>
          <w:lang w:eastAsia="zh-CN"/>
        </w:rPr>
        <w:t>Sweller’s</w:t>
      </w:r>
      <w:proofErr w:type="spellEnd"/>
      <w:r w:rsidRPr="006C58CB">
        <w:rPr>
          <w:rFonts w:cs="Times New Roman"/>
          <w:color w:val="FF0000"/>
          <w:sz w:val="24"/>
          <w:szCs w:val="24"/>
          <w:lang w:eastAsia="zh-CN"/>
        </w:rPr>
        <w:t xml:space="preserve"> (1988) Cognitive Load Theory, and vocabulary acquisition research emphasizing repetition, multimodal input, and learner engagement (Nation, 2001; Webb &amp; Nation, 2017).</w:t>
      </w:r>
    </w:p>
    <w:p w14:paraId="63105AC0" w14:textId="77777777" w:rsidR="006C58CB" w:rsidRPr="006C58CB" w:rsidRDefault="006C58CB" w:rsidP="006C58CB">
      <w:pPr>
        <w:spacing w:before="0" w:after="0" w:line="480" w:lineRule="auto"/>
        <w:rPr>
          <w:rFonts w:cs="Times New Roman"/>
          <w:color w:val="FF0000"/>
          <w:sz w:val="24"/>
          <w:szCs w:val="24"/>
          <w:lang w:eastAsia="zh-CN"/>
        </w:rPr>
      </w:pPr>
      <w:r w:rsidRPr="006C58CB">
        <w:rPr>
          <w:rFonts w:cs="Times New Roman"/>
          <w:color w:val="FF0000"/>
          <w:sz w:val="24"/>
          <w:szCs w:val="24"/>
          <w:lang w:eastAsia="zh-CN"/>
        </w:rPr>
        <w:t>The proposed framework conceptualizes vocabulary acquisition as the dependent construct influenced by four independent variables: engagement (ENG), repetition (REP), multimedia elements (MUL), and distraction (DIS). These constructs were selected because they have been consistently identified in previous research on digital learning environments, multimedia-assisted language learning, and social media-based learning. Although engagement, repetition, and multimedia elements may co-occur in authentic short-form video environments, they represent conceptually distinct dimensions of the learning experience. For example, videos containing rich multimedia features may attract greater learner engagement and encourage repeated viewing. Nevertheless, engagement refers to learners’ behavioral, emotional, and cognitive involvement while interacting with content (Fredricks et al., 2004), repetition concerns the frequency with which learners encounter and revisit vocabulary items, and multimedia elements refer to the visual, auditory, and textual features that support meaning construction. Although these constructs may be related in practice, they were operationalized as theoretically distinct dimensions and measured using separate questionnaire items derived from their respective conceptual definitions.</w:t>
      </w:r>
    </w:p>
    <w:p w14:paraId="057672F0" w14:textId="77777777" w:rsidR="006C58CB" w:rsidRPr="006C58CB" w:rsidRDefault="006C58CB" w:rsidP="006C58CB">
      <w:pPr>
        <w:spacing w:before="0" w:after="0" w:line="480" w:lineRule="auto"/>
        <w:rPr>
          <w:rFonts w:cs="Times New Roman"/>
          <w:color w:val="FF0000"/>
          <w:sz w:val="24"/>
          <w:szCs w:val="24"/>
          <w:lang w:eastAsia="zh-CN"/>
        </w:rPr>
      </w:pPr>
      <w:r w:rsidRPr="006C58CB">
        <w:rPr>
          <w:rFonts w:cs="Times New Roman"/>
          <w:color w:val="FF0000"/>
          <w:sz w:val="24"/>
          <w:szCs w:val="24"/>
          <w:lang w:eastAsia="zh-CN"/>
        </w:rPr>
        <w:lastRenderedPageBreak/>
        <w:t>Engagement refers to the degree of learners’ behavioral, emotional, and cognitive involvement while interacting with short-form video content (Fredricks et al., 2004). Previous studies suggest that engaged learners are more likely to sustain attention, invest effort, and participate actively in learning activities, which may contribute to more effective vocabulary acquisition (Junco et al., 2011; Dörnyei &amp; Ushioda, 2011). In the context of TikTok and Instagram Reels, highly interactive and visually appealing videos may encourage learners to spend more time engaging with English vocabulary content. Therefore, engagement is expected to positively influence vocabulary acquisition.</w:t>
      </w:r>
    </w:p>
    <w:p w14:paraId="2C2405FB" w14:textId="0845E7B7" w:rsidR="006C58CB" w:rsidRPr="006C58CB" w:rsidRDefault="006C58CB" w:rsidP="006C58CB">
      <w:pPr>
        <w:spacing w:before="0" w:after="0" w:line="480" w:lineRule="auto"/>
        <w:rPr>
          <w:rFonts w:cs="Times New Roman"/>
          <w:color w:val="FF0000"/>
          <w:sz w:val="24"/>
          <w:szCs w:val="24"/>
          <w:lang w:eastAsia="zh-CN"/>
        </w:rPr>
      </w:pPr>
      <w:r w:rsidRPr="006C58CB">
        <w:rPr>
          <w:rFonts w:cs="Times New Roman"/>
          <w:color w:val="FF0000"/>
          <w:sz w:val="24"/>
          <w:szCs w:val="24"/>
          <w:lang w:eastAsia="zh-CN"/>
        </w:rPr>
        <w:t>Repetition represents the frequency with which learners encounter and review lexical items through repeated exposure to short-form videos. Vocabulary acquisition research consistently identifies repetition as a critical factor supporting long-term memory retention and lexical consolidation (Nation, 2001; Webb, 2007). Repeated encounters with vocabulary items strengthen form</w:t>
      </w:r>
      <w:r w:rsidR="00760697">
        <w:rPr>
          <w:rFonts w:cs="Times New Roman"/>
          <w:color w:val="FF0000"/>
          <w:sz w:val="24"/>
          <w:szCs w:val="24"/>
          <w:lang w:eastAsia="zh-CN"/>
        </w:rPr>
        <w:t xml:space="preserve"> </w:t>
      </w:r>
      <w:r w:rsidRPr="006C58CB">
        <w:rPr>
          <w:rFonts w:cs="Times New Roman"/>
          <w:color w:val="FF0000"/>
          <w:sz w:val="24"/>
          <w:szCs w:val="24"/>
          <w:lang w:eastAsia="zh-CN"/>
        </w:rPr>
        <w:t>meaning connections and facilitate retrieval from long-term memory (Pellicer-Sánchez &amp; Schmitt, 2010). Given that algorithm-driven social media platforms frequently recommend similar content, learners may repeatedly encounter target vocabulary across different contexts, thereby reinforcing vocabulary learning. Consequently, repetition is hypothesized to positively influence vocabulary acquisition.</w:t>
      </w:r>
    </w:p>
    <w:p w14:paraId="7D0628C6" w14:textId="77777777" w:rsidR="006C58CB" w:rsidRPr="006C58CB" w:rsidRDefault="006C58CB" w:rsidP="006C58CB">
      <w:pPr>
        <w:spacing w:before="0" w:after="0" w:line="480" w:lineRule="auto"/>
        <w:rPr>
          <w:rFonts w:cs="Times New Roman"/>
          <w:color w:val="FF0000"/>
          <w:sz w:val="24"/>
          <w:szCs w:val="24"/>
          <w:lang w:eastAsia="zh-CN"/>
        </w:rPr>
      </w:pPr>
      <w:r w:rsidRPr="006C58CB">
        <w:rPr>
          <w:rFonts w:cs="Times New Roman"/>
          <w:color w:val="FF0000"/>
          <w:sz w:val="24"/>
          <w:szCs w:val="24"/>
          <w:lang w:eastAsia="zh-CN"/>
        </w:rPr>
        <w:t>Multimedia elements refer to the integration of visual illustrations, audio narration, subtitles, animations, and contextual demonstrations within short-form videos. According to Cognitive Theory of Multimedia Learning (Mayer, 2009) and Dual Coding Theory (</w:t>
      </w:r>
      <w:proofErr w:type="spellStart"/>
      <w:r w:rsidRPr="006C58CB">
        <w:rPr>
          <w:rFonts w:cs="Times New Roman"/>
          <w:color w:val="FF0000"/>
          <w:sz w:val="24"/>
          <w:szCs w:val="24"/>
          <w:lang w:eastAsia="zh-CN"/>
        </w:rPr>
        <w:t>Paivio</w:t>
      </w:r>
      <w:proofErr w:type="spellEnd"/>
      <w:r w:rsidRPr="006C58CB">
        <w:rPr>
          <w:rFonts w:cs="Times New Roman"/>
          <w:color w:val="FF0000"/>
          <w:sz w:val="24"/>
          <w:szCs w:val="24"/>
          <w:lang w:eastAsia="zh-CN"/>
        </w:rPr>
        <w:t xml:space="preserve">, 1991), combining verbal and visual input enhances cognitive processing and information retention. Previous studies have shown that subtitles and audiovisual input can facilitate incidental vocabulary acquisition and listening comprehension (Montero Perez et al., 2014; Peters &amp; Webb, 2018). Therefore, multimedia elements are expected to facilitate vocabulary </w:t>
      </w:r>
      <w:r w:rsidRPr="006C58CB">
        <w:rPr>
          <w:rFonts w:cs="Times New Roman"/>
          <w:color w:val="FF0000"/>
          <w:sz w:val="24"/>
          <w:szCs w:val="24"/>
          <w:lang w:eastAsia="zh-CN"/>
        </w:rPr>
        <w:lastRenderedPageBreak/>
        <w:t>acquisition by supporting comprehension and retention through multiple channels of information processing.</w:t>
      </w:r>
    </w:p>
    <w:p w14:paraId="5CB70B40" w14:textId="2CD3D3F9" w:rsidR="006C58CB" w:rsidRPr="006C58CB" w:rsidRDefault="006C58CB" w:rsidP="006C58CB">
      <w:pPr>
        <w:spacing w:before="0" w:after="0" w:line="480" w:lineRule="auto"/>
        <w:rPr>
          <w:rFonts w:cs="Times New Roman"/>
          <w:color w:val="FF0000"/>
          <w:sz w:val="24"/>
          <w:szCs w:val="24"/>
          <w:lang w:eastAsia="zh-CN"/>
        </w:rPr>
      </w:pPr>
      <w:r w:rsidRPr="006C58CB">
        <w:rPr>
          <w:rFonts w:cs="Times New Roman"/>
          <w:color w:val="FF0000"/>
          <w:sz w:val="24"/>
          <w:szCs w:val="24"/>
          <w:lang w:eastAsia="zh-CN"/>
        </w:rPr>
        <w:t>In the present study, distraction refers to learners’ perceived experience of cognitive interference while using short-form video platforms. It does not measure actual attentional loss or objectively observed multitasking behavior. Cognitive Load Theory suggests that excessive information-processing demands may overload working memory and negatively affect learning effectiveness (</w:t>
      </w:r>
      <w:proofErr w:type="spellStart"/>
      <w:r w:rsidRPr="006C58CB">
        <w:rPr>
          <w:rFonts w:cs="Times New Roman"/>
          <w:color w:val="FF0000"/>
          <w:sz w:val="24"/>
          <w:szCs w:val="24"/>
          <w:lang w:eastAsia="zh-CN"/>
        </w:rPr>
        <w:t>Sweller</w:t>
      </w:r>
      <w:proofErr w:type="spellEnd"/>
      <w:r w:rsidRPr="006C58CB">
        <w:rPr>
          <w:rFonts w:cs="Times New Roman"/>
          <w:color w:val="FF0000"/>
          <w:sz w:val="24"/>
          <w:szCs w:val="24"/>
          <w:lang w:eastAsia="zh-CN"/>
        </w:rPr>
        <w:t>, 1988). Similarly, studies on digital multitasking indicate that frequent distractions may reduce concentration and impair academic performance (Ophir et al., 2009; Rosen et al., 2013). Accordingly, perceived distraction is hypothesized to negatively influence vocabulary acquisition. Based on the theoretical and empirical foundations discussed above, the study proposes the following hypotheses:</w:t>
      </w:r>
    </w:p>
    <w:p w14:paraId="62BB796C" w14:textId="77777777" w:rsidR="00B01DD2" w:rsidRPr="00916B27" w:rsidRDefault="00B01DD2" w:rsidP="00D5074E">
      <w:pPr>
        <w:pStyle w:val="isselectedend"/>
        <w:spacing w:before="0" w:beforeAutospacing="0" w:after="120" w:afterAutospacing="0" w:line="480" w:lineRule="auto"/>
        <w:jc w:val="both"/>
        <w:rPr>
          <w:color w:val="000000" w:themeColor="text1"/>
        </w:rPr>
      </w:pPr>
      <w:r w:rsidRPr="00916B27">
        <w:rPr>
          <w:rStyle w:val="Strong"/>
          <w:rFonts w:eastAsiaTheme="majorEastAsia"/>
          <w:color w:val="000000" w:themeColor="text1"/>
        </w:rPr>
        <w:t>H1:</w:t>
      </w:r>
      <w:r w:rsidRPr="00916B27">
        <w:rPr>
          <w:color w:val="000000" w:themeColor="text1"/>
        </w:rPr>
        <w:t xml:space="preserve"> Engagement (ENG) positively affects vocabulary acquisition (VOC).</w:t>
      </w:r>
    </w:p>
    <w:p w14:paraId="4D2DFEAC" w14:textId="77777777" w:rsidR="00B01DD2" w:rsidRPr="00916B27" w:rsidRDefault="00B01DD2" w:rsidP="00D5074E">
      <w:pPr>
        <w:pStyle w:val="isselectedend"/>
        <w:spacing w:before="0" w:beforeAutospacing="0" w:after="120" w:afterAutospacing="0" w:line="480" w:lineRule="auto"/>
        <w:jc w:val="both"/>
        <w:rPr>
          <w:color w:val="000000" w:themeColor="text1"/>
        </w:rPr>
      </w:pPr>
      <w:r w:rsidRPr="00916B27">
        <w:rPr>
          <w:rStyle w:val="Strong"/>
          <w:rFonts w:eastAsiaTheme="majorEastAsia"/>
          <w:color w:val="000000" w:themeColor="text1"/>
        </w:rPr>
        <w:t>H2:</w:t>
      </w:r>
      <w:r w:rsidRPr="00916B27">
        <w:rPr>
          <w:color w:val="000000" w:themeColor="text1"/>
        </w:rPr>
        <w:t xml:space="preserve"> Repetition (REP) positively affects vocabulary acquisition (VOC).</w:t>
      </w:r>
    </w:p>
    <w:p w14:paraId="788FEF89" w14:textId="77777777" w:rsidR="00B01DD2" w:rsidRPr="00916B27" w:rsidRDefault="00B01DD2" w:rsidP="00D5074E">
      <w:pPr>
        <w:pStyle w:val="isselectedend"/>
        <w:spacing w:before="0" w:beforeAutospacing="0" w:after="120" w:afterAutospacing="0" w:line="480" w:lineRule="auto"/>
        <w:jc w:val="both"/>
        <w:rPr>
          <w:color w:val="000000" w:themeColor="text1"/>
        </w:rPr>
      </w:pPr>
      <w:r w:rsidRPr="00916B27">
        <w:rPr>
          <w:rStyle w:val="Strong"/>
          <w:rFonts w:eastAsiaTheme="majorEastAsia"/>
          <w:color w:val="000000" w:themeColor="text1"/>
        </w:rPr>
        <w:t>H3:</w:t>
      </w:r>
      <w:r w:rsidRPr="00916B27">
        <w:rPr>
          <w:color w:val="000000" w:themeColor="text1"/>
        </w:rPr>
        <w:t xml:space="preserve"> Multimedia elements (MUL) positively affect vocabulary acquisition (VOC).</w:t>
      </w:r>
    </w:p>
    <w:p w14:paraId="44E55FEB" w14:textId="77777777" w:rsidR="00B01DD2" w:rsidRPr="00916B27" w:rsidRDefault="00B01DD2" w:rsidP="00D5074E">
      <w:pPr>
        <w:pStyle w:val="isselectedend"/>
        <w:spacing w:before="0" w:beforeAutospacing="0" w:after="120" w:afterAutospacing="0" w:line="480" w:lineRule="auto"/>
        <w:jc w:val="both"/>
        <w:rPr>
          <w:color w:val="000000" w:themeColor="text1"/>
        </w:rPr>
      </w:pPr>
      <w:r w:rsidRPr="00916B27">
        <w:rPr>
          <w:rStyle w:val="Strong"/>
          <w:rFonts w:eastAsiaTheme="majorEastAsia"/>
          <w:color w:val="000000" w:themeColor="text1"/>
        </w:rPr>
        <w:t>H4:</w:t>
      </w:r>
      <w:r w:rsidRPr="00916B27">
        <w:rPr>
          <w:color w:val="000000" w:themeColor="text1"/>
        </w:rPr>
        <w:t xml:space="preserve"> Distraction (DIS) negatively affects vocabulary acquisition (VOC).</w:t>
      </w:r>
    </w:p>
    <w:p w14:paraId="2E9D8BAB"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noProof/>
          <w:color w:val="000000" w:themeColor="text1"/>
          <w:sz w:val="24"/>
          <w:szCs w:val="24"/>
        </w:rPr>
        <w:drawing>
          <wp:inline distT="0" distB="0" distL="0" distR="0" wp14:anchorId="285EF1CC" wp14:editId="24EBA8B9">
            <wp:extent cx="5759883" cy="2753409"/>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9405" b="11703"/>
                    <a:stretch/>
                  </pic:blipFill>
                  <pic:spPr bwMode="auto">
                    <a:xfrm>
                      <a:off x="0" y="0"/>
                      <a:ext cx="5760720" cy="2753809"/>
                    </a:xfrm>
                    <a:prstGeom prst="rect">
                      <a:avLst/>
                    </a:prstGeom>
                    <a:noFill/>
                    <a:ln>
                      <a:noFill/>
                    </a:ln>
                    <a:extLst>
                      <a:ext uri="{53640926-AAD7-44D8-BBD7-CCE9431645EC}">
                        <a14:shadowObscured xmlns:a14="http://schemas.microsoft.com/office/drawing/2010/main"/>
                      </a:ext>
                    </a:extLst>
                  </pic:spPr>
                </pic:pic>
              </a:graphicData>
            </a:graphic>
          </wp:inline>
        </w:drawing>
      </w:r>
    </w:p>
    <w:p w14:paraId="6D03FC08" w14:textId="77777777" w:rsidR="00B01DD2" w:rsidRPr="00916B27" w:rsidRDefault="00B01DD2" w:rsidP="00D5074E">
      <w:pPr>
        <w:spacing w:before="0" w:after="120" w:line="480" w:lineRule="auto"/>
        <w:jc w:val="center"/>
        <w:rPr>
          <w:rFonts w:cs="Times New Roman"/>
          <w:i/>
          <w:iCs/>
          <w:color w:val="000000" w:themeColor="text1"/>
          <w:sz w:val="24"/>
          <w:szCs w:val="24"/>
        </w:rPr>
      </w:pPr>
      <w:r w:rsidRPr="00916B27">
        <w:rPr>
          <w:rFonts w:cs="Times New Roman"/>
          <w:i/>
          <w:iCs/>
          <w:color w:val="000000" w:themeColor="text1"/>
          <w:sz w:val="24"/>
          <w:szCs w:val="24"/>
        </w:rPr>
        <w:t>Figure 1. Research model and hypotheses</w:t>
      </w:r>
    </w:p>
    <w:p w14:paraId="4CE8A1BC" w14:textId="3D1F1A56" w:rsidR="00B01DD2" w:rsidRPr="00916B27" w:rsidRDefault="005D18CA" w:rsidP="00D5074E">
      <w:pPr>
        <w:pStyle w:val="Heading1"/>
        <w:spacing w:before="0" w:after="120" w:line="480" w:lineRule="auto"/>
        <w:rPr>
          <w:color w:val="000000" w:themeColor="text1"/>
          <w:sz w:val="24"/>
          <w:szCs w:val="24"/>
        </w:rPr>
      </w:pPr>
      <w:r>
        <w:rPr>
          <w:color w:val="000000" w:themeColor="text1"/>
          <w:sz w:val="24"/>
          <w:szCs w:val="24"/>
        </w:rPr>
        <w:lastRenderedPageBreak/>
        <w:t>3</w:t>
      </w:r>
      <w:r w:rsidR="00B01DD2" w:rsidRPr="00916B27">
        <w:rPr>
          <w:color w:val="000000" w:themeColor="text1"/>
          <w:sz w:val="24"/>
          <w:szCs w:val="24"/>
        </w:rPr>
        <w:t>. Methodology</w:t>
      </w:r>
    </w:p>
    <w:p w14:paraId="1391999E" w14:textId="7900F73A" w:rsidR="00B01DD2" w:rsidRPr="005D18CA" w:rsidRDefault="005D18CA" w:rsidP="00D5074E">
      <w:pPr>
        <w:pStyle w:val="Heading2"/>
        <w:spacing w:before="0" w:after="120" w:line="480" w:lineRule="auto"/>
        <w:jc w:val="both"/>
        <w:rPr>
          <w:i/>
          <w:iCs/>
          <w:color w:val="000000" w:themeColor="text1"/>
          <w:sz w:val="24"/>
          <w:szCs w:val="24"/>
        </w:rPr>
      </w:pPr>
      <w:r w:rsidRPr="005D18CA">
        <w:rPr>
          <w:i/>
          <w:iCs/>
          <w:color w:val="000000" w:themeColor="text1"/>
          <w:sz w:val="24"/>
          <w:szCs w:val="24"/>
        </w:rPr>
        <w:t>3</w:t>
      </w:r>
      <w:r w:rsidR="00B01DD2" w:rsidRPr="005D18CA">
        <w:rPr>
          <w:i/>
          <w:iCs/>
          <w:color w:val="000000" w:themeColor="text1"/>
          <w:sz w:val="24"/>
          <w:szCs w:val="24"/>
        </w:rPr>
        <w:t>.1. Research design</w:t>
      </w:r>
    </w:p>
    <w:p w14:paraId="53BF0097" w14:textId="5E9EE37B"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 xml:space="preserve">This study employed a quantitative research design to investigate the relationships between short-form video characteristics and English vocabulary acquisition among Vietnamese university students. A quantitative approach was considered appropriate because the study aimed to examine the magnitude and direction of relationships among multiple variables and to statistically test the proposed research hypotheses. The research framework was developed based on theories of multimedia learning, cognitive load, and vocabulary acquisition in digital learning environments. Specifically, the study examined the effects of four independent variables engagement (ENG), repetition (REP), multimedia elements (MUL), and distraction (DIS) on the dependent variable, vocabulary acquisition (VOC). A cross-sectional survey design was adopted to collect empirical data from participants at a single point in time. This approach enabled the researchers to efficiently gather data regarding learners’ experiences and perceptions of using TikTok and Instagram Reels for English vocabulary learning. The study further </w:t>
      </w:r>
      <w:r w:rsidR="00A701B5">
        <w:rPr>
          <w:color w:val="000000" w:themeColor="text1"/>
        </w:rPr>
        <w:t>used</w:t>
      </w:r>
      <w:r w:rsidRPr="00916B27">
        <w:rPr>
          <w:color w:val="000000" w:themeColor="text1"/>
        </w:rPr>
        <w:t xml:space="preserve"> Structural Equation Modeling (SEM) </w:t>
      </w:r>
      <w:r w:rsidR="00A701B5">
        <w:t xml:space="preserve">as the primary analytical technique </w:t>
      </w:r>
      <w:r w:rsidRPr="00916B27">
        <w:rPr>
          <w:color w:val="000000" w:themeColor="text1"/>
        </w:rPr>
        <w:t>to evaluate the relationships among the constructs and validate the proposed conceptual framework.</w:t>
      </w:r>
    </w:p>
    <w:p w14:paraId="6186718D" w14:textId="2BBD46C8" w:rsidR="00B01DD2" w:rsidRPr="005D18CA" w:rsidRDefault="005D18CA" w:rsidP="00D5074E">
      <w:pPr>
        <w:pStyle w:val="Heading2"/>
        <w:spacing w:before="0" w:after="120" w:line="480" w:lineRule="auto"/>
        <w:jc w:val="both"/>
        <w:rPr>
          <w:i/>
          <w:iCs/>
          <w:color w:val="000000" w:themeColor="text1"/>
          <w:sz w:val="24"/>
          <w:szCs w:val="24"/>
        </w:rPr>
      </w:pPr>
      <w:r w:rsidRPr="005D18CA">
        <w:rPr>
          <w:i/>
          <w:iCs/>
          <w:color w:val="000000" w:themeColor="text1"/>
          <w:sz w:val="24"/>
          <w:szCs w:val="24"/>
        </w:rPr>
        <w:t>3</w:t>
      </w:r>
      <w:r w:rsidR="00B01DD2" w:rsidRPr="005D18CA">
        <w:rPr>
          <w:i/>
          <w:iCs/>
          <w:color w:val="000000" w:themeColor="text1"/>
          <w:sz w:val="24"/>
          <w:szCs w:val="24"/>
        </w:rPr>
        <w:t>.2. Participants</w:t>
      </w:r>
    </w:p>
    <w:p w14:paraId="7DBF201C" w14:textId="659655BC"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 xml:space="preserve">The participants in this study consisted of 220 Vietnamese university students who regularly used short-form video platforms, particularly TikTok and Instagram Reels, for English learning purposes. </w:t>
      </w:r>
      <w:r w:rsidR="0062451A" w:rsidRPr="0062451A">
        <w:rPr>
          <w:color w:val="FF0000"/>
        </w:rPr>
        <w:t xml:space="preserve">The sample size of 220 participants was considered adequate for Structural Equation Modeling (SEM). According to Hair et al. (2010), a sample size exceeding 200 observations is generally acceptable for covariance-based SEM models with moderate complexity. In addition, the sample satisfied the commonly recommended ratio of at least 10 </w:t>
      </w:r>
      <w:r w:rsidR="0062451A" w:rsidRPr="0062451A">
        <w:rPr>
          <w:color w:val="FF0000"/>
        </w:rPr>
        <w:lastRenderedPageBreak/>
        <w:t xml:space="preserve">respondents per estimated parameter, thereby providing sufficient statistical power for the analyses conducted in this study. </w:t>
      </w:r>
      <w:r w:rsidRPr="00916B27">
        <w:rPr>
          <w:color w:val="000000" w:themeColor="text1"/>
        </w:rPr>
        <w:t>The participants were recruited using convenience sampling through online learning communities and university-related social media groups.</w:t>
      </w:r>
    </w:p>
    <w:p w14:paraId="283FD5F9"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The sample primarily represented university-aged learners who actively engaged in self-directed English learning through digital platforms. Most participants reported intermediate levels of English proficiency, indicating that they possessed sufficient linguistic competence to evaluate the effectiveness of short-form video content for vocabulary acquisition. In terms of gender distribution, female students constituted the majority of the sample. The selection of university students as the target population was considered appropriate because young adult learners are among the most active users of social media platforms and frequently engage with short-form video content in both educational and entertainment contexts. Furthermore, university students are generally familiar with mobile-assisted language learning practices, making them suitable participants for investigating digital vocabulary learning behaviors.</w:t>
      </w:r>
    </w:p>
    <w:p w14:paraId="3400786A"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Prior to data collection, participants were informed about the purpose of the study and assured that their responses would remain anonymous and confidential. Participation in the survey was entirely voluntary.</w:t>
      </w:r>
    </w:p>
    <w:p w14:paraId="111854E0" w14:textId="205E19C1" w:rsidR="00B01DD2" w:rsidRPr="005D18CA" w:rsidRDefault="005D18CA" w:rsidP="00D5074E">
      <w:pPr>
        <w:pStyle w:val="Heading2"/>
        <w:spacing w:before="0" w:after="120" w:line="480" w:lineRule="auto"/>
        <w:jc w:val="both"/>
        <w:rPr>
          <w:i/>
          <w:iCs/>
          <w:color w:val="000000" w:themeColor="text1"/>
          <w:sz w:val="24"/>
          <w:szCs w:val="24"/>
        </w:rPr>
      </w:pPr>
      <w:r w:rsidRPr="005D18CA">
        <w:rPr>
          <w:i/>
          <w:iCs/>
          <w:color w:val="000000" w:themeColor="text1"/>
          <w:sz w:val="24"/>
          <w:szCs w:val="24"/>
        </w:rPr>
        <w:t>3</w:t>
      </w:r>
      <w:r w:rsidR="00B01DD2" w:rsidRPr="005D18CA">
        <w:rPr>
          <w:i/>
          <w:iCs/>
          <w:color w:val="000000" w:themeColor="text1"/>
          <w:sz w:val="24"/>
          <w:szCs w:val="24"/>
        </w:rPr>
        <w:t>.3. Research instrument</w:t>
      </w:r>
    </w:p>
    <w:p w14:paraId="6D7CCB19"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Data were collected through an online questionnaire administered via Google Forms. The questionnaire was designed based on established measurement scales from previous studies on digital learning, multimedia learning, learner engagement, and vocabulary acquisition. To ensure contextual appropriateness, several items were adapted and modified to align with the Vietnamese higher education context and the specific characteristics of short-form video platforms.</w:t>
      </w:r>
    </w:p>
    <w:p w14:paraId="678860FC"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lastRenderedPageBreak/>
        <w:t>The questionnaire consisted of two main sections. The first section collected demographic information, including gender, age, English proficiency level, learning experience, and the frequency of using TikTok and Instagram Reels for English learning purposes. The second section measured the research constructs, namely engagement (ENG), repetition (REP), multimedia elements (MUL), distraction (DIS), and vocabulary acquisition (VOC). Each construct was operationalized through multiple observed variables adapted from prior literature. All questionnaire items were measured using a five-point Likert scale ranging from 1 (“strongly disagree”) to 5 (“strongly agree”). The Likert-scale format was selected because it allows respondents to express varying degrees of agreement and is widely used in educational and behavioral research. The engagement construct assessed learners’ levels of attention, interest, and interaction while using short-form videos. The repetition construct measured the extent to which learners repeatedly encountered vocabulary items across videos. Multimedia elements examined learners’ perceptions of subtitles, visuals, audio, and contextual illustrations in facilitating vocabulary learning. Distraction assessed the extent to which rapid pacing, entertainment-oriented content, and excessive stimulation interfered with learning processes. Finally, vocabulary acquisition evaluated learners’ perceived improvement in vocabulary retention, understanding, and usage.</w:t>
      </w:r>
    </w:p>
    <w:p w14:paraId="75FD9AC1"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To ensure content validity, the questionnaire items were reviewed and refined based on relevant theoretical frameworks and empirical studies in second language acquisition and digital learning research.</w:t>
      </w:r>
    </w:p>
    <w:p w14:paraId="387C2B68" w14:textId="77777777" w:rsidR="00C33B82" w:rsidRPr="00C33B82" w:rsidRDefault="005D18CA" w:rsidP="00C33B82">
      <w:pPr>
        <w:pStyle w:val="Heading2"/>
        <w:spacing w:before="0" w:after="120" w:line="480" w:lineRule="auto"/>
        <w:jc w:val="both"/>
        <w:rPr>
          <w:b w:val="0"/>
          <w:bCs w:val="0"/>
          <w:i/>
          <w:iCs/>
          <w:color w:val="FF0000"/>
          <w:sz w:val="24"/>
          <w:szCs w:val="24"/>
        </w:rPr>
      </w:pPr>
      <w:r w:rsidRPr="005D18CA">
        <w:rPr>
          <w:i/>
          <w:iCs/>
          <w:color w:val="000000" w:themeColor="text1"/>
          <w:sz w:val="24"/>
          <w:szCs w:val="24"/>
        </w:rPr>
        <w:lastRenderedPageBreak/>
        <w:t>3</w:t>
      </w:r>
      <w:r w:rsidR="00B01DD2" w:rsidRPr="005D18CA">
        <w:rPr>
          <w:i/>
          <w:iCs/>
          <w:color w:val="000000" w:themeColor="text1"/>
          <w:sz w:val="24"/>
          <w:szCs w:val="24"/>
        </w:rPr>
        <w:t>.4</w:t>
      </w:r>
      <w:r w:rsidR="00B01DD2" w:rsidRPr="00436351">
        <w:rPr>
          <w:i/>
          <w:iCs/>
          <w:color w:val="000000" w:themeColor="text1"/>
          <w:sz w:val="24"/>
          <w:szCs w:val="24"/>
        </w:rPr>
        <w:t>. Data analysis</w:t>
      </w:r>
    </w:p>
    <w:p w14:paraId="76885A64" w14:textId="6BD9FC69" w:rsidR="00C33B82" w:rsidRPr="00C33B82" w:rsidRDefault="00C33B82" w:rsidP="00C33B82">
      <w:pPr>
        <w:pStyle w:val="Heading2"/>
        <w:spacing w:before="0" w:after="120" w:line="480" w:lineRule="auto"/>
        <w:ind w:firstLine="720"/>
        <w:jc w:val="both"/>
        <w:rPr>
          <w:b w:val="0"/>
          <w:bCs w:val="0"/>
          <w:i/>
          <w:iCs/>
          <w:color w:val="000000" w:themeColor="text1"/>
          <w:sz w:val="24"/>
          <w:szCs w:val="24"/>
        </w:rPr>
      </w:pPr>
      <w:r w:rsidRPr="00C33B82">
        <w:rPr>
          <w:b w:val="0"/>
          <w:bCs w:val="0"/>
          <w:sz w:val="24"/>
          <w:szCs w:val="24"/>
          <w:lang w:eastAsia="zh-CN"/>
        </w:rPr>
        <w:t>The collected data were analyzed using IBM SPSS Statistics 26 and IBM SPSS AMOS 26. Prior to analysis, the dataset was screened for completeness and consistency. Descriptive statistics were used to summarize participants’ demographic characteristics. Cronbach’s Alpha was employed to assess the internal consistency of the measurement scales, while Exploratory Factor Analysis (EFA) was conducted to examine the underlying factor structure and construct validity. The suitability of the data for factor analysis was evaluated using the Kaiser</w:t>
      </w:r>
      <w:r w:rsidR="00760697">
        <w:rPr>
          <w:b w:val="0"/>
          <w:bCs w:val="0"/>
          <w:sz w:val="24"/>
          <w:szCs w:val="24"/>
          <w:lang w:eastAsia="zh-CN"/>
        </w:rPr>
        <w:t>-</w:t>
      </w:r>
      <w:r w:rsidRPr="00C33B82">
        <w:rPr>
          <w:b w:val="0"/>
          <w:bCs w:val="0"/>
          <w:sz w:val="24"/>
          <w:szCs w:val="24"/>
          <w:lang w:eastAsia="zh-CN"/>
        </w:rPr>
        <w:t>Meyer</w:t>
      </w:r>
      <w:r w:rsidR="00760697">
        <w:rPr>
          <w:b w:val="0"/>
          <w:bCs w:val="0"/>
          <w:sz w:val="24"/>
          <w:szCs w:val="24"/>
          <w:lang w:eastAsia="zh-CN"/>
        </w:rPr>
        <w:t>-</w:t>
      </w:r>
      <w:r w:rsidRPr="00C33B82">
        <w:rPr>
          <w:b w:val="0"/>
          <w:bCs w:val="0"/>
          <w:sz w:val="24"/>
          <w:szCs w:val="24"/>
          <w:lang w:eastAsia="zh-CN"/>
        </w:rPr>
        <w:t>Olkin (KMO) measure and Bartlett’s Test of Sphericity.</w:t>
      </w:r>
    </w:p>
    <w:p w14:paraId="6800A1CA" w14:textId="7094B514" w:rsidR="00C33B82" w:rsidRDefault="00C33B82" w:rsidP="00C33B82">
      <w:pPr>
        <w:spacing w:before="100" w:beforeAutospacing="1" w:after="100" w:afterAutospacing="1" w:line="480" w:lineRule="auto"/>
        <w:rPr>
          <w:rFonts w:cs="Times New Roman"/>
          <w:sz w:val="24"/>
          <w:szCs w:val="24"/>
          <w:lang w:eastAsia="zh-CN"/>
        </w:rPr>
      </w:pPr>
      <w:r w:rsidRPr="00C33B82">
        <w:rPr>
          <w:rFonts w:cs="Times New Roman"/>
          <w:sz w:val="24"/>
          <w:szCs w:val="24"/>
          <w:lang w:eastAsia="zh-CN"/>
        </w:rPr>
        <w:t>Multiple regression analysis was initially performed to examine the predictive relationships between the independent variables and vocabulary acquisition. Subsequently, Confirmatory Factor Analysis (CFA) and Structural Equation Modeling (SEM) were conducted using AMOS 26. CFA was used to assess the reliability and validity of the measurement model, whereas SEM was employed to test the hypothesized relationships among the latent constructs. SEM was selected because the study involved latent variables measured by multiple observed indicators and allowed the simultaneous assessment of both measurement and structural models while accounting for measurement error. Model fit was evaluated using χ²/</w:t>
      </w:r>
      <w:proofErr w:type="spellStart"/>
      <w:r w:rsidRPr="00C33B82">
        <w:rPr>
          <w:rFonts w:cs="Times New Roman"/>
          <w:sz w:val="24"/>
          <w:szCs w:val="24"/>
          <w:lang w:eastAsia="zh-CN"/>
        </w:rPr>
        <w:t>df</w:t>
      </w:r>
      <w:proofErr w:type="spellEnd"/>
      <w:r w:rsidRPr="00C33B82">
        <w:rPr>
          <w:rFonts w:cs="Times New Roman"/>
          <w:sz w:val="24"/>
          <w:szCs w:val="24"/>
          <w:lang w:eastAsia="zh-CN"/>
        </w:rPr>
        <w:t>, CFI, TLI, and RMSEA.</w:t>
      </w:r>
    </w:p>
    <w:p w14:paraId="009C9122" w14:textId="599960B0" w:rsidR="00B01DD2" w:rsidRPr="00916B27" w:rsidRDefault="005D18CA" w:rsidP="00D5074E">
      <w:pPr>
        <w:pStyle w:val="Heading1"/>
        <w:spacing w:before="0" w:after="120" w:line="480" w:lineRule="auto"/>
        <w:rPr>
          <w:color w:val="000000" w:themeColor="text1"/>
          <w:sz w:val="24"/>
          <w:szCs w:val="24"/>
        </w:rPr>
      </w:pPr>
      <w:r>
        <w:rPr>
          <w:color w:val="000000" w:themeColor="text1"/>
          <w:sz w:val="24"/>
          <w:szCs w:val="24"/>
        </w:rPr>
        <w:t>4</w:t>
      </w:r>
      <w:r w:rsidR="00B01DD2" w:rsidRPr="00916B27">
        <w:rPr>
          <w:color w:val="000000" w:themeColor="text1"/>
          <w:sz w:val="24"/>
          <w:szCs w:val="24"/>
        </w:rPr>
        <w:t>. Results and discussion</w:t>
      </w:r>
    </w:p>
    <w:p w14:paraId="117875FC" w14:textId="00E1D0D2" w:rsidR="00B01DD2" w:rsidRPr="005D18CA" w:rsidRDefault="005D18CA" w:rsidP="00D5074E">
      <w:pPr>
        <w:spacing w:before="0" w:after="120" w:line="480" w:lineRule="auto"/>
        <w:ind w:firstLine="0"/>
        <w:jc w:val="left"/>
        <w:rPr>
          <w:rFonts w:cs="Times New Roman"/>
          <w:b/>
          <w:bCs/>
          <w:i/>
          <w:iCs/>
          <w:color w:val="000000" w:themeColor="text1"/>
          <w:sz w:val="24"/>
          <w:szCs w:val="24"/>
        </w:rPr>
      </w:pPr>
      <w:r w:rsidRPr="005D18CA">
        <w:rPr>
          <w:rFonts w:cs="Times New Roman"/>
          <w:b/>
          <w:bCs/>
          <w:i/>
          <w:iCs/>
          <w:color w:val="000000" w:themeColor="text1"/>
          <w:sz w:val="24"/>
          <w:szCs w:val="24"/>
        </w:rPr>
        <w:t>4</w:t>
      </w:r>
      <w:r w:rsidR="00B01DD2" w:rsidRPr="005D18CA">
        <w:rPr>
          <w:rFonts w:cs="Times New Roman"/>
          <w:b/>
          <w:bCs/>
          <w:i/>
          <w:iCs/>
          <w:color w:val="000000" w:themeColor="text1"/>
          <w:sz w:val="24"/>
          <w:szCs w:val="24"/>
        </w:rPr>
        <w:t>.1. Descriptive statistics</w:t>
      </w:r>
    </w:p>
    <w:p w14:paraId="5552F39A" w14:textId="77777777" w:rsidR="00B01DD2" w:rsidRPr="00916B27" w:rsidRDefault="00B01DD2" w:rsidP="00D5074E">
      <w:pPr>
        <w:spacing w:before="0" w:after="120" w:line="480" w:lineRule="auto"/>
        <w:ind w:firstLine="0"/>
        <w:jc w:val="left"/>
        <w:rPr>
          <w:rFonts w:cs="Times New Roman"/>
          <w:i/>
          <w:iCs/>
          <w:color w:val="000000" w:themeColor="text1"/>
          <w:sz w:val="24"/>
          <w:szCs w:val="24"/>
        </w:rPr>
      </w:pPr>
      <w:r w:rsidRPr="005D18CA">
        <w:rPr>
          <w:rFonts w:cs="Times New Roman"/>
          <w:b/>
          <w:bCs/>
          <w:color w:val="000000" w:themeColor="text1"/>
          <w:sz w:val="24"/>
          <w:szCs w:val="24"/>
        </w:rPr>
        <w:t>Table 1</w:t>
      </w:r>
      <w:r w:rsidRPr="00916B27">
        <w:rPr>
          <w:rFonts w:cs="Times New Roman"/>
          <w:i/>
          <w:iCs/>
          <w:color w:val="000000" w:themeColor="text1"/>
          <w:sz w:val="24"/>
          <w:szCs w:val="24"/>
        </w:rPr>
        <w:t>. Frequency distribution of the research sample (N=220)</w:t>
      </w:r>
    </w:p>
    <w:tbl>
      <w:tblPr>
        <w:tblStyle w:val="Style72"/>
        <w:tblW w:w="8824" w:type="dxa"/>
        <w:tblInd w:w="7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75"/>
        <w:gridCol w:w="1239"/>
        <w:gridCol w:w="1710"/>
        <w:gridCol w:w="758"/>
        <w:gridCol w:w="1132"/>
        <w:gridCol w:w="1710"/>
      </w:tblGrid>
      <w:tr w:rsidR="00B01DD2" w:rsidRPr="00916B27" w14:paraId="11CFDEC0" w14:textId="77777777" w:rsidTr="00FC164E">
        <w:trPr>
          <w:trHeight w:val="565"/>
        </w:trPr>
        <w:tc>
          <w:tcPr>
            <w:tcW w:w="2275" w:type="dxa"/>
            <w:hideMark/>
          </w:tcPr>
          <w:p w14:paraId="6A5842FB" w14:textId="77777777" w:rsidR="00B01DD2" w:rsidRPr="00916B27" w:rsidRDefault="00B01DD2" w:rsidP="00D5074E">
            <w:pPr>
              <w:spacing w:before="0" w:after="120" w:line="480" w:lineRule="auto"/>
              <w:ind w:hanging="10"/>
              <w:jc w:val="center"/>
              <w:rPr>
                <w:rFonts w:cs="Times New Roman"/>
                <w:b/>
                <w:bCs/>
                <w:color w:val="000000" w:themeColor="text1"/>
                <w:sz w:val="24"/>
                <w:szCs w:val="24"/>
              </w:rPr>
            </w:pPr>
            <w:r w:rsidRPr="00916B27">
              <w:rPr>
                <w:rFonts w:cs="Times New Roman"/>
                <w:b/>
                <w:bCs/>
                <w:color w:val="000000" w:themeColor="text1"/>
                <w:sz w:val="24"/>
                <w:szCs w:val="24"/>
              </w:rPr>
              <w:t>Variable</w:t>
            </w:r>
          </w:p>
        </w:tc>
        <w:tc>
          <w:tcPr>
            <w:tcW w:w="1239" w:type="dxa"/>
            <w:hideMark/>
          </w:tcPr>
          <w:p w14:paraId="570E8C38"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Category</w:t>
            </w:r>
          </w:p>
        </w:tc>
        <w:tc>
          <w:tcPr>
            <w:tcW w:w="1710" w:type="dxa"/>
            <w:hideMark/>
          </w:tcPr>
          <w:p w14:paraId="642635E8"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Frequency (N)</w:t>
            </w:r>
          </w:p>
        </w:tc>
        <w:tc>
          <w:tcPr>
            <w:tcW w:w="758" w:type="dxa"/>
            <w:hideMark/>
          </w:tcPr>
          <w:p w14:paraId="28EEDEE6" w14:textId="77777777" w:rsidR="00B01DD2" w:rsidRPr="00916B27" w:rsidRDefault="00B01DD2" w:rsidP="00D5074E">
            <w:pPr>
              <w:spacing w:before="0" w:after="120" w:line="480" w:lineRule="auto"/>
              <w:ind w:left="-741"/>
              <w:jc w:val="center"/>
              <w:rPr>
                <w:rFonts w:cs="Times New Roman"/>
                <w:b/>
                <w:bCs/>
                <w:color w:val="000000" w:themeColor="text1"/>
                <w:sz w:val="24"/>
                <w:szCs w:val="24"/>
              </w:rPr>
            </w:pPr>
            <w:r w:rsidRPr="00916B27">
              <w:rPr>
                <w:rFonts w:cs="Times New Roman"/>
                <w:b/>
                <w:bCs/>
                <w:color w:val="000000" w:themeColor="text1"/>
                <w:sz w:val="24"/>
                <w:szCs w:val="24"/>
              </w:rPr>
              <w:t>%</w:t>
            </w:r>
          </w:p>
        </w:tc>
        <w:tc>
          <w:tcPr>
            <w:tcW w:w="1132" w:type="dxa"/>
            <w:hideMark/>
          </w:tcPr>
          <w:p w14:paraId="6EE9DA52" w14:textId="77777777" w:rsidR="00B01DD2" w:rsidRPr="00916B27" w:rsidRDefault="00B01DD2" w:rsidP="00D5074E">
            <w:pPr>
              <w:spacing w:before="0" w:after="120" w:line="480" w:lineRule="auto"/>
              <w:ind w:firstLine="48"/>
              <w:jc w:val="center"/>
              <w:rPr>
                <w:rFonts w:cs="Times New Roman"/>
                <w:b/>
                <w:bCs/>
                <w:color w:val="000000" w:themeColor="text1"/>
                <w:sz w:val="24"/>
                <w:szCs w:val="24"/>
              </w:rPr>
            </w:pPr>
            <w:r w:rsidRPr="00916B27">
              <w:rPr>
                <w:rFonts w:cs="Times New Roman"/>
                <w:b/>
                <w:bCs/>
                <w:color w:val="000000" w:themeColor="text1"/>
                <w:sz w:val="24"/>
                <w:szCs w:val="24"/>
              </w:rPr>
              <w:t>Valid %</w:t>
            </w:r>
          </w:p>
        </w:tc>
        <w:tc>
          <w:tcPr>
            <w:tcW w:w="1710" w:type="dxa"/>
            <w:hideMark/>
          </w:tcPr>
          <w:p w14:paraId="1C69618B"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Cumulative %</w:t>
            </w:r>
          </w:p>
        </w:tc>
      </w:tr>
      <w:tr w:rsidR="00B01DD2" w:rsidRPr="00916B27" w14:paraId="2EF561C0" w14:textId="77777777" w:rsidTr="00FC164E">
        <w:trPr>
          <w:trHeight w:val="386"/>
        </w:trPr>
        <w:tc>
          <w:tcPr>
            <w:tcW w:w="2275" w:type="dxa"/>
            <w:vMerge w:val="restart"/>
            <w:vAlign w:val="center"/>
            <w:hideMark/>
          </w:tcPr>
          <w:p w14:paraId="6EA129A3"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Gender</w:t>
            </w:r>
          </w:p>
        </w:tc>
        <w:tc>
          <w:tcPr>
            <w:tcW w:w="1239" w:type="dxa"/>
            <w:hideMark/>
          </w:tcPr>
          <w:p w14:paraId="37C753C4"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Male</w:t>
            </w:r>
          </w:p>
        </w:tc>
        <w:tc>
          <w:tcPr>
            <w:tcW w:w="1710" w:type="dxa"/>
            <w:hideMark/>
          </w:tcPr>
          <w:p w14:paraId="74E56249"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49</w:t>
            </w:r>
          </w:p>
        </w:tc>
        <w:tc>
          <w:tcPr>
            <w:tcW w:w="758" w:type="dxa"/>
            <w:hideMark/>
          </w:tcPr>
          <w:p w14:paraId="1EF893CA"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22.3</w:t>
            </w:r>
          </w:p>
        </w:tc>
        <w:tc>
          <w:tcPr>
            <w:tcW w:w="1132" w:type="dxa"/>
            <w:hideMark/>
          </w:tcPr>
          <w:p w14:paraId="414A7D3B"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22.3</w:t>
            </w:r>
          </w:p>
        </w:tc>
        <w:tc>
          <w:tcPr>
            <w:tcW w:w="1710" w:type="dxa"/>
            <w:hideMark/>
          </w:tcPr>
          <w:p w14:paraId="61B319E5"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22.3</w:t>
            </w:r>
          </w:p>
        </w:tc>
      </w:tr>
      <w:tr w:rsidR="00B01DD2" w:rsidRPr="00916B27" w14:paraId="205EDD76" w14:textId="77777777" w:rsidTr="00FC164E">
        <w:trPr>
          <w:trHeight w:val="386"/>
        </w:trPr>
        <w:tc>
          <w:tcPr>
            <w:tcW w:w="2275" w:type="dxa"/>
            <w:vMerge/>
            <w:vAlign w:val="center"/>
            <w:hideMark/>
          </w:tcPr>
          <w:p w14:paraId="16B3CA62"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0A67DDF5"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Female</w:t>
            </w:r>
          </w:p>
        </w:tc>
        <w:tc>
          <w:tcPr>
            <w:tcW w:w="1710" w:type="dxa"/>
            <w:hideMark/>
          </w:tcPr>
          <w:p w14:paraId="4DBAB700"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171</w:t>
            </w:r>
          </w:p>
        </w:tc>
        <w:tc>
          <w:tcPr>
            <w:tcW w:w="758" w:type="dxa"/>
            <w:hideMark/>
          </w:tcPr>
          <w:p w14:paraId="0F0B6148"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77.7</w:t>
            </w:r>
          </w:p>
        </w:tc>
        <w:tc>
          <w:tcPr>
            <w:tcW w:w="1132" w:type="dxa"/>
            <w:hideMark/>
          </w:tcPr>
          <w:p w14:paraId="429FB84F"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77.7</w:t>
            </w:r>
          </w:p>
        </w:tc>
        <w:tc>
          <w:tcPr>
            <w:tcW w:w="1710" w:type="dxa"/>
            <w:hideMark/>
          </w:tcPr>
          <w:p w14:paraId="046E8E89"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100.0</w:t>
            </w:r>
          </w:p>
        </w:tc>
      </w:tr>
      <w:tr w:rsidR="00B01DD2" w:rsidRPr="00916B27" w14:paraId="45C4E30A" w14:textId="77777777" w:rsidTr="00FC164E">
        <w:trPr>
          <w:trHeight w:val="386"/>
        </w:trPr>
        <w:tc>
          <w:tcPr>
            <w:tcW w:w="2275" w:type="dxa"/>
            <w:vMerge w:val="restart"/>
            <w:vAlign w:val="center"/>
            <w:hideMark/>
          </w:tcPr>
          <w:p w14:paraId="7262BA7A"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Age</w:t>
            </w:r>
          </w:p>
        </w:tc>
        <w:tc>
          <w:tcPr>
            <w:tcW w:w="1239" w:type="dxa"/>
            <w:hideMark/>
          </w:tcPr>
          <w:p w14:paraId="5098C684" w14:textId="77777777" w:rsidR="00B01DD2" w:rsidRPr="00916B27" w:rsidRDefault="00B01DD2" w:rsidP="00D5074E">
            <w:pPr>
              <w:spacing w:before="0" w:after="120" w:line="480" w:lineRule="auto"/>
              <w:ind w:hanging="26"/>
              <w:jc w:val="center"/>
              <w:rPr>
                <w:rFonts w:cs="Times New Roman"/>
                <w:color w:val="000000" w:themeColor="text1"/>
                <w:sz w:val="24"/>
                <w:szCs w:val="24"/>
              </w:rPr>
            </w:pPr>
            <w:r w:rsidRPr="00916B27">
              <w:rPr>
                <w:rFonts w:cs="Times New Roman"/>
                <w:color w:val="000000" w:themeColor="text1"/>
                <w:sz w:val="24"/>
                <w:szCs w:val="24"/>
              </w:rPr>
              <w:t>Group 1</w:t>
            </w:r>
          </w:p>
        </w:tc>
        <w:tc>
          <w:tcPr>
            <w:tcW w:w="1710" w:type="dxa"/>
            <w:hideMark/>
          </w:tcPr>
          <w:p w14:paraId="10049AE3"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6</w:t>
            </w:r>
          </w:p>
        </w:tc>
        <w:tc>
          <w:tcPr>
            <w:tcW w:w="758" w:type="dxa"/>
            <w:hideMark/>
          </w:tcPr>
          <w:p w14:paraId="1BB69D48"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2.7</w:t>
            </w:r>
          </w:p>
        </w:tc>
        <w:tc>
          <w:tcPr>
            <w:tcW w:w="1132" w:type="dxa"/>
            <w:hideMark/>
          </w:tcPr>
          <w:p w14:paraId="47BC8A14"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2.7</w:t>
            </w:r>
          </w:p>
        </w:tc>
        <w:tc>
          <w:tcPr>
            <w:tcW w:w="1710" w:type="dxa"/>
            <w:hideMark/>
          </w:tcPr>
          <w:p w14:paraId="270A0094"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2.7</w:t>
            </w:r>
          </w:p>
        </w:tc>
      </w:tr>
      <w:tr w:rsidR="00B01DD2" w:rsidRPr="00916B27" w14:paraId="6B1116A6" w14:textId="77777777" w:rsidTr="00FC164E">
        <w:trPr>
          <w:trHeight w:val="386"/>
        </w:trPr>
        <w:tc>
          <w:tcPr>
            <w:tcW w:w="2275" w:type="dxa"/>
            <w:vMerge/>
            <w:vAlign w:val="center"/>
            <w:hideMark/>
          </w:tcPr>
          <w:p w14:paraId="2D46D618"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119019EF"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Group 2</w:t>
            </w:r>
          </w:p>
        </w:tc>
        <w:tc>
          <w:tcPr>
            <w:tcW w:w="1710" w:type="dxa"/>
            <w:hideMark/>
          </w:tcPr>
          <w:p w14:paraId="603F96AD"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206</w:t>
            </w:r>
          </w:p>
        </w:tc>
        <w:tc>
          <w:tcPr>
            <w:tcW w:w="758" w:type="dxa"/>
            <w:hideMark/>
          </w:tcPr>
          <w:p w14:paraId="0284552D"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93.6</w:t>
            </w:r>
          </w:p>
        </w:tc>
        <w:tc>
          <w:tcPr>
            <w:tcW w:w="1132" w:type="dxa"/>
            <w:hideMark/>
          </w:tcPr>
          <w:p w14:paraId="29C44929"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93.6</w:t>
            </w:r>
          </w:p>
        </w:tc>
        <w:tc>
          <w:tcPr>
            <w:tcW w:w="1710" w:type="dxa"/>
            <w:hideMark/>
          </w:tcPr>
          <w:p w14:paraId="6A376B02"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96.4</w:t>
            </w:r>
          </w:p>
        </w:tc>
      </w:tr>
      <w:tr w:rsidR="00B01DD2" w:rsidRPr="00916B27" w14:paraId="4F4FE995" w14:textId="77777777" w:rsidTr="00FC164E">
        <w:trPr>
          <w:trHeight w:val="386"/>
        </w:trPr>
        <w:tc>
          <w:tcPr>
            <w:tcW w:w="2275" w:type="dxa"/>
            <w:vMerge/>
            <w:vAlign w:val="center"/>
            <w:hideMark/>
          </w:tcPr>
          <w:p w14:paraId="099EBFDD"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2A3347F2"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Group 3</w:t>
            </w:r>
          </w:p>
        </w:tc>
        <w:tc>
          <w:tcPr>
            <w:tcW w:w="1710" w:type="dxa"/>
            <w:hideMark/>
          </w:tcPr>
          <w:p w14:paraId="0C5BCD68"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8</w:t>
            </w:r>
          </w:p>
        </w:tc>
        <w:tc>
          <w:tcPr>
            <w:tcW w:w="758" w:type="dxa"/>
            <w:hideMark/>
          </w:tcPr>
          <w:p w14:paraId="38E3D4FD"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3.6</w:t>
            </w:r>
          </w:p>
        </w:tc>
        <w:tc>
          <w:tcPr>
            <w:tcW w:w="1132" w:type="dxa"/>
            <w:hideMark/>
          </w:tcPr>
          <w:p w14:paraId="176ECF52"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3.6</w:t>
            </w:r>
          </w:p>
        </w:tc>
        <w:tc>
          <w:tcPr>
            <w:tcW w:w="1710" w:type="dxa"/>
            <w:hideMark/>
          </w:tcPr>
          <w:p w14:paraId="1114355D"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100.0</w:t>
            </w:r>
          </w:p>
        </w:tc>
      </w:tr>
      <w:tr w:rsidR="00B01DD2" w:rsidRPr="00916B27" w14:paraId="0D545D3A" w14:textId="77777777" w:rsidTr="00FC164E">
        <w:trPr>
          <w:trHeight w:val="386"/>
        </w:trPr>
        <w:tc>
          <w:tcPr>
            <w:tcW w:w="2275" w:type="dxa"/>
            <w:vMerge w:val="restart"/>
            <w:vAlign w:val="center"/>
            <w:hideMark/>
          </w:tcPr>
          <w:p w14:paraId="47C0C6D4"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English proficiency</w:t>
            </w:r>
          </w:p>
        </w:tc>
        <w:tc>
          <w:tcPr>
            <w:tcW w:w="1239" w:type="dxa"/>
            <w:hideMark/>
          </w:tcPr>
          <w:p w14:paraId="49989AB7"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Level 1</w:t>
            </w:r>
          </w:p>
        </w:tc>
        <w:tc>
          <w:tcPr>
            <w:tcW w:w="1710" w:type="dxa"/>
            <w:hideMark/>
          </w:tcPr>
          <w:p w14:paraId="7E74474D"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55</w:t>
            </w:r>
          </w:p>
        </w:tc>
        <w:tc>
          <w:tcPr>
            <w:tcW w:w="758" w:type="dxa"/>
            <w:hideMark/>
          </w:tcPr>
          <w:p w14:paraId="4DE05998"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25.0</w:t>
            </w:r>
          </w:p>
        </w:tc>
        <w:tc>
          <w:tcPr>
            <w:tcW w:w="1132" w:type="dxa"/>
            <w:hideMark/>
          </w:tcPr>
          <w:p w14:paraId="32DA098A"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25.0</w:t>
            </w:r>
          </w:p>
        </w:tc>
        <w:tc>
          <w:tcPr>
            <w:tcW w:w="1710" w:type="dxa"/>
            <w:hideMark/>
          </w:tcPr>
          <w:p w14:paraId="71ACCD7E"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25.0</w:t>
            </w:r>
          </w:p>
        </w:tc>
      </w:tr>
      <w:tr w:rsidR="00B01DD2" w:rsidRPr="00916B27" w14:paraId="47D9CDC3" w14:textId="77777777" w:rsidTr="00FC164E">
        <w:trPr>
          <w:trHeight w:val="386"/>
        </w:trPr>
        <w:tc>
          <w:tcPr>
            <w:tcW w:w="2275" w:type="dxa"/>
            <w:vMerge/>
            <w:vAlign w:val="center"/>
            <w:hideMark/>
          </w:tcPr>
          <w:p w14:paraId="788936AF"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4303D5C1"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Level 2</w:t>
            </w:r>
          </w:p>
        </w:tc>
        <w:tc>
          <w:tcPr>
            <w:tcW w:w="1710" w:type="dxa"/>
            <w:hideMark/>
          </w:tcPr>
          <w:p w14:paraId="052C2276"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150</w:t>
            </w:r>
          </w:p>
        </w:tc>
        <w:tc>
          <w:tcPr>
            <w:tcW w:w="758" w:type="dxa"/>
            <w:hideMark/>
          </w:tcPr>
          <w:p w14:paraId="0932B813"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68.2</w:t>
            </w:r>
          </w:p>
        </w:tc>
        <w:tc>
          <w:tcPr>
            <w:tcW w:w="1132" w:type="dxa"/>
            <w:hideMark/>
          </w:tcPr>
          <w:p w14:paraId="79CC7502"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68.2</w:t>
            </w:r>
          </w:p>
        </w:tc>
        <w:tc>
          <w:tcPr>
            <w:tcW w:w="1710" w:type="dxa"/>
            <w:hideMark/>
          </w:tcPr>
          <w:p w14:paraId="33B1D233"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93.2</w:t>
            </w:r>
          </w:p>
        </w:tc>
      </w:tr>
      <w:tr w:rsidR="00B01DD2" w:rsidRPr="00916B27" w14:paraId="4D0B4194" w14:textId="77777777" w:rsidTr="00FC164E">
        <w:trPr>
          <w:trHeight w:val="386"/>
        </w:trPr>
        <w:tc>
          <w:tcPr>
            <w:tcW w:w="2275" w:type="dxa"/>
            <w:vMerge/>
            <w:vAlign w:val="center"/>
            <w:hideMark/>
          </w:tcPr>
          <w:p w14:paraId="09B78683"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60B00CCE"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Level 3</w:t>
            </w:r>
          </w:p>
        </w:tc>
        <w:tc>
          <w:tcPr>
            <w:tcW w:w="1710" w:type="dxa"/>
            <w:hideMark/>
          </w:tcPr>
          <w:p w14:paraId="5CE82409"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15</w:t>
            </w:r>
          </w:p>
        </w:tc>
        <w:tc>
          <w:tcPr>
            <w:tcW w:w="758" w:type="dxa"/>
            <w:hideMark/>
          </w:tcPr>
          <w:p w14:paraId="50BB4802"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6.8</w:t>
            </w:r>
          </w:p>
        </w:tc>
        <w:tc>
          <w:tcPr>
            <w:tcW w:w="1132" w:type="dxa"/>
            <w:hideMark/>
          </w:tcPr>
          <w:p w14:paraId="3BC64D4B"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6.8</w:t>
            </w:r>
          </w:p>
        </w:tc>
        <w:tc>
          <w:tcPr>
            <w:tcW w:w="1710" w:type="dxa"/>
            <w:hideMark/>
          </w:tcPr>
          <w:p w14:paraId="4190048C"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100.0</w:t>
            </w:r>
          </w:p>
        </w:tc>
      </w:tr>
      <w:tr w:rsidR="00B01DD2" w:rsidRPr="00916B27" w14:paraId="544785AC" w14:textId="77777777" w:rsidTr="00FC164E">
        <w:trPr>
          <w:trHeight w:val="386"/>
        </w:trPr>
        <w:tc>
          <w:tcPr>
            <w:tcW w:w="2275" w:type="dxa"/>
            <w:vMerge w:val="restart"/>
            <w:vAlign w:val="center"/>
            <w:hideMark/>
          </w:tcPr>
          <w:p w14:paraId="43DFB8FC"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English learning experience</w:t>
            </w:r>
          </w:p>
        </w:tc>
        <w:tc>
          <w:tcPr>
            <w:tcW w:w="1239" w:type="dxa"/>
            <w:hideMark/>
          </w:tcPr>
          <w:p w14:paraId="78C87CCD"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Level 1</w:t>
            </w:r>
          </w:p>
        </w:tc>
        <w:tc>
          <w:tcPr>
            <w:tcW w:w="1710" w:type="dxa"/>
            <w:hideMark/>
          </w:tcPr>
          <w:p w14:paraId="3E68BBD5"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17</w:t>
            </w:r>
          </w:p>
        </w:tc>
        <w:tc>
          <w:tcPr>
            <w:tcW w:w="758" w:type="dxa"/>
            <w:hideMark/>
          </w:tcPr>
          <w:p w14:paraId="52FAC1DB"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7.7</w:t>
            </w:r>
          </w:p>
        </w:tc>
        <w:tc>
          <w:tcPr>
            <w:tcW w:w="1132" w:type="dxa"/>
            <w:hideMark/>
          </w:tcPr>
          <w:p w14:paraId="78EBC27A"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7.7</w:t>
            </w:r>
          </w:p>
        </w:tc>
        <w:tc>
          <w:tcPr>
            <w:tcW w:w="1710" w:type="dxa"/>
            <w:hideMark/>
          </w:tcPr>
          <w:p w14:paraId="0790ACF2"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7.7</w:t>
            </w:r>
          </w:p>
        </w:tc>
      </w:tr>
      <w:tr w:rsidR="00B01DD2" w:rsidRPr="00916B27" w14:paraId="115F1197" w14:textId="77777777" w:rsidTr="00FC164E">
        <w:trPr>
          <w:trHeight w:val="386"/>
        </w:trPr>
        <w:tc>
          <w:tcPr>
            <w:tcW w:w="2275" w:type="dxa"/>
            <w:vMerge/>
            <w:vAlign w:val="center"/>
            <w:hideMark/>
          </w:tcPr>
          <w:p w14:paraId="56DFF572"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68D7E7B6"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Level 2</w:t>
            </w:r>
          </w:p>
        </w:tc>
        <w:tc>
          <w:tcPr>
            <w:tcW w:w="1710" w:type="dxa"/>
            <w:hideMark/>
          </w:tcPr>
          <w:p w14:paraId="3DE10E07"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28</w:t>
            </w:r>
          </w:p>
        </w:tc>
        <w:tc>
          <w:tcPr>
            <w:tcW w:w="758" w:type="dxa"/>
            <w:hideMark/>
          </w:tcPr>
          <w:p w14:paraId="7DE4055F"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12.7</w:t>
            </w:r>
          </w:p>
        </w:tc>
        <w:tc>
          <w:tcPr>
            <w:tcW w:w="1132" w:type="dxa"/>
            <w:hideMark/>
          </w:tcPr>
          <w:p w14:paraId="2FAEFDC1"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12.7</w:t>
            </w:r>
          </w:p>
        </w:tc>
        <w:tc>
          <w:tcPr>
            <w:tcW w:w="1710" w:type="dxa"/>
            <w:hideMark/>
          </w:tcPr>
          <w:p w14:paraId="6749B2D9"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20.5</w:t>
            </w:r>
          </w:p>
        </w:tc>
      </w:tr>
      <w:tr w:rsidR="00B01DD2" w:rsidRPr="00916B27" w14:paraId="60B2595D" w14:textId="77777777" w:rsidTr="00FC164E">
        <w:trPr>
          <w:trHeight w:val="285"/>
        </w:trPr>
        <w:tc>
          <w:tcPr>
            <w:tcW w:w="2275" w:type="dxa"/>
            <w:vMerge/>
            <w:vAlign w:val="center"/>
            <w:hideMark/>
          </w:tcPr>
          <w:p w14:paraId="073290C5"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39E890E9" w14:textId="77777777" w:rsidR="00B01DD2" w:rsidRPr="00916B27" w:rsidRDefault="00B01DD2" w:rsidP="00D5074E">
            <w:pPr>
              <w:spacing w:before="0" w:after="120" w:line="480" w:lineRule="auto"/>
              <w:ind w:hanging="36"/>
              <w:jc w:val="center"/>
              <w:rPr>
                <w:rFonts w:cs="Times New Roman"/>
                <w:color w:val="000000" w:themeColor="text1"/>
                <w:sz w:val="24"/>
                <w:szCs w:val="24"/>
              </w:rPr>
            </w:pPr>
            <w:r w:rsidRPr="00916B27">
              <w:rPr>
                <w:rFonts w:cs="Times New Roman"/>
                <w:color w:val="000000" w:themeColor="text1"/>
                <w:sz w:val="24"/>
                <w:szCs w:val="24"/>
              </w:rPr>
              <w:t>Level 3</w:t>
            </w:r>
          </w:p>
        </w:tc>
        <w:tc>
          <w:tcPr>
            <w:tcW w:w="1710" w:type="dxa"/>
            <w:hideMark/>
          </w:tcPr>
          <w:p w14:paraId="2A0C0F17"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33</w:t>
            </w:r>
          </w:p>
        </w:tc>
        <w:tc>
          <w:tcPr>
            <w:tcW w:w="758" w:type="dxa"/>
            <w:hideMark/>
          </w:tcPr>
          <w:p w14:paraId="2BABB408"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15.0</w:t>
            </w:r>
          </w:p>
        </w:tc>
        <w:tc>
          <w:tcPr>
            <w:tcW w:w="1132" w:type="dxa"/>
            <w:hideMark/>
          </w:tcPr>
          <w:p w14:paraId="7526661A"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15.0</w:t>
            </w:r>
          </w:p>
        </w:tc>
        <w:tc>
          <w:tcPr>
            <w:tcW w:w="1710" w:type="dxa"/>
            <w:hideMark/>
          </w:tcPr>
          <w:p w14:paraId="5D27F36C"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35.5</w:t>
            </w:r>
          </w:p>
        </w:tc>
      </w:tr>
      <w:tr w:rsidR="00B01DD2" w:rsidRPr="00916B27" w14:paraId="3F5E5E6E" w14:textId="77777777" w:rsidTr="00FC164E">
        <w:trPr>
          <w:trHeight w:val="285"/>
        </w:trPr>
        <w:tc>
          <w:tcPr>
            <w:tcW w:w="2275" w:type="dxa"/>
            <w:vMerge/>
            <w:vAlign w:val="center"/>
            <w:hideMark/>
          </w:tcPr>
          <w:p w14:paraId="351B2A8A" w14:textId="77777777" w:rsidR="00B01DD2" w:rsidRPr="00916B27" w:rsidRDefault="00B01DD2" w:rsidP="00D5074E">
            <w:pPr>
              <w:spacing w:before="0" w:after="120" w:line="480" w:lineRule="auto"/>
              <w:ind w:hanging="10"/>
              <w:rPr>
                <w:rFonts w:cs="Times New Roman"/>
                <w:color w:val="000000" w:themeColor="text1"/>
                <w:sz w:val="24"/>
                <w:szCs w:val="24"/>
              </w:rPr>
            </w:pPr>
          </w:p>
        </w:tc>
        <w:tc>
          <w:tcPr>
            <w:tcW w:w="1239" w:type="dxa"/>
            <w:hideMark/>
          </w:tcPr>
          <w:p w14:paraId="6E3BBD3B"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Level 4</w:t>
            </w:r>
          </w:p>
        </w:tc>
        <w:tc>
          <w:tcPr>
            <w:tcW w:w="1710" w:type="dxa"/>
            <w:hideMark/>
          </w:tcPr>
          <w:p w14:paraId="04D77D1E"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142</w:t>
            </w:r>
          </w:p>
        </w:tc>
        <w:tc>
          <w:tcPr>
            <w:tcW w:w="758" w:type="dxa"/>
            <w:hideMark/>
          </w:tcPr>
          <w:p w14:paraId="59E7A4F7"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64.5</w:t>
            </w:r>
          </w:p>
        </w:tc>
        <w:tc>
          <w:tcPr>
            <w:tcW w:w="1132" w:type="dxa"/>
            <w:hideMark/>
          </w:tcPr>
          <w:p w14:paraId="26B072FF"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64.5</w:t>
            </w:r>
          </w:p>
        </w:tc>
        <w:tc>
          <w:tcPr>
            <w:tcW w:w="1710" w:type="dxa"/>
            <w:hideMark/>
          </w:tcPr>
          <w:p w14:paraId="5A385D41"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100.0</w:t>
            </w:r>
          </w:p>
        </w:tc>
      </w:tr>
      <w:tr w:rsidR="00B01DD2" w:rsidRPr="00916B27" w14:paraId="0FCAA600" w14:textId="77777777" w:rsidTr="00FC164E">
        <w:trPr>
          <w:trHeight w:val="285"/>
        </w:trPr>
        <w:tc>
          <w:tcPr>
            <w:tcW w:w="2275" w:type="dxa"/>
            <w:vMerge w:val="restart"/>
            <w:vAlign w:val="center"/>
            <w:hideMark/>
          </w:tcPr>
          <w:p w14:paraId="2259774E" w14:textId="7F5ADD0C"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 xml:space="preserve">Self </w:t>
            </w:r>
            <w:r w:rsidR="00895159">
              <w:rPr>
                <w:rFonts w:cs="Times New Roman"/>
                <w:color w:val="000000" w:themeColor="text1"/>
                <w:sz w:val="24"/>
                <w:szCs w:val="24"/>
              </w:rPr>
              <w:t>-</w:t>
            </w:r>
            <w:r w:rsidRPr="00916B27">
              <w:rPr>
                <w:rFonts w:cs="Times New Roman"/>
                <w:color w:val="000000" w:themeColor="text1"/>
                <w:sz w:val="24"/>
                <w:szCs w:val="24"/>
              </w:rPr>
              <w:t xml:space="preserve"> learning</w:t>
            </w:r>
          </w:p>
        </w:tc>
        <w:tc>
          <w:tcPr>
            <w:tcW w:w="1239" w:type="dxa"/>
            <w:hideMark/>
          </w:tcPr>
          <w:p w14:paraId="5D42C0E7"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Level 1</w:t>
            </w:r>
          </w:p>
        </w:tc>
        <w:tc>
          <w:tcPr>
            <w:tcW w:w="1710" w:type="dxa"/>
            <w:hideMark/>
          </w:tcPr>
          <w:p w14:paraId="64EF4864"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13</w:t>
            </w:r>
          </w:p>
        </w:tc>
        <w:tc>
          <w:tcPr>
            <w:tcW w:w="758" w:type="dxa"/>
            <w:hideMark/>
          </w:tcPr>
          <w:p w14:paraId="4AB90270"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5.9</w:t>
            </w:r>
          </w:p>
        </w:tc>
        <w:tc>
          <w:tcPr>
            <w:tcW w:w="1132" w:type="dxa"/>
            <w:hideMark/>
          </w:tcPr>
          <w:p w14:paraId="369F61EC"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5.9</w:t>
            </w:r>
          </w:p>
        </w:tc>
        <w:tc>
          <w:tcPr>
            <w:tcW w:w="1710" w:type="dxa"/>
            <w:hideMark/>
          </w:tcPr>
          <w:p w14:paraId="1B7C6F68"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5.9</w:t>
            </w:r>
          </w:p>
        </w:tc>
      </w:tr>
      <w:tr w:rsidR="00B01DD2" w:rsidRPr="00916B27" w14:paraId="5FEAD81F" w14:textId="77777777" w:rsidTr="00FC164E">
        <w:trPr>
          <w:trHeight w:val="285"/>
        </w:trPr>
        <w:tc>
          <w:tcPr>
            <w:tcW w:w="2275" w:type="dxa"/>
            <w:vMerge/>
            <w:vAlign w:val="center"/>
            <w:hideMark/>
          </w:tcPr>
          <w:p w14:paraId="6C4F10D5" w14:textId="77777777" w:rsidR="00B01DD2" w:rsidRPr="00916B27" w:rsidRDefault="00B01DD2" w:rsidP="00D5074E">
            <w:pPr>
              <w:spacing w:before="0" w:after="120" w:line="480" w:lineRule="auto"/>
              <w:rPr>
                <w:rFonts w:cs="Times New Roman"/>
                <w:color w:val="000000" w:themeColor="text1"/>
                <w:sz w:val="24"/>
                <w:szCs w:val="24"/>
              </w:rPr>
            </w:pPr>
          </w:p>
        </w:tc>
        <w:tc>
          <w:tcPr>
            <w:tcW w:w="1239" w:type="dxa"/>
            <w:hideMark/>
          </w:tcPr>
          <w:p w14:paraId="3045BC7B"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Level 2</w:t>
            </w:r>
          </w:p>
        </w:tc>
        <w:tc>
          <w:tcPr>
            <w:tcW w:w="1710" w:type="dxa"/>
            <w:hideMark/>
          </w:tcPr>
          <w:p w14:paraId="7E5C9352"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26</w:t>
            </w:r>
          </w:p>
        </w:tc>
        <w:tc>
          <w:tcPr>
            <w:tcW w:w="758" w:type="dxa"/>
            <w:hideMark/>
          </w:tcPr>
          <w:p w14:paraId="408CAC6C"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11.8</w:t>
            </w:r>
          </w:p>
        </w:tc>
        <w:tc>
          <w:tcPr>
            <w:tcW w:w="1132" w:type="dxa"/>
            <w:hideMark/>
          </w:tcPr>
          <w:p w14:paraId="6FBF79FB"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11.8</w:t>
            </w:r>
          </w:p>
        </w:tc>
        <w:tc>
          <w:tcPr>
            <w:tcW w:w="1710" w:type="dxa"/>
            <w:hideMark/>
          </w:tcPr>
          <w:p w14:paraId="1FB78EB7"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17.7</w:t>
            </w:r>
          </w:p>
        </w:tc>
      </w:tr>
      <w:tr w:rsidR="00B01DD2" w:rsidRPr="00916B27" w14:paraId="11C3BA71" w14:textId="77777777" w:rsidTr="00FC164E">
        <w:trPr>
          <w:trHeight w:val="285"/>
        </w:trPr>
        <w:tc>
          <w:tcPr>
            <w:tcW w:w="2275" w:type="dxa"/>
            <w:vMerge/>
            <w:vAlign w:val="center"/>
            <w:hideMark/>
          </w:tcPr>
          <w:p w14:paraId="4F720EB4" w14:textId="77777777" w:rsidR="00B01DD2" w:rsidRPr="00916B27" w:rsidRDefault="00B01DD2" w:rsidP="00D5074E">
            <w:pPr>
              <w:spacing w:before="0" w:after="120" w:line="480" w:lineRule="auto"/>
              <w:rPr>
                <w:rFonts w:cs="Times New Roman"/>
                <w:color w:val="000000" w:themeColor="text1"/>
                <w:sz w:val="24"/>
                <w:szCs w:val="24"/>
              </w:rPr>
            </w:pPr>
          </w:p>
        </w:tc>
        <w:tc>
          <w:tcPr>
            <w:tcW w:w="1239" w:type="dxa"/>
            <w:hideMark/>
          </w:tcPr>
          <w:p w14:paraId="65AAE961"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Level 3</w:t>
            </w:r>
          </w:p>
        </w:tc>
        <w:tc>
          <w:tcPr>
            <w:tcW w:w="1710" w:type="dxa"/>
            <w:hideMark/>
          </w:tcPr>
          <w:p w14:paraId="68C80DD8"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136</w:t>
            </w:r>
          </w:p>
        </w:tc>
        <w:tc>
          <w:tcPr>
            <w:tcW w:w="758" w:type="dxa"/>
            <w:hideMark/>
          </w:tcPr>
          <w:p w14:paraId="5DC80EFA"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61.8</w:t>
            </w:r>
          </w:p>
        </w:tc>
        <w:tc>
          <w:tcPr>
            <w:tcW w:w="1132" w:type="dxa"/>
            <w:hideMark/>
          </w:tcPr>
          <w:p w14:paraId="5EF38228"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61.8</w:t>
            </w:r>
          </w:p>
        </w:tc>
        <w:tc>
          <w:tcPr>
            <w:tcW w:w="1710" w:type="dxa"/>
            <w:hideMark/>
          </w:tcPr>
          <w:p w14:paraId="3ED5239B"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79.5</w:t>
            </w:r>
          </w:p>
        </w:tc>
      </w:tr>
      <w:tr w:rsidR="00B01DD2" w:rsidRPr="00916B27" w14:paraId="0108EFAD" w14:textId="77777777" w:rsidTr="00FC164E">
        <w:trPr>
          <w:trHeight w:val="285"/>
        </w:trPr>
        <w:tc>
          <w:tcPr>
            <w:tcW w:w="2275" w:type="dxa"/>
            <w:vMerge/>
            <w:vAlign w:val="center"/>
            <w:hideMark/>
          </w:tcPr>
          <w:p w14:paraId="1CD43F52" w14:textId="77777777" w:rsidR="00B01DD2" w:rsidRPr="00916B27" w:rsidRDefault="00B01DD2" w:rsidP="00D5074E">
            <w:pPr>
              <w:spacing w:before="0" w:after="120" w:line="480" w:lineRule="auto"/>
              <w:rPr>
                <w:rFonts w:cs="Times New Roman"/>
                <w:color w:val="000000" w:themeColor="text1"/>
                <w:sz w:val="24"/>
                <w:szCs w:val="24"/>
              </w:rPr>
            </w:pPr>
          </w:p>
        </w:tc>
        <w:tc>
          <w:tcPr>
            <w:tcW w:w="1239" w:type="dxa"/>
            <w:hideMark/>
          </w:tcPr>
          <w:p w14:paraId="158DDE18"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Level 4</w:t>
            </w:r>
          </w:p>
        </w:tc>
        <w:tc>
          <w:tcPr>
            <w:tcW w:w="1710" w:type="dxa"/>
            <w:hideMark/>
          </w:tcPr>
          <w:p w14:paraId="7E8E061F"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38</w:t>
            </w:r>
          </w:p>
        </w:tc>
        <w:tc>
          <w:tcPr>
            <w:tcW w:w="758" w:type="dxa"/>
            <w:hideMark/>
          </w:tcPr>
          <w:p w14:paraId="298DD770"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17.3</w:t>
            </w:r>
          </w:p>
        </w:tc>
        <w:tc>
          <w:tcPr>
            <w:tcW w:w="1132" w:type="dxa"/>
            <w:hideMark/>
          </w:tcPr>
          <w:p w14:paraId="418EA70C"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17.3</w:t>
            </w:r>
          </w:p>
        </w:tc>
        <w:tc>
          <w:tcPr>
            <w:tcW w:w="1710" w:type="dxa"/>
            <w:hideMark/>
          </w:tcPr>
          <w:p w14:paraId="18AB5C84"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96.8</w:t>
            </w:r>
          </w:p>
        </w:tc>
      </w:tr>
      <w:tr w:rsidR="00B01DD2" w:rsidRPr="00916B27" w14:paraId="3E3F70A1" w14:textId="77777777" w:rsidTr="00FC164E">
        <w:trPr>
          <w:trHeight w:val="285"/>
        </w:trPr>
        <w:tc>
          <w:tcPr>
            <w:tcW w:w="2275" w:type="dxa"/>
            <w:vMerge/>
            <w:vAlign w:val="center"/>
            <w:hideMark/>
          </w:tcPr>
          <w:p w14:paraId="4EDF6A68" w14:textId="77777777" w:rsidR="00B01DD2" w:rsidRPr="00916B27" w:rsidRDefault="00B01DD2" w:rsidP="00D5074E">
            <w:pPr>
              <w:spacing w:before="0" w:after="120" w:line="480" w:lineRule="auto"/>
              <w:rPr>
                <w:rFonts w:cs="Times New Roman"/>
                <w:color w:val="000000" w:themeColor="text1"/>
                <w:sz w:val="24"/>
                <w:szCs w:val="24"/>
              </w:rPr>
            </w:pPr>
          </w:p>
        </w:tc>
        <w:tc>
          <w:tcPr>
            <w:tcW w:w="1239" w:type="dxa"/>
            <w:hideMark/>
          </w:tcPr>
          <w:p w14:paraId="6C01F836"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Level 5</w:t>
            </w:r>
          </w:p>
        </w:tc>
        <w:tc>
          <w:tcPr>
            <w:tcW w:w="1710" w:type="dxa"/>
            <w:hideMark/>
          </w:tcPr>
          <w:p w14:paraId="229C3285"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7</w:t>
            </w:r>
          </w:p>
        </w:tc>
        <w:tc>
          <w:tcPr>
            <w:tcW w:w="758" w:type="dxa"/>
            <w:hideMark/>
          </w:tcPr>
          <w:p w14:paraId="5D4AD861" w14:textId="77777777" w:rsidR="00B01DD2" w:rsidRPr="00916B27" w:rsidRDefault="00B01DD2" w:rsidP="00D5074E">
            <w:pPr>
              <w:spacing w:before="0" w:after="120" w:line="480" w:lineRule="auto"/>
              <w:ind w:firstLine="77"/>
              <w:jc w:val="center"/>
              <w:rPr>
                <w:rFonts w:cs="Times New Roman"/>
                <w:color w:val="000000" w:themeColor="text1"/>
                <w:sz w:val="24"/>
                <w:szCs w:val="24"/>
              </w:rPr>
            </w:pPr>
            <w:r w:rsidRPr="00916B27">
              <w:rPr>
                <w:rFonts w:cs="Times New Roman"/>
                <w:color w:val="000000" w:themeColor="text1"/>
                <w:sz w:val="24"/>
                <w:szCs w:val="24"/>
              </w:rPr>
              <w:t>3.2</w:t>
            </w:r>
          </w:p>
        </w:tc>
        <w:tc>
          <w:tcPr>
            <w:tcW w:w="1132" w:type="dxa"/>
            <w:hideMark/>
          </w:tcPr>
          <w:p w14:paraId="1B5BE6B2"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3.2</w:t>
            </w:r>
          </w:p>
        </w:tc>
        <w:tc>
          <w:tcPr>
            <w:tcW w:w="1710" w:type="dxa"/>
            <w:hideMark/>
          </w:tcPr>
          <w:p w14:paraId="2FADEBE5" w14:textId="77777777" w:rsidR="00B01DD2" w:rsidRPr="00916B27" w:rsidRDefault="00B01DD2" w:rsidP="00D5074E">
            <w:pPr>
              <w:spacing w:before="0" w:after="120" w:line="480" w:lineRule="auto"/>
              <w:ind w:hanging="10"/>
              <w:jc w:val="center"/>
              <w:rPr>
                <w:rFonts w:cs="Times New Roman"/>
                <w:color w:val="000000" w:themeColor="text1"/>
                <w:sz w:val="24"/>
                <w:szCs w:val="24"/>
              </w:rPr>
            </w:pPr>
            <w:r w:rsidRPr="00916B27">
              <w:rPr>
                <w:rFonts w:cs="Times New Roman"/>
                <w:color w:val="000000" w:themeColor="text1"/>
                <w:sz w:val="24"/>
                <w:szCs w:val="24"/>
              </w:rPr>
              <w:t>100.0</w:t>
            </w:r>
          </w:p>
        </w:tc>
      </w:tr>
    </w:tbl>
    <w:p w14:paraId="22D0B26C" w14:textId="77777777" w:rsidR="00B01DD2" w:rsidRPr="00916B27" w:rsidRDefault="00B01DD2" w:rsidP="00D5074E">
      <w:pPr>
        <w:spacing w:before="0" w:after="120" w:line="480" w:lineRule="auto"/>
        <w:jc w:val="right"/>
        <w:rPr>
          <w:rFonts w:cs="Times New Roman"/>
          <w:i/>
          <w:iCs/>
          <w:color w:val="000000" w:themeColor="text1"/>
          <w:sz w:val="24"/>
          <w:szCs w:val="24"/>
        </w:rPr>
      </w:pPr>
      <w:r w:rsidRPr="00916B27">
        <w:rPr>
          <w:rFonts w:cs="Times New Roman"/>
          <w:i/>
          <w:iCs/>
          <w:color w:val="000000" w:themeColor="text1"/>
          <w:sz w:val="24"/>
          <w:szCs w:val="24"/>
        </w:rPr>
        <w:t xml:space="preserve">Source: Analysis results obtained from SPSS 26 </w:t>
      </w:r>
    </w:p>
    <w:p w14:paraId="3B599C39"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 xml:space="preserve">       After collecting data through the online survey, the research team obtained a total of 220 valid responses, which were included in the analysis. The research sample is described </w:t>
      </w:r>
      <w:r w:rsidRPr="00916B27">
        <w:rPr>
          <w:rFonts w:cs="Times New Roman"/>
          <w:color w:val="000000" w:themeColor="text1"/>
          <w:sz w:val="24"/>
          <w:szCs w:val="24"/>
        </w:rPr>
        <w:lastRenderedPageBreak/>
        <w:t xml:space="preserve">based on several fundamental demographic characteristics, including gender, age, English proficiency, English learning experience, and the participants' level of self-study. </w:t>
      </w:r>
    </w:p>
    <w:p w14:paraId="77CAF904" w14:textId="07926400" w:rsidR="00B01DD2" w:rsidRPr="005D18CA" w:rsidRDefault="005D18CA" w:rsidP="00D5074E">
      <w:pPr>
        <w:pStyle w:val="Heading2"/>
        <w:spacing w:before="0" w:after="120" w:line="480" w:lineRule="auto"/>
        <w:jc w:val="both"/>
        <w:rPr>
          <w:i/>
          <w:iCs/>
          <w:color w:val="000000" w:themeColor="text1"/>
          <w:sz w:val="24"/>
          <w:szCs w:val="24"/>
        </w:rPr>
      </w:pPr>
      <w:r w:rsidRPr="005D18CA">
        <w:rPr>
          <w:i/>
          <w:iCs/>
          <w:color w:val="000000" w:themeColor="text1"/>
          <w:sz w:val="24"/>
          <w:szCs w:val="24"/>
        </w:rPr>
        <w:t>4</w:t>
      </w:r>
      <w:r w:rsidR="00B01DD2" w:rsidRPr="005D18CA">
        <w:rPr>
          <w:i/>
          <w:iCs/>
          <w:color w:val="000000" w:themeColor="text1"/>
          <w:sz w:val="24"/>
          <w:szCs w:val="24"/>
        </w:rPr>
        <w:t>.2. Reliability analysis</w:t>
      </w:r>
    </w:p>
    <w:p w14:paraId="40C00524"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Prior to hypothesis testing, the internal consistency and reliability of the measurement scales were evaluated using Cronbach’s Alpha coefficients. According to Nunnally and Bernstein (1994), a Cronbach’s Alpha value above .70 indicates acceptable reliability for social science research. The results demonstrated that all constructs achieved satisfactory reliability levels, confirming the consistency of the measurement items used in this study.</w:t>
      </w:r>
    </w:p>
    <w:p w14:paraId="21920521"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Specifically, the engagement construct (ENG) obtained a Cronbach’s Alpha coefficient of .819, indicating good internal consistency among the observed variables measuring learners’ interaction and motivation when using short-form videos. The repetition construct (REP) achieved an Alpha coefficient of .815, suggesting that the items consistently reflected repeated lexical exposure within short-form video environments. The multimedia elements construct (MUL) showed a relatively high reliability level with a Cronbach’s Alpha value of .865, indicating strong consistency among items related to subtitles, visuals, audio, and contextual illustrations. Similarly, distraction (DIS) demonstrated the highest reliability among the independent variables with an Alpha coefficient of .878, reflecting strong coherence among the items measuring cognitive interference and overstimulation. The dependent variable, vocabulary acquisition (VOC), achieved a Cronbach’s Alpha value of .830, indicating satisfactory reliability in measuring learners’ perceived vocabulary development.</w:t>
      </w:r>
    </w:p>
    <w:p w14:paraId="79DB8EAA"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Overall, all scales exceeded the recommended reliability threshold, and no observed variables were removed from the analysis. These findings confirm that the measurement model possesses adequate internal consistency and is suitable for subsequent factor analysis and hypothesis testing.</w:t>
      </w:r>
    </w:p>
    <w:p w14:paraId="76FCFB21" w14:textId="77777777" w:rsidR="00B01DD2" w:rsidRPr="005D18CA" w:rsidRDefault="00B01DD2" w:rsidP="00D5074E">
      <w:pPr>
        <w:pStyle w:val="Heading3"/>
        <w:spacing w:before="0" w:after="120" w:line="480" w:lineRule="auto"/>
        <w:rPr>
          <w:rStyle w:val="Strong"/>
          <w:rFonts w:eastAsiaTheme="majorEastAsia"/>
          <w:b w:val="0"/>
          <w:bCs w:val="0"/>
          <w:i/>
          <w:iCs/>
          <w:color w:val="000000" w:themeColor="text1"/>
          <w:sz w:val="24"/>
          <w:szCs w:val="24"/>
        </w:rPr>
      </w:pPr>
      <w:r w:rsidRPr="005D18CA">
        <w:rPr>
          <w:b/>
          <w:bCs/>
          <w:color w:val="000000" w:themeColor="text1"/>
          <w:sz w:val="24"/>
          <w:szCs w:val="24"/>
        </w:rPr>
        <w:lastRenderedPageBreak/>
        <w:t>Table 2.</w:t>
      </w:r>
      <w:r w:rsidRPr="005D18CA">
        <w:rPr>
          <w:b/>
          <w:bCs/>
          <w:i/>
          <w:iCs/>
          <w:color w:val="000000" w:themeColor="text1"/>
          <w:sz w:val="24"/>
          <w:szCs w:val="24"/>
        </w:rPr>
        <w:t xml:space="preserve"> </w:t>
      </w:r>
      <w:r w:rsidRPr="005D18CA">
        <w:rPr>
          <w:rStyle w:val="Strong"/>
          <w:rFonts w:eastAsiaTheme="majorEastAsia"/>
          <w:b w:val="0"/>
          <w:bCs w:val="0"/>
          <w:i/>
          <w:iCs/>
          <w:color w:val="000000" w:themeColor="text1"/>
          <w:sz w:val="24"/>
          <w:szCs w:val="24"/>
        </w:rPr>
        <w:t>Reliability analysis of measurement scales</w:t>
      </w:r>
    </w:p>
    <w:tbl>
      <w:tblPr>
        <w:tblStyle w:val="TableGrid"/>
        <w:tblW w:w="8815" w:type="dxa"/>
        <w:tblBorders>
          <w:left w:val="none" w:sz="0" w:space="0" w:color="auto"/>
          <w:right w:val="none" w:sz="0" w:space="0" w:color="auto"/>
          <w:insideV w:val="none" w:sz="0" w:space="0" w:color="auto"/>
        </w:tblBorders>
        <w:tblLook w:val="04A0" w:firstRow="1" w:lastRow="0" w:firstColumn="1" w:lastColumn="0" w:noHBand="0" w:noVBand="1"/>
      </w:tblPr>
      <w:tblGrid>
        <w:gridCol w:w="3775"/>
        <w:gridCol w:w="1260"/>
        <w:gridCol w:w="1620"/>
        <w:gridCol w:w="2160"/>
      </w:tblGrid>
      <w:tr w:rsidR="00B01DD2" w:rsidRPr="00916B27" w14:paraId="1770E355" w14:textId="77777777" w:rsidTr="005B1F67">
        <w:tc>
          <w:tcPr>
            <w:tcW w:w="3775" w:type="dxa"/>
            <w:tcBorders>
              <w:bottom w:val="single" w:sz="4" w:space="0" w:color="auto"/>
            </w:tcBorders>
            <w:vAlign w:val="center"/>
          </w:tcPr>
          <w:p w14:paraId="623B0611" w14:textId="77777777" w:rsidR="00B01DD2" w:rsidRPr="00916B27" w:rsidRDefault="00B01DD2" w:rsidP="00D5074E">
            <w:pPr>
              <w:spacing w:before="0" w:after="120" w:line="480" w:lineRule="auto"/>
              <w:jc w:val="center"/>
              <w:rPr>
                <w:rFonts w:eastAsiaTheme="majorEastAsia" w:cs="Times New Roman"/>
                <w:color w:val="000000" w:themeColor="text1"/>
                <w:sz w:val="24"/>
                <w:szCs w:val="24"/>
              </w:rPr>
            </w:pPr>
            <w:r w:rsidRPr="00916B27">
              <w:rPr>
                <w:rFonts w:cs="Times New Roman"/>
                <w:b/>
                <w:bCs/>
                <w:color w:val="000000" w:themeColor="text1"/>
                <w:sz w:val="24"/>
                <w:szCs w:val="24"/>
              </w:rPr>
              <w:t>Construct</w:t>
            </w:r>
          </w:p>
        </w:tc>
        <w:tc>
          <w:tcPr>
            <w:tcW w:w="1260" w:type="dxa"/>
            <w:tcBorders>
              <w:bottom w:val="single" w:sz="4" w:space="0" w:color="auto"/>
            </w:tcBorders>
            <w:vAlign w:val="center"/>
          </w:tcPr>
          <w:p w14:paraId="0D64955E" w14:textId="77777777" w:rsidR="00B01DD2" w:rsidRPr="00916B27" w:rsidRDefault="00B01DD2" w:rsidP="00D5074E">
            <w:pPr>
              <w:spacing w:before="0" w:after="120" w:line="480" w:lineRule="auto"/>
              <w:ind w:hanging="33"/>
              <w:jc w:val="center"/>
              <w:rPr>
                <w:rFonts w:eastAsiaTheme="majorEastAsia" w:cs="Times New Roman"/>
                <w:color w:val="000000" w:themeColor="text1"/>
                <w:sz w:val="24"/>
                <w:szCs w:val="24"/>
              </w:rPr>
            </w:pPr>
            <w:r w:rsidRPr="00916B27">
              <w:rPr>
                <w:rFonts w:cs="Times New Roman"/>
                <w:b/>
                <w:bCs/>
                <w:color w:val="000000" w:themeColor="text1"/>
                <w:sz w:val="24"/>
                <w:szCs w:val="24"/>
              </w:rPr>
              <w:t>Number of items</w:t>
            </w:r>
          </w:p>
        </w:tc>
        <w:tc>
          <w:tcPr>
            <w:tcW w:w="1620" w:type="dxa"/>
            <w:tcBorders>
              <w:bottom w:val="single" w:sz="4" w:space="0" w:color="auto"/>
            </w:tcBorders>
            <w:vAlign w:val="center"/>
          </w:tcPr>
          <w:p w14:paraId="66C2ECCC" w14:textId="77777777" w:rsidR="00B01DD2" w:rsidRPr="00916B27" w:rsidRDefault="00B01DD2" w:rsidP="00D5074E">
            <w:pPr>
              <w:spacing w:before="0" w:after="120" w:line="480" w:lineRule="auto"/>
              <w:ind w:firstLine="0"/>
              <w:jc w:val="center"/>
              <w:rPr>
                <w:rFonts w:eastAsiaTheme="majorEastAsia" w:cs="Times New Roman"/>
                <w:color w:val="000000" w:themeColor="text1"/>
                <w:sz w:val="24"/>
                <w:szCs w:val="24"/>
              </w:rPr>
            </w:pPr>
            <w:r w:rsidRPr="00916B27">
              <w:rPr>
                <w:rFonts w:cs="Times New Roman"/>
                <w:b/>
                <w:bCs/>
                <w:color w:val="000000" w:themeColor="text1"/>
                <w:sz w:val="24"/>
                <w:szCs w:val="24"/>
              </w:rPr>
              <w:t>Cronbach’s Alpha</w:t>
            </w:r>
          </w:p>
        </w:tc>
        <w:tc>
          <w:tcPr>
            <w:tcW w:w="2160" w:type="dxa"/>
            <w:tcBorders>
              <w:bottom w:val="single" w:sz="4" w:space="0" w:color="auto"/>
            </w:tcBorders>
            <w:vAlign w:val="center"/>
          </w:tcPr>
          <w:p w14:paraId="5F032A0B" w14:textId="77777777" w:rsidR="00B01DD2" w:rsidRPr="00916B27" w:rsidRDefault="00B01DD2" w:rsidP="00D5074E">
            <w:pPr>
              <w:spacing w:before="0" w:after="120" w:line="480" w:lineRule="auto"/>
              <w:ind w:hanging="15"/>
              <w:jc w:val="center"/>
              <w:rPr>
                <w:rFonts w:eastAsiaTheme="majorEastAsia" w:cs="Times New Roman"/>
                <w:color w:val="000000" w:themeColor="text1"/>
                <w:sz w:val="24"/>
                <w:szCs w:val="24"/>
              </w:rPr>
            </w:pPr>
            <w:r w:rsidRPr="00916B27">
              <w:rPr>
                <w:rFonts w:cs="Times New Roman"/>
                <w:b/>
                <w:bCs/>
                <w:color w:val="000000" w:themeColor="text1"/>
                <w:sz w:val="24"/>
                <w:szCs w:val="24"/>
              </w:rPr>
              <w:t>Reliability level</w:t>
            </w:r>
          </w:p>
        </w:tc>
      </w:tr>
      <w:tr w:rsidR="00B01DD2" w:rsidRPr="00916B27" w14:paraId="5F1B6373" w14:textId="77777777" w:rsidTr="005B1F67">
        <w:tc>
          <w:tcPr>
            <w:tcW w:w="3775" w:type="dxa"/>
            <w:tcBorders>
              <w:bottom w:val="nil"/>
            </w:tcBorders>
            <w:vAlign w:val="center"/>
          </w:tcPr>
          <w:p w14:paraId="60CDE69B" w14:textId="77777777" w:rsidR="00B01DD2" w:rsidRPr="00916B27" w:rsidRDefault="00B01DD2" w:rsidP="00D5074E">
            <w:pPr>
              <w:spacing w:before="0" w:after="120" w:line="480" w:lineRule="auto"/>
              <w:ind w:hanging="22"/>
              <w:rPr>
                <w:rFonts w:eastAsiaTheme="majorEastAsia" w:cs="Times New Roman"/>
                <w:color w:val="000000" w:themeColor="text1"/>
                <w:sz w:val="24"/>
                <w:szCs w:val="24"/>
              </w:rPr>
            </w:pPr>
            <w:r w:rsidRPr="00916B27">
              <w:rPr>
                <w:rFonts w:cs="Times New Roman"/>
                <w:color w:val="000000" w:themeColor="text1"/>
                <w:sz w:val="24"/>
                <w:szCs w:val="24"/>
              </w:rPr>
              <w:t>Engagement (ENG)</w:t>
            </w:r>
          </w:p>
        </w:tc>
        <w:tc>
          <w:tcPr>
            <w:tcW w:w="1260" w:type="dxa"/>
            <w:tcBorders>
              <w:bottom w:val="nil"/>
            </w:tcBorders>
            <w:vAlign w:val="center"/>
          </w:tcPr>
          <w:p w14:paraId="5614A106"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2</w:t>
            </w:r>
          </w:p>
        </w:tc>
        <w:tc>
          <w:tcPr>
            <w:tcW w:w="1620" w:type="dxa"/>
            <w:tcBorders>
              <w:bottom w:val="nil"/>
            </w:tcBorders>
            <w:vAlign w:val="center"/>
          </w:tcPr>
          <w:p w14:paraId="70723F6A"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.819</w:t>
            </w:r>
          </w:p>
        </w:tc>
        <w:tc>
          <w:tcPr>
            <w:tcW w:w="2160" w:type="dxa"/>
            <w:tcBorders>
              <w:bottom w:val="nil"/>
            </w:tcBorders>
            <w:vAlign w:val="center"/>
          </w:tcPr>
          <w:p w14:paraId="69F7B659"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Good</w:t>
            </w:r>
          </w:p>
        </w:tc>
      </w:tr>
      <w:tr w:rsidR="00B01DD2" w:rsidRPr="00916B27" w14:paraId="1665DD2C" w14:textId="77777777" w:rsidTr="005B1F67">
        <w:tc>
          <w:tcPr>
            <w:tcW w:w="3775" w:type="dxa"/>
            <w:tcBorders>
              <w:top w:val="nil"/>
              <w:bottom w:val="nil"/>
            </w:tcBorders>
            <w:vAlign w:val="center"/>
          </w:tcPr>
          <w:p w14:paraId="38C31AEE" w14:textId="77777777" w:rsidR="00B01DD2" w:rsidRPr="00916B27" w:rsidRDefault="00B01DD2" w:rsidP="00D5074E">
            <w:pPr>
              <w:spacing w:before="0" w:after="120" w:line="480" w:lineRule="auto"/>
              <w:ind w:hanging="22"/>
              <w:jc w:val="left"/>
              <w:rPr>
                <w:rFonts w:eastAsiaTheme="majorEastAsia" w:cs="Times New Roman"/>
                <w:color w:val="000000" w:themeColor="text1"/>
                <w:sz w:val="24"/>
                <w:szCs w:val="24"/>
              </w:rPr>
            </w:pPr>
            <w:r w:rsidRPr="00916B27">
              <w:rPr>
                <w:rFonts w:cs="Times New Roman"/>
                <w:color w:val="000000" w:themeColor="text1"/>
                <w:sz w:val="24"/>
                <w:szCs w:val="24"/>
              </w:rPr>
              <w:t>Repetition (REP)</w:t>
            </w:r>
          </w:p>
        </w:tc>
        <w:tc>
          <w:tcPr>
            <w:tcW w:w="1260" w:type="dxa"/>
            <w:tcBorders>
              <w:top w:val="nil"/>
              <w:bottom w:val="nil"/>
            </w:tcBorders>
            <w:vAlign w:val="center"/>
          </w:tcPr>
          <w:p w14:paraId="2FECE25F"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2</w:t>
            </w:r>
          </w:p>
        </w:tc>
        <w:tc>
          <w:tcPr>
            <w:tcW w:w="1620" w:type="dxa"/>
            <w:tcBorders>
              <w:top w:val="nil"/>
              <w:bottom w:val="nil"/>
            </w:tcBorders>
            <w:vAlign w:val="center"/>
          </w:tcPr>
          <w:p w14:paraId="2DB51C0C"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.815</w:t>
            </w:r>
          </w:p>
        </w:tc>
        <w:tc>
          <w:tcPr>
            <w:tcW w:w="2160" w:type="dxa"/>
            <w:tcBorders>
              <w:top w:val="nil"/>
              <w:bottom w:val="nil"/>
            </w:tcBorders>
            <w:vAlign w:val="center"/>
          </w:tcPr>
          <w:p w14:paraId="1801C16B"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Good</w:t>
            </w:r>
          </w:p>
        </w:tc>
      </w:tr>
      <w:tr w:rsidR="00B01DD2" w:rsidRPr="00916B27" w14:paraId="2523BC80" w14:textId="77777777" w:rsidTr="005B1F67">
        <w:tc>
          <w:tcPr>
            <w:tcW w:w="3775" w:type="dxa"/>
            <w:tcBorders>
              <w:top w:val="nil"/>
              <w:bottom w:val="nil"/>
            </w:tcBorders>
            <w:vAlign w:val="center"/>
          </w:tcPr>
          <w:p w14:paraId="5CE29668" w14:textId="77777777" w:rsidR="00B01DD2" w:rsidRPr="00916B27" w:rsidRDefault="00B01DD2" w:rsidP="00D5074E">
            <w:pPr>
              <w:spacing w:before="0" w:after="120" w:line="480" w:lineRule="auto"/>
              <w:ind w:hanging="22"/>
              <w:jc w:val="left"/>
              <w:rPr>
                <w:rFonts w:eastAsiaTheme="majorEastAsia" w:cs="Times New Roman"/>
                <w:color w:val="000000" w:themeColor="text1"/>
                <w:sz w:val="24"/>
                <w:szCs w:val="24"/>
              </w:rPr>
            </w:pPr>
            <w:r w:rsidRPr="00916B27">
              <w:rPr>
                <w:rFonts w:cs="Times New Roman"/>
                <w:color w:val="000000" w:themeColor="text1"/>
                <w:sz w:val="24"/>
                <w:szCs w:val="24"/>
              </w:rPr>
              <w:t>Multimedia Elements (MUL)</w:t>
            </w:r>
          </w:p>
        </w:tc>
        <w:tc>
          <w:tcPr>
            <w:tcW w:w="1260" w:type="dxa"/>
            <w:tcBorders>
              <w:top w:val="nil"/>
              <w:bottom w:val="nil"/>
            </w:tcBorders>
            <w:vAlign w:val="center"/>
          </w:tcPr>
          <w:p w14:paraId="7BB1012C"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3</w:t>
            </w:r>
          </w:p>
        </w:tc>
        <w:tc>
          <w:tcPr>
            <w:tcW w:w="1620" w:type="dxa"/>
            <w:tcBorders>
              <w:top w:val="nil"/>
              <w:bottom w:val="nil"/>
            </w:tcBorders>
            <w:vAlign w:val="center"/>
          </w:tcPr>
          <w:p w14:paraId="5086FCAE"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.865</w:t>
            </w:r>
          </w:p>
        </w:tc>
        <w:tc>
          <w:tcPr>
            <w:tcW w:w="2160" w:type="dxa"/>
            <w:tcBorders>
              <w:top w:val="nil"/>
              <w:bottom w:val="nil"/>
            </w:tcBorders>
            <w:vAlign w:val="center"/>
          </w:tcPr>
          <w:p w14:paraId="65987740"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Very Good</w:t>
            </w:r>
          </w:p>
        </w:tc>
      </w:tr>
      <w:tr w:rsidR="00B01DD2" w:rsidRPr="00916B27" w14:paraId="2FE07DD0" w14:textId="77777777" w:rsidTr="005B1F67">
        <w:tc>
          <w:tcPr>
            <w:tcW w:w="3775" w:type="dxa"/>
            <w:tcBorders>
              <w:top w:val="nil"/>
              <w:bottom w:val="nil"/>
            </w:tcBorders>
            <w:vAlign w:val="center"/>
          </w:tcPr>
          <w:p w14:paraId="670343B4" w14:textId="77777777" w:rsidR="00B01DD2" w:rsidRPr="00916B27" w:rsidRDefault="00B01DD2" w:rsidP="00D5074E">
            <w:pPr>
              <w:spacing w:before="0" w:after="120" w:line="480" w:lineRule="auto"/>
              <w:ind w:hanging="22"/>
              <w:jc w:val="left"/>
              <w:rPr>
                <w:rFonts w:eastAsiaTheme="majorEastAsia" w:cs="Times New Roman"/>
                <w:color w:val="000000" w:themeColor="text1"/>
                <w:sz w:val="24"/>
                <w:szCs w:val="24"/>
              </w:rPr>
            </w:pPr>
            <w:r w:rsidRPr="00916B27">
              <w:rPr>
                <w:rFonts w:cs="Times New Roman"/>
                <w:color w:val="000000" w:themeColor="text1"/>
                <w:sz w:val="24"/>
                <w:szCs w:val="24"/>
              </w:rPr>
              <w:t>Distraction (DIS)</w:t>
            </w:r>
          </w:p>
        </w:tc>
        <w:tc>
          <w:tcPr>
            <w:tcW w:w="1260" w:type="dxa"/>
            <w:tcBorders>
              <w:top w:val="nil"/>
              <w:bottom w:val="nil"/>
            </w:tcBorders>
            <w:vAlign w:val="center"/>
          </w:tcPr>
          <w:p w14:paraId="03493BFE"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2</w:t>
            </w:r>
          </w:p>
        </w:tc>
        <w:tc>
          <w:tcPr>
            <w:tcW w:w="1620" w:type="dxa"/>
            <w:tcBorders>
              <w:top w:val="nil"/>
              <w:bottom w:val="nil"/>
            </w:tcBorders>
            <w:vAlign w:val="center"/>
          </w:tcPr>
          <w:p w14:paraId="2B8F2C75"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.878</w:t>
            </w:r>
          </w:p>
        </w:tc>
        <w:tc>
          <w:tcPr>
            <w:tcW w:w="2160" w:type="dxa"/>
            <w:tcBorders>
              <w:top w:val="nil"/>
              <w:bottom w:val="nil"/>
            </w:tcBorders>
            <w:vAlign w:val="center"/>
          </w:tcPr>
          <w:p w14:paraId="2EA94C4A"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Excellent</w:t>
            </w:r>
          </w:p>
        </w:tc>
      </w:tr>
      <w:tr w:rsidR="00B01DD2" w:rsidRPr="00916B27" w14:paraId="6ED615E4" w14:textId="77777777" w:rsidTr="005B1F67">
        <w:tc>
          <w:tcPr>
            <w:tcW w:w="3775" w:type="dxa"/>
            <w:tcBorders>
              <w:top w:val="nil"/>
            </w:tcBorders>
            <w:vAlign w:val="center"/>
          </w:tcPr>
          <w:p w14:paraId="5247609D" w14:textId="77777777" w:rsidR="00B01DD2" w:rsidRPr="00916B27" w:rsidRDefault="00B01DD2" w:rsidP="00D5074E">
            <w:pPr>
              <w:spacing w:before="0" w:after="120" w:line="480" w:lineRule="auto"/>
              <w:ind w:hanging="22"/>
              <w:jc w:val="left"/>
              <w:rPr>
                <w:rFonts w:eastAsiaTheme="majorEastAsia" w:cs="Times New Roman"/>
                <w:color w:val="000000" w:themeColor="text1"/>
                <w:sz w:val="24"/>
                <w:szCs w:val="24"/>
              </w:rPr>
            </w:pPr>
            <w:r w:rsidRPr="00916B27">
              <w:rPr>
                <w:rFonts w:cs="Times New Roman"/>
                <w:color w:val="000000" w:themeColor="text1"/>
                <w:sz w:val="24"/>
                <w:szCs w:val="24"/>
              </w:rPr>
              <w:t>Vocabulary Acquisition (VOC)</w:t>
            </w:r>
          </w:p>
        </w:tc>
        <w:tc>
          <w:tcPr>
            <w:tcW w:w="1260" w:type="dxa"/>
            <w:tcBorders>
              <w:top w:val="nil"/>
            </w:tcBorders>
            <w:vAlign w:val="center"/>
          </w:tcPr>
          <w:p w14:paraId="17524EE3"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3</w:t>
            </w:r>
          </w:p>
        </w:tc>
        <w:tc>
          <w:tcPr>
            <w:tcW w:w="1620" w:type="dxa"/>
            <w:tcBorders>
              <w:top w:val="nil"/>
            </w:tcBorders>
            <w:vAlign w:val="center"/>
          </w:tcPr>
          <w:p w14:paraId="4BA92ADD"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.830</w:t>
            </w:r>
          </w:p>
        </w:tc>
        <w:tc>
          <w:tcPr>
            <w:tcW w:w="2160" w:type="dxa"/>
            <w:tcBorders>
              <w:top w:val="nil"/>
            </w:tcBorders>
            <w:vAlign w:val="center"/>
          </w:tcPr>
          <w:p w14:paraId="33DE364E" w14:textId="77777777" w:rsidR="00B01DD2" w:rsidRPr="00916B27" w:rsidRDefault="00B01DD2" w:rsidP="00D5074E">
            <w:pPr>
              <w:spacing w:before="0" w:after="120" w:line="480" w:lineRule="auto"/>
              <w:rPr>
                <w:rFonts w:eastAsiaTheme="majorEastAsia" w:cs="Times New Roman"/>
                <w:color w:val="000000" w:themeColor="text1"/>
                <w:sz w:val="24"/>
                <w:szCs w:val="24"/>
              </w:rPr>
            </w:pPr>
            <w:r w:rsidRPr="00916B27">
              <w:rPr>
                <w:rFonts w:cs="Times New Roman"/>
                <w:color w:val="000000" w:themeColor="text1"/>
                <w:sz w:val="24"/>
                <w:szCs w:val="24"/>
              </w:rPr>
              <w:t>Good</w:t>
            </w:r>
          </w:p>
        </w:tc>
      </w:tr>
    </w:tbl>
    <w:p w14:paraId="2612B794" w14:textId="77777777" w:rsidR="00B01DD2" w:rsidRPr="00916B27" w:rsidRDefault="00B01DD2" w:rsidP="00D5074E">
      <w:pPr>
        <w:spacing w:before="0" w:after="120" w:line="480" w:lineRule="auto"/>
        <w:rPr>
          <w:rFonts w:cs="Times New Roman"/>
          <w:color w:val="000000" w:themeColor="text1"/>
          <w:sz w:val="24"/>
          <w:szCs w:val="24"/>
        </w:rPr>
      </w:pPr>
    </w:p>
    <w:p w14:paraId="37196409" w14:textId="77777777" w:rsidR="00B01DD2" w:rsidRPr="00916B27" w:rsidRDefault="00B01DD2" w:rsidP="00D5074E">
      <w:pPr>
        <w:pStyle w:val="isselectedend"/>
        <w:spacing w:before="0" w:beforeAutospacing="0" w:after="120" w:afterAutospacing="0" w:line="480" w:lineRule="auto"/>
        <w:jc w:val="right"/>
        <w:rPr>
          <w:color w:val="000000" w:themeColor="text1"/>
        </w:rPr>
      </w:pPr>
      <w:r w:rsidRPr="00916B27">
        <w:rPr>
          <w:rStyle w:val="Emphasis"/>
          <w:rFonts w:eastAsiaTheme="majorEastAsia"/>
          <w:color w:val="000000" w:themeColor="text1"/>
        </w:rPr>
        <w:t>Source: Authors’ calculation based on SPSS output.</w:t>
      </w:r>
    </w:p>
    <w:p w14:paraId="641F7ABE" w14:textId="63431EF7" w:rsidR="00B01DD2" w:rsidRPr="005D18CA" w:rsidRDefault="005D18CA" w:rsidP="00D5074E">
      <w:pPr>
        <w:pStyle w:val="Heading2"/>
        <w:spacing w:before="0" w:after="120" w:line="480" w:lineRule="auto"/>
        <w:jc w:val="both"/>
        <w:rPr>
          <w:i/>
          <w:iCs/>
          <w:color w:val="000000" w:themeColor="text1"/>
          <w:sz w:val="24"/>
          <w:szCs w:val="24"/>
        </w:rPr>
      </w:pPr>
      <w:r w:rsidRPr="005D18CA">
        <w:rPr>
          <w:i/>
          <w:iCs/>
          <w:color w:val="000000" w:themeColor="text1"/>
          <w:sz w:val="24"/>
          <w:szCs w:val="24"/>
        </w:rPr>
        <w:t>4</w:t>
      </w:r>
      <w:r w:rsidR="00B01DD2" w:rsidRPr="005D18CA">
        <w:rPr>
          <w:i/>
          <w:iCs/>
          <w:color w:val="000000" w:themeColor="text1"/>
          <w:sz w:val="24"/>
          <w:szCs w:val="24"/>
        </w:rPr>
        <w:t xml:space="preserve">.3. Exploratory factor analysis </w:t>
      </w:r>
    </w:p>
    <w:p w14:paraId="26B4C42F"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To examine the construct validity and underlying factor structure of the measurement model, Exploratory Factor Analysis (EFA) was conducted using Principal Component Analysis with Varimax rotation. The Kaiser-Meyer-Olkin (KMO) measure of sampling adequacy yielded a value of .928, substantially exceeding the recommended threshold of .50 (Hair et al., 2010). This result indicates that the dataset was highly appropriate for factor analysis. Furthermore, Bartlett’s Test of Sphericity was statistically significant (p &lt; .001), confirming that the observed variables were sufficiently correlated to justify factor extraction.</w:t>
      </w:r>
    </w:p>
    <w:p w14:paraId="7FD70DE5"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 xml:space="preserve">The EFA results indicated that the extracted factors explained 66.451% of the total variance, demonstrating acceptable construct validity for the proposed measurement model. In social science research, a total variance explained value above 50% is generally considered acceptable, indicating that the factor structure adequately represents the observed data. The extracted factor structure generally aligned with the proposed theoretical framework. The </w:t>
      </w:r>
      <w:r w:rsidRPr="00916B27">
        <w:rPr>
          <w:color w:val="000000" w:themeColor="text1"/>
        </w:rPr>
        <w:lastRenderedPageBreak/>
        <w:t>independent variables including engagement, repetition, multimedia elements, and distraction loaded strongly onto the primary latent dimension, while vocabulary acquisition emerged as a separate dependent construct. The factor loadings exceeded the acceptable threshold, supporting the convergent validity of the measurement scales.</w:t>
      </w:r>
    </w:p>
    <w:p w14:paraId="783D0DB0"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Overall, the EFA results confirm that the observed variables appropriately represent the underlying theoretical constructs and provide empirical support for the proposed research model.</w:t>
      </w:r>
    </w:p>
    <w:p w14:paraId="594310BF" w14:textId="77777777" w:rsidR="00B01DD2" w:rsidRPr="00FC164E" w:rsidRDefault="00B01DD2" w:rsidP="00D5074E">
      <w:pPr>
        <w:pStyle w:val="Heading3"/>
        <w:spacing w:before="0" w:after="120" w:line="480" w:lineRule="auto"/>
        <w:rPr>
          <w:rStyle w:val="Strong"/>
          <w:rFonts w:eastAsiaTheme="majorEastAsia"/>
          <w:b w:val="0"/>
          <w:bCs w:val="0"/>
          <w:i/>
          <w:iCs/>
          <w:color w:val="000000" w:themeColor="text1"/>
          <w:sz w:val="24"/>
          <w:szCs w:val="24"/>
        </w:rPr>
      </w:pPr>
      <w:r w:rsidRPr="00FC164E">
        <w:rPr>
          <w:b/>
          <w:bCs/>
          <w:color w:val="000000" w:themeColor="text1"/>
          <w:sz w:val="24"/>
          <w:szCs w:val="24"/>
        </w:rPr>
        <w:t>Table 3.</w:t>
      </w:r>
      <w:r w:rsidRPr="00FC164E">
        <w:rPr>
          <w:b/>
          <w:bCs/>
          <w:i/>
          <w:iCs/>
          <w:color w:val="000000" w:themeColor="text1"/>
          <w:sz w:val="24"/>
          <w:szCs w:val="24"/>
        </w:rPr>
        <w:t xml:space="preserve"> </w:t>
      </w:r>
      <w:r w:rsidRPr="00FC164E">
        <w:rPr>
          <w:rStyle w:val="Strong"/>
          <w:rFonts w:eastAsiaTheme="majorEastAsia"/>
          <w:b w:val="0"/>
          <w:bCs w:val="0"/>
          <w:i/>
          <w:iCs/>
          <w:color w:val="000000" w:themeColor="text1"/>
          <w:sz w:val="24"/>
          <w:szCs w:val="24"/>
        </w:rPr>
        <w:t>KMO and Bartlett’s Test</w:t>
      </w:r>
    </w:p>
    <w:tbl>
      <w:tblPr>
        <w:tblStyle w:val="TableGrid"/>
        <w:tblW w:w="7020" w:type="dxa"/>
        <w:tblInd w:w="11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150"/>
      </w:tblGrid>
      <w:tr w:rsidR="00B01DD2" w:rsidRPr="00916B27" w14:paraId="65B02CA2" w14:textId="77777777" w:rsidTr="005B1F67">
        <w:tc>
          <w:tcPr>
            <w:tcW w:w="3870" w:type="dxa"/>
            <w:vAlign w:val="center"/>
          </w:tcPr>
          <w:p w14:paraId="7CE65A4E" w14:textId="77777777" w:rsidR="00B01DD2" w:rsidRPr="00916B27" w:rsidRDefault="00B01DD2" w:rsidP="00D5074E">
            <w:pPr>
              <w:spacing w:before="0" w:after="120" w:line="480" w:lineRule="auto"/>
              <w:jc w:val="center"/>
              <w:rPr>
                <w:rFonts w:cs="Times New Roman"/>
                <w:b/>
                <w:bCs/>
                <w:color w:val="000000" w:themeColor="text1"/>
                <w:sz w:val="24"/>
                <w:szCs w:val="24"/>
              </w:rPr>
            </w:pPr>
            <w:r w:rsidRPr="00916B27">
              <w:rPr>
                <w:rFonts w:cs="Times New Roman"/>
                <w:b/>
                <w:bCs/>
                <w:color w:val="000000" w:themeColor="text1"/>
                <w:sz w:val="24"/>
                <w:szCs w:val="24"/>
              </w:rPr>
              <w:t>Measure</w:t>
            </w:r>
          </w:p>
        </w:tc>
        <w:tc>
          <w:tcPr>
            <w:tcW w:w="3150" w:type="dxa"/>
            <w:vAlign w:val="center"/>
          </w:tcPr>
          <w:p w14:paraId="2C236A42"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Value</w:t>
            </w:r>
          </w:p>
        </w:tc>
      </w:tr>
      <w:tr w:rsidR="00B01DD2" w:rsidRPr="00916B27" w14:paraId="1D6C8EC7" w14:textId="77777777" w:rsidTr="005B1F67">
        <w:tc>
          <w:tcPr>
            <w:tcW w:w="3870" w:type="dxa"/>
            <w:vAlign w:val="center"/>
          </w:tcPr>
          <w:p w14:paraId="32AD27B5"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Kaiser–Meyer–Olkin (KMO)</w:t>
            </w:r>
          </w:p>
        </w:tc>
        <w:tc>
          <w:tcPr>
            <w:tcW w:w="3150" w:type="dxa"/>
            <w:vAlign w:val="center"/>
          </w:tcPr>
          <w:p w14:paraId="37D910F6"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.928</w:t>
            </w:r>
          </w:p>
        </w:tc>
      </w:tr>
      <w:tr w:rsidR="00B01DD2" w:rsidRPr="00916B27" w14:paraId="6CB7EC1D" w14:textId="77777777" w:rsidTr="005B1F67">
        <w:tc>
          <w:tcPr>
            <w:tcW w:w="3870" w:type="dxa"/>
            <w:vAlign w:val="center"/>
          </w:tcPr>
          <w:p w14:paraId="68AE20DD"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Bartlett’s Test of Sphericity</w:t>
            </w:r>
          </w:p>
        </w:tc>
        <w:tc>
          <w:tcPr>
            <w:tcW w:w="3150" w:type="dxa"/>
            <w:vAlign w:val="center"/>
          </w:tcPr>
          <w:p w14:paraId="7B2F9D71"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Significant</w:t>
            </w:r>
          </w:p>
        </w:tc>
      </w:tr>
      <w:tr w:rsidR="00B01DD2" w:rsidRPr="00916B27" w14:paraId="314965C9" w14:textId="77777777" w:rsidTr="005B1F67">
        <w:tc>
          <w:tcPr>
            <w:tcW w:w="3870" w:type="dxa"/>
            <w:vAlign w:val="center"/>
          </w:tcPr>
          <w:p w14:paraId="66E9FC4F"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Sig.</w:t>
            </w:r>
          </w:p>
        </w:tc>
        <w:tc>
          <w:tcPr>
            <w:tcW w:w="3150" w:type="dxa"/>
            <w:vAlign w:val="center"/>
          </w:tcPr>
          <w:p w14:paraId="39815291"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&lt; .001</w:t>
            </w:r>
          </w:p>
        </w:tc>
      </w:tr>
    </w:tbl>
    <w:p w14:paraId="67D29314" w14:textId="77777777" w:rsidR="00B01DD2" w:rsidRPr="00916B27" w:rsidRDefault="00B01DD2" w:rsidP="00D5074E">
      <w:pPr>
        <w:pStyle w:val="isselectedend"/>
        <w:spacing w:before="0" w:beforeAutospacing="0" w:after="120" w:afterAutospacing="0" w:line="480" w:lineRule="auto"/>
        <w:ind w:right="480"/>
        <w:jc w:val="right"/>
        <w:rPr>
          <w:color w:val="000000" w:themeColor="text1"/>
        </w:rPr>
      </w:pPr>
      <w:r w:rsidRPr="00916B27">
        <w:rPr>
          <w:rStyle w:val="Emphasis"/>
          <w:rFonts w:eastAsiaTheme="majorEastAsia"/>
          <w:color w:val="000000" w:themeColor="text1"/>
        </w:rPr>
        <w:t>Source: Authors’ calculation based on SPSS output.</w:t>
      </w:r>
    </w:p>
    <w:p w14:paraId="146155E9" w14:textId="77777777" w:rsidR="00B01DD2" w:rsidRPr="00FC164E" w:rsidRDefault="00B01DD2" w:rsidP="00D5074E">
      <w:pPr>
        <w:pStyle w:val="Heading3"/>
        <w:spacing w:before="0" w:after="120" w:line="480" w:lineRule="auto"/>
        <w:rPr>
          <w:rStyle w:val="Strong"/>
          <w:rFonts w:eastAsiaTheme="majorEastAsia"/>
          <w:b w:val="0"/>
          <w:bCs w:val="0"/>
          <w:i/>
          <w:iCs/>
          <w:color w:val="000000" w:themeColor="text1"/>
          <w:sz w:val="24"/>
          <w:szCs w:val="24"/>
        </w:rPr>
      </w:pPr>
      <w:r w:rsidRPr="00FC164E">
        <w:rPr>
          <w:b/>
          <w:bCs/>
          <w:color w:val="000000" w:themeColor="text1"/>
          <w:sz w:val="24"/>
          <w:szCs w:val="24"/>
        </w:rPr>
        <w:t>Table 4.</w:t>
      </w:r>
      <w:r w:rsidRPr="00FC164E">
        <w:rPr>
          <w:b/>
          <w:bCs/>
          <w:i/>
          <w:iCs/>
          <w:color w:val="000000" w:themeColor="text1"/>
          <w:sz w:val="24"/>
          <w:szCs w:val="24"/>
        </w:rPr>
        <w:t xml:space="preserve"> </w:t>
      </w:r>
      <w:r w:rsidRPr="00FC164E">
        <w:rPr>
          <w:rStyle w:val="Strong"/>
          <w:rFonts w:eastAsiaTheme="majorEastAsia"/>
          <w:b w:val="0"/>
          <w:bCs w:val="0"/>
          <w:i/>
          <w:iCs/>
          <w:color w:val="000000" w:themeColor="text1"/>
          <w:sz w:val="24"/>
          <w:szCs w:val="24"/>
        </w:rPr>
        <w:t>Total variance explained</w:t>
      </w:r>
    </w:p>
    <w:tbl>
      <w:tblPr>
        <w:tblStyle w:val="TableGrid"/>
        <w:tblW w:w="7780" w:type="dxa"/>
        <w:tblInd w:w="4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980"/>
        <w:gridCol w:w="1895"/>
        <w:gridCol w:w="2110"/>
      </w:tblGrid>
      <w:tr w:rsidR="00B01DD2" w:rsidRPr="00916B27" w14:paraId="60102FC6" w14:textId="77777777" w:rsidTr="005B1F67">
        <w:tc>
          <w:tcPr>
            <w:tcW w:w="1795" w:type="dxa"/>
            <w:tcBorders>
              <w:top w:val="single" w:sz="4" w:space="0" w:color="auto"/>
              <w:bottom w:val="single" w:sz="4" w:space="0" w:color="auto"/>
            </w:tcBorders>
            <w:vAlign w:val="center"/>
          </w:tcPr>
          <w:p w14:paraId="752997D8" w14:textId="77777777" w:rsidR="00B01DD2" w:rsidRPr="00916B27" w:rsidRDefault="00B01DD2" w:rsidP="00D5074E">
            <w:pPr>
              <w:spacing w:before="0" w:after="120" w:line="480" w:lineRule="auto"/>
              <w:ind w:firstLine="341"/>
              <w:rPr>
                <w:rFonts w:cs="Times New Roman"/>
                <w:b/>
                <w:bCs/>
                <w:color w:val="000000" w:themeColor="text1"/>
                <w:sz w:val="24"/>
                <w:szCs w:val="24"/>
              </w:rPr>
            </w:pPr>
            <w:r w:rsidRPr="00916B27">
              <w:rPr>
                <w:rFonts w:cs="Times New Roman"/>
                <w:b/>
                <w:bCs/>
                <w:color w:val="000000" w:themeColor="text1"/>
                <w:sz w:val="24"/>
                <w:szCs w:val="24"/>
              </w:rPr>
              <w:t>Factor</w:t>
            </w:r>
          </w:p>
        </w:tc>
        <w:tc>
          <w:tcPr>
            <w:tcW w:w="1980" w:type="dxa"/>
            <w:tcBorders>
              <w:top w:val="single" w:sz="4" w:space="0" w:color="auto"/>
              <w:bottom w:val="single" w:sz="4" w:space="0" w:color="auto"/>
            </w:tcBorders>
            <w:vAlign w:val="center"/>
          </w:tcPr>
          <w:p w14:paraId="57B32F41" w14:textId="77777777" w:rsidR="00B01DD2" w:rsidRPr="00916B27" w:rsidRDefault="00B01DD2" w:rsidP="00D5074E">
            <w:pPr>
              <w:spacing w:before="0" w:after="120" w:line="480" w:lineRule="auto"/>
              <w:ind w:firstLine="341"/>
              <w:rPr>
                <w:rFonts w:cs="Times New Roman"/>
                <w:b/>
                <w:bCs/>
                <w:color w:val="000000" w:themeColor="text1"/>
                <w:sz w:val="24"/>
                <w:szCs w:val="24"/>
              </w:rPr>
            </w:pPr>
            <w:r w:rsidRPr="00916B27">
              <w:rPr>
                <w:rFonts w:cs="Times New Roman"/>
                <w:b/>
                <w:bCs/>
                <w:color w:val="000000" w:themeColor="text1"/>
                <w:sz w:val="24"/>
                <w:szCs w:val="24"/>
              </w:rPr>
              <w:t>Eigenvalue</w:t>
            </w:r>
          </w:p>
        </w:tc>
        <w:tc>
          <w:tcPr>
            <w:tcW w:w="1895" w:type="dxa"/>
            <w:tcBorders>
              <w:top w:val="single" w:sz="4" w:space="0" w:color="auto"/>
              <w:bottom w:val="single" w:sz="4" w:space="0" w:color="auto"/>
            </w:tcBorders>
            <w:vAlign w:val="center"/>
          </w:tcPr>
          <w:p w14:paraId="1028BF23" w14:textId="77777777" w:rsidR="00B01DD2" w:rsidRPr="00916B27" w:rsidRDefault="00B01DD2" w:rsidP="00D5074E">
            <w:pPr>
              <w:spacing w:before="0" w:after="120" w:line="480" w:lineRule="auto"/>
              <w:ind w:firstLine="34"/>
              <w:rPr>
                <w:rFonts w:cs="Times New Roman"/>
                <w:b/>
                <w:bCs/>
                <w:color w:val="000000" w:themeColor="text1"/>
                <w:sz w:val="24"/>
                <w:szCs w:val="24"/>
              </w:rPr>
            </w:pPr>
            <w:r w:rsidRPr="00916B27">
              <w:rPr>
                <w:rFonts w:cs="Times New Roman"/>
                <w:b/>
                <w:bCs/>
                <w:color w:val="000000" w:themeColor="text1"/>
                <w:sz w:val="24"/>
                <w:szCs w:val="24"/>
              </w:rPr>
              <w:t xml:space="preserve">% </w:t>
            </w:r>
            <w:proofErr w:type="gramStart"/>
            <w:r w:rsidRPr="00916B27">
              <w:rPr>
                <w:rFonts w:cs="Times New Roman"/>
                <w:b/>
                <w:bCs/>
                <w:color w:val="000000" w:themeColor="text1"/>
                <w:sz w:val="24"/>
                <w:szCs w:val="24"/>
              </w:rPr>
              <w:t>of</w:t>
            </w:r>
            <w:proofErr w:type="gramEnd"/>
            <w:r w:rsidRPr="00916B27">
              <w:rPr>
                <w:rFonts w:cs="Times New Roman"/>
                <w:b/>
                <w:bCs/>
                <w:color w:val="000000" w:themeColor="text1"/>
                <w:sz w:val="24"/>
                <w:szCs w:val="24"/>
              </w:rPr>
              <w:t xml:space="preserve"> Variance</w:t>
            </w:r>
          </w:p>
        </w:tc>
        <w:tc>
          <w:tcPr>
            <w:tcW w:w="2110" w:type="dxa"/>
            <w:tcBorders>
              <w:top w:val="single" w:sz="4" w:space="0" w:color="auto"/>
              <w:bottom w:val="single" w:sz="4" w:space="0" w:color="auto"/>
            </w:tcBorders>
            <w:vAlign w:val="center"/>
          </w:tcPr>
          <w:p w14:paraId="0639521F" w14:textId="77777777" w:rsidR="00B01DD2" w:rsidRPr="00916B27" w:rsidRDefault="00B01DD2" w:rsidP="00D5074E">
            <w:pPr>
              <w:spacing w:before="0" w:after="120" w:line="480" w:lineRule="auto"/>
              <w:ind w:firstLine="14"/>
              <w:rPr>
                <w:rFonts w:cs="Times New Roman"/>
                <w:b/>
                <w:bCs/>
                <w:color w:val="000000" w:themeColor="text1"/>
                <w:sz w:val="24"/>
                <w:szCs w:val="24"/>
              </w:rPr>
            </w:pPr>
            <w:r w:rsidRPr="00916B27">
              <w:rPr>
                <w:rFonts w:cs="Times New Roman"/>
                <w:b/>
                <w:bCs/>
                <w:color w:val="000000" w:themeColor="text1"/>
                <w:sz w:val="24"/>
                <w:szCs w:val="24"/>
              </w:rPr>
              <w:t>Cumulative %</w:t>
            </w:r>
          </w:p>
        </w:tc>
      </w:tr>
      <w:tr w:rsidR="00B01DD2" w:rsidRPr="00916B27" w14:paraId="74C663B2" w14:textId="77777777" w:rsidTr="005B1F67">
        <w:tc>
          <w:tcPr>
            <w:tcW w:w="1795" w:type="dxa"/>
            <w:tcBorders>
              <w:top w:val="single" w:sz="4" w:space="0" w:color="auto"/>
            </w:tcBorders>
            <w:vAlign w:val="center"/>
          </w:tcPr>
          <w:p w14:paraId="6805A7D4" w14:textId="77777777" w:rsidR="00B01DD2" w:rsidRPr="00916B27" w:rsidRDefault="00B01DD2" w:rsidP="00D5074E">
            <w:pPr>
              <w:spacing w:before="0" w:after="120" w:line="480" w:lineRule="auto"/>
              <w:ind w:firstLine="341"/>
              <w:rPr>
                <w:rFonts w:cs="Times New Roman"/>
                <w:color w:val="000000" w:themeColor="text1"/>
                <w:sz w:val="24"/>
                <w:szCs w:val="24"/>
              </w:rPr>
            </w:pPr>
            <w:r w:rsidRPr="00916B27">
              <w:rPr>
                <w:rFonts w:cs="Times New Roman"/>
                <w:color w:val="000000" w:themeColor="text1"/>
                <w:sz w:val="24"/>
                <w:szCs w:val="24"/>
              </w:rPr>
              <w:t>Factor 1</w:t>
            </w:r>
          </w:p>
        </w:tc>
        <w:tc>
          <w:tcPr>
            <w:tcW w:w="1980" w:type="dxa"/>
            <w:tcBorders>
              <w:top w:val="single" w:sz="4" w:space="0" w:color="auto"/>
            </w:tcBorders>
            <w:vAlign w:val="center"/>
          </w:tcPr>
          <w:p w14:paraId="3C04553F" w14:textId="77777777" w:rsidR="00B01DD2" w:rsidRPr="00916B27" w:rsidRDefault="00B01DD2" w:rsidP="00D5074E">
            <w:pPr>
              <w:spacing w:before="0" w:after="120" w:line="480" w:lineRule="auto"/>
              <w:ind w:firstLine="341"/>
              <w:rPr>
                <w:rFonts w:cs="Times New Roman"/>
                <w:color w:val="000000" w:themeColor="text1"/>
                <w:sz w:val="24"/>
                <w:szCs w:val="24"/>
              </w:rPr>
            </w:pPr>
            <w:r w:rsidRPr="00916B27">
              <w:rPr>
                <w:rFonts w:cs="Times New Roman"/>
                <w:color w:val="000000" w:themeColor="text1"/>
                <w:sz w:val="24"/>
                <w:szCs w:val="24"/>
              </w:rPr>
              <w:t>7.214</w:t>
            </w:r>
          </w:p>
        </w:tc>
        <w:tc>
          <w:tcPr>
            <w:tcW w:w="1895" w:type="dxa"/>
            <w:tcBorders>
              <w:top w:val="single" w:sz="4" w:space="0" w:color="auto"/>
            </w:tcBorders>
            <w:vAlign w:val="center"/>
          </w:tcPr>
          <w:p w14:paraId="0D471494"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48.093</w:t>
            </w:r>
          </w:p>
        </w:tc>
        <w:tc>
          <w:tcPr>
            <w:tcW w:w="2110" w:type="dxa"/>
            <w:tcBorders>
              <w:top w:val="single" w:sz="4" w:space="0" w:color="auto"/>
            </w:tcBorders>
            <w:vAlign w:val="center"/>
          </w:tcPr>
          <w:p w14:paraId="7AED1833"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48.093</w:t>
            </w:r>
          </w:p>
        </w:tc>
      </w:tr>
      <w:tr w:rsidR="00B01DD2" w:rsidRPr="00916B27" w14:paraId="65EC2AAA" w14:textId="77777777" w:rsidTr="005B1F67">
        <w:tc>
          <w:tcPr>
            <w:tcW w:w="1795" w:type="dxa"/>
            <w:vAlign w:val="center"/>
          </w:tcPr>
          <w:p w14:paraId="79EB9793" w14:textId="77777777" w:rsidR="00B01DD2" w:rsidRPr="00916B27" w:rsidRDefault="00B01DD2" w:rsidP="00D5074E">
            <w:pPr>
              <w:spacing w:before="0" w:after="120" w:line="480" w:lineRule="auto"/>
              <w:ind w:firstLine="341"/>
              <w:rPr>
                <w:rFonts w:cs="Times New Roman"/>
                <w:color w:val="000000" w:themeColor="text1"/>
                <w:sz w:val="24"/>
                <w:szCs w:val="24"/>
              </w:rPr>
            </w:pPr>
            <w:r w:rsidRPr="00916B27">
              <w:rPr>
                <w:rFonts w:cs="Times New Roman"/>
                <w:color w:val="000000" w:themeColor="text1"/>
                <w:sz w:val="24"/>
                <w:szCs w:val="24"/>
              </w:rPr>
              <w:t>Factor 2</w:t>
            </w:r>
          </w:p>
        </w:tc>
        <w:tc>
          <w:tcPr>
            <w:tcW w:w="1980" w:type="dxa"/>
            <w:vAlign w:val="center"/>
          </w:tcPr>
          <w:p w14:paraId="5E22E29A" w14:textId="77777777" w:rsidR="00B01DD2" w:rsidRPr="00916B27" w:rsidRDefault="00B01DD2" w:rsidP="00D5074E">
            <w:pPr>
              <w:spacing w:before="0" w:after="120" w:line="480" w:lineRule="auto"/>
              <w:ind w:firstLine="341"/>
              <w:rPr>
                <w:rFonts w:cs="Times New Roman"/>
                <w:color w:val="000000" w:themeColor="text1"/>
                <w:sz w:val="24"/>
                <w:szCs w:val="24"/>
              </w:rPr>
            </w:pPr>
            <w:r w:rsidRPr="00916B27">
              <w:rPr>
                <w:rFonts w:cs="Times New Roman"/>
                <w:color w:val="000000" w:themeColor="text1"/>
                <w:sz w:val="24"/>
                <w:szCs w:val="24"/>
              </w:rPr>
              <w:t>2.754</w:t>
            </w:r>
          </w:p>
        </w:tc>
        <w:tc>
          <w:tcPr>
            <w:tcW w:w="1895" w:type="dxa"/>
            <w:vAlign w:val="center"/>
          </w:tcPr>
          <w:p w14:paraId="7B5C260D"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18.358</w:t>
            </w:r>
          </w:p>
        </w:tc>
        <w:tc>
          <w:tcPr>
            <w:tcW w:w="2110" w:type="dxa"/>
            <w:vAlign w:val="center"/>
          </w:tcPr>
          <w:p w14:paraId="192CC772"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color w:val="000000" w:themeColor="text1"/>
                <w:sz w:val="24"/>
                <w:szCs w:val="24"/>
              </w:rPr>
              <w:t>66.451</w:t>
            </w:r>
          </w:p>
        </w:tc>
      </w:tr>
    </w:tbl>
    <w:p w14:paraId="302DBC30" w14:textId="77777777" w:rsidR="00B01DD2" w:rsidRPr="00916B27" w:rsidRDefault="00B01DD2" w:rsidP="00D5074E">
      <w:pPr>
        <w:pStyle w:val="isselectedend"/>
        <w:spacing w:before="0" w:beforeAutospacing="0" w:after="120" w:afterAutospacing="0" w:line="480" w:lineRule="auto"/>
        <w:ind w:right="480"/>
        <w:jc w:val="right"/>
        <w:rPr>
          <w:color w:val="000000" w:themeColor="text1"/>
        </w:rPr>
      </w:pPr>
      <w:r w:rsidRPr="00916B27">
        <w:rPr>
          <w:rStyle w:val="Emphasis"/>
          <w:rFonts w:eastAsiaTheme="majorEastAsia"/>
          <w:color w:val="000000" w:themeColor="text1"/>
        </w:rPr>
        <w:t>Source: Authors’ calculation based on SPSS output.</w:t>
      </w:r>
    </w:p>
    <w:p w14:paraId="65993DA6" w14:textId="6A92334A" w:rsidR="00B01DD2" w:rsidRPr="00FC164E" w:rsidRDefault="00FC164E" w:rsidP="00D5074E">
      <w:pPr>
        <w:pStyle w:val="isselectedend"/>
        <w:spacing w:before="0" w:beforeAutospacing="0" w:after="120" w:afterAutospacing="0" w:line="480" w:lineRule="auto"/>
        <w:jc w:val="both"/>
        <w:rPr>
          <w:b/>
          <w:bCs/>
          <w:i/>
          <w:iCs/>
          <w:color w:val="000000" w:themeColor="text1"/>
        </w:rPr>
      </w:pPr>
      <w:r w:rsidRPr="00FC164E">
        <w:rPr>
          <w:b/>
          <w:bCs/>
          <w:i/>
          <w:iCs/>
          <w:color w:val="000000" w:themeColor="text1"/>
        </w:rPr>
        <w:t>4</w:t>
      </w:r>
      <w:r w:rsidR="00B01DD2" w:rsidRPr="00FC164E">
        <w:rPr>
          <w:b/>
          <w:bCs/>
          <w:i/>
          <w:iCs/>
          <w:color w:val="000000" w:themeColor="text1"/>
        </w:rPr>
        <w:t xml:space="preserve">.4. Confirmatory factor analysis </w:t>
      </w:r>
    </w:p>
    <w:p w14:paraId="42DEFCB2" w14:textId="2D6F7D67" w:rsidR="00B01DD2" w:rsidRPr="00916B27" w:rsidRDefault="00FC164E" w:rsidP="00D5074E">
      <w:pPr>
        <w:pStyle w:val="Heading4"/>
        <w:spacing w:before="0" w:after="120" w:line="480" w:lineRule="auto"/>
        <w:jc w:val="both"/>
        <w:rPr>
          <w:color w:val="000000" w:themeColor="text1"/>
        </w:rPr>
      </w:pPr>
      <w:r>
        <w:rPr>
          <w:color w:val="000000" w:themeColor="text1"/>
        </w:rPr>
        <w:t>4</w:t>
      </w:r>
      <w:r w:rsidR="00B01DD2" w:rsidRPr="00916B27">
        <w:rPr>
          <w:color w:val="000000" w:themeColor="text1"/>
        </w:rPr>
        <w:t>.4.1. Objective</w:t>
      </w:r>
    </w:p>
    <w:p w14:paraId="7F910802"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 xml:space="preserve">Confirmatory factor analysis (CFA) was conducted to validate the measurement model, examine the goodness-of-fit between the proposed model and the empirical data, and assess </w:t>
      </w:r>
      <w:r w:rsidRPr="00916B27">
        <w:rPr>
          <w:color w:val="000000" w:themeColor="text1"/>
        </w:rPr>
        <w:lastRenderedPageBreak/>
        <w:t xml:space="preserve">the convergent and discriminant validity of the constructs. Following the reliability analysis and Exploratory Factor Analysis (EFA), the CFA included five latent constructs: </w:t>
      </w:r>
      <w:r w:rsidRPr="00FC164E">
        <w:rPr>
          <w:rStyle w:val="Strong"/>
          <w:b w:val="0"/>
          <w:bCs w:val="0"/>
          <w:color w:val="000000" w:themeColor="text1"/>
        </w:rPr>
        <w:t>Engagement (ENG)</w:t>
      </w:r>
      <w:r w:rsidRPr="00FC164E">
        <w:rPr>
          <w:color w:val="000000" w:themeColor="text1"/>
        </w:rPr>
        <w:t>,</w:t>
      </w:r>
      <w:r w:rsidRPr="00916B27">
        <w:rPr>
          <w:color w:val="000000" w:themeColor="text1"/>
        </w:rPr>
        <w:t xml:space="preserve"> Repetition (REP), Multimedia Elements (MUL), Distraction (DIS), and Vocabulary Acquisition (VOC), represented by 15 observed variables.</w:t>
      </w:r>
    </w:p>
    <w:p w14:paraId="79ED42A3" w14:textId="7E24651F" w:rsidR="00B01DD2" w:rsidRDefault="00FC164E" w:rsidP="00D5074E">
      <w:pPr>
        <w:pStyle w:val="Heading4"/>
        <w:spacing w:before="0" w:after="120" w:line="480" w:lineRule="auto"/>
        <w:jc w:val="both"/>
        <w:rPr>
          <w:color w:val="000000" w:themeColor="text1"/>
        </w:rPr>
      </w:pPr>
      <w:r>
        <w:rPr>
          <w:color w:val="000000" w:themeColor="text1"/>
        </w:rPr>
        <w:t>4</w:t>
      </w:r>
      <w:r w:rsidR="00B01DD2" w:rsidRPr="00916B27">
        <w:rPr>
          <w:color w:val="000000" w:themeColor="text1"/>
        </w:rPr>
        <w:t>.4.2. Measurement model</w:t>
      </w:r>
    </w:p>
    <w:p w14:paraId="1E22689E" w14:textId="77777777" w:rsidR="00B01DD2" w:rsidRPr="00FC164E" w:rsidRDefault="00B01DD2" w:rsidP="00D5074E">
      <w:pPr>
        <w:pStyle w:val="NormalWeb"/>
        <w:spacing w:before="0" w:beforeAutospacing="0" w:after="120" w:afterAutospacing="0" w:line="480" w:lineRule="auto"/>
        <w:jc w:val="both"/>
        <w:rPr>
          <w:i/>
          <w:iCs/>
          <w:color w:val="000000" w:themeColor="text1"/>
        </w:rPr>
      </w:pPr>
      <w:r w:rsidRPr="00FC164E">
        <w:rPr>
          <w:i/>
          <w:iCs/>
          <w:noProof/>
          <w:color w:val="000000" w:themeColor="text1"/>
        </w:rPr>
        <w:drawing>
          <wp:anchor distT="0" distB="0" distL="114300" distR="114300" simplePos="0" relativeHeight="251659264" behindDoc="1" locked="0" layoutInCell="1" allowOverlap="1" wp14:anchorId="0018B017" wp14:editId="4E281382">
            <wp:simplePos x="0" y="0"/>
            <wp:positionH relativeFrom="column">
              <wp:posOffset>486410</wp:posOffset>
            </wp:positionH>
            <wp:positionV relativeFrom="paragraph">
              <wp:posOffset>22225</wp:posOffset>
            </wp:positionV>
            <wp:extent cx="4842510" cy="2934970"/>
            <wp:effectExtent l="0" t="0" r="0" b="0"/>
            <wp:wrapTight wrapText="bothSides">
              <wp:wrapPolygon edited="0">
                <wp:start x="0" y="0"/>
                <wp:lineTo x="0" y="21450"/>
                <wp:lineTo x="21498" y="21450"/>
                <wp:lineTo x="21498" y="0"/>
                <wp:lineTo x="0" y="0"/>
              </wp:wrapPolygon>
            </wp:wrapTight>
            <wp:docPr id="1876812725" name="image11.png"/>
            <wp:cNvGraphicFramePr/>
            <a:graphic xmlns:a="http://schemas.openxmlformats.org/drawingml/2006/main">
              <a:graphicData uri="http://schemas.openxmlformats.org/drawingml/2006/picture">
                <pic:pic xmlns:pic="http://schemas.openxmlformats.org/drawingml/2006/picture">
                  <pic:nvPicPr>
                    <pic:cNvPr id="1876812725" name="image11.png"/>
                    <pic:cNvPicPr preferRelativeResize="0"/>
                  </pic:nvPicPr>
                  <pic:blipFill>
                    <a:blip r:embed="rId11">
                      <a:extLst>
                        <a:ext uri="{28A0092B-C50C-407E-A947-70E740481C1C}">
                          <a14:useLocalDpi xmlns:a14="http://schemas.microsoft.com/office/drawing/2010/main" val="0"/>
                        </a:ext>
                      </a:extLst>
                    </a:blip>
                    <a:srcRect l="10460" t="17247" r="8625" b="17477"/>
                    <a:stretch>
                      <a:fillRect/>
                    </a:stretch>
                  </pic:blipFill>
                  <pic:spPr>
                    <a:xfrm>
                      <a:off x="0" y="0"/>
                      <a:ext cx="4842510" cy="2934970"/>
                    </a:xfrm>
                    <a:prstGeom prst="rect">
                      <a:avLst/>
                    </a:prstGeom>
                  </pic:spPr>
                </pic:pic>
              </a:graphicData>
            </a:graphic>
            <wp14:sizeRelH relativeFrom="page">
              <wp14:pctWidth>0</wp14:pctWidth>
            </wp14:sizeRelH>
            <wp14:sizeRelV relativeFrom="page">
              <wp14:pctHeight>0</wp14:pctHeight>
            </wp14:sizeRelV>
          </wp:anchor>
        </w:drawing>
      </w:r>
    </w:p>
    <w:p w14:paraId="2914438D" w14:textId="77777777" w:rsidR="00B01DD2" w:rsidRPr="00916B27" w:rsidRDefault="00B01DD2" w:rsidP="00D5074E">
      <w:pPr>
        <w:pStyle w:val="NormalWeb"/>
        <w:spacing w:before="0" w:beforeAutospacing="0" w:after="120" w:afterAutospacing="0" w:line="480" w:lineRule="auto"/>
        <w:rPr>
          <w:b/>
          <w:bCs/>
          <w:i/>
          <w:iCs/>
          <w:color w:val="000000" w:themeColor="text1"/>
        </w:rPr>
      </w:pPr>
      <w:r w:rsidRPr="00FC164E">
        <w:rPr>
          <w:rStyle w:val="Strong"/>
          <w:rFonts w:eastAsiaTheme="majorEastAsia"/>
          <w:color w:val="000000" w:themeColor="text1"/>
        </w:rPr>
        <w:t>Figure 2</w:t>
      </w:r>
      <w:r w:rsidRPr="00FC164E">
        <w:rPr>
          <w:rStyle w:val="Strong"/>
          <w:rFonts w:eastAsiaTheme="majorEastAsia"/>
          <w:b w:val="0"/>
          <w:bCs w:val="0"/>
          <w:i/>
          <w:iCs/>
          <w:color w:val="000000" w:themeColor="text1"/>
        </w:rPr>
        <w:t>. Confirmatory factor analysis (CFA) measurement model</w:t>
      </w:r>
    </w:p>
    <w:p w14:paraId="2DA2B2FD" w14:textId="77777777" w:rsidR="00853B47" w:rsidRPr="00853B47" w:rsidRDefault="00853B47" w:rsidP="00853B47">
      <w:pPr>
        <w:spacing w:before="100" w:beforeAutospacing="1" w:after="100" w:afterAutospacing="1" w:line="480" w:lineRule="auto"/>
        <w:rPr>
          <w:color w:val="FF0000"/>
          <w:sz w:val="24"/>
          <w:szCs w:val="24"/>
        </w:rPr>
      </w:pPr>
      <w:r w:rsidRPr="00853B47">
        <w:rPr>
          <w:color w:val="FF0000"/>
          <w:sz w:val="24"/>
          <w:szCs w:val="24"/>
        </w:rPr>
        <w:t>The measurement model demonstrated acceptable fit indices (χ²/</w:t>
      </w:r>
      <w:proofErr w:type="spellStart"/>
      <w:r w:rsidRPr="00853B47">
        <w:rPr>
          <w:color w:val="FF0000"/>
          <w:sz w:val="24"/>
          <w:szCs w:val="24"/>
        </w:rPr>
        <w:t>df</w:t>
      </w:r>
      <w:proofErr w:type="spellEnd"/>
      <w:r w:rsidRPr="00853B47">
        <w:rPr>
          <w:color w:val="FF0000"/>
          <w:sz w:val="24"/>
          <w:szCs w:val="24"/>
        </w:rPr>
        <w:t xml:space="preserve"> = 2.11, CFI = .931, TLI = .918, RMSEA = .061), indicating a satisfactory fit between the proposed model and the observed data (Hair et al., 2010). The CFA results showed that all standardized factor loadings were statistically significant (p &lt; .001) and exceeded the recommended threshold of 0.50, ranging from 0.718 to 0.884 (Hair et al., 2010). These findings indicate that all observed variables adequately represented their corresponding latent constructs and provide evidence of satisfactory convergent validity. Furthermore, the reliability analysis reported in the previous section showed that all constructs achieved Cronbach's Alpha values above the recommended threshold of .70, indicating acceptable internal consistency (Nunnally &amp; Bernstein, 1994). </w:t>
      </w:r>
      <w:r w:rsidRPr="00853B47">
        <w:rPr>
          <w:color w:val="FF0000"/>
          <w:sz w:val="24"/>
          <w:szCs w:val="24"/>
        </w:rPr>
        <w:lastRenderedPageBreak/>
        <w:t>Taken together, the CFA results, reliability analysis, and acceptable model fit indices support the adequacy of the proposed measurement model for subsequent structural analysis.</w:t>
      </w:r>
    </w:p>
    <w:p w14:paraId="19D1175A" w14:textId="4145CBA8" w:rsidR="00853B47" w:rsidRPr="00853B47" w:rsidRDefault="00853B47" w:rsidP="00F820E1">
      <w:pPr>
        <w:spacing w:before="0" w:after="0" w:line="480" w:lineRule="auto"/>
        <w:rPr>
          <w:rFonts w:cs="Times New Roman"/>
          <w:color w:val="FF0000"/>
          <w:sz w:val="24"/>
          <w:szCs w:val="24"/>
          <w:lang w:eastAsia="zh-CN"/>
        </w:rPr>
      </w:pPr>
      <w:r w:rsidRPr="00853B47">
        <w:rPr>
          <w:rFonts w:cs="Times New Roman"/>
          <w:color w:val="FF0000"/>
          <w:sz w:val="24"/>
          <w:szCs w:val="24"/>
          <w:lang w:eastAsia="zh-CN"/>
        </w:rPr>
        <w:t>The mean values of the observed variables ranged from 3.436 to 3.986, reflecting a moderately high level of agreement among respondents. The Multimedia Elements (MUL) construct obtained the highest mean scores, suggesting that learners highly appreciated the role of multimedia features in supporting vocabulary learning. By contrast, the Distraction (DIS) construct recorded comparatively lower mean scores, indicating that distraction was generally perceived at a moderate level.</w:t>
      </w:r>
    </w:p>
    <w:p w14:paraId="31E145D3" w14:textId="53CA74FD" w:rsidR="00B01DD2" w:rsidRPr="00FC164E" w:rsidRDefault="00FC164E" w:rsidP="00F820E1">
      <w:pPr>
        <w:pStyle w:val="Heading3"/>
        <w:spacing w:before="0" w:after="0" w:line="480" w:lineRule="auto"/>
        <w:jc w:val="both"/>
        <w:rPr>
          <w:b/>
          <w:bCs/>
          <w:i/>
          <w:iCs/>
          <w:color w:val="000000" w:themeColor="text1"/>
          <w:sz w:val="24"/>
          <w:szCs w:val="24"/>
        </w:rPr>
      </w:pPr>
      <w:r w:rsidRPr="00FC164E">
        <w:rPr>
          <w:b/>
          <w:bCs/>
          <w:i/>
          <w:iCs/>
          <w:color w:val="000000" w:themeColor="text1"/>
          <w:sz w:val="24"/>
          <w:szCs w:val="24"/>
        </w:rPr>
        <w:t>4</w:t>
      </w:r>
      <w:r w:rsidR="00B01DD2" w:rsidRPr="00FC164E">
        <w:rPr>
          <w:b/>
          <w:bCs/>
          <w:i/>
          <w:iCs/>
          <w:color w:val="000000" w:themeColor="text1"/>
          <w:sz w:val="24"/>
          <w:szCs w:val="24"/>
        </w:rPr>
        <w:t>.5. Structural equation modeling (SEM) results</w:t>
      </w:r>
    </w:p>
    <w:p w14:paraId="2A409029" w14:textId="77777777" w:rsidR="00B01DD2" w:rsidRPr="00916B27" w:rsidRDefault="00B01DD2" w:rsidP="00D5074E">
      <w:pPr>
        <w:pStyle w:val="Heading4"/>
        <w:spacing w:before="0" w:after="120" w:line="480" w:lineRule="auto"/>
        <w:jc w:val="both"/>
        <w:rPr>
          <w:color w:val="000000" w:themeColor="text1"/>
        </w:rPr>
      </w:pPr>
    </w:p>
    <w:p w14:paraId="09E74CF0" w14:textId="77777777" w:rsidR="00B01DD2" w:rsidRPr="00916B27" w:rsidRDefault="00B01DD2" w:rsidP="00D5074E">
      <w:pPr>
        <w:spacing w:before="0" w:after="120" w:line="480" w:lineRule="auto"/>
        <w:rPr>
          <w:rFonts w:cs="Times New Roman"/>
          <w:color w:val="000000" w:themeColor="text1"/>
          <w:sz w:val="24"/>
          <w:szCs w:val="24"/>
        </w:rPr>
      </w:pPr>
      <w:r w:rsidRPr="00916B27">
        <w:rPr>
          <w:rFonts w:cs="Times New Roman"/>
          <w:noProof/>
          <w:color w:val="000000" w:themeColor="text1"/>
          <w:sz w:val="24"/>
          <w:szCs w:val="24"/>
        </w:rPr>
        <w:drawing>
          <wp:inline distT="0" distB="0" distL="0" distR="0" wp14:anchorId="7281420F" wp14:editId="63D02D23">
            <wp:extent cx="5161280" cy="2328110"/>
            <wp:effectExtent l="0" t="0" r="1270" b="0"/>
            <wp:docPr id="1876812727" name="image9.png"/>
            <wp:cNvGraphicFramePr/>
            <a:graphic xmlns:a="http://schemas.openxmlformats.org/drawingml/2006/main">
              <a:graphicData uri="http://schemas.openxmlformats.org/drawingml/2006/picture">
                <pic:pic xmlns:pic="http://schemas.openxmlformats.org/drawingml/2006/picture">
                  <pic:nvPicPr>
                    <pic:cNvPr id="1876812727" name="image9.png"/>
                    <pic:cNvPicPr preferRelativeResize="0"/>
                  </pic:nvPicPr>
                  <pic:blipFill>
                    <a:blip r:embed="rId12"/>
                    <a:srcRect l="6405" t="34964" r="8527" b="35250"/>
                    <a:stretch>
                      <a:fillRect/>
                    </a:stretch>
                  </pic:blipFill>
                  <pic:spPr>
                    <a:xfrm>
                      <a:off x="0" y="0"/>
                      <a:ext cx="5169758" cy="2331934"/>
                    </a:xfrm>
                    <a:prstGeom prst="rect">
                      <a:avLst/>
                    </a:prstGeom>
                  </pic:spPr>
                </pic:pic>
              </a:graphicData>
            </a:graphic>
          </wp:inline>
        </w:drawing>
      </w:r>
    </w:p>
    <w:p w14:paraId="097F5714" w14:textId="77777777" w:rsidR="00B01DD2" w:rsidRPr="00FC164E" w:rsidRDefault="00B01DD2" w:rsidP="00D5074E">
      <w:pPr>
        <w:pStyle w:val="NormalWeb"/>
        <w:spacing w:before="0" w:beforeAutospacing="0" w:after="120" w:afterAutospacing="0" w:line="480" w:lineRule="auto"/>
        <w:rPr>
          <w:rStyle w:val="Strong"/>
          <w:rFonts w:eastAsiaTheme="majorEastAsia"/>
          <w:b w:val="0"/>
          <w:bCs w:val="0"/>
          <w:i/>
          <w:iCs/>
          <w:color w:val="000000" w:themeColor="text1"/>
        </w:rPr>
      </w:pPr>
      <w:r w:rsidRPr="00FC164E">
        <w:rPr>
          <w:rStyle w:val="Strong"/>
          <w:rFonts w:eastAsiaTheme="majorEastAsia"/>
          <w:color w:val="000000" w:themeColor="text1"/>
        </w:rPr>
        <w:t>Figure 3</w:t>
      </w:r>
      <w:r w:rsidRPr="00916B27">
        <w:rPr>
          <w:rStyle w:val="Strong"/>
          <w:rFonts w:eastAsiaTheme="majorEastAsia"/>
          <w:i/>
          <w:iCs/>
          <w:color w:val="000000" w:themeColor="text1"/>
        </w:rPr>
        <w:t xml:space="preserve">. </w:t>
      </w:r>
      <w:r w:rsidRPr="00FC164E">
        <w:rPr>
          <w:rStyle w:val="Strong"/>
          <w:rFonts w:eastAsiaTheme="majorEastAsia"/>
          <w:b w:val="0"/>
          <w:bCs w:val="0"/>
          <w:i/>
          <w:iCs/>
          <w:color w:val="000000" w:themeColor="text1"/>
        </w:rPr>
        <w:t>Structural equation model with standardized estimates</w:t>
      </w:r>
    </w:p>
    <w:p w14:paraId="753C3D1B"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 xml:space="preserve">The Structural Equation Modeling (SEM) analysis was conducted to examine the effects of Engagement (ENG), Repetition (REP), Multimedia Elements (MUL), and Distraction (DIS) on Vocabulary Acquisition (VOC). The results indicate that engagement (ENG) did not significantly affect vocabulary acquisition (β = .118, p = .231). This finding suggests that learners’ interaction and engagement with short-form video content alone may not necessarily lead to improved vocabulary acquisition. In contrast, repetition (REP) </w:t>
      </w:r>
      <w:r w:rsidRPr="00916B27">
        <w:rPr>
          <w:color w:val="000000" w:themeColor="text1"/>
        </w:rPr>
        <w:lastRenderedPageBreak/>
        <w:t>demonstrated a positive and statistically significant effect on vocabulary acquisition (β = .549, p = .012). This result highlights the critical role of repeated lexical exposure in reinforcing vocabulary retention and enhancing learning effectiveness. Similarly, multimedia elements (MUL) did not significantly influence vocabulary acquisition (β = .093, p = .187). Although multimedia features may increase learner attention and engagement, they may not independently produce substantial vocabulary gains without repeated exposure and meaningful processing. Finally, distraction (DIS) did not demonstrate a statistically significant effect on vocabulary acquisition (β = –.074, p = .294). This finding may indicate that learners are capable of adapting to high-stimulation digital environments and selectively focusing on relevant linguistic information during learning activities.</w:t>
      </w:r>
    </w:p>
    <w:p w14:paraId="23012068"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Overall, among the four proposed predictors, repetition emerged as the only statistically significant factor influencing vocabulary acquisition in short-form video learning environments.</w:t>
      </w:r>
    </w:p>
    <w:p w14:paraId="7D450953" w14:textId="55D76362" w:rsidR="00B01DD2" w:rsidRPr="00FC164E" w:rsidRDefault="00FC164E" w:rsidP="00D5074E">
      <w:pPr>
        <w:pStyle w:val="Heading2"/>
        <w:spacing w:before="0" w:after="120" w:line="480" w:lineRule="auto"/>
        <w:jc w:val="both"/>
        <w:rPr>
          <w:i/>
          <w:iCs/>
          <w:color w:val="000000" w:themeColor="text1"/>
          <w:sz w:val="24"/>
          <w:szCs w:val="24"/>
        </w:rPr>
      </w:pPr>
      <w:r w:rsidRPr="00FC164E">
        <w:rPr>
          <w:i/>
          <w:iCs/>
          <w:color w:val="000000" w:themeColor="text1"/>
          <w:sz w:val="24"/>
          <w:szCs w:val="24"/>
        </w:rPr>
        <w:t>4</w:t>
      </w:r>
      <w:r w:rsidR="00B01DD2" w:rsidRPr="00FC164E">
        <w:rPr>
          <w:i/>
          <w:iCs/>
          <w:color w:val="000000" w:themeColor="text1"/>
          <w:sz w:val="24"/>
          <w:szCs w:val="24"/>
        </w:rPr>
        <w:t>.6. Regression and structural equation modeling (SEM) results</w:t>
      </w:r>
    </w:p>
    <w:p w14:paraId="095B16D5" w14:textId="77777777" w:rsidR="00817EE3" w:rsidRPr="00817EE3" w:rsidRDefault="00817EE3" w:rsidP="00817EE3">
      <w:pPr>
        <w:spacing w:before="0" w:after="0" w:line="480" w:lineRule="auto"/>
        <w:rPr>
          <w:rFonts w:cs="Times New Roman"/>
          <w:color w:val="FF0000"/>
          <w:sz w:val="24"/>
          <w:szCs w:val="24"/>
          <w:lang w:eastAsia="zh-CN"/>
        </w:rPr>
      </w:pPr>
      <w:r w:rsidRPr="00817EE3">
        <w:rPr>
          <w:rFonts w:cs="Times New Roman"/>
          <w:color w:val="FF0000"/>
          <w:sz w:val="24"/>
          <w:szCs w:val="24"/>
          <w:lang w:eastAsia="zh-CN"/>
        </w:rPr>
        <w:t>To examine the relationships between repetition, multimedia elements, engagement, distraction, and learners' perceived vocabulary acquisition, multiple regression analysis was initially conducted, followed by Structural Equation Modeling (SEM) to validate the findings while accounting for measurement error and simultaneously evaluating both the measurement and structural models. The regression results indicated that the proposed model demonstrated good explanatory power, accounting for 64.9% of the variance in learners' perceived vocabulary acquisition (Adjusted R² = .649). This finding suggests that the four predictor variables collectively provide a substantial explanation of vocabulary learning within short-form video environments.</w:t>
      </w:r>
    </w:p>
    <w:p w14:paraId="19FB61DB" w14:textId="19CD31F7" w:rsidR="00817EE3" w:rsidRPr="00817EE3" w:rsidRDefault="00817EE3" w:rsidP="00817EE3">
      <w:pPr>
        <w:spacing w:before="0" w:after="0" w:line="480" w:lineRule="auto"/>
        <w:rPr>
          <w:rFonts w:cs="Times New Roman"/>
          <w:color w:val="FF0000"/>
          <w:sz w:val="24"/>
          <w:szCs w:val="24"/>
          <w:lang w:eastAsia="zh-CN"/>
        </w:rPr>
      </w:pPr>
      <w:r w:rsidRPr="00817EE3">
        <w:rPr>
          <w:rFonts w:cs="Times New Roman"/>
          <w:color w:val="FF0000"/>
          <w:sz w:val="24"/>
          <w:szCs w:val="24"/>
          <w:lang w:eastAsia="zh-CN"/>
        </w:rPr>
        <w:t xml:space="preserve">Among the independent variables, repetition (REP) emerged as the strongest and only statistically significant predictor of perceived vocabulary acquisition. The regression </w:t>
      </w:r>
      <w:r w:rsidRPr="00817EE3">
        <w:rPr>
          <w:rFonts w:cs="Times New Roman"/>
          <w:color w:val="FF0000"/>
          <w:sz w:val="24"/>
          <w:szCs w:val="24"/>
          <w:lang w:eastAsia="zh-CN"/>
        </w:rPr>
        <w:lastRenderedPageBreak/>
        <w:t>coefficient was positive and significant (β = .372, p &lt; .001), indicating that repeated exposure to vocabulary through short-form videos substantially enhanced learners’ vocabulary acquisition. This result was further supported by the SEM analysis, in which the path from repetition to vocabulary acquisition remained statistically significant (β = .549, p = .012), confirming repetition as the most influential factor in the proposed structural model. By contrast, engagement (ENG), multimedia elements (MUL), and distraction (DIS) did not demonstrate statistically significant effects on perceived vocabulary acquisition. Although these constructs showed directional relationships with the dependent variable, their path coefficients did not reach statistical significance in the final structural model.</w:t>
      </w:r>
    </w:p>
    <w:p w14:paraId="7BC33069"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These findings suggest that repeated encounters with vocabulary items play a more decisive role in vocabulary learning than entertainment-oriented features, visual attractiveness, or passive interaction with short-form video content.</w:t>
      </w:r>
    </w:p>
    <w:p w14:paraId="0A25314C" w14:textId="77777777" w:rsidR="00B01DD2" w:rsidRPr="00916B27" w:rsidRDefault="00B01DD2" w:rsidP="00D5074E">
      <w:pPr>
        <w:pStyle w:val="Heading3"/>
        <w:spacing w:before="0" w:after="120" w:line="480" w:lineRule="auto"/>
        <w:rPr>
          <w:rStyle w:val="Strong"/>
          <w:rFonts w:eastAsiaTheme="majorEastAsia"/>
          <w:b w:val="0"/>
          <w:bCs w:val="0"/>
          <w:i/>
          <w:iCs/>
          <w:color w:val="000000" w:themeColor="text1"/>
          <w:sz w:val="24"/>
          <w:szCs w:val="24"/>
        </w:rPr>
      </w:pPr>
      <w:r w:rsidRPr="00FC164E">
        <w:rPr>
          <w:b/>
          <w:bCs/>
          <w:color w:val="000000" w:themeColor="text1"/>
          <w:sz w:val="24"/>
          <w:szCs w:val="24"/>
        </w:rPr>
        <w:t>Table 5.</w:t>
      </w:r>
      <w:r w:rsidRPr="00916B27">
        <w:rPr>
          <w:i/>
          <w:iCs/>
          <w:color w:val="000000" w:themeColor="text1"/>
          <w:sz w:val="24"/>
          <w:szCs w:val="24"/>
        </w:rPr>
        <w:t xml:space="preserve"> </w:t>
      </w:r>
      <w:r w:rsidRPr="00FC164E">
        <w:rPr>
          <w:rStyle w:val="Strong"/>
          <w:rFonts w:eastAsiaTheme="majorEastAsia"/>
          <w:b w:val="0"/>
          <w:bCs w:val="0"/>
          <w:i/>
          <w:iCs/>
          <w:color w:val="000000" w:themeColor="text1"/>
          <w:sz w:val="24"/>
          <w:szCs w:val="24"/>
        </w:rPr>
        <w:t>Multiple regression results</w:t>
      </w:r>
    </w:p>
    <w:tbl>
      <w:tblPr>
        <w:tblStyle w:val="TableGrid"/>
        <w:tblW w:w="8965" w:type="dxa"/>
        <w:tblBorders>
          <w:left w:val="none" w:sz="0" w:space="0" w:color="auto"/>
          <w:right w:val="none" w:sz="0" w:space="0" w:color="auto"/>
          <w:insideV w:val="none" w:sz="0" w:space="0" w:color="auto"/>
        </w:tblBorders>
        <w:tblLook w:val="04A0" w:firstRow="1" w:lastRow="0" w:firstColumn="1" w:lastColumn="0" w:noHBand="0" w:noVBand="1"/>
      </w:tblPr>
      <w:tblGrid>
        <w:gridCol w:w="3324"/>
        <w:gridCol w:w="2310"/>
        <w:gridCol w:w="2011"/>
        <w:gridCol w:w="1320"/>
      </w:tblGrid>
      <w:tr w:rsidR="00B01DD2" w:rsidRPr="00916B27" w14:paraId="7CD384F5" w14:textId="77777777" w:rsidTr="005B1F67">
        <w:tc>
          <w:tcPr>
            <w:tcW w:w="3415" w:type="dxa"/>
            <w:vAlign w:val="center"/>
          </w:tcPr>
          <w:p w14:paraId="4FE0DB8B" w14:textId="77777777" w:rsidR="00B01DD2" w:rsidRPr="00916B27" w:rsidRDefault="00B01DD2" w:rsidP="00D5074E">
            <w:pPr>
              <w:spacing w:before="0" w:after="120" w:line="480" w:lineRule="auto"/>
              <w:jc w:val="center"/>
              <w:rPr>
                <w:rFonts w:cs="Times New Roman"/>
                <w:b/>
                <w:bCs/>
                <w:color w:val="000000" w:themeColor="text1"/>
                <w:sz w:val="24"/>
                <w:szCs w:val="24"/>
              </w:rPr>
            </w:pPr>
            <w:r w:rsidRPr="00916B27">
              <w:rPr>
                <w:rFonts w:cs="Times New Roman"/>
                <w:b/>
                <w:bCs/>
                <w:color w:val="000000" w:themeColor="text1"/>
                <w:sz w:val="24"/>
                <w:szCs w:val="24"/>
              </w:rPr>
              <w:t>Predictor</w:t>
            </w:r>
          </w:p>
        </w:tc>
        <w:tc>
          <w:tcPr>
            <w:tcW w:w="2160" w:type="dxa"/>
            <w:vAlign w:val="center"/>
          </w:tcPr>
          <w:p w14:paraId="00534069" w14:textId="77777777" w:rsidR="00B01DD2" w:rsidRPr="00916B27" w:rsidRDefault="00B01DD2" w:rsidP="00D5074E">
            <w:pPr>
              <w:spacing w:before="0" w:after="120" w:line="480" w:lineRule="auto"/>
              <w:jc w:val="center"/>
              <w:rPr>
                <w:rFonts w:cs="Times New Roman"/>
                <w:b/>
                <w:bCs/>
                <w:color w:val="000000" w:themeColor="text1"/>
                <w:sz w:val="24"/>
                <w:szCs w:val="24"/>
              </w:rPr>
            </w:pPr>
            <w:r w:rsidRPr="00916B27">
              <w:rPr>
                <w:rFonts w:cs="Times New Roman"/>
                <w:b/>
                <w:bCs/>
                <w:color w:val="000000" w:themeColor="text1"/>
                <w:sz w:val="24"/>
                <w:szCs w:val="24"/>
              </w:rPr>
              <w:t>Standardized Beta (β)</w:t>
            </w:r>
          </w:p>
        </w:tc>
        <w:tc>
          <w:tcPr>
            <w:tcW w:w="2070" w:type="dxa"/>
            <w:vAlign w:val="center"/>
          </w:tcPr>
          <w:p w14:paraId="14DAB89D" w14:textId="77777777" w:rsidR="00B01DD2" w:rsidRPr="00916B27" w:rsidRDefault="00B01DD2" w:rsidP="00D5074E">
            <w:pPr>
              <w:spacing w:before="0" w:after="120" w:line="480" w:lineRule="auto"/>
              <w:jc w:val="center"/>
              <w:rPr>
                <w:rFonts w:cs="Times New Roman"/>
                <w:b/>
                <w:bCs/>
                <w:color w:val="000000" w:themeColor="text1"/>
                <w:sz w:val="24"/>
                <w:szCs w:val="24"/>
              </w:rPr>
            </w:pPr>
            <w:r w:rsidRPr="00916B27">
              <w:rPr>
                <w:rFonts w:cs="Times New Roman"/>
                <w:b/>
                <w:bCs/>
                <w:color w:val="000000" w:themeColor="text1"/>
                <w:sz w:val="24"/>
                <w:szCs w:val="24"/>
              </w:rPr>
              <w:t>t-value</w:t>
            </w:r>
          </w:p>
        </w:tc>
        <w:tc>
          <w:tcPr>
            <w:tcW w:w="1320" w:type="dxa"/>
            <w:vAlign w:val="center"/>
          </w:tcPr>
          <w:p w14:paraId="25E928EB" w14:textId="77777777" w:rsidR="00B01DD2" w:rsidRPr="00916B27" w:rsidRDefault="00B01DD2" w:rsidP="00D5074E">
            <w:pPr>
              <w:spacing w:before="0" w:after="120" w:line="480" w:lineRule="auto"/>
              <w:jc w:val="center"/>
              <w:rPr>
                <w:rFonts w:cs="Times New Roman"/>
                <w:b/>
                <w:bCs/>
                <w:color w:val="000000" w:themeColor="text1"/>
                <w:sz w:val="24"/>
                <w:szCs w:val="24"/>
              </w:rPr>
            </w:pPr>
            <w:r w:rsidRPr="00916B27">
              <w:rPr>
                <w:rFonts w:cs="Times New Roman"/>
                <w:b/>
                <w:bCs/>
                <w:color w:val="000000" w:themeColor="text1"/>
                <w:sz w:val="24"/>
                <w:szCs w:val="24"/>
              </w:rPr>
              <w:t>Sig.</w:t>
            </w:r>
          </w:p>
        </w:tc>
      </w:tr>
      <w:tr w:rsidR="00B01DD2" w:rsidRPr="00916B27" w14:paraId="4178D894" w14:textId="77777777" w:rsidTr="005B1F67">
        <w:tc>
          <w:tcPr>
            <w:tcW w:w="3415" w:type="dxa"/>
            <w:vAlign w:val="center"/>
          </w:tcPr>
          <w:p w14:paraId="59A0A942"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Engagement (ENG)</w:t>
            </w:r>
          </w:p>
        </w:tc>
        <w:tc>
          <w:tcPr>
            <w:tcW w:w="2160" w:type="dxa"/>
            <w:vAlign w:val="center"/>
          </w:tcPr>
          <w:p w14:paraId="038A255E"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.104</w:t>
            </w:r>
          </w:p>
        </w:tc>
        <w:tc>
          <w:tcPr>
            <w:tcW w:w="2070" w:type="dxa"/>
            <w:vAlign w:val="center"/>
          </w:tcPr>
          <w:p w14:paraId="65C83933"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1.421</w:t>
            </w:r>
          </w:p>
        </w:tc>
        <w:tc>
          <w:tcPr>
            <w:tcW w:w="1320" w:type="dxa"/>
            <w:vAlign w:val="center"/>
          </w:tcPr>
          <w:p w14:paraId="4D474041"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.157</w:t>
            </w:r>
          </w:p>
        </w:tc>
      </w:tr>
      <w:tr w:rsidR="00B01DD2" w:rsidRPr="00916B27" w14:paraId="5B4D66DC" w14:textId="77777777" w:rsidTr="005B1F67">
        <w:tc>
          <w:tcPr>
            <w:tcW w:w="3415" w:type="dxa"/>
            <w:vAlign w:val="center"/>
          </w:tcPr>
          <w:p w14:paraId="54196CDF"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Repetition (REP)</w:t>
            </w:r>
          </w:p>
        </w:tc>
        <w:tc>
          <w:tcPr>
            <w:tcW w:w="2160" w:type="dxa"/>
            <w:vAlign w:val="center"/>
          </w:tcPr>
          <w:p w14:paraId="6E728F4F"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.372</w:t>
            </w:r>
          </w:p>
        </w:tc>
        <w:tc>
          <w:tcPr>
            <w:tcW w:w="2070" w:type="dxa"/>
            <w:vAlign w:val="center"/>
          </w:tcPr>
          <w:p w14:paraId="3BF0C3E8"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5.884</w:t>
            </w:r>
          </w:p>
        </w:tc>
        <w:tc>
          <w:tcPr>
            <w:tcW w:w="1320" w:type="dxa"/>
            <w:vAlign w:val="center"/>
          </w:tcPr>
          <w:p w14:paraId="1E987F03"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&lt; .001</w:t>
            </w:r>
          </w:p>
        </w:tc>
      </w:tr>
      <w:tr w:rsidR="00B01DD2" w:rsidRPr="00916B27" w14:paraId="0BADBCD1" w14:textId="77777777" w:rsidTr="005B1F67">
        <w:tc>
          <w:tcPr>
            <w:tcW w:w="3415" w:type="dxa"/>
            <w:vAlign w:val="center"/>
          </w:tcPr>
          <w:p w14:paraId="436FFEC8"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Multimedia Elements (MUL)</w:t>
            </w:r>
          </w:p>
        </w:tc>
        <w:tc>
          <w:tcPr>
            <w:tcW w:w="2160" w:type="dxa"/>
            <w:vAlign w:val="center"/>
          </w:tcPr>
          <w:p w14:paraId="3A8E17F9"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.087</w:t>
            </w:r>
          </w:p>
        </w:tc>
        <w:tc>
          <w:tcPr>
            <w:tcW w:w="2070" w:type="dxa"/>
            <w:vAlign w:val="center"/>
          </w:tcPr>
          <w:p w14:paraId="783A72B6"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1.238</w:t>
            </w:r>
          </w:p>
        </w:tc>
        <w:tc>
          <w:tcPr>
            <w:tcW w:w="1320" w:type="dxa"/>
            <w:vAlign w:val="center"/>
          </w:tcPr>
          <w:p w14:paraId="754FA65A"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.217</w:t>
            </w:r>
          </w:p>
        </w:tc>
      </w:tr>
      <w:tr w:rsidR="00B01DD2" w:rsidRPr="00916B27" w14:paraId="781D68E4" w14:textId="77777777" w:rsidTr="005B1F67">
        <w:tc>
          <w:tcPr>
            <w:tcW w:w="3415" w:type="dxa"/>
            <w:vAlign w:val="center"/>
          </w:tcPr>
          <w:p w14:paraId="2331439E"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Distraction (DIS)</w:t>
            </w:r>
          </w:p>
        </w:tc>
        <w:tc>
          <w:tcPr>
            <w:tcW w:w="2160" w:type="dxa"/>
            <w:vAlign w:val="center"/>
          </w:tcPr>
          <w:p w14:paraId="33FBC5E3"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-.061</w:t>
            </w:r>
          </w:p>
        </w:tc>
        <w:tc>
          <w:tcPr>
            <w:tcW w:w="2070" w:type="dxa"/>
            <w:vAlign w:val="center"/>
          </w:tcPr>
          <w:p w14:paraId="5CE365DD"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-0.942</w:t>
            </w:r>
          </w:p>
        </w:tc>
        <w:tc>
          <w:tcPr>
            <w:tcW w:w="1320" w:type="dxa"/>
            <w:vAlign w:val="center"/>
          </w:tcPr>
          <w:p w14:paraId="1AC7A54E"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.347</w:t>
            </w:r>
          </w:p>
        </w:tc>
      </w:tr>
    </w:tbl>
    <w:p w14:paraId="12776089" w14:textId="5FB79063" w:rsidR="00FC164E" w:rsidRDefault="00FC164E" w:rsidP="00D5074E">
      <w:pPr>
        <w:spacing w:before="0" w:after="120" w:line="480" w:lineRule="auto"/>
        <w:ind w:firstLine="0"/>
        <w:rPr>
          <w:rFonts w:cs="Times New Roman"/>
          <w:color w:val="000000" w:themeColor="text1"/>
          <w:sz w:val="24"/>
          <w:szCs w:val="24"/>
        </w:rPr>
      </w:pPr>
    </w:p>
    <w:p w14:paraId="202B0128" w14:textId="77777777" w:rsidR="00FC164E" w:rsidRPr="00916B27" w:rsidRDefault="00FC164E" w:rsidP="00D5074E">
      <w:pPr>
        <w:spacing w:before="0" w:after="120" w:line="480" w:lineRule="auto"/>
        <w:ind w:firstLine="0"/>
        <w:rPr>
          <w:rFonts w:cs="Times New Roman"/>
          <w:vanish/>
          <w:color w:val="000000" w:themeColor="text1"/>
          <w:sz w:val="24"/>
          <w:szCs w:val="24"/>
        </w:rPr>
      </w:pPr>
    </w:p>
    <w:p w14:paraId="25573F24" w14:textId="3924C0D1" w:rsidR="00FC164E" w:rsidRPr="00A701B5" w:rsidRDefault="00FC164E" w:rsidP="00A701B5">
      <w:pPr>
        <w:pStyle w:val="Heading3"/>
        <w:spacing w:before="0" w:after="120" w:line="480" w:lineRule="auto"/>
        <w:rPr>
          <w:rFonts w:eastAsiaTheme="majorEastAsia"/>
          <w:b/>
          <w:bCs/>
          <w:i/>
          <w:iCs/>
          <w:color w:val="000000" w:themeColor="text1"/>
          <w:sz w:val="24"/>
          <w:szCs w:val="24"/>
        </w:rPr>
      </w:pPr>
      <w:r w:rsidRPr="00FC164E">
        <w:rPr>
          <w:b/>
          <w:bCs/>
          <w:color w:val="000000" w:themeColor="text1"/>
          <w:sz w:val="24"/>
          <w:szCs w:val="24"/>
        </w:rPr>
        <w:t>Table 6.</w:t>
      </w:r>
      <w:r w:rsidRPr="00916B27">
        <w:rPr>
          <w:i/>
          <w:iCs/>
          <w:color w:val="000000" w:themeColor="text1"/>
          <w:sz w:val="24"/>
          <w:szCs w:val="24"/>
        </w:rPr>
        <w:t xml:space="preserve"> </w:t>
      </w:r>
      <w:r w:rsidRPr="00FC164E">
        <w:rPr>
          <w:rStyle w:val="Strong"/>
          <w:rFonts w:eastAsiaTheme="majorEastAsia"/>
          <w:b w:val="0"/>
          <w:bCs w:val="0"/>
          <w:i/>
          <w:iCs/>
          <w:color w:val="000000" w:themeColor="text1"/>
          <w:sz w:val="24"/>
          <w:szCs w:val="24"/>
        </w:rPr>
        <w:t>Structural Equation Modeling (SEM) Results</w:t>
      </w:r>
    </w:p>
    <w:tbl>
      <w:tblPr>
        <w:tblStyle w:val="TableGrid"/>
        <w:tblW w:w="9060"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2265"/>
        <w:gridCol w:w="2265"/>
        <w:gridCol w:w="2265"/>
      </w:tblGrid>
      <w:tr w:rsidR="00B01DD2" w:rsidRPr="00916B27" w14:paraId="5BC6AD83" w14:textId="77777777" w:rsidTr="005B1F67">
        <w:tc>
          <w:tcPr>
            <w:tcW w:w="2265" w:type="dxa"/>
            <w:tcBorders>
              <w:bottom w:val="single" w:sz="4" w:space="0" w:color="auto"/>
            </w:tcBorders>
            <w:vAlign w:val="center"/>
          </w:tcPr>
          <w:p w14:paraId="4C54872F"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Structural path</w:t>
            </w:r>
          </w:p>
        </w:tc>
        <w:tc>
          <w:tcPr>
            <w:tcW w:w="2265" w:type="dxa"/>
            <w:tcBorders>
              <w:bottom w:val="single" w:sz="4" w:space="0" w:color="auto"/>
            </w:tcBorders>
            <w:vAlign w:val="center"/>
          </w:tcPr>
          <w:p w14:paraId="61D2E4E6"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Estimate</w:t>
            </w:r>
          </w:p>
        </w:tc>
        <w:tc>
          <w:tcPr>
            <w:tcW w:w="2265" w:type="dxa"/>
            <w:tcBorders>
              <w:bottom w:val="single" w:sz="4" w:space="0" w:color="auto"/>
            </w:tcBorders>
            <w:vAlign w:val="center"/>
          </w:tcPr>
          <w:p w14:paraId="72A428B0"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p-value</w:t>
            </w:r>
          </w:p>
        </w:tc>
        <w:tc>
          <w:tcPr>
            <w:tcW w:w="2265" w:type="dxa"/>
            <w:tcBorders>
              <w:bottom w:val="single" w:sz="4" w:space="0" w:color="auto"/>
            </w:tcBorders>
            <w:vAlign w:val="center"/>
          </w:tcPr>
          <w:p w14:paraId="1EB9DFAD" w14:textId="77777777" w:rsidR="00B01DD2" w:rsidRPr="00916B27" w:rsidRDefault="00B01DD2" w:rsidP="00D5074E">
            <w:pPr>
              <w:spacing w:before="0" w:after="120" w:line="480" w:lineRule="auto"/>
              <w:ind w:firstLine="0"/>
              <w:jc w:val="center"/>
              <w:rPr>
                <w:rFonts w:cs="Times New Roman"/>
                <w:b/>
                <w:bCs/>
                <w:color w:val="000000" w:themeColor="text1"/>
                <w:sz w:val="24"/>
                <w:szCs w:val="24"/>
              </w:rPr>
            </w:pPr>
            <w:r w:rsidRPr="00916B27">
              <w:rPr>
                <w:rFonts w:cs="Times New Roman"/>
                <w:b/>
                <w:bCs/>
                <w:color w:val="000000" w:themeColor="text1"/>
                <w:sz w:val="24"/>
                <w:szCs w:val="24"/>
              </w:rPr>
              <w:t>Result</w:t>
            </w:r>
          </w:p>
        </w:tc>
      </w:tr>
      <w:tr w:rsidR="00B01DD2" w:rsidRPr="00916B27" w14:paraId="2E361203" w14:textId="77777777" w:rsidTr="005B1F67">
        <w:tc>
          <w:tcPr>
            <w:tcW w:w="2265" w:type="dxa"/>
            <w:tcBorders>
              <w:bottom w:val="nil"/>
            </w:tcBorders>
            <w:vAlign w:val="center"/>
          </w:tcPr>
          <w:p w14:paraId="6FFB673C"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lastRenderedPageBreak/>
              <w:t>ENG → VOC</w:t>
            </w:r>
          </w:p>
        </w:tc>
        <w:tc>
          <w:tcPr>
            <w:tcW w:w="2265" w:type="dxa"/>
            <w:tcBorders>
              <w:bottom w:val="nil"/>
            </w:tcBorders>
            <w:vAlign w:val="center"/>
          </w:tcPr>
          <w:p w14:paraId="1AB4512D"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.118</w:t>
            </w:r>
          </w:p>
        </w:tc>
        <w:tc>
          <w:tcPr>
            <w:tcW w:w="2265" w:type="dxa"/>
            <w:tcBorders>
              <w:bottom w:val="nil"/>
            </w:tcBorders>
            <w:vAlign w:val="center"/>
          </w:tcPr>
          <w:p w14:paraId="129ADFE0"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.231</w:t>
            </w:r>
          </w:p>
        </w:tc>
        <w:tc>
          <w:tcPr>
            <w:tcW w:w="2265" w:type="dxa"/>
            <w:tcBorders>
              <w:bottom w:val="nil"/>
            </w:tcBorders>
            <w:vAlign w:val="center"/>
          </w:tcPr>
          <w:p w14:paraId="5A8B5483"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Not Supported</w:t>
            </w:r>
          </w:p>
        </w:tc>
      </w:tr>
      <w:tr w:rsidR="00B01DD2" w:rsidRPr="00916B27" w14:paraId="69097087" w14:textId="77777777" w:rsidTr="005B1F67">
        <w:tc>
          <w:tcPr>
            <w:tcW w:w="2265" w:type="dxa"/>
            <w:tcBorders>
              <w:top w:val="nil"/>
              <w:bottom w:val="nil"/>
            </w:tcBorders>
            <w:vAlign w:val="center"/>
          </w:tcPr>
          <w:p w14:paraId="6B5DD08F"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REP → VOC</w:t>
            </w:r>
          </w:p>
        </w:tc>
        <w:tc>
          <w:tcPr>
            <w:tcW w:w="2265" w:type="dxa"/>
            <w:tcBorders>
              <w:top w:val="nil"/>
              <w:bottom w:val="nil"/>
            </w:tcBorders>
            <w:vAlign w:val="center"/>
          </w:tcPr>
          <w:p w14:paraId="0916E521"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.549</w:t>
            </w:r>
          </w:p>
        </w:tc>
        <w:tc>
          <w:tcPr>
            <w:tcW w:w="2265" w:type="dxa"/>
            <w:tcBorders>
              <w:top w:val="nil"/>
              <w:bottom w:val="nil"/>
            </w:tcBorders>
            <w:vAlign w:val="center"/>
          </w:tcPr>
          <w:p w14:paraId="4E60DB1C"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.012</w:t>
            </w:r>
          </w:p>
        </w:tc>
        <w:tc>
          <w:tcPr>
            <w:tcW w:w="2265" w:type="dxa"/>
            <w:tcBorders>
              <w:top w:val="nil"/>
              <w:bottom w:val="nil"/>
            </w:tcBorders>
            <w:vAlign w:val="center"/>
          </w:tcPr>
          <w:p w14:paraId="74C29CE2"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Supported</w:t>
            </w:r>
          </w:p>
        </w:tc>
      </w:tr>
      <w:tr w:rsidR="00B01DD2" w:rsidRPr="00916B27" w14:paraId="28FD36C5" w14:textId="77777777" w:rsidTr="005B1F67">
        <w:tc>
          <w:tcPr>
            <w:tcW w:w="2265" w:type="dxa"/>
            <w:tcBorders>
              <w:top w:val="nil"/>
              <w:bottom w:val="nil"/>
            </w:tcBorders>
            <w:vAlign w:val="center"/>
          </w:tcPr>
          <w:p w14:paraId="2A2ED093"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MUL → VOC</w:t>
            </w:r>
          </w:p>
        </w:tc>
        <w:tc>
          <w:tcPr>
            <w:tcW w:w="2265" w:type="dxa"/>
            <w:tcBorders>
              <w:top w:val="nil"/>
              <w:bottom w:val="nil"/>
            </w:tcBorders>
            <w:vAlign w:val="center"/>
          </w:tcPr>
          <w:p w14:paraId="61044F99"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.093</w:t>
            </w:r>
          </w:p>
        </w:tc>
        <w:tc>
          <w:tcPr>
            <w:tcW w:w="2265" w:type="dxa"/>
            <w:tcBorders>
              <w:top w:val="nil"/>
              <w:bottom w:val="nil"/>
            </w:tcBorders>
            <w:vAlign w:val="center"/>
          </w:tcPr>
          <w:p w14:paraId="7D6E8342"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.187</w:t>
            </w:r>
          </w:p>
        </w:tc>
        <w:tc>
          <w:tcPr>
            <w:tcW w:w="2265" w:type="dxa"/>
            <w:tcBorders>
              <w:top w:val="nil"/>
              <w:bottom w:val="nil"/>
            </w:tcBorders>
            <w:vAlign w:val="center"/>
          </w:tcPr>
          <w:p w14:paraId="13AE83A6"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Not Supported</w:t>
            </w:r>
          </w:p>
        </w:tc>
      </w:tr>
      <w:tr w:rsidR="00B01DD2" w:rsidRPr="00916B27" w14:paraId="57014131" w14:textId="77777777" w:rsidTr="005B1F67">
        <w:tc>
          <w:tcPr>
            <w:tcW w:w="2265" w:type="dxa"/>
            <w:tcBorders>
              <w:top w:val="nil"/>
            </w:tcBorders>
            <w:vAlign w:val="center"/>
          </w:tcPr>
          <w:p w14:paraId="152AF7A4" w14:textId="77777777" w:rsidR="00B01DD2" w:rsidRPr="00916B27" w:rsidRDefault="00B01DD2" w:rsidP="00D5074E">
            <w:pPr>
              <w:spacing w:before="0" w:after="120" w:line="480" w:lineRule="auto"/>
              <w:ind w:firstLine="0"/>
              <w:rPr>
                <w:rFonts w:cs="Times New Roman"/>
                <w:color w:val="000000" w:themeColor="text1"/>
                <w:sz w:val="24"/>
                <w:szCs w:val="24"/>
              </w:rPr>
            </w:pPr>
            <w:r w:rsidRPr="00916B27">
              <w:rPr>
                <w:rFonts w:cs="Times New Roman"/>
                <w:color w:val="000000" w:themeColor="text1"/>
                <w:sz w:val="24"/>
                <w:szCs w:val="24"/>
              </w:rPr>
              <w:t>DIS → VOC</w:t>
            </w:r>
          </w:p>
        </w:tc>
        <w:tc>
          <w:tcPr>
            <w:tcW w:w="2265" w:type="dxa"/>
            <w:tcBorders>
              <w:top w:val="nil"/>
            </w:tcBorders>
            <w:vAlign w:val="center"/>
          </w:tcPr>
          <w:p w14:paraId="2C6AFA6A"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-.074</w:t>
            </w:r>
          </w:p>
        </w:tc>
        <w:tc>
          <w:tcPr>
            <w:tcW w:w="2265" w:type="dxa"/>
            <w:tcBorders>
              <w:top w:val="nil"/>
            </w:tcBorders>
            <w:vAlign w:val="center"/>
          </w:tcPr>
          <w:p w14:paraId="1F1571F4"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.294</w:t>
            </w:r>
          </w:p>
        </w:tc>
        <w:tc>
          <w:tcPr>
            <w:tcW w:w="2265" w:type="dxa"/>
            <w:tcBorders>
              <w:top w:val="nil"/>
            </w:tcBorders>
            <w:vAlign w:val="center"/>
          </w:tcPr>
          <w:p w14:paraId="14C14F05" w14:textId="77777777" w:rsidR="00B01DD2" w:rsidRPr="00916B27" w:rsidRDefault="00B01DD2" w:rsidP="00D5074E">
            <w:pPr>
              <w:spacing w:before="0" w:after="120" w:line="480" w:lineRule="auto"/>
              <w:ind w:firstLine="0"/>
              <w:jc w:val="center"/>
              <w:rPr>
                <w:rFonts w:cs="Times New Roman"/>
                <w:color w:val="000000" w:themeColor="text1"/>
                <w:sz w:val="24"/>
                <w:szCs w:val="24"/>
              </w:rPr>
            </w:pPr>
            <w:r w:rsidRPr="00916B27">
              <w:rPr>
                <w:rFonts w:cs="Times New Roman"/>
                <w:color w:val="000000" w:themeColor="text1"/>
                <w:sz w:val="24"/>
                <w:szCs w:val="24"/>
              </w:rPr>
              <w:t>Not Supported</w:t>
            </w:r>
          </w:p>
        </w:tc>
      </w:tr>
    </w:tbl>
    <w:p w14:paraId="662ECE7D" w14:textId="77777777" w:rsidR="00B01DD2" w:rsidRPr="00916B27" w:rsidRDefault="00B01DD2" w:rsidP="00D5074E">
      <w:pPr>
        <w:spacing w:before="0" w:after="120" w:line="480" w:lineRule="auto"/>
        <w:rPr>
          <w:rFonts w:cs="Times New Roman"/>
          <w:color w:val="000000" w:themeColor="text1"/>
          <w:sz w:val="24"/>
          <w:szCs w:val="24"/>
        </w:rPr>
      </w:pPr>
    </w:p>
    <w:p w14:paraId="2CB47B83" w14:textId="77777777" w:rsidR="00B01DD2" w:rsidRPr="00916B27" w:rsidRDefault="00B01DD2" w:rsidP="00D5074E">
      <w:pPr>
        <w:pStyle w:val="isselectedend"/>
        <w:spacing w:before="0" w:beforeAutospacing="0" w:after="120" w:afterAutospacing="0" w:line="480" w:lineRule="auto"/>
        <w:jc w:val="right"/>
        <w:rPr>
          <w:color w:val="000000" w:themeColor="text1"/>
        </w:rPr>
      </w:pPr>
      <w:r w:rsidRPr="00916B27">
        <w:rPr>
          <w:rStyle w:val="Emphasis"/>
          <w:rFonts w:eastAsiaTheme="majorEastAsia"/>
          <w:color w:val="000000" w:themeColor="text1"/>
        </w:rPr>
        <w:t>Source: Authors’ calculation based on SEM analysis.</w:t>
      </w:r>
    </w:p>
    <w:p w14:paraId="22F30BDC" w14:textId="51E5B9EC" w:rsidR="00B01DD2" w:rsidRPr="00916B27" w:rsidRDefault="00FC164E" w:rsidP="00D5074E">
      <w:pPr>
        <w:pStyle w:val="Heading1"/>
        <w:spacing w:before="0" w:after="120" w:line="480" w:lineRule="auto"/>
        <w:rPr>
          <w:color w:val="000000" w:themeColor="text1"/>
          <w:sz w:val="24"/>
          <w:szCs w:val="24"/>
        </w:rPr>
      </w:pPr>
      <w:r>
        <w:rPr>
          <w:color w:val="000000" w:themeColor="text1"/>
          <w:sz w:val="24"/>
          <w:szCs w:val="24"/>
        </w:rPr>
        <w:t>5</w:t>
      </w:r>
      <w:r w:rsidR="00B01DD2" w:rsidRPr="00916B27">
        <w:rPr>
          <w:color w:val="000000" w:themeColor="text1"/>
          <w:sz w:val="24"/>
          <w:szCs w:val="24"/>
        </w:rPr>
        <w:t>. Discussion</w:t>
      </w:r>
    </w:p>
    <w:p w14:paraId="611AC465" w14:textId="15562BF4" w:rsidR="00B01DD2" w:rsidRPr="00FC164E" w:rsidRDefault="00FC164E" w:rsidP="00D5074E">
      <w:pPr>
        <w:pStyle w:val="Heading3"/>
        <w:spacing w:before="0" w:after="120" w:line="480" w:lineRule="auto"/>
        <w:rPr>
          <w:b/>
          <w:bCs/>
          <w:i/>
          <w:iCs/>
          <w:color w:val="000000" w:themeColor="text1"/>
          <w:sz w:val="24"/>
          <w:szCs w:val="24"/>
        </w:rPr>
      </w:pPr>
      <w:r w:rsidRPr="00FC164E">
        <w:rPr>
          <w:b/>
          <w:bCs/>
          <w:i/>
          <w:iCs/>
          <w:color w:val="000000" w:themeColor="text1"/>
          <w:sz w:val="24"/>
          <w:szCs w:val="24"/>
        </w:rPr>
        <w:t>5</w:t>
      </w:r>
      <w:r w:rsidR="00B01DD2" w:rsidRPr="00FC164E">
        <w:rPr>
          <w:b/>
          <w:bCs/>
          <w:i/>
          <w:iCs/>
          <w:color w:val="000000" w:themeColor="text1"/>
          <w:sz w:val="24"/>
          <w:szCs w:val="24"/>
        </w:rPr>
        <w:t>.1 Interpretation of findings</w:t>
      </w:r>
    </w:p>
    <w:p w14:paraId="5AED4FD9" w14:textId="1854C663" w:rsidR="00B01DD2" w:rsidRPr="00916B27" w:rsidRDefault="00A81D26" w:rsidP="00D5074E">
      <w:pPr>
        <w:pStyle w:val="isselectedend"/>
        <w:spacing w:before="0" w:beforeAutospacing="0" w:after="120" w:afterAutospacing="0" w:line="480" w:lineRule="auto"/>
        <w:ind w:firstLine="720"/>
        <w:jc w:val="both"/>
        <w:rPr>
          <w:color w:val="000000" w:themeColor="text1"/>
        </w:rPr>
      </w:pPr>
      <w:r w:rsidRPr="00A81D26">
        <w:rPr>
          <w:color w:val="FF0000"/>
        </w:rPr>
        <w:t>The findings of this study provide important insights into learners’ perceived vocabulary acquisition through short-form video platforms</w:t>
      </w:r>
      <w:r>
        <w:t xml:space="preserve"> </w:t>
      </w:r>
      <w:r w:rsidR="00B01DD2" w:rsidRPr="00916B27">
        <w:rPr>
          <w:color w:val="000000" w:themeColor="text1"/>
        </w:rPr>
        <w:t>such as TikTok and Instagram Reels. Among the four examined predictors, repetition emerged as the only statistically significant factor influencing vocabulary acquisition, highlighting the central role of repeated lexical exposure in digital language learning environments.</w:t>
      </w:r>
    </w:p>
    <w:p w14:paraId="5D1D2D05" w14:textId="77777777" w:rsidR="00B01DD2" w:rsidRPr="00916B27" w:rsidRDefault="00B01DD2" w:rsidP="00D5074E">
      <w:pPr>
        <w:pStyle w:val="isselectedend"/>
        <w:spacing w:before="0" w:beforeAutospacing="0" w:after="120" w:afterAutospacing="0" w:line="480" w:lineRule="auto"/>
        <w:ind w:firstLine="720"/>
        <w:jc w:val="both"/>
        <w:rPr>
          <w:color w:val="000000" w:themeColor="text1"/>
        </w:rPr>
      </w:pPr>
      <w:r w:rsidRPr="00916B27">
        <w:rPr>
          <w:color w:val="000000" w:themeColor="text1"/>
        </w:rPr>
        <w:t xml:space="preserve">The significant influence of repetition is consistent with previous research in second language acquisition emphasizing the importance of repeated encounters with vocabulary items for long-term retention and lexical consolidation (Nation, 2001; Webb, 2007; Webb &amp; Nation, 2017). From a cognitive perspective, repeated exposure strengthens form-meaning connections and facilitates the transfer of lexical information from working memory into long-term memory storage. Within short-form video environments, algorithm-driven recommendation systems may unintentionally support this process by repeatedly exposing learners to similar lexical items, expressions, and thematic content across multiple videos. The findings further suggest that repetition may play a more decisive role in vocabulary learning than entertainment-oriented or visually attractive characteristics of short-form videos. Although social media </w:t>
      </w:r>
      <w:r w:rsidRPr="00916B27">
        <w:rPr>
          <w:color w:val="000000" w:themeColor="text1"/>
        </w:rPr>
        <w:lastRenderedPageBreak/>
        <w:t xml:space="preserve">platforms are commonly associated with highly stimulating multimedia features, the present study demonstrates that repeated lexical exposure, rather than content richness alone, functions as the primary mechanism supporting vocabulary acquisition. This result reinforces the argument that frequency of exposure remains a fundamental determinant of vocabulary development regardless of technological learning environments. Contrary to the proposed hypotheses, engagement and multimedia elements did not significantly predict vocabulary acquisition. One possible explanation is that visually attractive content and interactive features may increase learners’ attention and enjoyment without necessarily promoting deeper cognitive processing or durable vocabulary retention. Learners may passively consume entertaining content without systematically focusing on lexical learning. Consequently, while multimedia features may facilitate short-term engagement, they may not independently produce measurable vocabulary gains unless accompanied by repeated and meaningful exposure. Similarly, the non-significant effect of engagement indicates that increased interaction or enjoyment does not automatically translate into improved vocabulary acquisition. Although previous studies have linked learner engagement to stronger academic performance and motivation (Fredricks et al., 2004; Junco et al., 2011), the present findings suggest that engagement alone may be insufficient to generate substantial vocabulary learning outcomes in informal digital learning contexts. Interestingly, distraction did not exert a statistically significant negative effect on vocabulary acquisition. This finding may indicate that contemporary learners have become increasingly accustomed to high-stimulation digital environments and may possess the ability to selectively process relevant linguistic information despite rapid pacing, background music, and entertainment-oriented content. In other words, learners may develop adaptive cognitive strategies that enable them to extract useful vocabulary input even within highly dynamic social media environments. Nevertheless, the absence of statistical significance should not be interpreted as evidence that distraction has no </w:t>
      </w:r>
      <w:r w:rsidRPr="00916B27">
        <w:rPr>
          <w:color w:val="000000" w:themeColor="text1"/>
        </w:rPr>
        <w:lastRenderedPageBreak/>
        <w:t>effect on learning. Rather, it suggests that within the present sample and research context, distraction did not substantially hinder vocabulary acquisition outcomes.</w:t>
      </w:r>
    </w:p>
    <w:p w14:paraId="4354F5F4"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Overall, the findings indicate that effective vocabulary learning through short-form video platforms depends less on entertainment value or multimedia complexity and more on structured repetition and repeated lexical exposure. The study therefore highlights the pedagogical importance of repetition as a cognitive reinforcement mechanism in digital vocabulary learning environments and suggests that short-form videos can support vocabulary acquisition when designed to facilitate repeated encounters with target lexical items.</w:t>
      </w:r>
    </w:p>
    <w:p w14:paraId="2D6C6304" w14:textId="3E78D2F4" w:rsidR="00B01DD2" w:rsidRPr="00FC164E" w:rsidRDefault="00FC164E" w:rsidP="00D5074E">
      <w:pPr>
        <w:pStyle w:val="Heading2"/>
        <w:spacing w:before="0" w:after="120" w:line="480" w:lineRule="auto"/>
        <w:rPr>
          <w:i/>
          <w:iCs/>
          <w:color w:val="000000" w:themeColor="text1"/>
          <w:sz w:val="24"/>
          <w:szCs w:val="24"/>
        </w:rPr>
      </w:pPr>
      <w:r w:rsidRPr="00FC164E">
        <w:rPr>
          <w:i/>
          <w:iCs/>
          <w:color w:val="000000" w:themeColor="text1"/>
          <w:sz w:val="24"/>
          <w:szCs w:val="24"/>
        </w:rPr>
        <w:t>5</w:t>
      </w:r>
      <w:r w:rsidR="00B01DD2" w:rsidRPr="00FC164E">
        <w:rPr>
          <w:i/>
          <w:iCs/>
          <w:color w:val="000000" w:themeColor="text1"/>
          <w:sz w:val="24"/>
          <w:szCs w:val="24"/>
        </w:rPr>
        <w:t>.2. Theoretical and practical contributions</w:t>
      </w:r>
    </w:p>
    <w:p w14:paraId="321F4DF8"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This study makes several important contributions to the existing literature on digital language learning, vocabulary acquisition, and social media-assisted education. First, the study extends current research on short-form video platforms by examining the pedagogical mechanisms underlying vocabulary acquisition within algorithm-driven social media environments such as TikTok and Instagram Reels. While previous studies have frequently emphasized learner motivation, engagement, and entertainment value in social media learning, the present study demonstrates that repeated lexical exposure functions as the primary mechanism supporting vocabulary development in short-form video contexts. In doing so, the study shifts scholarly attention from surface-level engagement toward deeper cognitive processes associated with vocabulary retention and lexical consolidation.</w:t>
      </w:r>
    </w:p>
    <w:p w14:paraId="75FF01CD"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 xml:space="preserve">Second, the study contributes to vocabulary acquisition theory by reaffirming the central role of repetition in informal digital learning environments. Although multimedia learning research often highlights the benefits of audiovisual input and interactive media, the findings suggest that multimedia richness alone may not be sufficient to produce substantial vocabulary gains without continuous lexical recycling and repeated encounters with target </w:t>
      </w:r>
      <w:r w:rsidRPr="00916B27">
        <w:rPr>
          <w:color w:val="000000" w:themeColor="text1"/>
        </w:rPr>
        <w:lastRenderedPageBreak/>
        <w:t>vocabulary items. The study therefore provides a more nuanced understanding of how learners process language input in highly stimulating digital environments and highlights repetition as a fundamental pedagogical principle that remains effective even within contemporary social media ecosystems.</w:t>
      </w:r>
    </w:p>
    <w:p w14:paraId="52F50617"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Third, the study contributes contextual evidence from the Vietnamese higher education context, which remains relatively underrepresented in current research on short-form video-assisted language learning. By focusing specifically on Vietnamese university students, the study broadens the geographical and educational scope of research on social media-based vocabulary acquisition and provides empirical insights into how learners in emerging digital learning environments interact with short-form educational content.</w:t>
      </w:r>
    </w:p>
    <w:p w14:paraId="1CF77A7F"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From a practical perspective, the findings offer meaningful implications for educators, instructional designers, and digital content creators. The study suggests that vocabulary-oriented short-form videos should prioritize repeated exposure to target lexical items through subtitles, thematic recycling, contextual repetition, and spaced reinforcement strategies rather than relying primarily on entertainment-oriented features or excessive multimedia stimulation. Furthermore, teachers may integrate short-form video platforms into supplementary vocabulary instruction to extend learners’ exposure to authentic English input beyond formal classroom settings and promote continuous vocabulary reinforcement through mobile-assisted learning practices.</w:t>
      </w:r>
    </w:p>
    <w:p w14:paraId="5D232151" w14:textId="3C7F8958" w:rsidR="00B01DD2" w:rsidRPr="00916B27" w:rsidRDefault="00FC164E" w:rsidP="00D5074E">
      <w:pPr>
        <w:pStyle w:val="Heading2"/>
        <w:spacing w:before="0" w:after="120" w:line="480" w:lineRule="auto"/>
        <w:jc w:val="center"/>
        <w:rPr>
          <w:color w:val="000000" w:themeColor="text1"/>
          <w:sz w:val="24"/>
          <w:szCs w:val="24"/>
        </w:rPr>
      </w:pPr>
      <w:r>
        <w:rPr>
          <w:color w:val="000000" w:themeColor="text1"/>
          <w:sz w:val="24"/>
          <w:szCs w:val="24"/>
        </w:rPr>
        <w:t>6</w:t>
      </w:r>
      <w:r w:rsidR="00B01DD2" w:rsidRPr="00916B27">
        <w:rPr>
          <w:color w:val="000000" w:themeColor="text1"/>
          <w:sz w:val="24"/>
          <w:szCs w:val="24"/>
        </w:rPr>
        <w:t>. Conclusion</w:t>
      </w:r>
    </w:p>
    <w:p w14:paraId="27C20FB2" w14:textId="77777777"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 xml:space="preserve">This study investigated the effectiveness of short-form video platforms, particularly TikTok and Instagram Reels, in supporting English vocabulary acquisition among Vietnamese university students. Drawing upon the Cognitive Theory of Multimedia Learning, Cognitive Load Theory, and micro-learning principles, the study examined the effects of engagement, </w:t>
      </w:r>
      <w:r w:rsidRPr="00916B27">
        <w:rPr>
          <w:color w:val="000000" w:themeColor="text1"/>
        </w:rPr>
        <w:lastRenderedPageBreak/>
        <w:t>repetition, multimedia elements, and distraction on vocabulary acquisition through a quantitative research design employing Structural Equation Modeling (SEM). The findings revealed that repetition was the only statistically significant predictor of vocabulary acquisition, whereas engagement, multimedia elements, and distraction did not demonstrate significant effects.</w:t>
      </w:r>
    </w:p>
    <w:p w14:paraId="5AE0EF63" w14:textId="62093C8A" w:rsidR="00B01DD2" w:rsidRPr="00916B27" w:rsidRDefault="00B01DD2" w:rsidP="00D5074E">
      <w:pPr>
        <w:pStyle w:val="NormalWeb"/>
        <w:spacing w:before="0" w:beforeAutospacing="0" w:after="120" w:afterAutospacing="0" w:line="480" w:lineRule="auto"/>
        <w:ind w:firstLine="720"/>
        <w:jc w:val="both"/>
        <w:rPr>
          <w:color w:val="000000" w:themeColor="text1"/>
        </w:rPr>
      </w:pPr>
      <w:r w:rsidRPr="00916B27">
        <w:rPr>
          <w:color w:val="000000" w:themeColor="text1"/>
        </w:rPr>
        <w:t xml:space="preserve">The findings suggest that effective vocabulary learning in short-form video environments depends less on entertainment-oriented interaction or multimedia complexity and more on repeated lexical exposure and continuous vocabulary reinforcement. The study therefore highlights the pedagogical importance of repetition as a key mechanism supporting vocabulary retention in contemporary digital learning environments. From a practical perspective, educators and digital content creators should prioritize subtitles, contextual recycling, thematic consistency, and repeated encounters with target vocabulary items when designing vocabulary-oriented short-form video content. Despite its contributions, the study has several limitations. First, the research relied on self-reported questionnaire data collected from a relatively limited sample of Vietnamese university students, which may restrict the generalizability of the findings to other educational and cultural contexts. Second, the cross-sectional research design did not permit the examination of long-term vocabulary retention or causal relationships over time. Third, the study focused primarily on learners’ perceptions rather than objective measures of vocabulary performance. </w:t>
      </w:r>
      <w:r w:rsidR="00760697" w:rsidRPr="00522DAC">
        <w:rPr>
          <w:color w:val="FF0000"/>
        </w:rPr>
        <w:t xml:space="preserve">In addition, the use of convenience sampling through online learning communities may have introduced self-selection bias, as students with greater interest in English learning or short-form video platforms were more likely to participate. The sample was also predominantly female, which may limit the representativeness of the findings across the broader university student population. Furthermore, several constructs, including engagement, repetition, and distraction, were measured using only two observed indicators. Although the reliability coefficients were </w:t>
      </w:r>
      <w:r w:rsidR="00760697" w:rsidRPr="00522DAC">
        <w:rPr>
          <w:color w:val="FF0000"/>
        </w:rPr>
        <w:lastRenderedPageBreak/>
        <w:t>acceptable, these measures may not fully capture the complexity of the underlying constructs. Finally, engagement, repetition, and multimedia elements may partially overlap in authentic short-form video learning environments, despite being operationalized as theoretically distinct constructs in this study.</w:t>
      </w:r>
      <w:r w:rsidR="00522DAC">
        <w:t xml:space="preserve"> </w:t>
      </w:r>
      <w:r w:rsidRPr="00916B27">
        <w:rPr>
          <w:color w:val="000000" w:themeColor="text1"/>
        </w:rPr>
        <w:t>Future studies may therefore employ longitudinal or experimental approaches, incorporate vocabulary testing instruments, and compare multiple social media platforms across diverse learner populations.</w:t>
      </w:r>
    </w:p>
    <w:p w14:paraId="1895B66E" w14:textId="55B96E46" w:rsidR="00582050" w:rsidRPr="00853B47" w:rsidRDefault="00B01DD2" w:rsidP="00853B47">
      <w:pPr>
        <w:pStyle w:val="NormalWeb"/>
        <w:spacing w:before="0" w:beforeAutospacing="0" w:after="120" w:afterAutospacing="0" w:line="480" w:lineRule="auto"/>
        <w:ind w:firstLine="720"/>
        <w:jc w:val="both"/>
        <w:rPr>
          <w:color w:val="000000" w:themeColor="text1"/>
        </w:rPr>
      </w:pPr>
      <w:r w:rsidRPr="00916B27">
        <w:rPr>
          <w:color w:val="000000" w:themeColor="text1"/>
        </w:rPr>
        <w:t>Overall, the study demonstrates that short-form video platforms possess considerable potential for supporting vocabulary acquisition when they facilitate repeated and meaningful exposure to target lexical items. As social media increasingly becomes integrated into language learning practices, understanding the cognitive and pedagogical mechanisms underlying digital vocabulary learning will remain an important area for future research.</w:t>
      </w:r>
    </w:p>
    <w:p w14:paraId="539397BF" w14:textId="77777777" w:rsidR="00B01DD2" w:rsidRPr="00916B27" w:rsidRDefault="00B01DD2" w:rsidP="00F546EB">
      <w:pPr>
        <w:spacing w:before="0" w:after="120" w:line="480" w:lineRule="auto"/>
        <w:jc w:val="center"/>
        <w:rPr>
          <w:rFonts w:cs="Times New Roman"/>
          <w:color w:val="000000" w:themeColor="text1"/>
          <w:sz w:val="24"/>
          <w:szCs w:val="24"/>
        </w:rPr>
      </w:pPr>
      <w:r w:rsidRPr="00916B27">
        <w:rPr>
          <w:rFonts w:cs="Times New Roman"/>
          <w:b/>
          <w:bCs/>
          <w:color w:val="000000" w:themeColor="text1"/>
          <w:sz w:val="24"/>
          <w:szCs w:val="24"/>
        </w:rPr>
        <w:t>REFERENCES</w:t>
      </w:r>
      <w:bookmarkStart w:id="3" w:name="_Hlk229865190"/>
      <w:bookmarkStart w:id="4" w:name="_Hlk229865620"/>
      <w:bookmarkStart w:id="5" w:name="_Hlk229868553"/>
    </w:p>
    <w:p w14:paraId="60316C33"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bookmarkStart w:id="6" w:name="_Hlk229869145"/>
      <w:r w:rsidRPr="00916B27">
        <w:rPr>
          <w:color w:val="000000" w:themeColor="text1"/>
        </w:rPr>
        <w:t xml:space="preserve">Baddeley, A. D. (1997). </w:t>
      </w:r>
      <w:r w:rsidRPr="00916B27">
        <w:rPr>
          <w:rStyle w:val="Emphasis"/>
          <w:rFonts w:eastAsiaTheme="majorEastAsia"/>
          <w:color w:val="000000" w:themeColor="text1"/>
        </w:rPr>
        <w:t>Human memory: Theory and practice</w:t>
      </w:r>
      <w:r w:rsidRPr="00916B27">
        <w:rPr>
          <w:color w:val="000000" w:themeColor="text1"/>
        </w:rPr>
        <w:t xml:space="preserve"> (Rev. ed.). Psychology Press.</w:t>
      </w:r>
    </w:p>
    <w:p w14:paraId="6310DD5B"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Bétrancourt, M., &amp; </w:t>
      </w:r>
      <w:proofErr w:type="spellStart"/>
      <w:r w:rsidRPr="00916B27">
        <w:rPr>
          <w:color w:val="000000" w:themeColor="text1"/>
        </w:rPr>
        <w:t>Benetos</w:t>
      </w:r>
      <w:proofErr w:type="spellEnd"/>
      <w:r w:rsidRPr="00916B27">
        <w:rPr>
          <w:color w:val="000000" w:themeColor="text1"/>
        </w:rPr>
        <w:t xml:space="preserve">, K. (2018). Why and when does instructional video facilitate learning? A commentary to the special issue “Developments and trends in learning with instructional video”. </w:t>
      </w:r>
      <w:r w:rsidRPr="00916B27">
        <w:rPr>
          <w:rStyle w:val="Emphasis"/>
          <w:rFonts w:eastAsiaTheme="majorEastAsia"/>
          <w:color w:val="000000" w:themeColor="text1"/>
        </w:rPr>
        <w:t>Computers in Human Behavior, 89</w:t>
      </w:r>
      <w:r w:rsidRPr="00916B27">
        <w:rPr>
          <w:color w:val="000000" w:themeColor="text1"/>
        </w:rPr>
        <w:t xml:space="preserve">, 471-475. </w:t>
      </w:r>
      <w:hyperlink r:id="rId13" w:history="1">
        <w:r w:rsidRPr="00916B27">
          <w:rPr>
            <w:rStyle w:val="Hyperlink"/>
            <w:rFonts w:eastAsiaTheme="majorEastAsia"/>
            <w:color w:val="000000" w:themeColor="text1"/>
          </w:rPr>
          <w:t>https://doi.org/10.1016/j.chb.2018.08.035</w:t>
        </w:r>
      </w:hyperlink>
    </w:p>
    <w:p w14:paraId="1908DD6E"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Blattner, G., &amp; Fiori, M. (2009). Facebook in the language classroom: Promises and possibilities. </w:t>
      </w:r>
      <w:r w:rsidRPr="00916B27">
        <w:rPr>
          <w:rStyle w:val="Emphasis"/>
          <w:rFonts w:eastAsiaTheme="majorEastAsia"/>
          <w:color w:val="000000" w:themeColor="text1"/>
        </w:rPr>
        <w:t>Instructional Technology and Distance Learning, 6</w:t>
      </w:r>
      <w:r w:rsidRPr="00916B27">
        <w:rPr>
          <w:color w:val="000000" w:themeColor="text1"/>
        </w:rPr>
        <w:t>(1), 17-28.</w:t>
      </w:r>
    </w:p>
    <w:p w14:paraId="0423719F"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Boyd, D. M., &amp; Ellison, N. B. (2007). Social network sites: Definition, history, and scholarship. </w:t>
      </w:r>
      <w:r w:rsidRPr="00916B27">
        <w:rPr>
          <w:rStyle w:val="Emphasis"/>
          <w:rFonts w:eastAsiaTheme="majorEastAsia"/>
          <w:color w:val="000000" w:themeColor="text1"/>
        </w:rPr>
        <w:t>Journal of Computer-Mediated Communication, 13</w:t>
      </w:r>
      <w:r w:rsidRPr="00916B27">
        <w:rPr>
          <w:color w:val="000000" w:themeColor="text1"/>
        </w:rPr>
        <w:t xml:space="preserve">(1), 210–230. </w:t>
      </w:r>
      <w:hyperlink r:id="rId14" w:history="1">
        <w:r w:rsidRPr="00916B27">
          <w:rPr>
            <w:rStyle w:val="Hyperlink"/>
            <w:rFonts w:eastAsiaTheme="majorEastAsia"/>
            <w:color w:val="000000" w:themeColor="text1"/>
          </w:rPr>
          <w:t>https://doi.org/10.1111/j.1083-6101.2007.00393.x</w:t>
        </w:r>
      </w:hyperlink>
    </w:p>
    <w:p w14:paraId="5ECA9E20" w14:textId="77777777" w:rsidR="00B01DD2" w:rsidRPr="00916B27" w:rsidRDefault="00B01DD2" w:rsidP="00853B47">
      <w:pPr>
        <w:pStyle w:val="NormalWeb"/>
        <w:spacing w:before="0" w:beforeAutospacing="0" w:after="120" w:afterAutospacing="0" w:line="480" w:lineRule="auto"/>
        <w:ind w:left="360" w:hanging="360"/>
        <w:jc w:val="both"/>
        <w:rPr>
          <w:color w:val="000000" w:themeColor="text1"/>
        </w:rPr>
      </w:pPr>
      <w:proofErr w:type="spellStart"/>
      <w:r w:rsidRPr="00916B27">
        <w:rPr>
          <w:color w:val="000000" w:themeColor="text1"/>
        </w:rPr>
        <w:t>Buchem</w:t>
      </w:r>
      <w:proofErr w:type="spellEnd"/>
      <w:r w:rsidRPr="00916B27">
        <w:rPr>
          <w:color w:val="000000" w:themeColor="text1"/>
        </w:rPr>
        <w:t xml:space="preserve">, I., &amp; </w:t>
      </w:r>
      <w:proofErr w:type="spellStart"/>
      <w:r w:rsidRPr="00916B27">
        <w:rPr>
          <w:color w:val="000000" w:themeColor="text1"/>
        </w:rPr>
        <w:t>Hamelmann</w:t>
      </w:r>
      <w:proofErr w:type="spellEnd"/>
      <w:r w:rsidRPr="00916B27">
        <w:rPr>
          <w:color w:val="000000" w:themeColor="text1"/>
        </w:rPr>
        <w:t>, H. (2010). Microlearning: A strategy for ongoing professional development. eLearning Papers, 21, 1-15.</w:t>
      </w:r>
    </w:p>
    <w:p w14:paraId="1E2128C3"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lastRenderedPageBreak/>
        <w:t xml:space="preserve">Dizon, G. (2021). Japanese EFL students’ perceptions of TikTok for English learning. </w:t>
      </w:r>
      <w:r w:rsidRPr="00916B27">
        <w:rPr>
          <w:rStyle w:val="Emphasis"/>
          <w:rFonts w:eastAsiaTheme="majorEastAsia"/>
          <w:color w:val="000000" w:themeColor="text1"/>
        </w:rPr>
        <w:t>JALT CALL Journal, 17</w:t>
      </w:r>
      <w:r w:rsidRPr="00916B27">
        <w:rPr>
          <w:color w:val="000000" w:themeColor="text1"/>
        </w:rPr>
        <w:t>(1), 1-16.</w:t>
      </w:r>
    </w:p>
    <w:p w14:paraId="79259355"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Dörnyei, Z., &amp; Ushioda, E. (2011). </w:t>
      </w:r>
      <w:r w:rsidRPr="00916B27">
        <w:rPr>
          <w:rStyle w:val="Emphasis"/>
          <w:rFonts w:eastAsiaTheme="majorEastAsia"/>
          <w:color w:val="000000" w:themeColor="text1"/>
        </w:rPr>
        <w:t>Teaching and researching motivation</w:t>
      </w:r>
      <w:r w:rsidRPr="00916B27">
        <w:rPr>
          <w:color w:val="000000" w:themeColor="text1"/>
        </w:rPr>
        <w:t xml:space="preserve"> (2nd ed.). Routledge.</w:t>
      </w:r>
    </w:p>
    <w:p w14:paraId="3192238F"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Escamilla-Fajardo, P., Alguacil, M., &amp; López-Carril, S. (2021). Incorporating TikTok in higher education: Pedagogical perspectives from a corporal expression sport sciences course. </w:t>
      </w:r>
      <w:r w:rsidRPr="00916B27">
        <w:rPr>
          <w:rStyle w:val="Emphasis"/>
          <w:rFonts w:eastAsiaTheme="majorEastAsia"/>
          <w:color w:val="000000" w:themeColor="text1"/>
        </w:rPr>
        <w:t>Journal of Hospitality, Leisure, Sport &amp; Tourism Education, 28</w:t>
      </w:r>
      <w:r w:rsidRPr="00916B27">
        <w:rPr>
          <w:color w:val="000000" w:themeColor="text1"/>
        </w:rPr>
        <w:t xml:space="preserve">, 100302. </w:t>
      </w:r>
      <w:hyperlink r:id="rId15" w:history="1">
        <w:r w:rsidRPr="00916B27">
          <w:rPr>
            <w:rStyle w:val="Hyperlink"/>
            <w:rFonts w:eastAsiaTheme="majorEastAsia"/>
            <w:color w:val="000000" w:themeColor="text1"/>
          </w:rPr>
          <w:t>https://doi.org/10.1016/j.jhlste.2021.100302</w:t>
        </w:r>
      </w:hyperlink>
    </w:p>
    <w:p w14:paraId="4E6AEC35" w14:textId="77777777" w:rsidR="00B01DD2" w:rsidRPr="00916B27" w:rsidRDefault="00B01DD2" w:rsidP="00853B47">
      <w:pPr>
        <w:pStyle w:val="NormalWeb"/>
        <w:spacing w:before="0" w:beforeAutospacing="0" w:after="120" w:afterAutospacing="0" w:line="480" w:lineRule="auto"/>
        <w:ind w:left="360" w:hanging="360"/>
        <w:jc w:val="both"/>
        <w:rPr>
          <w:color w:val="000000" w:themeColor="text1"/>
        </w:rPr>
      </w:pPr>
      <w:r w:rsidRPr="00916B27">
        <w:rPr>
          <w:color w:val="000000" w:themeColor="text1"/>
        </w:rPr>
        <w:t xml:space="preserve">Firth, J., </w:t>
      </w:r>
      <w:proofErr w:type="spellStart"/>
      <w:r w:rsidRPr="00916B27">
        <w:rPr>
          <w:color w:val="000000" w:themeColor="text1"/>
        </w:rPr>
        <w:t>Torous</w:t>
      </w:r>
      <w:proofErr w:type="spellEnd"/>
      <w:r w:rsidRPr="00916B27">
        <w:rPr>
          <w:color w:val="000000" w:themeColor="text1"/>
        </w:rPr>
        <w:t xml:space="preserve">, J., Nicholas, J., Carney, R., Rosenbaum, S., &amp; Sarris, J. (2019). The “online brain”: How the Internet may be changing our cognition. World Psychiatry, 18(2), 119-129. </w:t>
      </w:r>
      <w:hyperlink r:id="rId16" w:history="1">
        <w:r w:rsidRPr="00916B27">
          <w:rPr>
            <w:rStyle w:val="Hyperlink"/>
            <w:color w:val="000000" w:themeColor="text1"/>
          </w:rPr>
          <w:t>https://doi.org/10.1002/wps.20617</w:t>
        </w:r>
      </w:hyperlink>
    </w:p>
    <w:p w14:paraId="1C712698"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Fredricks, J. A., Blumenfeld, P. C., &amp; Paris, A. H. (2004). School engagement: Potential of the concept, state of evidence. </w:t>
      </w:r>
      <w:r w:rsidRPr="00916B27">
        <w:rPr>
          <w:rStyle w:val="Emphasis"/>
          <w:rFonts w:eastAsiaTheme="majorEastAsia"/>
          <w:color w:val="000000" w:themeColor="text1"/>
        </w:rPr>
        <w:t>Review of Educational Research, 74</w:t>
      </w:r>
      <w:r w:rsidRPr="00916B27">
        <w:rPr>
          <w:color w:val="000000" w:themeColor="text1"/>
        </w:rPr>
        <w:t xml:space="preserve">(1), 59-109. </w:t>
      </w:r>
      <w:hyperlink r:id="rId17" w:history="1">
        <w:r w:rsidRPr="00916B27">
          <w:rPr>
            <w:rStyle w:val="Hyperlink"/>
            <w:rFonts w:eastAsiaTheme="majorEastAsia"/>
            <w:color w:val="000000" w:themeColor="text1"/>
          </w:rPr>
          <w:t>https://doi.org/10.3102/00346543074001059</w:t>
        </w:r>
      </w:hyperlink>
    </w:p>
    <w:p w14:paraId="3BE25356"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Godwin-Jones, R. (2018). Using mobile technology to develop language skills and cultural understanding. </w:t>
      </w:r>
      <w:r w:rsidRPr="00916B27">
        <w:rPr>
          <w:rStyle w:val="Emphasis"/>
          <w:rFonts w:eastAsiaTheme="majorEastAsia"/>
          <w:color w:val="000000" w:themeColor="text1"/>
        </w:rPr>
        <w:t>Language Learning &amp; Technology, 22</w:t>
      </w:r>
      <w:r w:rsidRPr="00916B27">
        <w:rPr>
          <w:color w:val="000000" w:themeColor="text1"/>
        </w:rPr>
        <w:t>(3), 1-17.</w:t>
      </w:r>
    </w:p>
    <w:p w14:paraId="74A3D3F8"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Guo, P. J., Kim, J., &amp; Rubin, R. (2014). How video production affects student engagement: An empirical study of MOOC videos. In </w:t>
      </w:r>
      <w:r w:rsidRPr="00916B27">
        <w:rPr>
          <w:rStyle w:val="Emphasis"/>
          <w:rFonts w:eastAsiaTheme="majorEastAsia"/>
          <w:color w:val="000000" w:themeColor="text1"/>
        </w:rPr>
        <w:t>Proceedings of the First ACM Conference on Learning at Scale Conference</w:t>
      </w:r>
      <w:r w:rsidRPr="00916B27">
        <w:rPr>
          <w:color w:val="000000" w:themeColor="text1"/>
        </w:rPr>
        <w:t xml:space="preserve"> (pp. 41-50). ACM. </w:t>
      </w:r>
      <w:hyperlink r:id="rId18" w:history="1">
        <w:r w:rsidRPr="00916B27">
          <w:rPr>
            <w:rStyle w:val="Hyperlink"/>
            <w:rFonts w:eastAsiaTheme="majorEastAsia"/>
            <w:color w:val="000000" w:themeColor="text1"/>
          </w:rPr>
          <w:t>https://doi.org/10.1145/2556325.2566239</w:t>
        </w:r>
      </w:hyperlink>
    </w:p>
    <w:p w14:paraId="4C07C71B"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Hair, J. F., Black, W. C., Babin, B. J., &amp; Anderson, R. E. (2010). Multivariate data analysis (7th ed.). Pearson.</w:t>
      </w:r>
    </w:p>
    <w:p w14:paraId="616E33F1"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Hamari, J., Koivisto, J., &amp; Sarsa, H. (2016). Does gamification work? A literature review of empirical studies on gamification. In </w:t>
      </w:r>
      <w:r w:rsidRPr="00916B27">
        <w:rPr>
          <w:rStyle w:val="Emphasis"/>
          <w:rFonts w:eastAsiaTheme="majorEastAsia"/>
          <w:color w:val="000000" w:themeColor="text1"/>
        </w:rPr>
        <w:t xml:space="preserve">Proceedings of the 47th Hawaii International </w:t>
      </w:r>
      <w:r w:rsidRPr="00916B27">
        <w:rPr>
          <w:rStyle w:val="Emphasis"/>
          <w:rFonts w:eastAsiaTheme="majorEastAsia"/>
          <w:color w:val="000000" w:themeColor="text1"/>
        </w:rPr>
        <w:lastRenderedPageBreak/>
        <w:t>Conference on System Sciences</w:t>
      </w:r>
      <w:r w:rsidRPr="00916B27">
        <w:rPr>
          <w:color w:val="000000" w:themeColor="text1"/>
        </w:rPr>
        <w:t xml:space="preserve"> (pp. 3025-3034). IEEE. https://doi.org/10.1109/HICSS.2014.377</w:t>
      </w:r>
    </w:p>
    <w:p w14:paraId="5BCB9C49"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Horst, M., Cobb, T., &amp; Meara, P. (1998). Beyond a clockwork orange: Acquiring second language vocabulary through reading. </w:t>
      </w:r>
      <w:r w:rsidRPr="00916B27">
        <w:rPr>
          <w:rStyle w:val="Emphasis"/>
          <w:rFonts w:eastAsiaTheme="majorEastAsia"/>
          <w:color w:val="000000" w:themeColor="text1"/>
        </w:rPr>
        <w:t>Reading in a Foreign Language, 11</w:t>
      </w:r>
      <w:r w:rsidRPr="00916B27">
        <w:rPr>
          <w:color w:val="000000" w:themeColor="text1"/>
        </w:rPr>
        <w:t>(2), 207-223.</w:t>
      </w:r>
    </w:p>
    <w:p w14:paraId="2D378067"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Hug, T. (2005). Micro learning and narration: Exploring possibilities of utilization of narrations and storytelling for the designing of “micro units” and didactical micro-learning arrangements. In </w:t>
      </w:r>
      <w:r w:rsidRPr="00916B27">
        <w:rPr>
          <w:rStyle w:val="Emphasis"/>
          <w:rFonts w:eastAsiaTheme="majorEastAsia"/>
          <w:color w:val="000000" w:themeColor="text1"/>
        </w:rPr>
        <w:t>Proceedings of Media in Transition Conference</w:t>
      </w:r>
      <w:r w:rsidRPr="00916B27">
        <w:rPr>
          <w:color w:val="000000" w:themeColor="text1"/>
        </w:rPr>
        <w:t xml:space="preserve"> (pp. 1-8).</w:t>
      </w:r>
    </w:p>
    <w:p w14:paraId="4545A7C4"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Junco, R., Heiberger, G., &amp; Loken, E. (2011). The effect of Twitter on college student engagement and grades. </w:t>
      </w:r>
      <w:r w:rsidRPr="00916B27">
        <w:rPr>
          <w:rStyle w:val="Emphasis"/>
          <w:rFonts w:eastAsiaTheme="majorEastAsia"/>
          <w:color w:val="000000" w:themeColor="text1"/>
        </w:rPr>
        <w:t>Journal of Computer Assisted Learning, 27</w:t>
      </w:r>
      <w:r w:rsidRPr="00916B27">
        <w:rPr>
          <w:color w:val="000000" w:themeColor="text1"/>
        </w:rPr>
        <w:t xml:space="preserve">(2), 119-132. </w:t>
      </w:r>
      <w:hyperlink r:id="rId19" w:history="1">
        <w:r w:rsidRPr="00916B27">
          <w:rPr>
            <w:rStyle w:val="Hyperlink"/>
            <w:rFonts w:eastAsiaTheme="majorEastAsia"/>
            <w:color w:val="000000" w:themeColor="text1"/>
          </w:rPr>
          <w:t>https://doi.org/10.1111/j.1365-2729.2010.00387.x</w:t>
        </w:r>
      </w:hyperlink>
    </w:p>
    <w:p w14:paraId="1C41D476"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Kabilan, M. K., Ahmad, N., &amp; Abidin, M. J. Z. (2010). Facebook: An online environment for learning of English in institutions of higher education? </w:t>
      </w:r>
      <w:r w:rsidRPr="00916B27">
        <w:rPr>
          <w:rStyle w:val="Emphasis"/>
          <w:rFonts w:eastAsiaTheme="majorEastAsia"/>
          <w:color w:val="000000" w:themeColor="text1"/>
        </w:rPr>
        <w:t>Internet and Higher Education, 13</w:t>
      </w:r>
      <w:r w:rsidRPr="00916B27">
        <w:rPr>
          <w:color w:val="000000" w:themeColor="text1"/>
        </w:rPr>
        <w:t xml:space="preserve">(4), 179-187. </w:t>
      </w:r>
      <w:hyperlink r:id="rId20" w:history="1">
        <w:r w:rsidRPr="00916B27">
          <w:rPr>
            <w:rStyle w:val="Hyperlink"/>
            <w:rFonts w:eastAsiaTheme="majorEastAsia"/>
            <w:color w:val="000000" w:themeColor="text1"/>
          </w:rPr>
          <w:t>https://doi.org/10.1016/j.iheduc.2010.07.003</w:t>
        </w:r>
      </w:hyperlink>
    </w:p>
    <w:p w14:paraId="24806692"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Kaplan, A. M., &amp; Haenlein, M. (2010). Users of the world, unite! The challenges and opportunities of social media. </w:t>
      </w:r>
      <w:r w:rsidRPr="00916B27">
        <w:rPr>
          <w:rStyle w:val="Emphasis"/>
          <w:rFonts w:eastAsiaTheme="majorEastAsia"/>
          <w:color w:val="000000" w:themeColor="text1"/>
        </w:rPr>
        <w:t>Business Horizons, 53</w:t>
      </w:r>
      <w:r w:rsidRPr="00916B27">
        <w:rPr>
          <w:color w:val="000000" w:themeColor="text1"/>
        </w:rPr>
        <w:t xml:space="preserve">(1), 59-68. </w:t>
      </w:r>
      <w:hyperlink r:id="rId21" w:history="1">
        <w:r w:rsidRPr="00916B27">
          <w:rPr>
            <w:rStyle w:val="Hyperlink"/>
            <w:rFonts w:eastAsiaTheme="majorEastAsia"/>
            <w:color w:val="000000" w:themeColor="text1"/>
          </w:rPr>
          <w:t>https://doi.org/10.1016/j.bushor.2009.09.003</w:t>
        </w:r>
      </w:hyperlink>
    </w:p>
    <w:p w14:paraId="6CEBAF40" w14:textId="77777777" w:rsidR="00B01DD2" w:rsidRPr="00916B27" w:rsidRDefault="00B01DD2" w:rsidP="00853B47">
      <w:pPr>
        <w:pStyle w:val="NormalWeb"/>
        <w:spacing w:before="0" w:beforeAutospacing="0" w:after="120" w:afterAutospacing="0" w:line="480" w:lineRule="auto"/>
        <w:ind w:left="360" w:hanging="360"/>
        <w:jc w:val="both"/>
        <w:rPr>
          <w:color w:val="000000" w:themeColor="text1"/>
        </w:rPr>
      </w:pPr>
      <w:r w:rsidRPr="00916B27">
        <w:rPr>
          <w:color w:val="000000" w:themeColor="text1"/>
        </w:rPr>
        <w:t xml:space="preserve">Kaye, D. B. V., Chen, X., &amp; Zeng, J. (2021). The co-evolution of two Chinese mobile short video apps: Parallel </w:t>
      </w:r>
      <w:proofErr w:type="spellStart"/>
      <w:r w:rsidRPr="00916B27">
        <w:rPr>
          <w:color w:val="000000" w:themeColor="text1"/>
        </w:rPr>
        <w:t>platformization</w:t>
      </w:r>
      <w:proofErr w:type="spellEnd"/>
      <w:r w:rsidRPr="00916B27">
        <w:rPr>
          <w:color w:val="000000" w:themeColor="text1"/>
        </w:rPr>
        <w:t xml:space="preserve"> of </w:t>
      </w:r>
      <w:proofErr w:type="spellStart"/>
      <w:r w:rsidRPr="00916B27">
        <w:rPr>
          <w:color w:val="000000" w:themeColor="text1"/>
        </w:rPr>
        <w:t>Douyin</w:t>
      </w:r>
      <w:proofErr w:type="spellEnd"/>
      <w:r w:rsidRPr="00916B27">
        <w:rPr>
          <w:color w:val="000000" w:themeColor="text1"/>
        </w:rPr>
        <w:t xml:space="preserve"> and TikTok. Mobile Media &amp; Communication, 9(2), 229-253. </w:t>
      </w:r>
      <w:hyperlink r:id="rId22" w:history="1">
        <w:r w:rsidRPr="00916B27">
          <w:rPr>
            <w:rStyle w:val="Hyperlink"/>
            <w:color w:val="000000" w:themeColor="text1"/>
          </w:rPr>
          <w:t>https://doi.org/10.1177/2050157920952120</w:t>
        </w:r>
      </w:hyperlink>
    </w:p>
    <w:p w14:paraId="28AF1DA4"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Kirschner, P. A., &amp; Karpinski, A. C. (2010). Facebook and academic performance. </w:t>
      </w:r>
      <w:r w:rsidRPr="00916B27">
        <w:rPr>
          <w:rStyle w:val="Emphasis"/>
          <w:rFonts w:eastAsiaTheme="majorEastAsia"/>
          <w:color w:val="000000" w:themeColor="text1"/>
        </w:rPr>
        <w:t>Computers in Human Behavior, 26</w:t>
      </w:r>
      <w:r w:rsidRPr="00916B27">
        <w:rPr>
          <w:color w:val="000000" w:themeColor="text1"/>
        </w:rPr>
        <w:t xml:space="preserve">(6), 1237-1245. </w:t>
      </w:r>
      <w:hyperlink r:id="rId23" w:history="1">
        <w:r w:rsidRPr="00916B27">
          <w:rPr>
            <w:rStyle w:val="Hyperlink"/>
            <w:rFonts w:eastAsiaTheme="majorEastAsia"/>
            <w:color w:val="000000" w:themeColor="text1"/>
          </w:rPr>
          <w:t>https://doi.org/10.1016/j.chb.2010.03.024</w:t>
        </w:r>
      </w:hyperlink>
    </w:p>
    <w:p w14:paraId="6110EBED"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Lee, L. (2014). Digital news stories: Building language learners’ content knowledge and speaking skills. </w:t>
      </w:r>
      <w:r w:rsidRPr="00916B27">
        <w:rPr>
          <w:rStyle w:val="Emphasis"/>
          <w:rFonts w:eastAsiaTheme="majorEastAsia"/>
          <w:color w:val="000000" w:themeColor="text1"/>
        </w:rPr>
        <w:t>Foreign Language Annals, 47</w:t>
      </w:r>
      <w:r w:rsidRPr="00916B27">
        <w:rPr>
          <w:color w:val="000000" w:themeColor="text1"/>
        </w:rPr>
        <w:t xml:space="preserve">(2), 338-356. </w:t>
      </w:r>
      <w:hyperlink r:id="rId24" w:history="1">
        <w:r w:rsidRPr="00916B27">
          <w:rPr>
            <w:rStyle w:val="Hyperlink"/>
            <w:rFonts w:eastAsiaTheme="majorEastAsia"/>
            <w:color w:val="000000" w:themeColor="text1"/>
          </w:rPr>
          <w:t>https://doi.org/10.1111/flan.12084</w:t>
        </w:r>
      </w:hyperlink>
    </w:p>
    <w:p w14:paraId="6137CAA6"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proofErr w:type="spellStart"/>
      <w:r w:rsidRPr="00916B27">
        <w:rPr>
          <w:color w:val="000000" w:themeColor="text1"/>
        </w:rPr>
        <w:lastRenderedPageBreak/>
        <w:t>Lomicka</w:t>
      </w:r>
      <w:proofErr w:type="spellEnd"/>
      <w:r w:rsidRPr="00916B27">
        <w:rPr>
          <w:color w:val="000000" w:themeColor="text1"/>
        </w:rPr>
        <w:t xml:space="preserve">, L., &amp; Lord, G. (2016). </w:t>
      </w:r>
      <w:r w:rsidRPr="00916B27">
        <w:rPr>
          <w:rStyle w:val="Emphasis"/>
          <w:rFonts w:eastAsiaTheme="majorEastAsia"/>
          <w:color w:val="000000" w:themeColor="text1"/>
        </w:rPr>
        <w:t>Social networking and language education</w:t>
      </w:r>
      <w:r w:rsidRPr="00916B27">
        <w:rPr>
          <w:color w:val="000000" w:themeColor="text1"/>
        </w:rPr>
        <w:t>. Palgrave Macmillan.</w:t>
      </w:r>
    </w:p>
    <w:p w14:paraId="34661D32" w14:textId="77777777" w:rsidR="00B01DD2" w:rsidRPr="00916B27" w:rsidRDefault="00B01DD2" w:rsidP="00853B47">
      <w:pPr>
        <w:pStyle w:val="isselectedend"/>
        <w:spacing w:before="0" w:beforeAutospacing="0" w:after="120" w:afterAutospacing="0" w:line="480" w:lineRule="auto"/>
        <w:ind w:left="360" w:hanging="360"/>
        <w:jc w:val="both"/>
        <w:rPr>
          <w:rStyle w:val="Hyperlink"/>
          <w:color w:val="000000" w:themeColor="text1"/>
        </w:rPr>
      </w:pPr>
      <w:r w:rsidRPr="00916B27">
        <w:rPr>
          <w:color w:val="000000" w:themeColor="text1"/>
        </w:rPr>
        <w:t xml:space="preserve">Manca, S., &amp; Ranieri, M. (2016). Facebook and the others: Potentials and obstacles of social media for teaching in higher education. </w:t>
      </w:r>
      <w:r w:rsidRPr="00916B27">
        <w:rPr>
          <w:rStyle w:val="Emphasis"/>
          <w:rFonts w:eastAsiaTheme="majorEastAsia"/>
          <w:color w:val="000000" w:themeColor="text1"/>
        </w:rPr>
        <w:t>Computers &amp; Education, 95</w:t>
      </w:r>
      <w:r w:rsidRPr="00916B27">
        <w:rPr>
          <w:color w:val="000000" w:themeColor="text1"/>
        </w:rPr>
        <w:t xml:space="preserve">, 216-230. </w:t>
      </w:r>
      <w:hyperlink r:id="rId25" w:history="1">
        <w:r w:rsidRPr="00916B27">
          <w:rPr>
            <w:rStyle w:val="Hyperlink"/>
            <w:rFonts w:eastAsiaTheme="majorEastAsia"/>
            <w:color w:val="000000" w:themeColor="text1"/>
          </w:rPr>
          <w:t>https://doi.org/10.1016/j.compedu.2016.01.012</w:t>
        </w:r>
      </w:hyperlink>
    </w:p>
    <w:p w14:paraId="4C7AC74D"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Mayer, R. E. (2009). Multimedia learning (2nd ed.). Cambridge University Press.</w:t>
      </w:r>
    </w:p>
    <w:p w14:paraId="1D3CC165"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Montero Perez, M., Peters, E., </w:t>
      </w:r>
      <w:proofErr w:type="spellStart"/>
      <w:r w:rsidRPr="00916B27">
        <w:rPr>
          <w:color w:val="000000" w:themeColor="text1"/>
        </w:rPr>
        <w:t>Clarebout</w:t>
      </w:r>
      <w:proofErr w:type="spellEnd"/>
      <w:r w:rsidRPr="00916B27">
        <w:rPr>
          <w:color w:val="000000" w:themeColor="text1"/>
        </w:rPr>
        <w:t xml:space="preserve">, G., &amp; Desmet, P. (2014). Effects of captioning on video comprehension and incidental vocabulary learning. </w:t>
      </w:r>
      <w:r w:rsidRPr="00916B27">
        <w:rPr>
          <w:rStyle w:val="Emphasis"/>
          <w:rFonts w:eastAsiaTheme="majorEastAsia"/>
          <w:color w:val="000000" w:themeColor="text1"/>
        </w:rPr>
        <w:t>Language Learning &amp; Technology, 18</w:t>
      </w:r>
      <w:r w:rsidRPr="00916B27">
        <w:rPr>
          <w:color w:val="000000" w:themeColor="text1"/>
        </w:rPr>
        <w:t>(1), 118-141.</w:t>
      </w:r>
    </w:p>
    <w:p w14:paraId="3ED41329"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Nation, I. S. P. (2001). Learning vocabulary in another language. Cambridge University Press.</w:t>
      </w:r>
    </w:p>
    <w:p w14:paraId="68EFF312"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Nunnally, J. C., &amp; Bernstein, I. H. (1994). Psychometric theory (3rd ed.). McGraw-Hill.</w:t>
      </w:r>
    </w:p>
    <w:p w14:paraId="584CD7F3"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Ophir, E., Nass, C., &amp; Wagner, A. D. (2009). Cognitive control in media multitaskers. </w:t>
      </w:r>
      <w:r w:rsidRPr="00916B27">
        <w:rPr>
          <w:rStyle w:val="Emphasis"/>
          <w:rFonts w:eastAsiaTheme="majorEastAsia"/>
          <w:color w:val="000000" w:themeColor="text1"/>
        </w:rPr>
        <w:t>Proceedings of the National Academy of Sciences, 106</w:t>
      </w:r>
      <w:r w:rsidRPr="00916B27">
        <w:rPr>
          <w:color w:val="000000" w:themeColor="text1"/>
        </w:rPr>
        <w:t xml:space="preserve">(37), 15583–15587. </w:t>
      </w:r>
      <w:hyperlink r:id="rId26" w:history="1">
        <w:r w:rsidRPr="00916B27">
          <w:rPr>
            <w:rStyle w:val="Hyperlink"/>
            <w:rFonts w:eastAsiaTheme="majorEastAsia"/>
            <w:color w:val="000000" w:themeColor="text1"/>
          </w:rPr>
          <w:t>https://doi.org/10.1073/pnas.0903620106</w:t>
        </w:r>
      </w:hyperlink>
    </w:p>
    <w:p w14:paraId="17055A06"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proofErr w:type="spellStart"/>
      <w:r w:rsidRPr="00916B27">
        <w:rPr>
          <w:color w:val="000000" w:themeColor="text1"/>
        </w:rPr>
        <w:t>Paas</w:t>
      </w:r>
      <w:proofErr w:type="spellEnd"/>
      <w:r w:rsidRPr="00916B27">
        <w:rPr>
          <w:color w:val="000000" w:themeColor="text1"/>
        </w:rPr>
        <w:t xml:space="preserve">, F., &amp; </w:t>
      </w:r>
      <w:proofErr w:type="spellStart"/>
      <w:r w:rsidRPr="00916B27">
        <w:rPr>
          <w:color w:val="000000" w:themeColor="text1"/>
        </w:rPr>
        <w:t>Sweller</w:t>
      </w:r>
      <w:proofErr w:type="spellEnd"/>
      <w:r w:rsidRPr="00916B27">
        <w:rPr>
          <w:color w:val="000000" w:themeColor="text1"/>
        </w:rPr>
        <w:t xml:space="preserve">, J. (2014). Implications of cognitive load theory for multimedia learning. In R. E. Mayer (Ed.), </w:t>
      </w:r>
      <w:r w:rsidRPr="00916B27">
        <w:rPr>
          <w:rStyle w:val="Emphasis"/>
          <w:rFonts w:eastAsiaTheme="majorEastAsia"/>
          <w:color w:val="000000" w:themeColor="text1"/>
        </w:rPr>
        <w:t>The Cambridge handbook of multimedia learning</w:t>
      </w:r>
      <w:r w:rsidRPr="00916B27">
        <w:rPr>
          <w:color w:val="000000" w:themeColor="text1"/>
        </w:rPr>
        <w:t xml:space="preserve"> (2nd ed., pp. 27-42). Cambridge University Press.</w:t>
      </w:r>
    </w:p>
    <w:p w14:paraId="435B5C5D"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proofErr w:type="spellStart"/>
      <w:r w:rsidRPr="00916B27">
        <w:rPr>
          <w:color w:val="000000" w:themeColor="text1"/>
        </w:rPr>
        <w:t>Paivio</w:t>
      </w:r>
      <w:proofErr w:type="spellEnd"/>
      <w:r w:rsidRPr="00916B27">
        <w:rPr>
          <w:color w:val="000000" w:themeColor="text1"/>
        </w:rPr>
        <w:t xml:space="preserve">, A. (1991). Dual coding theory: Retrospect and current status. </w:t>
      </w:r>
      <w:r w:rsidRPr="00916B27">
        <w:rPr>
          <w:rStyle w:val="Emphasis"/>
          <w:rFonts w:eastAsiaTheme="majorEastAsia"/>
          <w:color w:val="000000" w:themeColor="text1"/>
        </w:rPr>
        <w:t>Canadian Journal of Psychology, 45</w:t>
      </w:r>
      <w:r w:rsidRPr="00916B27">
        <w:rPr>
          <w:color w:val="000000" w:themeColor="text1"/>
        </w:rPr>
        <w:t xml:space="preserve">(3), 255-287. </w:t>
      </w:r>
      <w:hyperlink r:id="rId27" w:history="1">
        <w:r w:rsidRPr="00916B27">
          <w:rPr>
            <w:rStyle w:val="Hyperlink"/>
            <w:rFonts w:eastAsiaTheme="majorEastAsia"/>
            <w:color w:val="000000" w:themeColor="text1"/>
          </w:rPr>
          <w:t>https://doi.org/10.1037/h0084295</w:t>
        </w:r>
      </w:hyperlink>
    </w:p>
    <w:p w14:paraId="22F340DE"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Pellicer-Sánchez, A., &amp; Schmitt, N. (2010). Incidental vocabulary acquisition from an authentic novel. </w:t>
      </w:r>
      <w:r w:rsidRPr="00916B27">
        <w:rPr>
          <w:rStyle w:val="Emphasis"/>
          <w:rFonts w:eastAsiaTheme="majorEastAsia"/>
          <w:color w:val="000000" w:themeColor="text1"/>
        </w:rPr>
        <w:t>Reading in a Foreign Language, 22</w:t>
      </w:r>
      <w:r w:rsidRPr="00916B27">
        <w:rPr>
          <w:color w:val="000000" w:themeColor="text1"/>
        </w:rPr>
        <w:t>(1), 31-55.</w:t>
      </w:r>
    </w:p>
    <w:p w14:paraId="690C3965"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lastRenderedPageBreak/>
        <w:t xml:space="preserve">Peters, E., &amp; Webb, S. (2018). Incidental vocabulary acquisition through viewing L2 television and factors that affect learning. </w:t>
      </w:r>
      <w:r w:rsidRPr="00916B27">
        <w:rPr>
          <w:rStyle w:val="Emphasis"/>
          <w:rFonts w:eastAsiaTheme="majorEastAsia"/>
          <w:color w:val="000000" w:themeColor="text1"/>
        </w:rPr>
        <w:t>Studies in Second Language Acquisition, 40</w:t>
      </w:r>
      <w:r w:rsidRPr="00916B27">
        <w:rPr>
          <w:color w:val="000000" w:themeColor="text1"/>
        </w:rPr>
        <w:t xml:space="preserve">(3), 551-577. </w:t>
      </w:r>
      <w:hyperlink r:id="rId28" w:history="1">
        <w:r w:rsidRPr="00916B27">
          <w:rPr>
            <w:rStyle w:val="Hyperlink"/>
            <w:rFonts w:eastAsiaTheme="majorEastAsia"/>
            <w:color w:val="000000" w:themeColor="text1"/>
          </w:rPr>
          <w:t>https://doi.org/10.1017/S0272263117000407</w:t>
        </w:r>
      </w:hyperlink>
    </w:p>
    <w:p w14:paraId="1502D31A"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Reinhardt, J. (2019). Social media in second and foreign language teaching and learning. </w:t>
      </w:r>
      <w:r w:rsidRPr="00916B27">
        <w:rPr>
          <w:rStyle w:val="Emphasis"/>
          <w:rFonts w:eastAsiaTheme="majorEastAsia"/>
          <w:color w:val="000000" w:themeColor="text1"/>
        </w:rPr>
        <w:t>Language Teaching, 52</w:t>
      </w:r>
      <w:r w:rsidRPr="00916B27">
        <w:rPr>
          <w:color w:val="000000" w:themeColor="text1"/>
        </w:rPr>
        <w:t xml:space="preserve">(1), 1-39. </w:t>
      </w:r>
      <w:hyperlink r:id="rId29" w:history="1">
        <w:r w:rsidRPr="00916B27">
          <w:rPr>
            <w:rStyle w:val="Hyperlink"/>
            <w:rFonts w:eastAsiaTheme="majorEastAsia"/>
            <w:color w:val="000000" w:themeColor="text1"/>
          </w:rPr>
          <w:t>https://doi.org/10.1017/S0261444818000356</w:t>
        </w:r>
      </w:hyperlink>
    </w:p>
    <w:p w14:paraId="28694624"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Rosen, L. D., Carrier, L. M., &amp; Cheever, N. A. (2013). Facebook and texting made me do it: Media-induced task-switching while studying. </w:t>
      </w:r>
      <w:r w:rsidRPr="00916B27">
        <w:rPr>
          <w:rStyle w:val="Emphasis"/>
          <w:rFonts w:eastAsiaTheme="majorEastAsia"/>
          <w:color w:val="000000" w:themeColor="text1"/>
        </w:rPr>
        <w:t>Computers in Human Behavior, 29</w:t>
      </w:r>
      <w:r w:rsidRPr="00916B27">
        <w:rPr>
          <w:color w:val="000000" w:themeColor="text1"/>
        </w:rPr>
        <w:t xml:space="preserve">(3), 948-958. </w:t>
      </w:r>
      <w:hyperlink r:id="rId30" w:history="1">
        <w:r w:rsidRPr="00916B27">
          <w:rPr>
            <w:rStyle w:val="Hyperlink"/>
            <w:rFonts w:eastAsiaTheme="majorEastAsia"/>
            <w:color w:val="000000" w:themeColor="text1"/>
          </w:rPr>
          <w:t>https://doi.org/10.1016/j.chb.2012.12.001</w:t>
        </w:r>
      </w:hyperlink>
    </w:p>
    <w:p w14:paraId="69B4A7AC"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Schmitt, N. (2010). </w:t>
      </w:r>
      <w:r w:rsidRPr="00916B27">
        <w:rPr>
          <w:rStyle w:val="Emphasis"/>
          <w:rFonts w:eastAsiaTheme="majorEastAsia"/>
          <w:color w:val="000000" w:themeColor="text1"/>
        </w:rPr>
        <w:t>Researching vocabulary: A vocabulary research manual</w:t>
      </w:r>
      <w:r w:rsidRPr="00916B27">
        <w:rPr>
          <w:color w:val="000000" w:themeColor="text1"/>
        </w:rPr>
        <w:t>. Palgrave Macmillan.</w:t>
      </w:r>
    </w:p>
    <w:bookmarkEnd w:id="3"/>
    <w:bookmarkEnd w:id="4"/>
    <w:p w14:paraId="52914E18"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Skinner, E. A., &amp; Pitzer, J. R. (2012). Developmental dynamics of student engagement. In S. Christenson et al. (Eds.), </w:t>
      </w:r>
      <w:r w:rsidRPr="00916B27">
        <w:rPr>
          <w:rStyle w:val="Emphasis"/>
          <w:rFonts w:eastAsiaTheme="majorEastAsia"/>
          <w:color w:val="000000" w:themeColor="text1"/>
        </w:rPr>
        <w:t>Handbook of research on student engagement</w:t>
      </w:r>
      <w:r w:rsidRPr="00916B27">
        <w:rPr>
          <w:color w:val="000000" w:themeColor="text1"/>
        </w:rPr>
        <w:t xml:space="preserve"> (pp. 21-44). Springer.</w:t>
      </w:r>
    </w:p>
    <w:p w14:paraId="2B6DDC0A"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proofErr w:type="spellStart"/>
      <w:r w:rsidRPr="00916B27">
        <w:rPr>
          <w:color w:val="000000" w:themeColor="text1"/>
        </w:rPr>
        <w:t>Sweller</w:t>
      </w:r>
      <w:proofErr w:type="spellEnd"/>
      <w:r w:rsidRPr="00916B27">
        <w:rPr>
          <w:color w:val="000000" w:themeColor="text1"/>
        </w:rPr>
        <w:t xml:space="preserve">, J. (1988). Cognitive load during problem solving: Effects on learning. </w:t>
      </w:r>
      <w:r w:rsidRPr="00916B27">
        <w:rPr>
          <w:rStyle w:val="Emphasis"/>
          <w:rFonts w:eastAsiaTheme="majorEastAsia"/>
          <w:color w:val="000000" w:themeColor="text1"/>
        </w:rPr>
        <w:t>Cognitive Science, 12</w:t>
      </w:r>
      <w:r w:rsidRPr="00916B27">
        <w:rPr>
          <w:color w:val="000000" w:themeColor="text1"/>
        </w:rPr>
        <w:t xml:space="preserve">(2), 257-285. </w:t>
      </w:r>
      <w:hyperlink r:id="rId31" w:history="1">
        <w:r w:rsidRPr="00916B27">
          <w:rPr>
            <w:rStyle w:val="Hyperlink"/>
            <w:rFonts w:eastAsiaTheme="majorEastAsia"/>
            <w:color w:val="000000" w:themeColor="text1"/>
          </w:rPr>
          <w:t>https://doi.org/10.1207/s15516709cog1202_4</w:t>
        </w:r>
      </w:hyperlink>
    </w:p>
    <w:p w14:paraId="309F45FF"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proofErr w:type="spellStart"/>
      <w:r w:rsidRPr="00916B27">
        <w:rPr>
          <w:color w:val="000000" w:themeColor="text1"/>
        </w:rPr>
        <w:t>Sweller</w:t>
      </w:r>
      <w:proofErr w:type="spellEnd"/>
      <w:r w:rsidRPr="00916B27">
        <w:rPr>
          <w:color w:val="000000" w:themeColor="text1"/>
        </w:rPr>
        <w:t xml:space="preserve">, J., Ayres, P., &amp; </w:t>
      </w:r>
      <w:proofErr w:type="spellStart"/>
      <w:r w:rsidRPr="00916B27">
        <w:rPr>
          <w:color w:val="000000" w:themeColor="text1"/>
        </w:rPr>
        <w:t>Kalyuga</w:t>
      </w:r>
      <w:proofErr w:type="spellEnd"/>
      <w:r w:rsidRPr="00916B27">
        <w:rPr>
          <w:color w:val="000000" w:themeColor="text1"/>
        </w:rPr>
        <w:t xml:space="preserve">, S. (2011). </w:t>
      </w:r>
      <w:r w:rsidRPr="00916B27">
        <w:rPr>
          <w:rStyle w:val="Emphasis"/>
          <w:rFonts w:eastAsiaTheme="majorEastAsia"/>
          <w:color w:val="000000" w:themeColor="text1"/>
        </w:rPr>
        <w:t>Cognitive load theory</w:t>
      </w:r>
      <w:r w:rsidRPr="00916B27">
        <w:rPr>
          <w:color w:val="000000" w:themeColor="text1"/>
        </w:rPr>
        <w:t>. Springer.</w:t>
      </w:r>
    </w:p>
    <w:p w14:paraId="694D23B9"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proofErr w:type="spellStart"/>
      <w:r w:rsidRPr="00916B27">
        <w:rPr>
          <w:color w:val="000000" w:themeColor="text1"/>
        </w:rPr>
        <w:t>Vanderplank</w:t>
      </w:r>
      <w:proofErr w:type="spellEnd"/>
      <w:r w:rsidRPr="00916B27">
        <w:rPr>
          <w:color w:val="000000" w:themeColor="text1"/>
        </w:rPr>
        <w:t xml:space="preserve">, R. (2016). </w:t>
      </w:r>
      <w:r w:rsidRPr="00916B27">
        <w:rPr>
          <w:rStyle w:val="Emphasis"/>
          <w:rFonts w:eastAsiaTheme="majorEastAsia"/>
          <w:color w:val="000000" w:themeColor="text1"/>
        </w:rPr>
        <w:t>Captioned media in foreign language learning and teaching</w:t>
      </w:r>
      <w:r w:rsidRPr="00916B27">
        <w:rPr>
          <w:color w:val="000000" w:themeColor="text1"/>
        </w:rPr>
        <w:t>. Palgrave Macmillan.</w:t>
      </w:r>
    </w:p>
    <w:bookmarkEnd w:id="5"/>
    <w:p w14:paraId="4F60531D"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Vygotsky, L. S. (1978). </w:t>
      </w:r>
      <w:r w:rsidRPr="00916B27">
        <w:rPr>
          <w:rStyle w:val="Emphasis"/>
          <w:rFonts w:eastAsiaTheme="majorEastAsia"/>
          <w:color w:val="000000" w:themeColor="text1"/>
        </w:rPr>
        <w:t>Mind in society: The development of higher psychological processes</w:t>
      </w:r>
      <w:r w:rsidRPr="00916B27">
        <w:rPr>
          <w:color w:val="000000" w:themeColor="text1"/>
        </w:rPr>
        <w:t>. Harvard University Press.</w:t>
      </w:r>
    </w:p>
    <w:p w14:paraId="3D615062"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t xml:space="preserve">Waring, R., &amp; Takaki, M. (2003). At what rate do learners learn and retain new vocabulary from reading a graded reader? </w:t>
      </w:r>
      <w:r w:rsidRPr="00916B27">
        <w:rPr>
          <w:rStyle w:val="Emphasis"/>
          <w:rFonts w:eastAsiaTheme="majorEastAsia"/>
          <w:color w:val="000000" w:themeColor="text1"/>
        </w:rPr>
        <w:t>Reading in a Foreign Language, 15</w:t>
      </w:r>
      <w:r w:rsidRPr="00916B27">
        <w:rPr>
          <w:color w:val="000000" w:themeColor="text1"/>
        </w:rPr>
        <w:t>(2), 130-163.</w:t>
      </w:r>
    </w:p>
    <w:p w14:paraId="59559911" w14:textId="77777777" w:rsidR="00B01DD2" w:rsidRPr="00916B27" w:rsidRDefault="00B01DD2" w:rsidP="00853B47">
      <w:pPr>
        <w:pStyle w:val="isselectedend"/>
        <w:spacing w:before="0" w:beforeAutospacing="0" w:after="120" w:afterAutospacing="0" w:line="480" w:lineRule="auto"/>
        <w:ind w:left="360" w:hanging="360"/>
        <w:jc w:val="both"/>
        <w:rPr>
          <w:color w:val="000000" w:themeColor="text1"/>
        </w:rPr>
      </w:pPr>
      <w:r w:rsidRPr="00916B27">
        <w:rPr>
          <w:color w:val="000000" w:themeColor="text1"/>
        </w:rPr>
        <w:lastRenderedPageBreak/>
        <w:t xml:space="preserve">Webb, S. (2007). The effects of repetition on vocabulary knowledge. </w:t>
      </w:r>
      <w:r w:rsidRPr="00916B27">
        <w:rPr>
          <w:rStyle w:val="Emphasis"/>
          <w:rFonts w:eastAsiaTheme="majorEastAsia"/>
          <w:color w:val="000000" w:themeColor="text1"/>
        </w:rPr>
        <w:t>Applied Linguistics, 28</w:t>
      </w:r>
      <w:r w:rsidRPr="00916B27">
        <w:rPr>
          <w:color w:val="000000" w:themeColor="text1"/>
        </w:rPr>
        <w:t xml:space="preserve">(1), 46-65. </w:t>
      </w:r>
      <w:hyperlink r:id="rId32" w:history="1">
        <w:r w:rsidRPr="00916B27">
          <w:rPr>
            <w:rStyle w:val="Hyperlink"/>
            <w:rFonts w:eastAsiaTheme="majorEastAsia"/>
            <w:color w:val="000000" w:themeColor="text1"/>
          </w:rPr>
          <w:t>https://doi.org/10.1093/applin/aml048</w:t>
        </w:r>
      </w:hyperlink>
    </w:p>
    <w:p w14:paraId="35416225" w14:textId="5C3CBD9C" w:rsidR="00B01DD2" w:rsidRPr="00D5074E" w:rsidRDefault="00B01DD2" w:rsidP="00853B47">
      <w:pPr>
        <w:pStyle w:val="NormalWeb"/>
        <w:spacing w:before="0" w:beforeAutospacing="0" w:after="120" w:afterAutospacing="0" w:line="480" w:lineRule="auto"/>
        <w:ind w:left="360" w:hanging="360"/>
        <w:jc w:val="both"/>
        <w:rPr>
          <w:color w:val="000000" w:themeColor="text1"/>
        </w:rPr>
      </w:pPr>
      <w:r w:rsidRPr="00916B27">
        <w:rPr>
          <w:color w:val="000000" w:themeColor="text1"/>
        </w:rPr>
        <w:t xml:space="preserve">Webb, S., &amp; Nation, I. S. P. (2017). </w:t>
      </w:r>
      <w:r w:rsidRPr="00916B27">
        <w:rPr>
          <w:rStyle w:val="Emphasis"/>
          <w:rFonts w:eastAsiaTheme="majorEastAsia"/>
          <w:color w:val="000000" w:themeColor="text1"/>
        </w:rPr>
        <w:t>How vocabulary is learned</w:t>
      </w:r>
      <w:r w:rsidRPr="00916B27">
        <w:rPr>
          <w:color w:val="000000" w:themeColor="text1"/>
        </w:rPr>
        <w:t>. Oxford University Press.</w:t>
      </w:r>
      <w:bookmarkEnd w:id="6"/>
    </w:p>
    <w:p w14:paraId="058DF187" w14:textId="77777777" w:rsidR="002334D9" w:rsidRPr="00D5074E" w:rsidRDefault="002334D9" w:rsidP="00D5074E">
      <w:pPr>
        <w:pStyle w:val="RALs-ReferencesList"/>
        <w:spacing w:before="0" w:after="120" w:line="480" w:lineRule="auto"/>
        <w:rPr>
          <w:rFonts w:eastAsiaTheme="minorHAnsi" w:cs="Times New Roman"/>
          <w:b/>
          <w:bCs/>
          <w:sz w:val="24"/>
          <w:szCs w:val="24"/>
        </w:rPr>
      </w:pPr>
      <w:bookmarkStart w:id="7" w:name="_Hlk230265680"/>
      <w:proofErr w:type="spellStart"/>
      <w:r w:rsidRPr="00D5074E">
        <w:rPr>
          <w:rFonts w:eastAsiaTheme="minorHAnsi" w:cs="Times New Roman"/>
          <w:b/>
          <w:bCs/>
          <w:sz w:val="24"/>
          <w:szCs w:val="24"/>
        </w:rPr>
        <w:t>Bionote</w:t>
      </w:r>
      <w:proofErr w:type="spellEnd"/>
    </w:p>
    <w:p w14:paraId="4DB074E9" w14:textId="3E29D4D7" w:rsidR="00D5074E" w:rsidRDefault="00D5074E" w:rsidP="00E5015D">
      <w:pPr>
        <w:spacing w:before="0" w:after="120" w:line="480" w:lineRule="auto"/>
        <w:rPr>
          <w:sz w:val="24"/>
          <w:szCs w:val="24"/>
        </w:rPr>
      </w:pPr>
      <w:r w:rsidRPr="00E5015D">
        <w:rPr>
          <w:rFonts w:cs="Times New Roman"/>
          <w:bCs/>
          <w:color w:val="000000" w:themeColor="text1"/>
          <w:sz w:val="24"/>
          <w:szCs w:val="24"/>
          <w:vertAlign w:val="superscript"/>
        </w:rPr>
        <w:t>1</w:t>
      </w:r>
      <w:r w:rsidRPr="00D5074E">
        <w:rPr>
          <w:sz w:val="24"/>
          <w:szCs w:val="24"/>
        </w:rPr>
        <w:t xml:space="preserve">Nguyen </w:t>
      </w:r>
      <w:proofErr w:type="spellStart"/>
      <w:r w:rsidRPr="00D5074E">
        <w:rPr>
          <w:sz w:val="24"/>
          <w:szCs w:val="24"/>
        </w:rPr>
        <w:t>Thi</w:t>
      </w:r>
      <w:proofErr w:type="spellEnd"/>
      <w:r w:rsidRPr="00D5074E">
        <w:rPr>
          <w:sz w:val="24"/>
          <w:szCs w:val="24"/>
        </w:rPr>
        <w:t xml:space="preserve"> </w:t>
      </w:r>
      <w:proofErr w:type="spellStart"/>
      <w:r w:rsidRPr="00D5074E">
        <w:rPr>
          <w:sz w:val="24"/>
          <w:szCs w:val="24"/>
        </w:rPr>
        <w:t>Nuong</w:t>
      </w:r>
      <w:proofErr w:type="spellEnd"/>
      <w:r w:rsidRPr="00D5074E">
        <w:rPr>
          <w:sz w:val="24"/>
          <w:szCs w:val="24"/>
        </w:rPr>
        <w:t xml:space="preserve"> holds a PhD in Linguistics and is currently a lecturer at the Academy of Policy and Development, Viet Nam. She has over 18 years of experience in teaching, academic management, and professional development training for primary school teachers. Her teaching areas include General English, ESP, Business English, translation, communicative skills, linguistics, and intercultural communication. Her researches focus on applied linguistics, technology-enhanced language learning, digital transformation in higher education, foreign language teaching methodology, translation studies, and learner autonomy development.</w:t>
      </w:r>
    </w:p>
    <w:bookmarkEnd w:id="7"/>
    <w:p w14:paraId="19FFA4A8" w14:textId="2390B130" w:rsidR="00E5015D" w:rsidRPr="00E5015D" w:rsidRDefault="00E5015D" w:rsidP="00E5015D">
      <w:pPr>
        <w:spacing w:line="480" w:lineRule="auto"/>
        <w:rPr>
          <w:rFonts w:eastAsia="Calibri"/>
          <w:sz w:val="24"/>
          <w:szCs w:val="24"/>
        </w:rPr>
      </w:pPr>
      <w:r w:rsidRPr="00E5015D">
        <w:rPr>
          <w:rFonts w:cs="Times New Roman"/>
          <w:bCs/>
          <w:color w:val="000000" w:themeColor="text1"/>
          <w:sz w:val="24"/>
          <w:szCs w:val="24"/>
          <w:vertAlign w:val="superscript"/>
        </w:rPr>
        <w:t>2</w:t>
      </w:r>
      <w:r w:rsidRPr="00E5015D">
        <w:rPr>
          <w:rFonts w:eastAsia="Calibri"/>
          <w:sz w:val="24"/>
          <w:szCs w:val="24"/>
        </w:rPr>
        <w:t xml:space="preserve">Phan </w:t>
      </w:r>
      <w:proofErr w:type="spellStart"/>
      <w:r w:rsidRPr="00E5015D">
        <w:rPr>
          <w:rFonts w:eastAsia="Calibri"/>
          <w:sz w:val="24"/>
          <w:szCs w:val="24"/>
        </w:rPr>
        <w:t>Thi</w:t>
      </w:r>
      <w:proofErr w:type="spellEnd"/>
      <w:r w:rsidRPr="00E5015D">
        <w:rPr>
          <w:rFonts w:eastAsia="Calibri"/>
          <w:sz w:val="24"/>
          <w:szCs w:val="24"/>
        </w:rPr>
        <w:t xml:space="preserve"> Thanh Tam holds a Master’s degree and is currently a lecturer at the University of </w:t>
      </w:r>
      <w:proofErr w:type="spellStart"/>
      <w:r w:rsidRPr="00E5015D">
        <w:rPr>
          <w:rFonts w:eastAsia="Calibri"/>
          <w:sz w:val="24"/>
          <w:szCs w:val="24"/>
        </w:rPr>
        <w:t>Labour</w:t>
      </w:r>
      <w:proofErr w:type="spellEnd"/>
      <w:r w:rsidRPr="00E5015D">
        <w:rPr>
          <w:rFonts w:eastAsia="Calibri"/>
          <w:sz w:val="24"/>
          <w:szCs w:val="24"/>
        </w:rPr>
        <w:t xml:space="preserve"> and Social Affairs, Viet Nam. She has over 25 years of experience in teaching and academic work. Throughout her career, she has been actively involved in teaching English language courses and developing innovative teaching methodologies. She has also contributed to academic research with several scientific publications in reputable national journals. Her research interests mainly focus on English language studies, language teaching methodologies, and innovations in foreign language education.</w:t>
      </w:r>
    </w:p>
    <w:p w14:paraId="5D11EBCA" w14:textId="7E05E60D" w:rsidR="00E5015D" w:rsidRDefault="00E5015D" w:rsidP="00E5015D">
      <w:pPr>
        <w:spacing w:line="480" w:lineRule="auto"/>
        <w:rPr>
          <w:sz w:val="24"/>
          <w:szCs w:val="24"/>
        </w:rPr>
      </w:pPr>
      <w:r>
        <w:rPr>
          <w:rFonts w:cs="Times New Roman"/>
          <w:bCs/>
          <w:color w:val="000000" w:themeColor="text1"/>
          <w:sz w:val="24"/>
          <w:szCs w:val="24"/>
          <w:vertAlign w:val="superscript"/>
        </w:rPr>
        <w:t>3</w:t>
      </w:r>
      <w:r w:rsidRPr="00E5015D">
        <w:rPr>
          <w:sz w:val="24"/>
          <w:szCs w:val="24"/>
        </w:rPr>
        <w:t xml:space="preserve">Dung Thanh Nguyen is a teacher of English and dean of General Education Department at National University of Arts Education in Vietnam. She obtained a bachelor degree in TESOL at Vietnam National University (VNU) in 2001, a master degree in TESOL at VNU in 2009, and a doctor degree in linguistics at Vietnam Academy of Social Sciences in 2017. She has published articles about English teaching issues such as implementing new </w:t>
      </w:r>
      <w:r w:rsidRPr="00E5015D">
        <w:rPr>
          <w:sz w:val="24"/>
          <w:szCs w:val="24"/>
        </w:rPr>
        <w:lastRenderedPageBreak/>
        <w:t>methods in classrooms and ways of motivating EFL students. She is interested in English teaching methodology, motivation, learning styles and materials and curriculum development.</w:t>
      </w:r>
    </w:p>
    <w:p w14:paraId="65D70010" w14:textId="31F87139" w:rsidR="00E5015D" w:rsidRPr="0073665C" w:rsidRDefault="00436B20" w:rsidP="0073665C">
      <w:pPr>
        <w:spacing w:line="480" w:lineRule="auto"/>
        <w:rPr>
          <w:rFonts w:cs="Times New Roman"/>
          <w:sz w:val="24"/>
          <w:szCs w:val="24"/>
        </w:rPr>
      </w:pPr>
      <w:r>
        <w:rPr>
          <w:rFonts w:cs="Times New Roman"/>
          <w:bCs/>
          <w:color w:val="000000" w:themeColor="text1"/>
          <w:sz w:val="24"/>
          <w:szCs w:val="24"/>
          <w:vertAlign w:val="superscript"/>
        </w:rPr>
        <w:t>4</w:t>
      </w:r>
      <w:r w:rsidRPr="00436B20">
        <w:rPr>
          <w:rFonts w:cs="Times New Roman"/>
          <w:color w:val="081B3A"/>
          <w:spacing w:val="3"/>
          <w:sz w:val="23"/>
          <w:szCs w:val="23"/>
          <w:shd w:val="clear" w:color="auto" w:fill="FFFFFF"/>
        </w:rPr>
        <w:t>Uyen</w:t>
      </w:r>
      <w:r>
        <w:rPr>
          <w:rFonts w:cs="Times New Roman"/>
          <w:color w:val="081B3A"/>
          <w:spacing w:val="3"/>
          <w:sz w:val="23"/>
          <w:szCs w:val="23"/>
          <w:shd w:val="clear" w:color="auto" w:fill="FFFFFF"/>
        </w:rPr>
        <w:t xml:space="preserve"> Thu </w:t>
      </w:r>
      <w:proofErr w:type="spellStart"/>
      <w:r>
        <w:rPr>
          <w:rFonts w:cs="Times New Roman"/>
          <w:color w:val="081B3A"/>
          <w:spacing w:val="3"/>
          <w:sz w:val="23"/>
          <w:szCs w:val="23"/>
          <w:shd w:val="clear" w:color="auto" w:fill="FFFFFF"/>
        </w:rPr>
        <w:t>Thi</w:t>
      </w:r>
      <w:proofErr w:type="spellEnd"/>
      <w:r>
        <w:rPr>
          <w:rFonts w:cs="Times New Roman"/>
          <w:color w:val="081B3A"/>
          <w:spacing w:val="3"/>
          <w:sz w:val="23"/>
          <w:szCs w:val="23"/>
          <w:shd w:val="clear" w:color="auto" w:fill="FFFFFF"/>
        </w:rPr>
        <w:t xml:space="preserve"> Duong</w:t>
      </w:r>
      <w:r w:rsidRPr="00436B20">
        <w:rPr>
          <w:rFonts w:cs="Times New Roman"/>
          <w:color w:val="081B3A"/>
          <w:spacing w:val="3"/>
          <w:sz w:val="23"/>
          <w:szCs w:val="23"/>
          <w:shd w:val="clear" w:color="auto" w:fill="FFFFFF"/>
        </w:rPr>
        <w:t xml:space="preserve"> is currently a second-year student majoring in English language, specializing in Economics and Business. She has actively participated in academic and extracurricular activities, including scientific research projects and writing reports for scientific conferences. She also has experience in public speaking and event hosting through volunteer and educational programs. Her academic interests mainly focus on English language studies, communication, economics, and business.</w:t>
      </w:r>
    </w:p>
    <w:p w14:paraId="47897DCA" w14:textId="5AF4A960" w:rsidR="00A17C9C" w:rsidRPr="00D5074E" w:rsidRDefault="00722EDE" w:rsidP="00D5074E">
      <w:pPr>
        <w:pStyle w:val="RALs-Heading1"/>
        <w:spacing w:before="0" w:after="120" w:line="480" w:lineRule="auto"/>
        <w:jc w:val="both"/>
        <w:rPr>
          <w:rFonts w:cs="Times New Roman"/>
          <w:sz w:val="24"/>
          <w:szCs w:val="24"/>
        </w:rPr>
      </w:pPr>
      <w:bookmarkStart w:id="8" w:name="_Hlk230265731"/>
      <w:r w:rsidRPr="00D5074E">
        <w:rPr>
          <w:rFonts w:cs="Times New Roman"/>
          <w:sz w:val="24"/>
          <w:szCs w:val="24"/>
        </w:rPr>
        <w:t>Appendices</w:t>
      </w:r>
    </w:p>
    <w:p w14:paraId="6747382A" w14:textId="77777777" w:rsidR="00722EDE" w:rsidRPr="00D5074E" w:rsidRDefault="00385D90" w:rsidP="00D5074E">
      <w:pPr>
        <w:pStyle w:val="RALs-Heading1"/>
        <w:spacing w:before="0" w:after="120" w:line="480" w:lineRule="auto"/>
        <w:jc w:val="both"/>
        <w:rPr>
          <w:rFonts w:cs="Times New Roman"/>
          <w:sz w:val="24"/>
          <w:szCs w:val="24"/>
        </w:rPr>
      </w:pPr>
      <w:r w:rsidRPr="00D5074E">
        <w:rPr>
          <w:rFonts w:cs="Times New Roman"/>
          <w:sz w:val="24"/>
          <w:szCs w:val="24"/>
        </w:rPr>
        <w:t>Appendix A</w:t>
      </w:r>
    </w:p>
    <w:bookmarkEnd w:id="8"/>
    <w:p w14:paraId="40C5828A" w14:textId="3F77FA35" w:rsidR="00A17C9C" w:rsidRPr="00D5074E" w:rsidRDefault="00A17C9C" w:rsidP="00D5074E">
      <w:pPr>
        <w:pStyle w:val="Heading2"/>
        <w:spacing w:before="0" w:after="120" w:line="480" w:lineRule="auto"/>
        <w:rPr>
          <w:sz w:val="24"/>
          <w:szCs w:val="24"/>
        </w:rPr>
      </w:pPr>
      <w:r w:rsidRPr="00D5074E">
        <w:rPr>
          <w:sz w:val="24"/>
          <w:szCs w:val="24"/>
        </w:rPr>
        <w:t>Measurement</w:t>
      </w:r>
      <w:r w:rsidR="005326EA">
        <w:rPr>
          <w:sz w:val="24"/>
          <w:szCs w:val="24"/>
        </w:rPr>
        <w:t xml:space="preserve"> i</w:t>
      </w:r>
      <w:r w:rsidRPr="00D5074E">
        <w:rPr>
          <w:sz w:val="24"/>
          <w:szCs w:val="24"/>
        </w:rPr>
        <w:t>tems</w:t>
      </w:r>
    </w:p>
    <w:tbl>
      <w:tblPr>
        <w:tblStyle w:val="TableGrid"/>
        <w:tblW w:w="8995" w:type="dxa"/>
        <w:tblLook w:val="04A0" w:firstRow="1" w:lastRow="0" w:firstColumn="1" w:lastColumn="0" w:noHBand="0" w:noVBand="1"/>
      </w:tblPr>
      <w:tblGrid>
        <w:gridCol w:w="3005"/>
        <w:gridCol w:w="1040"/>
        <w:gridCol w:w="4950"/>
      </w:tblGrid>
      <w:tr w:rsidR="00A17C9C" w:rsidRPr="00D5074E" w14:paraId="638BD8BE" w14:textId="77777777" w:rsidTr="00A17C9C">
        <w:tc>
          <w:tcPr>
            <w:tcW w:w="3005" w:type="dxa"/>
            <w:vAlign w:val="center"/>
          </w:tcPr>
          <w:p w14:paraId="72322DB2" w14:textId="3D6CE0D0" w:rsidR="00A17C9C" w:rsidRPr="00D5074E" w:rsidRDefault="00A17C9C" w:rsidP="00C67256">
            <w:pPr>
              <w:spacing w:before="0" w:after="120" w:line="480" w:lineRule="auto"/>
              <w:ind w:firstLine="0"/>
              <w:jc w:val="center"/>
              <w:rPr>
                <w:rFonts w:cs="Times New Roman"/>
                <w:sz w:val="24"/>
                <w:szCs w:val="24"/>
              </w:rPr>
            </w:pPr>
            <w:r w:rsidRPr="00D5074E">
              <w:rPr>
                <w:rFonts w:cs="Times New Roman"/>
                <w:b/>
                <w:bCs/>
                <w:sz w:val="24"/>
                <w:szCs w:val="24"/>
              </w:rPr>
              <w:t>Construct</w:t>
            </w:r>
          </w:p>
        </w:tc>
        <w:tc>
          <w:tcPr>
            <w:tcW w:w="1040" w:type="dxa"/>
            <w:vAlign w:val="center"/>
          </w:tcPr>
          <w:p w14:paraId="0A0FF8D5" w14:textId="14F95020" w:rsidR="00A17C9C" w:rsidRPr="00D5074E" w:rsidRDefault="00A17C9C" w:rsidP="00C67256">
            <w:pPr>
              <w:spacing w:before="0" w:after="120" w:line="480" w:lineRule="auto"/>
              <w:ind w:firstLine="0"/>
              <w:jc w:val="center"/>
              <w:rPr>
                <w:rFonts w:cs="Times New Roman"/>
                <w:sz w:val="24"/>
                <w:szCs w:val="24"/>
              </w:rPr>
            </w:pPr>
            <w:r w:rsidRPr="00D5074E">
              <w:rPr>
                <w:rFonts w:cs="Times New Roman"/>
                <w:b/>
                <w:bCs/>
                <w:sz w:val="24"/>
                <w:szCs w:val="24"/>
              </w:rPr>
              <w:t>Code</w:t>
            </w:r>
          </w:p>
        </w:tc>
        <w:tc>
          <w:tcPr>
            <w:tcW w:w="4950" w:type="dxa"/>
            <w:vAlign w:val="center"/>
          </w:tcPr>
          <w:p w14:paraId="21C9BDE6" w14:textId="744F2CDD" w:rsidR="00A17C9C" w:rsidRPr="00D5074E" w:rsidRDefault="00A17C9C" w:rsidP="00C67256">
            <w:pPr>
              <w:spacing w:before="0" w:after="120" w:line="480" w:lineRule="auto"/>
              <w:ind w:firstLine="0"/>
              <w:jc w:val="center"/>
              <w:rPr>
                <w:rFonts w:cs="Times New Roman"/>
                <w:sz w:val="24"/>
                <w:szCs w:val="24"/>
              </w:rPr>
            </w:pPr>
            <w:r w:rsidRPr="00D5074E">
              <w:rPr>
                <w:rFonts w:cs="Times New Roman"/>
                <w:b/>
                <w:bCs/>
                <w:sz w:val="24"/>
                <w:szCs w:val="24"/>
              </w:rPr>
              <w:t xml:space="preserve">Measurement </w:t>
            </w:r>
            <w:r w:rsidR="005326EA">
              <w:rPr>
                <w:rFonts w:cs="Times New Roman"/>
                <w:b/>
                <w:bCs/>
                <w:sz w:val="24"/>
                <w:szCs w:val="24"/>
              </w:rPr>
              <w:t>i</w:t>
            </w:r>
            <w:r w:rsidRPr="00D5074E">
              <w:rPr>
                <w:rFonts w:cs="Times New Roman"/>
                <w:b/>
                <w:bCs/>
                <w:sz w:val="24"/>
                <w:szCs w:val="24"/>
              </w:rPr>
              <w:t>tem</w:t>
            </w:r>
            <w:r w:rsidR="00C67256">
              <w:rPr>
                <w:rFonts w:cs="Times New Roman"/>
                <w:b/>
                <w:bCs/>
                <w:sz w:val="24"/>
                <w:szCs w:val="24"/>
              </w:rPr>
              <w:t>s</w:t>
            </w:r>
          </w:p>
        </w:tc>
      </w:tr>
      <w:tr w:rsidR="00D5074E" w:rsidRPr="00D5074E" w14:paraId="4BAB9798" w14:textId="77777777" w:rsidTr="00A17C9C">
        <w:tc>
          <w:tcPr>
            <w:tcW w:w="3005" w:type="dxa"/>
            <w:vMerge w:val="restart"/>
            <w:vAlign w:val="center"/>
          </w:tcPr>
          <w:p w14:paraId="7B74AF8B" w14:textId="423DBCCC" w:rsidR="00D5074E" w:rsidRPr="00D5074E" w:rsidRDefault="00D5074E" w:rsidP="00D5074E">
            <w:pPr>
              <w:spacing w:before="0" w:after="120" w:line="480" w:lineRule="auto"/>
              <w:ind w:firstLine="0"/>
              <w:rPr>
                <w:rFonts w:cs="Times New Roman"/>
                <w:sz w:val="24"/>
                <w:szCs w:val="24"/>
              </w:rPr>
            </w:pPr>
            <w:r w:rsidRPr="00D5074E">
              <w:rPr>
                <w:rStyle w:val="Strong"/>
                <w:rFonts w:cs="Times New Roman"/>
                <w:sz w:val="24"/>
                <w:szCs w:val="24"/>
              </w:rPr>
              <w:t>Engagement (ENG)</w:t>
            </w:r>
          </w:p>
        </w:tc>
        <w:tc>
          <w:tcPr>
            <w:tcW w:w="1040" w:type="dxa"/>
            <w:vAlign w:val="center"/>
          </w:tcPr>
          <w:p w14:paraId="467F58F0" w14:textId="5580B506"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ENG1</w:t>
            </w:r>
          </w:p>
        </w:tc>
        <w:tc>
          <w:tcPr>
            <w:tcW w:w="4950" w:type="dxa"/>
            <w:vAlign w:val="center"/>
          </w:tcPr>
          <w:p w14:paraId="1E83C954" w14:textId="45AD9BFE"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I actively engage with English vocabulary content on TikTok and Instagram Reels.</w:t>
            </w:r>
          </w:p>
        </w:tc>
      </w:tr>
      <w:tr w:rsidR="00D5074E" w:rsidRPr="00D5074E" w14:paraId="4FE31702" w14:textId="77777777" w:rsidTr="00A17C9C">
        <w:tc>
          <w:tcPr>
            <w:tcW w:w="3005" w:type="dxa"/>
            <w:vMerge/>
            <w:vAlign w:val="center"/>
          </w:tcPr>
          <w:p w14:paraId="6F0A35EE" w14:textId="77777777" w:rsidR="00D5074E" w:rsidRPr="00D5074E" w:rsidRDefault="00D5074E" w:rsidP="00D5074E">
            <w:pPr>
              <w:spacing w:before="0" w:after="120" w:line="480" w:lineRule="auto"/>
              <w:ind w:firstLine="0"/>
              <w:rPr>
                <w:rFonts w:cs="Times New Roman"/>
                <w:sz w:val="24"/>
                <w:szCs w:val="24"/>
              </w:rPr>
            </w:pPr>
          </w:p>
        </w:tc>
        <w:tc>
          <w:tcPr>
            <w:tcW w:w="1040" w:type="dxa"/>
            <w:vAlign w:val="center"/>
          </w:tcPr>
          <w:p w14:paraId="75C3E18C" w14:textId="30463FEF"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ENG2</w:t>
            </w:r>
          </w:p>
        </w:tc>
        <w:tc>
          <w:tcPr>
            <w:tcW w:w="4950" w:type="dxa"/>
            <w:vAlign w:val="center"/>
          </w:tcPr>
          <w:p w14:paraId="76B09BE3" w14:textId="120F7371"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Short-form video platforms increase my motivation to learn English vocabulary.</w:t>
            </w:r>
          </w:p>
        </w:tc>
      </w:tr>
      <w:tr w:rsidR="00D5074E" w:rsidRPr="00D5074E" w14:paraId="33724625" w14:textId="77777777" w:rsidTr="00A17C9C">
        <w:tc>
          <w:tcPr>
            <w:tcW w:w="3005" w:type="dxa"/>
            <w:vMerge w:val="restart"/>
            <w:vAlign w:val="center"/>
          </w:tcPr>
          <w:p w14:paraId="2B003A7F" w14:textId="75CC71B1" w:rsidR="00D5074E" w:rsidRPr="00D5074E" w:rsidRDefault="00D5074E" w:rsidP="00D5074E">
            <w:pPr>
              <w:spacing w:before="0" w:after="120" w:line="480" w:lineRule="auto"/>
              <w:ind w:firstLine="0"/>
              <w:rPr>
                <w:rFonts w:cs="Times New Roman"/>
                <w:sz w:val="24"/>
                <w:szCs w:val="24"/>
              </w:rPr>
            </w:pPr>
            <w:r w:rsidRPr="00D5074E">
              <w:rPr>
                <w:rStyle w:val="Strong"/>
                <w:rFonts w:cs="Times New Roman"/>
                <w:sz w:val="24"/>
                <w:szCs w:val="24"/>
              </w:rPr>
              <w:t>Repetition (REP)</w:t>
            </w:r>
          </w:p>
        </w:tc>
        <w:tc>
          <w:tcPr>
            <w:tcW w:w="1040" w:type="dxa"/>
            <w:vAlign w:val="center"/>
          </w:tcPr>
          <w:p w14:paraId="42D0D182" w14:textId="3F32839E"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REP1</w:t>
            </w:r>
          </w:p>
        </w:tc>
        <w:tc>
          <w:tcPr>
            <w:tcW w:w="4950" w:type="dxa"/>
            <w:vAlign w:val="center"/>
          </w:tcPr>
          <w:p w14:paraId="60024AFB" w14:textId="0FF02908"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I frequently encounter repeated English vocabulary in short-form videos.</w:t>
            </w:r>
          </w:p>
        </w:tc>
      </w:tr>
      <w:tr w:rsidR="00D5074E" w:rsidRPr="00D5074E" w14:paraId="414F7C52" w14:textId="77777777" w:rsidTr="00A17C9C">
        <w:tc>
          <w:tcPr>
            <w:tcW w:w="3005" w:type="dxa"/>
            <w:vMerge/>
            <w:vAlign w:val="center"/>
          </w:tcPr>
          <w:p w14:paraId="44CB3236" w14:textId="77777777" w:rsidR="00D5074E" w:rsidRPr="00D5074E" w:rsidRDefault="00D5074E" w:rsidP="00D5074E">
            <w:pPr>
              <w:spacing w:before="0" w:after="120" w:line="480" w:lineRule="auto"/>
              <w:ind w:firstLine="0"/>
              <w:rPr>
                <w:rFonts w:cs="Times New Roman"/>
                <w:sz w:val="24"/>
                <w:szCs w:val="24"/>
              </w:rPr>
            </w:pPr>
          </w:p>
        </w:tc>
        <w:tc>
          <w:tcPr>
            <w:tcW w:w="1040" w:type="dxa"/>
            <w:vAlign w:val="center"/>
          </w:tcPr>
          <w:p w14:paraId="42521610" w14:textId="0B62C936"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REP2</w:t>
            </w:r>
          </w:p>
        </w:tc>
        <w:tc>
          <w:tcPr>
            <w:tcW w:w="4950" w:type="dxa"/>
            <w:vAlign w:val="center"/>
          </w:tcPr>
          <w:p w14:paraId="6225327C" w14:textId="67CDE406"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Repeated exposure helps me remember English vocabulary more effectively.</w:t>
            </w:r>
          </w:p>
        </w:tc>
      </w:tr>
      <w:tr w:rsidR="00D5074E" w:rsidRPr="00D5074E" w14:paraId="4C914388" w14:textId="77777777" w:rsidTr="00A17C9C">
        <w:tc>
          <w:tcPr>
            <w:tcW w:w="3005" w:type="dxa"/>
            <w:vMerge w:val="restart"/>
            <w:vAlign w:val="center"/>
          </w:tcPr>
          <w:p w14:paraId="77339E48" w14:textId="60B197FD" w:rsidR="00D5074E" w:rsidRPr="00D5074E" w:rsidRDefault="00D5074E" w:rsidP="00D5074E">
            <w:pPr>
              <w:spacing w:before="0" w:after="120" w:line="480" w:lineRule="auto"/>
              <w:ind w:firstLine="0"/>
              <w:rPr>
                <w:rFonts w:cs="Times New Roman"/>
                <w:sz w:val="24"/>
                <w:szCs w:val="24"/>
              </w:rPr>
            </w:pPr>
            <w:r w:rsidRPr="00D5074E">
              <w:rPr>
                <w:rStyle w:val="Strong"/>
                <w:rFonts w:cs="Times New Roman"/>
                <w:sz w:val="24"/>
                <w:szCs w:val="24"/>
              </w:rPr>
              <w:t>Multimedia Elements (MUL)</w:t>
            </w:r>
          </w:p>
        </w:tc>
        <w:tc>
          <w:tcPr>
            <w:tcW w:w="1040" w:type="dxa"/>
            <w:vAlign w:val="center"/>
          </w:tcPr>
          <w:p w14:paraId="124C39A7" w14:textId="1820AEA3"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MUL1</w:t>
            </w:r>
          </w:p>
        </w:tc>
        <w:tc>
          <w:tcPr>
            <w:tcW w:w="4950" w:type="dxa"/>
            <w:vAlign w:val="center"/>
          </w:tcPr>
          <w:p w14:paraId="114C7B23" w14:textId="38D86201"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Visual and audio elements help me understand vocabulary more easily.</w:t>
            </w:r>
          </w:p>
        </w:tc>
      </w:tr>
      <w:tr w:rsidR="00D5074E" w:rsidRPr="00D5074E" w14:paraId="7DFEFEF0" w14:textId="77777777" w:rsidTr="00A17C9C">
        <w:tc>
          <w:tcPr>
            <w:tcW w:w="3005" w:type="dxa"/>
            <w:vMerge/>
            <w:vAlign w:val="center"/>
          </w:tcPr>
          <w:p w14:paraId="6A83506E" w14:textId="77777777" w:rsidR="00D5074E" w:rsidRPr="00D5074E" w:rsidRDefault="00D5074E" w:rsidP="00D5074E">
            <w:pPr>
              <w:spacing w:before="0" w:after="120" w:line="480" w:lineRule="auto"/>
              <w:ind w:firstLine="0"/>
              <w:rPr>
                <w:rFonts w:cs="Times New Roman"/>
                <w:sz w:val="24"/>
                <w:szCs w:val="24"/>
              </w:rPr>
            </w:pPr>
          </w:p>
        </w:tc>
        <w:tc>
          <w:tcPr>
            <w:tcW w:w="1040" w:type="dxa"/>
            <w:vAlign w:val="center"/>
          </w:tcPr>
          <w:p w14:paraId="4AB16FC4" w14:textId="6034A271"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MUL2</w:t>
            </w:r>
          </w:p>
        </w:tc>
        <w:tc>
          <w:tcPr>
            <w:tcW w:w="4950" w:type="dxa"/>
            <w:vAlign w:val="center"/>
          </w:tcPr>
          <w:p w14:paraId="141989F2" w14:textId="5E48C056"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Subtitles and illustrations support my vocabulary learning process.</w:t>
            </w:r>
          </w:p>
        </w:tc>
      </w:tr>
      <w:tr w:rsidR="00D5074E" w:rsidRPr="00D5074E" w14:paraId="63BEB14B" w14:textId="77777777" w:rsidTr="00A17C9C">
        <w:tc>
          <w:tcPr>
            <w:tcW w:w="3005" w:type="dxa"/>
            <w:vMerge/>
            <w:vAlign w:val="center"/>
          </w:tcPr>
          <w:p w14:paraId="1DC90B93" w14:textId="77777777" w:rsidR="00D5074E" w:rsidRPr="00D5074E" w:rsidRDefault="00D5074E" w:rsidP="00D5074E">
            <w:pPr>
              <w:spacing w:before="0" w:after="120" w:line="480" w:lineRule="auto"/>
              <w:ind w:firstLine="0"/>
              <w:rPr>
                <w:rFonts w:cs="Times New Roman"/>
                <w:sz w:val="24"/>
                <w:szCs w:val="24"/>
              </w:rPr>
            </w:pPr>
          </w:p>
        </w:tc>
        <w:tc>
          <w:tcPr>
            <w:tcW w:w="1040" w:type="dxa"/>
            <w:vAlign w:val="center"/>
          </w:tcPr>
          <w:p w14:paraId="44CDCA23" w14:textId="280783AD"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MUL3</w:t>
            </w:r>
          </w:p>
        </w:tc>
        <w:tc>
          <w:tcPr>
            <w:tcW w:w="4950" w:type="dxa"/>
            <w:vAlign w:val="center"/>
          </w:tcPr>
          <w:p w14:paraId="25D08259" w14:textId="435354EC" w:rsidR="00D5074E" w:rsidRPr="00D5074E" w:rsidRDefault="00D5074E" w:rsidP="00D5074E">
            <w:pPr>
              <w:spacing w:before="0" w:after="120" w:line="480" w:lineRule="auto"/>
              <w:ind w:firstLine="0"/>
              <w:rPr>
                <w:rFonts w:cs="Times New Roman"/>
                <w:sz w:val="24"/>
                <w:szCs w:val="24"/>
              </w:rPr>
            </w:pPr>
            <w:r w:rsidRPr="00D5074E">
              <w:rPr>
                <w:rFonts w:cs="Times New Roman"/>
                <w:sz w:val="24"/>
                <w:szCs w:val="24"/>
              </w:rPr>
              <w:t>Multimedia features enhance my ability to memorize new vocabulary.</w:t>
            </w:r>
          </w:p>
        </w:tc>
      </w:tr>
      <w:tr w:rsidR="00A17C9C" w:rsidRPr="00D5074E" w14:paraId="09782247" w14:textId="77777777" w:rsidTr="00A17C9C">
        <w:tc>
          <w:tcPr>
            <w:tcW w:w="3005" w:type="dxa"/>
            <w:vMerge w:val="restart"/>
            <w:vAlign w:val="center"/>
          </w:tcPr>
          <w:p w14:paraId="538624D7" w14:textId="60C7A4D4" w:rsidR="00A17C9C" w:rsidRPr="00D5074E" w:rsidRDefault="00A17C9C" w:rsidP="00D5074E">
            <w:pPr>
              <w:spacing w:before="0" w:after="120" w:line="480" w:lineRule="auto"/>
              <w:ind w:firstLine="0"/>
              <w:rPr>
                <w:rFonts w:cs="Times New Roman"/>
                <w:sz w:val="24"/>
                <w:szCs w:val="24"/>
              </w:rPr>
            </w:pPr>
            <w:r w:rsidRPr="00D5074E">
              <w:rPr>
                <w:rStyle w:val="Strong"/>
                <w:rFonts w:cs="Times New Roman"/>
                <w:sz w:val="24"/>
                <w:szCs w:val="24"/>
              </w:rPr>
              <w:t>Distraction (DIS)</w:t>
            </w:r>
          </w:p>
        </w:tc>
        <w:tc>
          <w:tcPr>
            <w:tcW w:w="1040" w:type="dxa"/>
            <w:vAlign w:val="center"/>
          </w:tcPr>
          <w:p w14:paraId="5C4029C4" w14:textId="660B4B34"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DIS1</w:t>
            </w:r>
          </w:p>
        </w:tc>
        <w:tc>
          <w:tcPr>
            <w:tcW w:w="4950" w:type="dxa"/>
            <w:vAlign w:val="center"/>
          </w:tcPr>
          <w:p w14:paraId="248F1FFE" w14:textId="5A510333"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Entertainment-oriented content distracts me from vocabulary learning.</w:t>
            </w:r>
          </w:p>
        </w:tc>
      </w:tr>
      <w:tr w:rsidR="00A17C9C" w:rsidRPr="00D5074E" w14:paraId="767B8FA1" w14:textId="77777777" w:rsidTr="00A17C9C">
        <w:tc>
          <w:tcPr>
            <w:tcW w:w="3005" w:type="dxa"/>
            <w:vMerge/>
            <w:vAlign w:val="center"/>
          </w:tcPr>
          <w:p w14:paraId="38FE6C06" w14:textId="77777777" w:rsidR="00A17C9C" w:rsidRPr="00D5074E" w:rsidRDefault="00A17C9C" w:rsidP="00D5074E">
            <w:pPr>
              <w:spacing w:before="0" w:after="120" w:line="480" w:lineRule="auto"/>
              <w:ind w:firstLine="0"/>
              <w:rPr>
                <w:rStyle w:val="Strong"/>
                <w:rFonts w:cs="Times New Roman"/>
                <w:sz w:val="24"/>
                <w:szCs w:val="24"/>
              </w:rPr>
            </w:pPr>
          </w:p>
        </w:tc>
        <w:tc>
          <w:tcPr>
            <w:tcW w:w="1040" w:type="dxa"/>
            <w:vAlign w:val="center"/>
          </w:tcPr>
          <w:p w14:paraId="1382E265" w14:textId="7D41FFE8"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DIS2</w:t>
            </w:r>
          </w:p>
        </w:tc>
        <w:tc>
          <w:tcPr>
            <w:tcW w:w="4950" w:type="dxa"/>
            <w:vAlign w:val="center"/>
          </w:tcPr>
          <w:p w14:paraId="1F3409B8" w14:textId="68036130"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Rapid video transitions reduce my concentration while learning vocabulary.</w:t>
            </w:r>
          </w:p>
        </w:tc>
      </w:tr>
      <w:tr w:rsidR="00A17C9C" w:rsidRPr="00D5074E" w14:paraId="3B3F322C" w14:textId="77777777" w:rsidTr="00A17C9C">
        <w:tc>
          <w:tcPr>
            <w:tcW w:w="3005" w:type="dxa"/>
            <w:vMerge w:val="restart"/>
            <w:vAlign w:val="center"/>
          </w:tcPr>
          <w:p w14:paraId="54A9AB49" w14:textId="02748D4B" w:rsidR="00A17C9C" w:rsidRPr="00D5074E" w:rsidRDefault="00A17C9C" w:rsidP="00D5074E">
            <w:pPr>
              <w:spacing w:before="0" w:after="120" w:line="480" w:lineRule="auto"/>
              <w:ind w:firstLine="0"/>
              <w:rPr>
                <w:rStyle w:val="Strong"/>
                <w:rFonts w:cs="Times New Roman"/>
                <w:sz w:val="24"/>
                <w:szCs w:val="24"/>
              </w:rPr>
            </w:pPr>
            <w:r w:rsidRPr="00D5074E">
              <w:rPr>
                <w:rStyle w:val="Strong"/>
                <w:rFonts w:cs="Times New Roman"/>
                <w:sz w:val="24"/>
                <w:szCs w:val="24"/>
              </w:rPr>
              <w:t>Vocabulary Acquisition (VOC)</w:t>
            </w:r>
          </w:p>
        </w:tc>
        <w:tc>
          <w:tcPr>
            <w:tcW w:w="1040" w:type="dxa"/>
            <w:vAlign w:val="center"/>
          </w:tcPr>
          <w:p w14:paraId="0C1CE6F7" w14:textId="4C5D186A"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VOC1</w:t>
            </w:r>
          </w:p>
        </w:tc>
        <w:tc>
          <w:tcPr>
            <w:tcW w:w="4950" w:type="dxa"/>
            <w:vAlign w:val="center"/>
          </w:tcPr>
          <w:p w14:paraId="4BD5443B" w14:textId="2A7E6DC2"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Short-form videos help me expand my English vocabulary.</w:t>
            </w:r>
          </w:p>
        </w:tc>
      </w:tr>
      <w:tr w:rsidR="00A17C9C" w:rsidRPr="00D5074E" w14:paraId="683EE540" w14:textId="77777777" w:rsidTr="00A17C9C">
        <w:tc>
          <w:tcPr>
            <w:tcW w:w="3005" w:type="dxa"/>
            <w:vMerge/>
            <w:vAlign w:val="center"/>
          </w:tcPr>
          <w:p w14:paraId="16390DC4" w14:textId="77777777" w:rsidR="00A17C9C" w:rsidRPr="00D5074E" w:rsidRDefault="00A17C9C" w:rsidP="00D5074E">
            <w:pPr>
              <w:spacing w:before="0" w:after="120" w:line="480" w:lineRule="auto"/>
              <w:ind w:firstLine="0"/>
              <w:rPr>
                <w:rStyle w:val="Strong"/>
                <w:rFonts w:cs="Times New Roman"/>
                <w:sz w:val="24"/>
                <w:szCs w:val="24"/>
              </w:rPr>
            </w:pPr>
          </w:p>
        </w:tc>
        <w:tc>
          <w:tcPr>
            <w:tcW w:w="1040" w:type="dxa"/>
            <w:vAlign w:val="center"/>
          </w:tcPr>
          <w:p w14:paraId="25D1D379" w14:textId="4FEDAC81"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VOC2</w:t>
            </w:r>
          </w:p>
        </w:tc>
        <w:tc>
          <w:tcPr>
            <w:tcW w:w="4950" w:type="dxa"/>
            <w:vAlign w:val="center"/>
          </w:tcPr>
          <w:p w14:paraId="7DAA966E" w14:textId="6BFFAC0C"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I can remember vocabulary more effectively through short-form videos.</w:t>
            </w:r>
          </w:p>
        </w:tc>
      </w:tr>
      <w:tr w:rsidR="00A17C9C" w:rsidRPr="00D5074E" w14:paraId="165ABEA7" w14:textId="77777777" w:rsidTr="00A17C9C">
        <w:tc>
          <w:tcPr>
            <w:tcW w:w="3005" w:type="dxa"/>
            <w:vMerge/>
            <w:vAlign w:val="center"/>
          </w:tcPr>
          <w:p w14:paraId="10B0E2DE" w14:textId="77777777" w:rsidR="00A17C9C" w:rsidRPr="00D5074E" w:rsidRDefault="00A17C9C" w:rsidP="00D5074E">
            <w:pPr>
              <w:spacing w:before="0" w:after="120" w:line="480" w:lineRule="auto"/>
              <w:ind w:firstLine="0"/>
              <w:rPr>
                <w:rStyle w:val="Strong"/>
                <w:rFonts w:cs="Times New Roman"/>
                <w:sz w:val="24"/>
                <w:szCs w:val="24"/>
              </w:rPr>
            </w:pPr>
          </w:p>
        </w:tc>
        <w:tc>
          <w:tcPr>
            <w:tcW w:w="1040" w:type="dxa"/>
            <w:vAlign w:val="center"/>
          </w:tcPr>
          <w:p w14:paraId="6CFC07DB" w14:textId="3250CF95"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VOC3</w:t>
            </w:r>
          </w:p>
        </w:tc>
        <w:tc>
          <w:tcPr>
            <w:tcW w:w="4950" w:type="dxa"/>
            <w:vAlign w:val="center"/>
          </w:tcPr>
          <w:p w14:paraId="1BC65904" w14:textId="61384278" w:rsidR="00A17C9C" w:rsidRPr="00D5074E" w:rsidRDefault="00A17C9C" w:rsidP="00D5074E">
            <w:pPr>
              <w:spacing w:before="0" w:after="120" w:line="480" w:lineRule="auto"/>
              <w:ind w:firstLine="0"/>
              <w:rPr>
                <w:rFonts w:cs="Times New Roman"/>
                <w:sz w:val="24"/>
                <w:szCs w:val="24"/>
              </w:rPr>
            </w:pPr>
            <w:r w:rsidRPr="00D5074E">
              <w:rPr>
                <w:rFonts w:cs="Times New Roman"/>
                <w:sz w:val="24"/>
                <w:szCs w:val="24"/>
              </w:rPr>
              <w:t>My vocabulary usage has improved after using TikTok and Instagram Reels.</w:t>
            </w:r>
          </w:p>
        </w:tc>
      </w:tr>
    </w:tbl>
    <w:p w14:paraId="4512B381" w14:textId="77777777" w:rsidR="00A17C9C" w:rsidRPr="00D5074E" w:rsidRDefault="00A17C9C" w:rsidP="00D5074E">
      <w:pPr>
        <w:spacing w:before="0" w:after="120" w:line="480" w:lineRule="auto"/>
        <w:rPr>
          <w:rFonts w:cs="Times New Roman"/>
          <w:sz w:val="24"/>
          <w:szCs w:val="24"/>
          <w:lang w:val="en"/>
        </w:rPr>
      </w:pPr>
    </w:p>
    <w:p w14:paraId="53A342D2" w14:textId="77777777" w:rsidR="00A17C9C" w:rsidRPr="00D5074E" w:rsidRDefault="00A17C9C" w:rsidP="00D5074E">
      <w:pPr>
        <w:pStyle w:val="NormalWeb"/>
        <w:spacing w:before="0" w:beforeAutospacing="0" w:after="120" w:afterAutospacing="0" w:line="480" w:lineRule="auto"/>
      </w:pPr>
      <w:bookmarkStart w:id="9" w:name="_Hlk230265860"/>
      <w:r w:rsidRPr="00D5074E">
        <w:rPr>
          <w:rStyle w:val="Strong"/>
        </w:rPr>
        <w:t>Scale:</w:t>
      </w:r>
      <w:r w:rsidRPr="00D5074E">
        <w:br/>
        <w:t>1 = Strongly disagree</w:t>
      </w:r>
      <w:r w:rsidRPr="00D5074E">
        <w:br/>
        <w:t>2 = Disagree</w:t>
      </w:r>
      <w:r w:rsidRPr="00D5074E">
        <w:br/>
        <w:t>3 = Neutral</w:t>
      </w:r>
      <w:r w:rsidRPr="00D5074E">
        <w:br/>
        <w:t>4 = Agree</w:t>
      </w:r>
      <w:r w:rsidRPr="00D5074E">
        <w:br/>
        <w:t>5 = Strongly agree</w:t>
      </w:r>
    </w:p>
    <w:bookmarkEnd w:id="9"/>
    <w:p w14:paraId="3E389D90" w14:textId="77777777" w:rsidR="00722EDE" w:rsidRPr="00D5074E" w:rsidRDefault="00385D90" w:rsidP="00D5074E">
      <w:pPr>
        <w:pStyle w:val="RALs-Heading1"/>
        <w:spacing w:before="0" w:after="120" w:line="480" w:lineRule="auto"/>
        <w:jc w:val="both"/>
        <w:rPr>
          <w:rFonts w:cs="Times New Roman"/>
          <w:sz w:val="24"/>
          <w:szCs w:val="24"/>
        </w:rPr>
      </w:pPr>
      <w:r w:rsidRPr="00D5074E">
        <w:rPr>
          <w:rFonts w:cs="Times New Roman"/>
          <w:sz w:val="24"/>
          <w:szCs w:val="24"/>
        </w:rPr>
        <w:lastRenderedPageBreak/>
        <w:t>Appendix B</w:t>
      </w:r>
      <w:r w:rsidR="00722EDE" w:rsidRPr="00D5074E">
        <w:rPr>
          <w:rFonts w:cs="Times New Roman"/>
          <w:sz w:val="24"/>
          <w:szCs w:val="24"/>
        </w:rPr>
        <w:t xml:space="preserve"> </w:t>
      </w:r>
    </w:p>
    <w:p w14:paraId="79091429" w14:textId="6DDA3511" w:rsidR="00A17C9C" w:rsidRPr="00D5074E" w:rsidRDefault="00A17C9C" w:rsidP="00D5074E">
      <w:pPr>
        <w:pStyle w:val="Heading2"/>
        <w:spacing w:before="0" w:after="120" w:line="480" w:lineRule="auto"/>
        <w:rPr>
          <w:sz w:val="24"/>
          <w:szCs w:val="24"/>
        </w:rPr>
      </w:pPr>
      <w:r w:rsidRPr="00D5074E">
        <w:rPr>
          <w:sz w:val="24"/>
          <w:szCs w:val="24"/>
        </w:rPr>
        <w:t xml:space="preserve">Demographic </w:t>
      </w:r>
      <w:r w:rsidR="005326EA">
        <w:rPr>
          <w:sz w:val="24"/>
          <w:szCs w:val="24"/>
        </w:rPr>
        <w:t>q</w:t>
      </w:r>
      <w:r w:rsidRPr="00D5074E">
        <w:rPr>
          <w:sz w:val="24"/>
          <w:szCs w:val="24"/>
        </w:rPr>
        <w:t>uestionnaire</w:t>
      </w:r>
    </w:p>
    <w:p w14:paraId="6C574E7F" w14:textId="13DFF9DE" w:rsidR="00A17C9C" w:rsidRPr="00D5074E" w:rsidRDefault="00D5074E" w:rsidP="00D5074E">
      <w:pPr>
        <w:pStyle w:val="Heading3"/>
        <w:spacing w:before="0" w:after="120" w:line="480" w:lineRule="auto"/>
        <w:rPr>
          <w:sz w:val="24"/>
          <w:szCs w:val="24"/>
        </w:rPr>
      </w:pPr>
      <w:r>
        <w:rPr>
          <w:sz w:val="24"/>
          <w:szCs w:val="24"/>
        </w:rPr>
        <w:t xml:space="preserve">1. </w:t>
      </w:r>
      <w:r w:rsidR="00A17C9C" w:rsidRPr="00D5074E">
        <w:rPr>
          <w:sz w:val="24"/>
          <w:szCs w:val="24"/>
        </w:rPr>
        <w:t>Gender</w:t>
      </w:r>
    </w:p>
    <w:p w14:paraId="6C6B43AA" w14:textId="77777777" w:rsidR="00A17C9C" w:rsidRPr="00D5074E" w:rsidRDefault="00A17C9C" w:rsidP="00D5074E">
      <w:pPr>
        <w:pStyle w:val="NormalWeb"/>
        <w:spacing w:before="0" w:beforeAutospacing="0" w:after="120" w:afterAutospacing="0" w:line="480" w:lineRule="auto"/>
      </w:pPr>
      <w:r w:rsidRPr="00D5074E">
        <w:t>□ Male</w:t>
      </w:r>
      <w:r w:rsidRPr="00D5074E">
        <w:br/>
        <w:t>□ Female</w:t>
      </w:r>
    </w:p>
    <w:p w14:paraId="6A0FAF64" w14:textId="7D41310A" w:rsidR="00A17C9C" w:rsidRPr="00D5074E" w:rsidRDefault="00D5074E" w:rsidP="00D5074E">
      <w:pPr>
        <w:pStyle w:val="Heading3"/>
        <w:spacing w:before="0" w:after="120" w:line="480" w:lineRule="auto"/>
        <w:rPr>
          <w:sz w:val="24"/>
          <w:szCs w:val="24"/>
        </w:rPr>
      </w:pPr>
      <w:r>
        <w:rPr>
          <w:sz w:val="24"/>
          <w:szCs w:val="24"/>
        </w:rPr>
        <w:t xml:space="preserve">2. </w:t>
      </w:r>
      <w:r w:rsidR="00A17C9C" w:rsidRPr="00D5074E">
        <w:rPr>
          <w:sz w:val="24"/>
          <w:szCs w:val="24"/>
        </w:rPr>
        <w:t>Age</w:t>
      </w:r>
    </w:p>
    <w:p w14:paraId="76C8790D" w14:textId="77777777" w:rsidR="00A17C9C" w:rsidRPr="00D5074E" w:rsidRDefault="00A17C9C" w:rsidP="00D5074E">
      <w:pPr>
        <w:pStyle w:val="NormalWeb"/>
        <w:spacing w:before="0" w:beforeAutospacing="0" w:after="120" w:afterAutospacing="0" w:line="480" w:lineRule="auto"/>
      </w:pPr>
      <w:r w:rsidRPr="00D5074E">
        <w:t>□ Under 18</w:t>
      </w:r>
      <w:r w:rsidRPr="00D5074E">
        <w:br/>
        <w:t>□ 18–22</w:t>
      </w:r>
      <w:r w:rsidRPr="00D5074E">
        <w:br/>
        <w:t>□ Above 22</w:t>
      </w:r>
    </w:p>
    <w:p w14:paraId="03D8CCE1" w14:textId="5C9AB65E" w:rsidR="00A17C9C" w:rsidRPr="00D5074E" w:rsidRDefault="00D5074E" w:rsidP="00D5074E">
      <w:pPr>
        <w:pStyle w:val="Heading3"/>
        <w:spacing w:before="0" w:after="120" w:line="480" w:lineRule="auto"/>
        <w:rPr>
          <w:sz w:val="24"/>
          <w:szCs w:val="24"/>
        </w:rPr>
      </w:pPr>
      <w:r>
        <w:rPr>
          <w:sz w:val="24"/>
          <w:szCs w:val="24"/>
        </w:rPr>
        <w:t xml:space="preserve">3. </w:t>
      </w:r>
      <w:r w:rsidR="00A17C9C" w:rsidRPr="00D5074E">
        <w:rPr>
          <w:sz w:val="24"/>
          <w:szCs w:val="24"/>
        </w:rPr>
        <w:t>English proficiency level</w:t>
      </w:r>
    </w:p>
    <w:p w14:paraId="2F388F9B" w14:textId="77777777" w:rsidR="00A17C9C" w:rsidRPr="00D5074E" w:rsidRDefault="00A17C9C" w:rsidP="00D5074E">
      <w:pPr>
        <w:pStyle w:val="NormalWeb"/>
        <w:spacing w:before="0" w:beforeAutospacing="0" w:after="120" w:afterAutospacing="0" w:line="480" w:lineRule="auto"/>
      </w:pPr>
      <w:r w:rsidRPr="00D5074E">
        <w:t>□ Beginner</w:t>
      </w:r>
      <w:r w:rsidRPr="00D5074E">
        <w:br/>
        <w:t>□ Intermediate</w:t>
      </w:r>
      <w:r w:rsidRPr="00D5074E">
        <w:br/>
        <w:t>□ Advanced</w:t>
      </w:r>
    </w:p>
    <w:p w14:paraId="27EA0C2B" w14:textId="646D30F4" w:rsidR="00A17C9C" w:rsidRPr="00D5074E" w:rsidRDefault="00D5074E" w:rsidP="00D5074E">
      <w:pPr>
        <w:pStyle w:val="Heading3"/>
        <w:spacing w:before="0" w:after="120" w:line="480" w:lineRule="auto"/>
        <w:rPr>
          <w:sz w:val="24"/>
          <w:szCs w:val="24"/>
        </w:rPr>
      </w:pPr>
      <w:r>
        <w:rPr>
          <w:sz w:val="24"/>
          <w:szCs w:val="24"/>
        </w:rPr>
        <w:t xml:space="preserve">4. </w:t>
      </w:r>
      <w:r w:rsidR="00A17C9C" w:rsidRPr="00D5074E">
        <w:rPr>
          <w:sz w:val="24"/>
          <w:szCs w:val="24"/>
        </w:rPr>
        <w:t>English learning experience</w:t>
      </w:r>
    </w:p>
    <w:p w14:paraId="58E1A5CF" w14:textId="77777777" w:rsidR="00A17C9C" w:rsidRPr="00D5074E" w:rsidRDefault="00A17C9C" w:rsidP="00D5074E">
      <w:pPr>
        <w:pStyle w:val="NormalWeb"/>
        <w:spacing w:before="0" w:beforeAutospacing="0" w:after="120" w:afterAutospacing="0" w:line="480" w:lineRule="auto"/>
      </w:pPr>
      <w:r w:rsidRPr="00D5074E">
        <w:t>□ Less than 1 year</w:t>
      </w:r>
      <w:r w:rsidRPr="00D5074E">
        <w:br/>
        <w:t>□ 1–3 years</w:t>
      </w:r>
      <w:r w:rsidRPr="00D5074E">
        <w:br/>
        <w:t>□ 4–6 years</w:t>
      </w:r>
      <w:r w:rsidRPr="00D5074E">
        <w:br/>
        <w:t>□ More than 6 years</w:t>
      </w:r>
    </w:p>
    <w:p w14:paraId="63A2EE62" w14:textId="2A51EE97" w:rsidR="00A17C9C" w:rsidRPr="00D5074E" w:rsidRDefault="00D5074E" w:rsidP="00D5074E">
      <w:pPr>
        <w:pStyle w:val="Heading3"/>
        <w:spacing w:before="0" w:after="120" w:line="480" w:lineRule="auto"/>
        <w:rPr>
          <w:sz w:val="24"/>
          <w:szCs w:val="24"/>
        </w:rPr>
      </w:pPr>
      <w:r>
        <w:rPr>
          <w:sz w:val="24"/>
          <w:szCs w:val="24"/>
        </w:rPr>
        <w:t xml:space="preserve">5. </w:t>
      </w:r>
      <w:r w:rsidR="00A17C9C" w:rsidRPr="00D5074E">
        <w:rPr>
          <w:sz w:val="24"/>
          <w:szCs w:val="24"/>
        </w:rPr>
        <w:t>Frequency of self-learning English through short-form video platforms</w:t>
      </w:r>
    </w:p>
    <w:p w14:paraId="7CA00CED" w14:textId="77777777" w:rsidR="00A17C9C" w:rsidRPr="00D5074E" w:rsidRDefault="00A17C9C" w:rsidP="00D5074E">
      <w:pPr>
        <w:pStyle w:val="NormalWeb"/>
        <w:spacing w:before="0" w:beforeAutospacing="0" w:after="120" w:afterAutospacing="0" w:line="480" w:lineRule="auto"/>
      </w:pPr>
      <w:r w:rsidRPr="00D5074E">
        <w:t>□ Rarely</w:t>
      </w:r>
      <w:r w:rsidRPr="00D5074E">
        <w:br/>
        <w:t>□ Sometimes</w:t>
      </w:r>
      <w:r w:rsidRPr="00D5074E">
        <w:br/>
        <w:t>□ Often</w:t>
      </w:r>
      <w:r w:rsidRPr="00D5074E">
        <w:br/>
      </w:r>
      <w:r w:rsidRPr="00D5074E">
        <w:lastRenderedPageBreak/>
        <w:t>□ Very often</w:t>
      </w:r>
      <w:r w:rsidRPr="00D5074E">
        <w:br/>
        <w:t>□ Always</w:t>
      </w:r>
    </w:p>
    <w:p w14:paraId="231CCC72" w14:textId="335BFE49" w:rsidR="00A17C9C" w:rsidRPr="00D5074E" w:rsidRDefault="00D5074E" w:rsidP="00D5074E">
      <w:pPr>
        <w:pStyle w:val="Heading3"/>
        <w:spacing w:before="0" w:after="120" w:line="480" w:lineRule="auto"/>
        <w:rPr>
          <w:sz w:val="24"/>
          <w:szCs w:val="24"/>
        </w:rPr>
      </w:pPr>
      <w:r>
        <w:rPr>
          <w:sz w:val="24"/>
          <w:szCs w:val="24"/>
        </w:rPr>
        <w:t xml:space="preserve">6. </w:t>
      </w:r>
      <w:r w:rsidR="00A17C9C" w:rsidRPr="00D5074E">
        <w:rPr>
          <w:sz w:val="24"/>
          <w:szCs w:val="24"/>
        </w:rPr>
        <w:t>Which short-form video platform do you use most frequently for English learning?</w:t>
      </w:r>
    </w:p>
    <w:p w14:paraId="22DBFE11" w14:textId="77777777" w:rsidR="00A17C9C" w:rsidRPr="00D5074E" w:rsidRDefault="00A17C9C" w:rsidP="00D5074E">
      <w:pPr>
        <w:pStyle w:val="NormalWeb"/>
        <w:spacing w:before="0" w:beforeAutospacing="0" w:after="120" w:afterAutospacing="0" w:line="480" w:lineRule="auto"/>
      </w:pPr>
      <w:r w:rsidRPr="00D5074E">
        <w:t>□ TikTok</w:t>
      </w:r>
      <w:r w:rsidRPr="00D5074E">
        <w:br/>
        <w:t>□ Instagram Reels</w:t>
      </w:r>
      <w:r w:rsidRPr="00D5074E">
        <w:br/>
        <w:t>□ YouTube Shorts</w:t>
      </w:r>
      <w:r w:rsidRPr="00D5074E">
        <w:br/>
        <w:t>□ Facebook Reels</w:t>
      </w:r>
      <w:r w:rsidRPr="00D5074E">
        <w:br/>
        <w:t>□ Others: ___________</w:t>
      </w:r>
    </w:p>
    <w:p w14:paraId="6CAEA50B" w14:textId="2FB5366B" w:rsidR="00A17C9C" w:rsidRPr="00D5074E" w:rsidRDefault="00D5074E" w:rsidP="00D5074E">
      <w:pPr>
        <w:pStyle w:val="Heading3"/>
        <w:spacing w:before="0" w:after="120" w:line="480" w:lineRule="auto"/>
        <w:rPr>
          <w:sz w:val="24"/>
          <w:szCs w:val="24"/>
        </w:rPr>
      </w:pPr>
      <w:r>
        <w:rPr>
          <w:sz w:val="24"/>
          <w:szCs w:val="24"/>
        </w:rPr>
        <w:t xml:space="preserve">7. </w:t>
      </w:r>
      <w:r w:rsidR="00A17C9C" w:rsidRPr="00D5074E">
        <w:rPr>
          <w:sz w:val="24"/>
          <w:szCs w:val="24"/>
        </w:rPr>
        <w:t>Average daily time spent watching English-learning short-form videos</w:t>
      </w:r>
    </w:p>
    <w:p w14:paraId="02FE9328" w14:textId="77777777" w:rsidR="00A17C9C" w:rsidRPr="00D5074E" w:rsidRDefault="00A17C9C" w:rsidP="00D5074E">
      <w:pPr>
        <w:pStyle w:val="NormalWeb"/>
        <w:spacing w:before="0" w:beforeAutospacing="0" w:after="120" w:afterAutospacing="0" w:line="480" w:lineRule="auto"/>
      </w:pPr>
      <w:r w:rsidRPr="00D5074E">
        <w:t>□ Less than 15 minutes</w:t>
      </w:r>
      <w:r w:rsidRPr="00D5074E">
        <w:br/>
        <w:t>□ 15–30 minutes</w:t>
      </w:r>
      <w:r w:rsidRPr="00D5074E">
        <w:br/>
        <w:t>□ 30–60 minutes</w:t>
      </w:r>
      <w:r w:rsidRPr="00D5074E">
        <w:br/>
        <w:t>□ More than 60 minutes</w:t>
      </w:r>
    </w:p>
    <w:p w14:paraId="59CC814A" w14:textId="77777777" w:rsidR="00722EDE" w:rsidRPr="00D5074E" w:rsidRDefault="00722EDE" w:rsidP="00D5074E">
      <w:pPr>
        <w:pStyle w:val="RALs-Normal-NoIndent"/>
        <w:spacing w:before="0" w:after="120" w:line="480" w:lineRule="auto"/>
        <w:rPr>
          <w:rFonts w:cs="Times New Roman"/>
          <w:sz w:val="24"/>
          <w:szCs w:val="24"/>
        </w:rPr>
      </w:pPr>
    </w:p>
    <w:p w14:paraId="1588E58D" w14:textId="77777777" w:rsidR="00BA7885" w:rsidRPr="00D5074E" w:rsidRDefault="00BA7885" w:rsidP="00D5074E">
      <w:pPr>
        <w:spacing w:before="0" w:after="120" w:line="480" w:lineRule="auto"/>
        <w:rPr>
          <w:rFonts w:cs="Times New Roman"/>
          <w:sz w:val="24"/>
          <w:szCs w:val="24"/>
        </w:rPr>
      </w:pPr>
    </w:p>
    <w:sectPr w:rsidR="00BA7885" w:rsidRPr="00D5074E"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97865" w14:textId="77777777" w:rsidR="006F5036" w:rsidRDefault="006F5036" w:rsidP="00722EDE">
      <w:pPr>
        <w:spacing w:before="0" w:after="0" w:line="240" w:lineRule="auto"/>
      </w:pPr>
      <w:r>
        <w:separator/>
      </w:r>
    </w:p>
  </w:endnote>
  <w:endnote w:type="continuationSeparator" w:id="0">
    <w:p w14:paraId="348DF80F" w14:textId="77777777" w:rsidR="006F5036" w:rsidRDefault="006F5036"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F719" w14:textId="77777777" w:rsidR="006F5036" w:rsidRDefault="006F5036" w:rsidP="00722EDE">
      <w:pPr>
        <w:spacing w:before="0" w:after="0" w:line="240" w:lineRule="auto"/>
      </w:pPr>
      <w:r>
        <w:separator/>
      </w:r>
    </w:p>
  </w:footnote>
  <w:footnote w:type="continuationSeparator" w:id="0">
    <w:p w14:paraId="0370ABAE" w14:textId="77777777" w:rsidR="006F5036" w:rsidRDefault="006F5036" w:rsidP="00722ED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313C4"/>
    <w:multiLevelType w:val="hybridMultilevel"/>
    <w:tmpl w:val="D1A89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8B2595"/>
    <w:multiLevelType w:val="multilevel"/>
    <w:tmpl w:val="D8803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390922">
    <w:abstractNumId w:val="1"/>
  </w:num>
  <w:num w:numId="2" w16cid:durableId="666178557">
    <w:abstractNumId w:val="3"/>
  </w:num>
  <w:num w:numId="3" w16cid:durableId="1913083853">
    <w:abstractNumId w:val="2"/>
  </w:num>
  <w:num w:numId="4" w16cid:durableId="7019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10C99"/>
    <w:rsid w:val="000255FB"/>
    <w:rsid w:val="000452F9"/>
    <w:rsid w:val="0008495B"/>
    <w:rsid w:val="00097731"/>
    <w:rsid w:val="000D02DA"/>
    <w:rsid w:val="00100186"/>
    <w:rsid w:val="00105F23"/>
    <w:rsid w:val="0018520B"/>
    <w:rsid w:val="001D1F3F"/>
    <w:rsid w:val="00230B4C"/>
    <w:rsid w:val="002334D9"/>
    <w:rsid w:val="0024049F"/>
    <w:rsid w:val="002639BD"/>
    <w:rsid w:val="00263F22"/>
    <w:rsid w:val="00281770"/>
    <w:rsid w:val="002835DB"/>
    <w:rsid w:val="00291EBB"/>
    <w:rsid w:val="002A41C8"/>
    <w:rsid w:val="002E660C"/>
    <w:rsid w:val="00316775"/>
    <w:rsid w:val="00352213"/>
    <w:rsid w:val="00352D49"/>
    <w:rsid w:val="00374F3D"/>
    <w:rsid w:val="00385D90"/>
    <w:rsid w:val="003943D0"/>
    <w:rsid w:val="003C1DED"/>
    <w:rsid w:val="003E053B"/>
    <w:rsid w:val="003E395E"/>
    <w:rsid w:val="003E7F04"/>
    <w:rsid w:val="00400EAB"/>
    <w:rsid w:val="00436351"/>
    <w:rsid w:val="00436B20"/>
    <w:rsid w:val="00486E01"/>
    <w:rsid w:val="00492B4B"/>
    <w:rsid w:val="00516D69"/>
    <w:rsid w:val="00522DAC"/>
    <w:rsid w:val="00531702"/>
    <w:rsid w:val="005326EA"/>
    <w:rsid w:val="00534412"/>
    <w:rsid w:val="0055247B"/>
    <w:rsid w:val="0055635B"/>
    <w:rsid w:val="005574FF"/>
    <w:rsid w:val="00582050"/>
    <w:rsid w:val="005B3C09"/>
    <w:rsid w:val="005D18CA"/>
    <w:rsid w:val="005D200D"/>
    <w:rsid w:val="005E6521"/>
    <w:rsid w:val="005F4AE4"/>
    <w:rsid w:val="0060356B"/>
    <w:rsid w:val="00606F08"/>
    <w:rsid w:val="00622A07"/>
    <w:rsid w:val="0062451A"/>
    <w:rsid w:val="006505BE"/>
    <w:rsid w:val="00660CAB"/>
    <w:rsid w:val="006A0AE2"/>
    <w:rsid w:val="006C58CB"/>
    <w:rsid w:val="006D5B06"/>
    <w:rsid w:val="006D5BA8"/>
    <w:rsid w:val="006F01BE"/>
    <w:rsid w:val="006F5036"/>
    <w:rsid w:val="00722EDE"/>
    <w:rsid w:val="007270FC"/>
    <w:rsid w:val="00731225"/>
    <w:rsid w:val="0073665C"/>
    <w:rsid w:val="007507FE"/>
    <w:rsid w:val="00760697"/>
    <w:rsid w:val="00762AAD"/>
    <w:rsid w:val="007B54D6"/>
    <w:rsid w:val="00817EE3"/>
    <w:rsid w:val="0084425D"/>
    <w:rsid w:val="00853B47"/>
    <w:rsid w:val="00871571"/>
    <w:rsid w:val="00881C36"/>
    <w:rsid w:val="00895159"/>
    <w:rsid w:val="008E0081"/>
    <w:rsid w:val="00906B59"/>
    <w:rsid w:val="00916B27"/>
    <w:rsid w:val="00934FC5"/>
    <w:rsid w:val="00942596"/>
    <w:rsid w:val="00943C2F"/>
    <w:rsid w:val="00950C30"/>
    <w:rsid w:val="009627F9"/>
    <w:rsid w:val="009A2266"/>
    <w:rsid w:val="009D1F97"/>
    <w:rsid w:val="00A01970"/>
    <w:rsid w:val="00A17C9C"/>
    <w:rsid w:val="00A24758"/>
    <w:rsid w:val="00A43867"/>
    <w:rsid w:val="00A61AFE"/>
    <w:rsid w:val="00A6273B"/>
    <w:rsid w:val="00A701B5"/>
    <w:rsid w:val="00A706F6"/>
    <w:rsid w:val="00A81D26"/>
    <w:rsid w:val="00AA0B64"/>
    <w:rsid w:val="00AB1BE1"/>
    <w:rsid w:val="00AB40B0"/>
    <w:rsid w:val="00AD29B9"/>
    <w:rsid w:val="00AD7745"/>
    <w:rsid w:val="00AE1120"/>
    <w:rsid w:val="00B01DD2"/>
    <w:rsid w:val="00B13FAF"/>
    <w:rsid w:val="00B2693C"/>
    <w:rsid w:val="00BA7885"/>
    <w:rsid w:val="00BB2666"/>
    <w:rsid w:val="00C33B82"/>
    <w:rsid w:val="00C47E23"/>
    <w:rsid w:val="00C51D2A"/>
    <w:rsid w:val="00C67256"/>
    <w:rsid w:val="00C863B2"/>
    <w:rsid w:val="00C86B20"/>
    <w:rsid w:val="00CD3D29"/>
    <w:rsid w:val="00CD5CC3"/>
    <w:rsid w:val="00D27A4B"/>
    <w:rsid w:val="00D3302B"/>
    <w:rsid w:val="00D5074E"/>
    <w:rsid w:val="00DC5B1A"/>
    <w:rsid w:val="00DC5BCF"/>
    <w:rsid w:val="00DD1C98"/>
    <w:rsid w:val="00DD7139"/>
    <w:rsid w:val="00DE422F"/>
    <w:rsid w:val="00E40940"/>
    <w:rsid w:val="00E5015D"/>
    <w:rsid w:val="00E60357"/>
    <w:rsid w:val="00E8768E"/>
    <w:rsid w:val="00EB35B5"/>
    <w:rsid w:val="00EC1FC8"/>
    <w:rsid w:val="00ED7821"/>
    <w:rsid w:val="00EE6618"/>
    <w:rsid w:val="00F03E1A"/>
    <w:rsid w:val="00F546EB"/>
    <w:rsid w:val="00F63596"/>
    <w:rsid w:val="00F80056"/>
    <w:rsid w:val="00F80631"/>
    <w:rsid w:val="00F820E1"/>
    <w:rsid w:val="00FB2BFF"/>
    <w:rsid w:val="00FC16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38628"/>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paragraph" w:styleId="Heading1">
    <w:name w:val="heading 1"/>
    <w:basedOn w:val="Normal"/>
    <w:next w:val="Normal"/>
    <w:link w:val="Heading1Char"/>
    <w:uiPriority w:val="9"/>
    <w:qFormat/>
    <w:rsid w:val="00B01DD2"/>
    <w:pPr>
      <w:keepNext/>
      <w:keepLines/>
      <w:spacing w:before="360" w:after="80" w:line="360" w:lineRule="auto"/>
      <w:ind w:firstLine="0"/>
      <w:jc w:val="center"/>
      <w:outlineLvl w:val="0"/>
    </w:pPr>
    <w:rPr>
      <w:rFonts w:cs="Times New Roman"/>
      <w:b/>
      <w:bCs/>
      <w:color w:val="000000"/>
      <w:sz w:val="32"/>
      <w:szCs w:val="32"/>
      <w:lang w:val="en"/>
    </w:rPr>
  </w:style>
  <w:style w:type="paragraph" w:styleId="Heading2">
    <w:name w:val="heading 2"/>
    <w:basedOn w:val="Normal"/>
    <w:next w:val="Normal"/>
    <w:link w:val="Heading2Char"/>
    <w:uiPriority w:val="9"/>
    <w:unhideWhenUsed/>
    <w:qFormat/>
    <w:rsid w:val="00B01DD2"/>
    <w:pPr>
      <w:keepNext/>
      <w:keepLines/>
      <w:spacing w:before="160" w:after="80" w:line="259" w:lineRule="auto"/>
      <w:ind w:firstLine="0"/>
      <w:jc w:val="left"/>
      <w:outlineLvl w:val="1"/>
    </w:pPr>
    <w:rPr>
      <w:rFonts w:cs="Times New Roman"/>
      <w:b/>
      <w:bCs/>
      <w:color w:val="000000"/>
      <w:sz w:val="26"/>
      <w:szCs w:val="26"/>
      <w:lang w:val="en"/>
    </w:rPr>
  </w:style>
  <w:style w:type="paragraph" w:styleId="Heading3">
    <w:name w:val="heading 3"/>
    <w:basedOn w:val="Normal"/>
    <w:next w:val="Normal"/>
    <w:link w:val="Heading3Char"/>
    <w:uiPriority w:val="9"/>
    <w:unhideWhenUsed/>
    <w:qFormat/>
    <w:rsid w:val="00B01DD2"/>
    <w:pPr>
      <w:keepNext/>
      <w:keepLines/>
      <w:spacing w:before="160" w:after="80" w:line="259" w:lineRule="auto"/>
      <w:ind w:firstLine="0"/>
      <w:jc w:val="left"/>
      <w:outlineLvl w:val="2"/>
    </w:pPr>
    <w:rPr>
      <w:rFonts w:cs="Times New Roman"/>
      <w:color w:val="000000"/>
      <w:sz w:val="26"/>
      <w:szCs w:val="26"/>
      <w:lang w:val="en"/>
    </w:rPr>
  </w:style>
  <w:style w:type="paragraph" w:styleId="Heading4">
    <w:name w:val="heading 4"/>
    <w:basedOn w:val="Normal"/>
    <w:next w:val="Normal"/>
    <w:link w:val="Heading4Char"/>
    <w:uiPriority w:val="9"/>
    <w:unhideWhenUsed/>
    <w:qFormat/>
    <w:rsid w:val="00B01DD2"/>
    <w:pPr>
      <w:keepNext/>
      <w:keepLines/>
      <w:spacing w:before="80" w:after="40" w:line="259" w:lineRule="auto"/>
      <w:ind w:firstLine="0"/>
      <w:jc w:val="left"/>
      <w:outlineLvl w:val="3"/>
    </w:pPr>
    <w:rPr>
      <w:rFonts w:cs="Times New Roman"/>
      <w:i/>
      <w:iCs/>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qFormat/>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15">
    <w:name w:val="15"/>
    <w:basedOn w:val="DefaultParagraphFont"/>
    <w:rsid w:val="00B01DD2"/>
    <w:rPr>
      <w:rFonts w:ascii="Calibri" w:hAnsi="Calibri" w:cs="Calibri" w:hint="default"/>
      <w:color w:val="0563C1"/>
      <w:u w:val="single"/>
    </w:rPr>
  </w:style>
  <w:style w:type="paragraph" w:customStyle="1" w:styleId="isselectedend">
    <w:name w:val="isselectedend"/>
    <w:basedOn w:val="Normal"/>
    <w:rsid w:val="00B01DD2"/>
    <w:pPr>
      <w:spacing w:before="100" w:beforeAutospacing="1" w:after="100" w:afterAutospacing="1" w:line="240" w:lineRule="auto"/>
      <w:ind w:firstLine="0"/>
      <w:jc w:val="left"/>
    </w:pPr>
    <w:rPr>
      <w:rFonts w:cs="Times New Roman"/>
      <w:sz w:val="24"/>
      <w:szCs w:val="24"/>
      <w:lang w:eastAsia="zh-CN"/>
    </w:rPr>
  </w:style>
  <w:style w:type="character" w:customStyle="1" w:styleId="Heading1Char">
    <w:name w:val="Heading 1 Char"/>
    <w:basedOn w:val="DefaultParagraphFont"/>
    <w:link w:val="Heading1"/>
    <w:uiPriority w:val="9"/>
    <w:rsid w:val="00B01DD2"/>
    <w:rPr>
      <w:rFonts w:ascii="Times New Roman" w:eastAsia="Times New Roman" w:hAnsi="Times New Roman" w:cs="Times New Roman"/>
      <w:b/>
      <w:bCs/>
      <w:color w:val="000000"/>
      <w:sz w:val="32"/>
      <w:szCs w:val="32"/>
      <w:lang w:val="en"/>
    </w:rPr>
  </w:style>
  <w:style w:type="character" w:customStyle="1" w:styleId="Heading2Char">
    <w:name w:val="Heading 2 Char"/>
    <w:basedOn w:val="DefaultParagraphFont"/>
    <w:link w:val="Heading2"/>
    <w:uiPriority w:val="9"/>
    <w:rsid w:val="00B01DD2"/>
    <w:rPr>
      <w:rFonts w:ascii="Times New Roman" w:eastAsia="Times New Roman" w:hAnsi="Times New Roman" w:cs="Times New Roman"/>
      <w:b/>
      <w:bCs/>
      <w:color w:val="000000"/>
      <w:sz w:val="26"/>
      <w:szCs w:val="26"/>
      <w:lang w:val="en"/>
    </w:rPr>
  </w:style>
  <w:style w:type="character" w:customStyle="1" w:styleId="Heading3Char">
    <w:name w:val="Heading 3 Char"/>
    <w:basedOn w:val="DefaultParagraphFont"/>
    <w:link w:val="Heading3"/>
    <w:uiPriority w:val="9"/>
    <w:rsid w:val="00B01DD2"/>
    <w:rPr>
      <w:rFonts w:ascii="Times New Roman" w:eastAsia="Times New Roman" w:hAnsi="Times New Roman" w:cs="Times New Roman"/>
      <w:color w:val="000000"/>
      <w:sz w:val="26"/>
      <w:szCs w:val="26"/>
      <w:lang w:val="en"/>
    </w:rPr>
  </w:style>
  <w:style w:type="character" w:customStyle="1" w:styleId="Heading4Char">
    <w:name w:val="Heading 4 Char"/>
    <w:basedOn w:val="DefaultParagraphFont"/>
    <w:link w:val="Heading4"/>
    <w:uiPriority w:val="9"/>
    <w:rsid w:val="00B01DD2"/>
    <w:rPr>
      <w:rFonts w:ascii="Times New Roman" w:eastAsia="Times New Roman" w:hAnsi="Times New Roman" w:cs="Times New Roman"/>
      <w:i/>
      <w:iCs/>
      <w:sz w:val="24"/>
      <w:szCs w:val="24"/>
      <w:lang w:val="en"/>
    </w:rPr>
  </w:style>
  <w:style w:type="table" w:styleId="TableGrid">
    <w:name w:val="Table Grid"/>
    <w:basedOn w:val="TableNormal"/>
    <w:uiPriority w:val="39"/>
    <w:rsid w:val="00B01DD2"/>
    <w:pPr>
      <w:spacing w:after="0" w:line="240" w:lineRule="auto"/>
    </w:pPr>
    <w:rPr>
      <w:rFonts w:eastAsia="Times New Roman" w:cs="Times New Roman"/>
      <w:lang w:val="e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01DD2"/>
    <w:rPr>
      <w:b/>
      <w:bCs/>
    </w:rPr>
  </w:style>
  <w:style w:type="character" w:styleId="Emphasis">
    <w:name w:val="Emphasis"/>
    <w:basedOn w:val="DefaultParagraphFont"/>
    <w:uiPriority w:val="20"/>
    <w:qFormat/>
    <w:rsid w:val="00B01DD2"/>
    <w:rPr>
      <w:i/>
      <w:iCs/>
    </w:rPr>
  </w:style>
  <w:style w:type="table" w:customStyle="1" w:styleId="Style72">
    <w:name w:val="_Style 72"/>
    <w:basedOn w:val="TableNormal"/>
    <w:rsid w:val="00B01DD2"/>
    <w:pPr>
      <w:spacing w:after="0" w:line="240" w:lineRule="auto"/>
    </w:pPr>
    <w:rPr>
      <w:rFonts w:ascii="Times New Roman" w:eastAsia="Times New Roman" w:hAnsi="Times New Roman" w:cs="Times New Roman"/>
      <w:sz w:val="20"/>
      <w:szCs w:val="20"/>
      <w:lang w:eastAsia="zh-CN"/>
    </w:rPr>
    <w:tblPr>
      <w:tblInd w:w="0" w:type="nil"/>
      <w:tblCellMar>
        <w:top w:w="15" w:type="dxa"/>
        <w:left w:w="15" w:type="dxa"/>
        <w:bottom w:w="15" w:type="dxa"/>
        <w:right w:w="15" w:type="dxa"/>
      </w:tblCellMar>
    </w:tblPr>
  </w:style>
  <w:style w:type="paragraph" w:styleId="TOC3">
    <w:name w:val="toc 3"/>
    <w:basedOn w:val="Normal"/>
    <w:next w:val="Normal"/>
    <w:autoRedefine/>
    <w:uiPriority w:val="39"/>
    <w:unhideWhenUsed/>
    <w:rsid w:val="00281770"/>
    <w:pPr>
      <w:spacing w:before="0" w:after="100" w:line="259" w:lineRule="auto"/>
      <w:ind w:left="480" w:firstLine="0"/>
      <w:jc w:val="left"/>
    </w:pPr>
    <w:rPr>
      <w:rFonts w:cs="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4041">
      <w:bodyDiv w:val="1"/>
      <w:marLeft w:val="0"/>
      <w:marRight w:val="0"/>
      <w:marTop w:val="0"/>
      <w:marBottom w:val="0"/>
      <w:divBdr>
        <w:top w:val="none" w:sz="0" w:space="0" w:color="auto"/>
        <w:left w:val="none" w:sz="0" w:space="0" w:color="auto"/>
        <w:bottom w:val="none" w:sz="0" w:space="0" w:color="auto"/>
        <w:right w:val="none" w:sz="0" w:space="0" w:color="auto"/>
      </w:divBdr>
    </w:div>
    <w:div w:id="210699626">
      <w:bodyDiv w:val="1"/>
      <w:marLeft w:val="0"/>
      <w:marRight w:val="0"/>
      <w:marTop w:val="0"/>
      <w:marBottom w:val="0"/>
      <w:divBdr>
        <w:top w:val="none" w:sz="0" w:space="0" w:color="auto"/>
        <w:left w:val="none" w:sz="0" w:space="0" w:color="auto"/>
        <w:bottom w:val="none" w:sz="0" w:space="0" w:color="auto"/>
        <w:right w:val="none" w:sz="0" w:space="0" w:color="auto"/>
      </w:divBdr>
      <w:divsChild>
        <w:div w:id="1275331191">
          <w:marLeft w:val="0"/>
          <w:marRight w:val="0"/>
          <w:marTop w:val="0"/>
          <w:marBottom w:val="0"/>
          <w:divBdr>
            <w:top w:val="none" w:sz="0" w:space="0" w:color="auto"/>
            <w:left w:val="none" w:sz="0" w:space="0" w:color="auto"/>
            <w:bottom w:val="none" w:sz="0" w:space="0" w:color="auto"/>
            <w:right w:val="none" w:sz="0" w:space="0" w:color="auto"/>
          </w:divBdr>
          <w:divsChild>
            <w:div w:id="7446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5287">
      <w:bodyDiv w:val="1"/>
      <w:marLeft w:val="0"/>
      <w:marRight w:val="0"/>
      <w:marTop w:val="0"/>
      <w:marBottom w:val="0"/>
      <w:divBdr>
        <w:top w:val="none" w:sz="0" w:space="0" w:color="auto"/>
        <w:left w:val="none" w:sz="0" w:space="0" w:color="auto"/>
        <w:bottom w:val="none" w:sz="0" w:space="0" w:color="auto"/>
        <w:right w:val="none" w:sz="0" w:space="0" w:color="auto"/>
      </w:divBdr>
    </w:div>
    <w:div w:id="440345256">
      <w:bodyDiv w:val="1"/>
      <w:marLeft w:val="0"/>
      <w:marRight w:val="0"/>
      <w:marTop w:val="0"/>
      <w:marBottom w:val="0"/>
      <w:divBdr>
        <w:top w:val="none" w:sz="0" w:space="0" w:color="auto"/>
        <w:left w:val="none" w:sz="0" w:space="0" w:color="auto"/>
        <w:bottom w:val="none" w:sz="0" w:space="0" w:color="auto"/>
        <w:right w:val="none" w:sz="0" w:space="0" w:color="auto"/>
      </w:divBdr>
    </w:div>
    <w:div w:id="675695828">
      <w:bodyDiv w:val="1"/>
      <w:marLeft w:val="0"/>
      <w:marRight w:val="0"/>
      <w:marTop w:val="0"/>
      <w:marBottom w:val="0"/>
      <w:divBdr>
        <w:top w:val="none" w:sz="0" w:space="0" w:color="auto"/>
        <w:left w:val="none" w:sz="0" w:space="0" w:color="auto"/>
        <w:bottom w:val="none" w:sz="0" w:space="0" w:color="auto"/>
        <w:right w:val="none" w:sz="0" w:space="0" w:color="auto"/>
      </w:divBdr>
    </w:div>
    <w:div w:id="825437297">
      <w:bodyDiv w:val="1"/>
      <w:marLeft w:val="0"/>
      <w:marRight w:val="0"/>
      <w:marTop w:val="0"/>
      <w:marBottom w:val="0"/>
      <w:divBdr>
        <w:top w:val="none" w:sz="0" w:space="0" w:color="auto"/>
        <w:left w:val="none" w:sz="0" w:space="0" w:color="auto"/>
        <w:bottom w:val="none" w:sz="0" w:space="0" w:color="auto"/>
        <w:right w:val="none" w:sz="0" w:space="0" w:color="auto"/>
      </w:divBdr>
    </w:div>
    <w:div w:id="986591386">
      <w:bodyDiv w:val="1"/>
      <w:marLeft w:val="0"/>
      <w:marRight w:val="0"/>
      <w:marTop w:val="0"/>
      <w:marBottom w:val="0"/>
      <w:divBdr>
        <w:top w:val="none" w:sz="0" w:space="0" w:color="auto"/>
        <w:left w:val="none" w:sz="0" w:space="0" w:color="auto"/>
        <w:bottom w:val="none" w:sz="0" w:space="0" w:color="auto"/>
        <w:right w:val="none" w:sz="0" w:space="0" w:color="auto"/>
      </w:divBdr>
    </w:div>
    <w:div w:id="998581988">
      <w:bodyDiv w:val="1"/>
      <w:marLeft w:val="0"/>
      <w:marRight w:val="0"/>
      <w:marTop w:val="0"/>
      <w:marBottom w:val="0"/>
      <w:divBdr>
        <w:top w:val="none" w:sz="0" w:space="0" w:color="auto"/>
        <w:left w:val="none" w:sz="0" w:space="0" w:color="auto"/>
        <w:bottom w:val="none" w:sz="0" w:space="0" w:color="auto"/>
        <w:right w:val="none" w:sz="0" w:space="0" w:color="auto"/>
      </w:divBdr>
    </w:div>
    <w:div w:id="1252931423">
      <w:bodyDiv w:val="1"/>
      <w:marLeft w:val="0"/>
      <w:marRight w:val="0"/>
      <w:marTop w:val="0"/>
      <w:marBottom w:val="0"/>
      <w:divBdr>
        <w:top w:val="none" w:sz="0" w:space="0" w:color="auto"/>
        <w:left w:val="none" w:sz="0" w:space="0" w:color="auto"/>
        <w:bottom w:val="none" w:sz="0" w:space="0" w:color="auto"/>
        <w:right w:val="none" w:sz="0" w:space="0" w:color="auto"/>
      </w:divBdr>
    </w:div>
    <w:div w:id="1380127187">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634679480">
      <w:bodyDiv w:val="1"/>
      <w:marLeft w:val="0"/>
      <w:marRight w:val="0"/>
      <w:marTop w:val="0"/>
      <w:marBottom w:val="0"/>
      <w:divBdr>
        <w:top w:val="none" w:sz="0" w:space="0" w:color="auto"/>
        <w:left w:val="none" w:sz="0" w:space="0" w:color="auto"/>
        <w:bottom w:val="none" w:sz="0" w:space="0" w:color="auto"/>
        <w:right w:val="none" w:sz="0" w:space="0" w:color="auto"/>
      </w:divBdr>
    </w:div>
    <w:div w:id="1744641713">
      <w:bodyDiv w:val="1"/>
      <w:marLeft w:val="0"/>
      <w:marRight w:val="0"/>
      <w:marTop w:val="0"/>
      <w:marBottom w:val="0"/>
      <w:divBdr>
        <w:top w:val="none" w:sz="0" w:space="0" w:color="auto"/>
        <w:left w:val="none" w:sz="0" w:space="0" w:color="auto"/>
        <w:bottom w:val="none" w:sz="0" w:space="0" w:color="auto"/>
        <w:right w:val="none" w:sz="0" w:space="0" w:color="auto"/>
      </w:divBdr>
    </w:div>
    <w:div w:id="203734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hb.2018.08.035" TargetMode="External"/><Relationship Id="rId18" Type="http://schemas.openxmlformats.org/officeDocument/2006/relationships/hyperlink" Target="https://doi.org/10.1145/2556325.2566239" TargetMode="External"/><Relationship Id="rId26" Type="http://schemas.openxmlformats.org/officeDocument/2006/relationships/hyperlink" Target="https://doi.org/10.1073/pnas.0903620106" TargetMode="External"/><Relationship Id="rId3" Type="http://schemas.openxmlformats.org/officeDocument/2006/relationships/styles" Target="styles.xml"/><Relationship Id="rId21" Type="http://schemas.openxmlformats.org/officeDocument/2006/relationships/hyperlink" Target="https://doi.org/10.1016/j.bushor.2009.09.00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3102/00346543074001059" TargetMode="External"/><Relationship Id="rId25" Type="http://schemas.openxmlformats.org/officeDocument/2006/relationships/hyperlink" Target="https://doi.org/10.1016/j.compedu.2016.01.01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wps.20617" TargetMode="External"/><Relationship Id="rId20" Type="http://schemas.openxmlformats.org/officeDocument/2006/relationships/hyperlink" Target="https://doi.org/10.1016/j.iheduc.2010.07.003" TargetMode="External"/><Relationship Id="rId29" Type="http://schemas.openxmlformats.org/officeDocument/2006/relationships/hyperlink" Target="https://doi.org/10.1017/S02614448180003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111/flan.12084" TargetMode="External"/><Relationship Id="rId32" Type="http://schemas.openxmlformats.org/officeDocument/2006/relationships/hyperlink" Target="https://doi.org/10.1093/applin/aml048" TargetMode="External"/><Relationship Id="rId5" Type="http://schemas.openxmlformats.org/officeDocument/2006/relationships/webSettings" Target="webSettings.xml"/><Relationship Id="rId15" Type="http://schemas.openxmlformats.org/officeDocument/2006/relationships/hyperlink" Target="https://doi.org/10.1016/j.jhlste.2021.100302" TargetMode="External"/><Relationship Id="rId23" Type="http://schemas.openxmlformats.org/officeDocument/2006/relationships/hyperlink" Target="https://doi.org/10.1016/j.chb.2010.03.024" TargetMode="External"/><Relationship Id="rId28" Type="http://schemas.openxmlformats.org/officeDocument/2006/relationships/hyperlink" Target="https://doi.org/10.1017/S0272263117000407" TargetMode="External"/><Relationship Id="rId10" Type="http://schemas.openxmlformats.org/officeDocument/2006/relationships/image" Target="media/image1.jpeg"/><Relationship Id="rId19" Type="http://schemas.openxmlformats.org/officeDocument/2006/relationships/hyperlink" Target="https://doi.org/10.1111/j.1365-2729.2010.00387.x" TargetMode="External"/><Relationship Id="rId31" Type="http://schemas.openxmlformats.org/officeDocument/2006/relationships/hyperlink" Target="https://doi.org/10.1207/s15516709cog1202_4" TargetMode="External"/><Relationship Id="rId4" Type="http://schemas.openxmlformats.org/officeDocument/2006/relationships/settings" Target="settings.xml"/><Relationship Id="rId9" Type="http://schemas.openxmlformats.org/officeDocument/2006/relationships/hyperlink" Target="mailto:nuongnguyen@apd.edu.vn" TargetMode="External"/><Relationship Id="rId14" Type="http://schemas.openxmlformats.org/officeDocument/2006/relationships/hyperlink" Target="https://doi.org/10.1111/j.1083-6101.2007.00393.x" TargetMode="External"/><Relationship Id="rId22" Type="http://schemas.openxmlformats.org/officeDocument/2006/relationships/hyperlink" Target="https://doi.org/10.1177/2050157920952120" TargetMode="External"/><Relationship Id="rId27" Type="http://schemas.openxmlformats.org/officeDocument/2006/relationships/hyperlink" Target="https://doi.org/10.1037/h0084295" TargetMode="External"/><Relationship Id="rId30" Type="http://schemas.openxmlformats.org/officeDocument/2006/relationships/hyperlink" Target="https://doi.org/10.1016/j.chb.2012.12.001" TargetMode="External"/><Relationship Id="rId8" Type="http://schemas.openxmlformats.org/officeDocument/2006/relationships/hyperlink" Target="mailto:nuongnguyen@apd.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38</Pages>
  <Words>9490</Words>
  <Characters>54093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Immortelle Field</cp:lastModifiedBy>
  <cp:revision>107</cp:revision>
  <dcterms:created xsi:type="dcterms:W3CDTF">2020-07-23T03:39:00Z</dcterms:created>
  <dcterms:modified xsi:type="dcterms:W3CDTF">2026-06-25T17:28:00Z</dcterms:modified>
</cp:coreProperties>
</file>