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2ABEB" w14:textId="77777777" w:rsidR="00BE4AA9" w:rsidRDefault="00000000">
      <w:pPr>
        <w:spacing w:before="240" w:after="240" w:line="276" w:lineRule="auto"/>
        <w:jc w:val="center"/>
        <w:rPr>
          <w:b/>
          <w:bCs/>
          <w:sz w:val="28"/>
          <w:szCs w:val="28"/>
        </w:rPr>
      </w:pPr>
      <w:r>
        <w:rPr>
          <w:b/>
          <w:bCs/>
          <w:sz w:val="28"/>
          <w:szCs w:val="28"/>
        </w:rPr>
        <w:t>Vietnam’s ESL Transition: Adapting Structured Literacy in Micro-Level Material Design for Primary Classrooms</w:t>
      </w:r>
    </w:p>
    <w:p w14:paraId="494C666D" w14:textId="0411A53B" w:rsidR="00B52534" w:rsidRPr="00E40940" w:rsidRDefault="003D647B" w:rsidP="00B52534">
      <w:pPr>
        <w:pStyle w:val="RALs-Authors"/>
        <w:rPr>
          <w:rFonts w:asciiTheme="majorBidi" w:hAnsiTheme="majorBidi" w:cstheme="majorBidi"/>
        </w:rPr>
      </w:pPr>
      <w:r>
        <w:rPr>
          <w:rFonts w:asciiTheme="majorBidi" w:hAnsiTheme="majorBidi" w:cstheme="majorBidi"/>
        </w:rPr>
        <w:t>Pham Trang Thu</w:t>
      </w:r>
      <w:r>
        <w:rPr>
          <w:rStyle w:val="FootnoteReference"/>
          <w:rFonts w:asciiTheme="majorBidi" w:hAnsiTheme="majorBidi" w:cstheme="majorBidi"/>
        </w:rPr>
        <w:footnoteReference w:id="1"/>
      </w:r>
      <w:r>
        <w:rPr>
          <w:rFonts w:asciiTheme="majorBidi" w:hAnsiTheme="majorBidi" w:cstheme="majorBidi"/>
        </w:rPr>
        <w:t>, Phan Hoang Thuy Linh</w:t>
      </w:r>
      <w:r>
        <w:rPr>
          <w:rStyle w:val="FootnoteReference"/>
          <w:rFonts w:asciiTheme="majorBidi" w:hAnsiTheme="majorBidi" w:cstheme="majorBidi"/>
        </w:rPr>
        <w:t xml:space="preserve"> </w:t>
      </w:r>
      <w:r>
        <w:rPr>
          <w:rStyle w:val="FootnoteReference"/>
          <w:rFonts w:asciiTheme="majorBidi" w:hAnsiTheme="majorBidi" w:cstheme="majorBidi"/>
        </w:rPr>
        <w:footnoteReference w:id="2"/>
      </w:r>
    </w:p>
    <w:p w14:paraId="2618A068" w14:textId="2CC209FC" w:rsidR="003D647B" w:rsidRPr="003D647B" w:rsidRDefault="003D647B" w:rsidP="003D647B">
      <w:pPr>
        <w:pStyle w:val="RALs-HeadingsNoIndent"/>
        <w:rPr>
          <w:rFonts w:asciiTheme="majorBidi" w:hAnsiTheme="majorBidi" w:cstheme="majorBidi"/>
          <w:sz w:val="24"/>
          <w:szCs w:val="24"/>
        </w:rPr>
      </w:pPr>
      <w:r>
        <w:rPr>
          <w:rFonts w:asciiTheme="majorBidi" w:hAnsiTheme="majorBidi" w:cstheme="majorBidi"/>
          <w:sz w:val="24"/>
          <w:szCs w:val="24"/>
        </w:rPr>
        <w:t>Abstract</w:t>
      </w:r>
    </w:p>
    <w:p w14:paraId="3ECA3FCC" w14:textId="4C74561E" w:rsidR="00BE4AA9" w:rsidRDefault="00000000" w:rsidP="003D647B">
      <w:pPr>
        <w:spacing w:after="160"/>
        <w:jc w:val="both"/>
      </w:pPr>
      <w:r>
        <w:t>As Vietnam transitions from English as a Foreign Language (EFL) to a Second Language (ESL), primary students often face systemic phonetic barriers – specifically coda deletion, monosyllabic processing, and tonal interference – rooted in L1 influence. Despite this strategic shift, current communicative textbooks seem to lack the micro-level decoding methodologies required for ESL proficiency. This study investigates the compatibility of foundational Structured Literacy (SL) routines, extracted from the HMH Into Reading curriculum, with the Vietnamese phonetic context. Employing qualitative document analysis, the research utilizes a mapping matrix to evaluate how four core routines dismantle L1-induced errors. The analysis demonstrates that “Tap and Count” and “Sound-by-Sound Blending” can effectively disrupt whole-syllable guessing and enforce released stops, directly mitigating coda deletion. Furthermore, “Continuous Blending” and “Echo Reading” can facilitate coarticulation and recalibrate sentence-level prosody to override ingrained Vietnamese tonal habits. Ultimately, the study proposes a tripartite Adaptation Framework for Scripted Instruction, providing explicit “I do – We do – You do” bilingual scaffolds for Teacher’s Guides. This research contributes a micro-instructional lens to material design, offering an actionable, systemic approach to bridge the gap between phonemic awareness and oral fluency, thereby establishing a foundation for future experimental interventions in ESL-emerging classrooms.</w:t>
      </w:r>
    </w:p>
    <w:p w14:paraId="6FFE3E63" w14:textId="77777777" w:rsidR="00BE4AA9" w:rsidRDefault="00000000">
      <w:pPr>
        <w:spacing w:after="160" w:line="276" w:lineRule="auto"/>
        <w:jc w:val="both"/>
      </w:pPr>
      <w:r>
        <w:rPr>
          <w:i/>
          <w:iCs/>
        </w:rPr>
        <w:t>Keywords:</w:t>
      </w:r>
      <w:r>
        <w:rPr>
          <w:b/>
          <w:bCs/>
        </w:rPr>
        <w:t xml:space="preserve"> </w:t>
      </w:r>
      <w:r>
        <w:t>structured literacy, cross-linguistic influence, phonological awareness, scripted instruction, material design.</w:t>
      </w:r>
    </w:p>
    <w:p w14:paraId="07AC4E89" w14:textId="77777777" w:rsidR="00BE4AA9" w:rsidRDefault="00000000" w:rsidP="00836E45">
      <w:pPr>
        <w:keepNext/>
        <w:spacing w:before="360" w:after="120" w:line="276" w:lineRule="auto"/>
        <w:jc w:val="center"/>
      </w:pPr>
      <w:r>
        <w:rPr>
          <w:b/>
          <w:bCs/>
        </w:rPr>
        <w:t>1. Introduction</w:t>
      </w:r>
    </w:p>
    <w:p w14:paraId="784D86E7" w14:textId="77777777" w:rsidR="00BE4AA9" w:rsidRPr="00193C52" w:rsidRDefault="00000000">
      <w:pPr>
        <w:keepNext/>
        <w:spacing w:before="240" w:after="80" w:line="276" w:lineRule="auto"/>
        <w:rPr>
          <w:i/>
          <w:iCs/>
        </w:rPr>
      </w:pPr>
      <w:r>
        <w:rPr>
          <w:b/>
          <w:bCs/>
          <w:i/>
          <w:iCs/>
        </w:rPr>
        <w:t>1.1. Policy and Instructional Context</w:t>
      </w:r>
    </w:p>
    <w:p w14:paraId="513D4168" w14:textId="77777777" w:rsidR="00BE4AA9" w:rsidRDefault="00000000" w:rsidP="00193C52">
      <w:pPr>
        <w:spacing w:after="120" w:line="480" w:lineRule="auto"/>
        <w:ind w:firstLine="720"/>
        <w:jc w:val="both"/>
      </w:pPr>
      <w:r>
        <w:t xml:space="preserve">Vietnam is pursuing a shift from English as a Foreign Language (EFL) toward English as a Second Language (ESL) in schools, established as a national objective in Conclusion No. 91-KL/TW (Politburo, 2024) and consistent with the 2018 General Education Curriculum for English (Ministry of Education and Training, 2018). The EFL-to-ESL transition here refers to this </w:t>
      </w:r>
      <w:r>
        <w:lastRenderedPageBreak/>
        <w:t>educational ambition rather than an established sociolinguistic condition; at the primary level it increases the need for oral-decoding foundations supporting intelligible communication.</w:t>
      </w:r>
    </w:p>
    <w:p w14:paraId="3603056E" w14:textId="77777777" w:rsidR="00BE4AA9" w:rsidRPr="00193C52" w:rsidRDefault="00000000">
      <w:pPr>
        <w:keepNext/>
        <w:spacing w:before="240" w:after="80" w:line="276" w:lineRule="auto"/>
        <w:rPr>
          <w:i/>
          <w:iCs/>
        </w:rPr>
      </w:pPr>
      <w:r>
        <w:rPr>
          <w:b/>
          <w:bCs/>
          <w:i/>
          <w:iCs/>
        </w:rPr>
        <w:t>1.2. Vietnamese-Related Phonological Barriers and Research Focus</w:t>
      </w:r>
    </w:p>
    <w:p w14:paraId="2CF40DDA" w14:textId="251222B0" w:rsidR="00BE4AA9" w:rsidRDefault="00000000" w:rsidP="00193C52">
      <w:pPr>
        <w:spacing w:after="120" w:line="480" w:lineRule="auto"/>
        <w:ind w:firstLine="720"/>
        <w:jc w:val="both"/>
      </w:pPr>
      <w:r>
        <w:t xml:space="preserve">This study focuses on three L1-induced phonological barriers—coda deletion, monosyllabic processing, and prosodic transfer—examined through cross-linguistic influence (CLI), which concerns how previously acquired patterns affect additional-language processing and production (Odlin, 1989; Jarvis &amp; Pavlenko, 2008). Each was selected for its theoretical link to Vietnamese–English structural differences and its correspondence to an observable instructional demand within foundational literacy routines. Communicative instruction is central to Vietnam’s ESL-oriented ambition but may not specify how teachers should address coda omission, undifferentiated word processing, or L1-shaped prosody, whereas Structured Literacy (SL) offers a relevant micro-instructional lens (Fallon &amp; Katz, 2020). This study therefore examines four routines from </w:t>
      </w:r>
      <w:r>
        <w:rPr>
          <w:i/>
        </w:rPr>
        <w:t>HMH Into Reading Grade 1 Instructional Routines</w:t>
      </w:r>
      <w:r>
        <w:t>: Tap and Count the Sounds, Blending: Sound-by-Sound, Blending: Continuous, and Echo Reading (Houghton Mifflin Harcourt, 2017). Prior work has documented Vietnamese learners’ difficulties with final consonants, phonemic awareness, and prosody but has not mapped foundational decoding routines onto these barriers or converted such analysis into bilingual scripts; addressing this gap is the study’s contribution.</w:t>
      </w:r>
    </w:p>
    <w:p w14:paraId="29C42336" w14:textId="77777777" w:rsidR="00BE4AA9" w:rsidRPr="00193C52" w:rsidRDefault="00000000">
      <w:pPr>
        <w:keepNext/>
        <w:spacing w:before="240" w:after="80" w:line="276" w:lineRule="auto"/>
        <w:rPr>
          <w:i/>
          <w:iCs/>
        </w:rPr>
      </w:pPr>
      <w:r>
        <w:rPr>
          <w:b/>
          <w:bCs/>
          <w:i/>
          <w:iCs/>
        </w:rPr>
        <w:t>1.3. Research Purpose and Questions</w:t>
      </w:r>
    </w:p>
    <w:p w14:paraId="64879F3D" w14:textId="77777777" w:rsidR="00BE4AA9" w:rsidRDefault="00000000" w:rsidP="00836E45">
      <w:pPr>
        <w:spacing w:afterLines="120" w:after="288" w:line="480" w:lineRule="auto"/>
        <w:ind w:firstLine="720"/>
        <w:jc w:val="both"/>
      </w:pPr>
      <w:r>
        <w:t>This qualitative document analysis investigates the theoretical compatibility of the four selected SL routines with coda deletion, monosyllabic processing, and prosodic transfer among Vietnamese primary learners. It further develops a Tripartite Adaptation Framework for bilingual I do – We do – You do teacher guidance. Two research questions guide the study:</w:t>
      </w:r>
    </w:p>
    <w:p w14:paraId="41F4D215" w14:textId="77777777" w:rsidR="00BE4AA9" w:rsidRDefault="00000000" w:rsidP="00836E45">
      <w:pPr>
        <w:spacing w:afterLines="120" w:after="288" w:line="480" w:lineRule="auto"/>
        <w:ind w:firstLine="720"/>
        <w:jc w:val="both"/>
      </w:pPr>
      <w:r>
        <w:rPr>
          <w:b/>
          <w:bCs/>
        </w:rPr>
        <w:lastRenderedPageBreak/>
        <w:t xml:space="preserve">RQ1. </w:t>
      </w:r>
      <w:r>
        <w:t xml:space="preserve">Which foundational routines in the </w:t>
      </w:r>
      <w:r>
        <w:rPr>
          <w:i/>
          <w:iCs/>
        </w:rPr>
        <w:t>HMH Into Reading Grade 1 Instructional Routines</w:t>
      </w:r>
      <w:r>
        <w:t xml:space="preserve"> show theoretical compatibility with the L1-induced phonological barriers of Vietnamese primary learners?</w:t>
      </w:r>
    </w:p>
    <w:p w14:paraId="682C512F" w14:textId="77777777" w:rsidR="00BE4AA9" w:rsidRDefault="00000000" w:rsidP="00836E45">
      <w:pPr>
        <w:spacing w:afterLines="120" w:after="288" w:line="480" w:lineRule="auto"/>
        <w:ind w:firstLine="720"/>
        <w:jc w:val="both"/>
      </w:pPr>
      <w:r>
        <w:rPr>
          <w:b/>
          <w:bCs/>
        </w:rPr>
        <w:t xml:space="preserve">RQ2. </w:t>
      </w:r>
      <w:r>
        <w:t>How can a conceptual adaptation framework be proposed to translate these routines into bilingual scripted instruction for Vietnamese teacher’s guides?</w:t>
      </w:r>
    </w:p>
    <w:p w14:paraId="073364F3" w14:textId="77777777" w:rsidR="00BE4AA9" w:rsidRDefault="00000000" w:rsidP="00836E45">
      <w:pPr>
        <w:keepNext/>
        <w:spacing w:before="360" w:after="120" w:line="276" w:lineRule="auto"/>
        <w:jc w:val="center"/>
      </w:pPr>
      <w:r>
        <w:rPr>
          <w:b/>
          <w:bCs/>
        </w:rPr>
        <w:t>2. Literature Review</w:t>
      </w:r>
    </w:p>
    <w:p w14:paraId="59B46ED4" w14:textId="77777777" w:rsidR="00BE4AA9" w:rsidRPr="00836E45" w:rsidRDefault="00000000">
      <w:pPr>
        <w:keepNext/>
        <w:spacing w:before="240" w:after="80" w:line="276" w:lineRule="auto"/>
        <w:rPr>
          <w:i/>
          <w:iCs/>
        </w:rPr>
      </w:pPr>
      <w:r>
        <w:rPr>
          <w:b/>
          <w:bCs/>
          <w:i/>
          <w:iCs/>
        </w:rPr>
        <w:t>2.1. Cross-Linguistic Influence and Foundational English Decoding</w:t>
      </w:r>
    </w:p>
    <w:p w14:paraId="7A0CAFD3" w14:textId="77777777" w:rsidR="00BE4AA9" w:rsidRDefault="00000000" w:rsidP="00836E45">
      <w:pPr>
        <w:spacing w:after="120" w:line="480" w:lineRule="auto"/>
        <w:ind w:firstLine="720"/>
        <w:jc w:val="both"/>
      </w:pPr>
      <w:r>
        <w:t>Cross-linguistic influence (CLI) is the principal lens for examining how Vietnamese learners’ existing knowledge may shape their early processing and production of English. Odlin (1989) defines transfer as influence arising from similarities and differences between a target and previously acquired languages, and Jarvis and Pavlenko (2008) extend it to perception, production, and processing. Learners may not simply fail to produce unfamiliar English features; they may reconstruct English through patterns functional in Vietnamese but insufficient for English decoding and oral fluency.</w:t>
      </w:r>
    </w:p>
    <w:p w14:paraId="53C238AC" w14:textId="77777777" w:rsidR="00BE4AA9" w:rsidRDefault="00000000" w:rsidP="00836E45">
      <w:pPr>
        <w:spacing w:after="120" w:line="480" w:lineRule="auto"/>
        <w:ind w:firstLine="720"/>
        <w:jc w:val="both"/>
      </w:pPr>
      <w:r>
        <w:t>CLI should not, however, explain every non-target-like production: Selinker’s (1972) interlanguage recognizes evolving approximations not all attributable to the first language, so the study focuses only on its three barriers. CLI also bears on early decoding—Koda (2005) argues that second-language reading builds on prior literacy experience, learners approaching a new writing system with established procedures—which suggests English phoneme-by-phoneme decoding may require explicit attention where familiar L1 routines do not foreground individual phonemes within a monosyllable.</w:t>
      </w:r>
    </w:p>
    <w:p w14:paraId="5D05049C" w14:textId="77777777" w:rsidR="00BE4AA9" w:rsidRPr="00836E45" w:rsidRDefault="00000000">
      <w:pPr>
        <w:keepNext/>
        <w:spacing w:before="240" w:after="80" w:line="276" w:lineRule="auto"/>
        <w:rPr>
          <w:i/>
          <w:iCs/>
        </w:rPr>
      </w:pPr>
      <w:r>
        <w:rPr>
          <w:b/>
          <w:bCs/>
          <w:i/>
          <w:iCs/>
        </w:rPr>
        <w:lastRenderedPageBreak/>
        <w:t>2.2. Vietnamese–English Phonological Barriers</w:t>
      </w:r>
    </w:p>
    <w:p w14:paraId="248EC49E" w14:textId="77777777" w:rsidR="00BE4AA9" w:rsidRPr="00836E45" w:rsidRDefault="00000000">
      <w:pPr>
        <w:keepNext/>
        <w:spacing w:before="180" w:after="60" w:line="276" w:lineRule="auto"/>
      </w:pPr>
      <w:r>
        <w:rPr>
          <w:i/>
          <w:iCs/>
        </w:rPr>
        <w:t>2.2.1. Coda deletion and final-consonant production</w:t>
      </w:r>
    </w:p>
    <w:p w14:paraId="1419A31D" w14:textId="77777777" w:rsidR="00BE4AA9" w:rsidRDefault="00000000" w:rsidP="00836E45">
      <w:pPr>
        <w:spacing w:after="160" w:line="480" w:lineRule="auto"/>
        <w:ind w:firstLine="720"/>
        <w:jc w:val="both"/>
      </w:pPr>
      <w:r>
        <w:t>A frequently identified difficulty for Vietnamese learners concerns word-final consonants. Vietnamese permits a more restricted range of codas than English, so learners may omit, reduce, or reshape English word-final material. Nguyen (2007) identifies final consonants as a significant difficulty, and Disney and Le (2024), analysing speech from sixteen Vietnamese adult learners, found expected word-final /s/ and /z/ omitted in 28.4% of cases, particularly in morphologically marked forms and consonant clusters. Their findings show omission cannot be attributed solely to L1 transfer, since phonological complexity and morphological function also matter. Because this evidence concerns sibilants and morphological markers rather than stops, its extension to final-stop instruction here is an analytical inference rather than a direct empirical claim.</w:t>
      </w:r>
    </w:p>
    <w:p w14:paraId="36934E7A" w14:textId="12331780" w:rsidR="00BE4AA9" w:rsidRDefault="00000000" w:rsidP="00836E45">
      <w:pPr>
        <w:spacing w:after="160" w:line="480" w:lineRule="auto"/>
        <w:ind w:firstLine="720"/>
        <w:jc w:val="both"/>
      </w:pPr>
      <w:r>
        <w:t>Although these studies involve older learners, they provide a defensible basis for coda-focused instruction at the primary level. In beginning decoding, retaining a final consonant is necessary for producing the full sound sequence a word represents: omitting the final consonant in sit or cat loses part of the word form. The objective is not that every English final stop be audibly released in natural speech, but that early instruction make final stops salient enough to notice, retain, and practise as components of the target word—a distinction that matters when analysing routines for coda-related errors.</w:t>
      </w:r>
    </w:p>
    <w:p w14:paraId="4C3667F9" w14:textId="77777777" w:rsidR="00BE4AA9" w:rsidRPr="00836E45" w:rsidRDefault="00000000">
      <w:pPr>
        <w:keepNext/>
        <w:spacing w:before="180" w:after="60" w:line="276" w:lineRule="auto"/>
      </w:pPr>
      <w:r>
        <w:rPr>
          <w:i/>
          <w:iCs/>
        </w:rPr>
        <w:t>2.2.2. Monosyllabic processing and phonemic awareness</w:t>
      </w:r>
    </w:p>
    <w:p w14:paraId="5E3FAA80" w14:textId="431BDC62" w:rsidR="00BE4AA9" w:rsidRDefault="00000000" w:rsidP="00836E45">
      <w:pPr>
        <w:spacing w:after="120" w:line="480" w:lineRule="auto"/>
        <w:ind w:firstLine="720"/>
        <w:jc w:val="both"/>
      </w:pPr>
      <w:r>
        <w:t xml:space="preserve">The second barrier concerns learners’ access to the internal sound structure of short English words. Foundational literacy relies on phonemic awareness: learners must recognize that a word such as cat consists of separate phonemes that can be identified and blended. Learners entering through an established L1 system may not automatically employ the same phonemic decomposition, and Koda’s (2005) approach supports the view that prior literacy experience </w:t>
      </w:r>
      <w:r>
        <w:lastRenderedPageBreak/>
        <w:t>influences additional-language word processing. Monosyllabic processing is therefore a plausible instructional challenge</w:t>
      </w:r>
      <w:r w:rsidR="00474B75">
        <w:t xml:space="preserve">; </w:t>
      </w:r>
      <w:r>
        <w:t>learners may need explicit support moving from repeating a complete syllable toward identifying individual phonemes</w:t>
      </w:r>
      <w:r w:rsidR="00474B75">
        <w:t xml:space="preserve"> </w:t>
      </w:r>
      <w:r>
        <w:t>rather than a measured characteristic of all learners; it grounds the examination of whether materials make phoneme-level analysis observable and teachable.</w:t>
      </w:r>
    </w:p>
    <w:p w14:paraId="4B7CD1AE" w14:textId="77777777" w:rsidR="00BE4AA9" w:rsidRDefault="00000000" w:rsidP="00836E45">
      <w:pPr>
        <w:spacing w:after="120" w:line="480" w:lineRule="auto"/>
        <w:ind w:firstLine="720"/>
        <w:jc w:val="both"/>
      </w:pPr>
      <w:r>
        <w:t>This issue is closely related to coda deletion: where a short word is treated as an undivided oral form, a vulnerable final consonant may go unnoticed or be omitted without correction, whereas a routine requiring learners to account physically or orally for each phoneme makes the final sound part of the expected response. Phonemic segmentation is thus relevant to decoding accuracy and to more stable word-final production.</w:t>
      </w:r>
    </w:p>
    <w:p w14:paraId="0E84F09B" w14:textId="77777777" w:rsidR="00BE4AA9" w:rsidRPr="00836E45" w:rsidRDefault="00000000">
      <w:pPr>
        <w:keepNext/>
        <w:spacing w:before="180" w:after="60" w:line="276" w:lineRule="auto"/>
        <w:rPr>
          <w:i/>
          <w:iCs/>
        </w:rPr>
      </w:pPr>
      <w:r>
        <w:rPr>
          <w:i/>
          <w:iCs/>
        </w:rPr>
        <w:t>2.2.3. Prosodic transfer and connected oral reading</w:t>
      </w:r>
    </w:p>
    <w:p w14:paraId="1D0F2F78" w14:textId="047F48C4" w:rsidR="00BE4AA9" w:rsidRDefault="00000000" w:rsidP="00836E45">
      <w:pPr>
        <w:spacing w:after="120" w:line="360" w:lineRule="auto"/>
        <w:ind w:firstLine="720"/>
        <w:jc w:val="both"/>
      </w:pPr>
      <w:r>
        <w:t>The Vietnamese–English contrast also operates at the prosodic level. Vietnamese uses syllable-level pitch contrastively, whereas English relies substantially on stress, prominence, rhythm, and intonation across syllables, words, and phrases. Because lexical tone and metrical stress are distinct systems without direct equivalence, the study uses the broader term prosodic transfer for the influence of L1 prosodic experience</w:t>
      </w:r>
      <w:r w:rsidR="004D3276">
        <w:t xml:space="preserve">, </w:t>
      </w:r>
      <w:r>
        <w:t>including the salience of Vietnamese syllable-level pitch</w:t>
      </w:r>
      <w:r w:rsidR="004D3276">
        <w:t xml:space="preserve"> </w:t>
      </w:r>
      <w:r>
        <w:t>on learners’ processing of English prominence and connected speech, rather than claiming lexical tone is transferred onto English stress.</w:t>
      </w:r>
    </w:p>
    <w:p w14:paraId="6A9CDB2B" w14:textId="77777777" w:rsidR="00BE4AA9" w:rsidRDefault="00000000" w:rsidP="00836E45">
      <w:pPr>
        <w:spacing w:after="120" w:line="360" w:lineRule="auto"/>
        <w:ind w:firstLine="720"/>
        <w:jc w:val="both"/>
      </w:pPr>
      <w:r>
        <w:t xml:space="preserve">Le (2021) found that L1 Vietnamese speakers differed from English-speaking participants under particular stress and intonation conditions, indicating that Vietnamese prosodic experience may influence learners’ interpretation of English prominence cues. Nhat and Hien (2025) treated sentence stress, intonation, and connected-speech features as important dimensions of Vietnamese learners’ pronunciation development. These studies do not establish how Vietnamese primary children read English sentences aloud, but they support including sentence-level oral modeling here. If prosodic transfer concerns the carry-over of L1-shaped prosodic habits into English, learners require clear English models that can be heard, repeated, and internalized; an oral-reading </w:t>
      </w:r>
      <w:r>
        <w:lastRenderedPageBreak/>
        <w:t>routine requiring imitation of modeled pronunciation and expression is therefore theoretically relevant to the prosodic dimension.</w:t>
      </w:r>
    </w:p>
    <w:p w14:paraId="1E90F2E4" w14:textId="77777777" w:rsidR="00BE4AA9" w:rsidRPr="00836E45" w:rsidRDefault="00000000">
      <w:pPr>
        <w:keepNext/>
        <w:spacing w:before="240" w:after="80" w:line="276" w:lineRule="auto"/>
        <w:rPr>
          <w:b/>
          <w:bCs/>
          <w:i/>
          <w:iCs/>
        </w:rPr>
      </w:pPr>
      <w:r>
        <w:rPr>
          <w:b/>
          <w:bCs/>
          <w:i/>
          <w:iCs/>
        </w:rPr>
        <w:t>2.3. Structured Literacy and Scripted Scaffolding</w:t>
      </w:r>
    </w:p>
    <w:p w14:paraId="39C2C861" w14:textId="73936C06" w:rsidR="00BE4AA9" w:rsidRDefault="00000000" w:rsidP="00836E45">
      <w:pPr>
        <w:spacing w:after="120" w:line="480" w:lineRule="auto"/>
        <w:ind w:firstLine="720"/>
        <w:jc w:val="both"/>
      </w:pPr>
      <w:r>
        <w:t>Structured Literacy (SL) is relevant because it emphasizes explicit, systematic instruction in spoken- and written-language structures. Fallon and Katz (2020) describe SL as integrating spoken-language components</w:t>
      </w:r>
      <w:r w:rsidR="004D3276">
        <w:t xml:space="preserve">, </w:t>
      </w:r>
      <w:r>
        <w:t>including phonology and sound–symbol relations</w:t>
      </w:r>
      <w:r w:rsidR="004D3276">
        <w:t xml:space="preserve"> </w:t>
      </w:r>
      <w:r>
        <w:t>into literacy teaching. Although discussed mainly in English-dominant contexts, its principles are pertinent here: learners are guided through sequenced procedures, features are made explicit, and feedback can target observable responses.</w:t>
      </w:r>
    </w:p>
    <w:p w14:paraId="008E09E2" w14:textId="77777777" w:rsidR="00BE4AA9" w:rsidRDefault="00000000" w:rsidP="00836E45">
      <w:pPr>
        <w:spacing w:after="120" w:line="480" w:lineRule="auto"/>
        <w:ind w:firstLine="720"/>
        <w:jc w:val="both"/>
      </w:pPr>
      <w:r>
        <w:t>The study does not assume that an SL programme developed for native English-speaking children can be adopted unchanged in Vietnam, where primary learners acquire English as an additional language within a distinctive curricular and phonological context. The relevant question is whether particular foundational routines display mechanisms compatible with Vietnamese-related barriers; in the selected handbook, the four routines operationalize sound segmentation, sequential blending, continuous blending, and modeled oral reading (Houghton Mifflin Harcourt, 2017). The adaptation is also supported by the Gradual Release of Responsibility model, in which instruction moves from teacher modeling toward guided participation and independent performance (Pearson &amp; Gallagher, 1983); the I do – We do – You do sequence provides the structure through which compatible HMH mechanisms become bilingual teacher-facing scripts.</w:t>
      </w:r>
    </w:p>
    <w:p w14:paraId="641DD201" w14:textId="77777777" w:rsidR="00BE4AA9" w:rsidRPr="00836E45" w:rsidRDefault="00000000">
      <w:pPr>
        <w:keepNext/>
        <w:spacing w:before="240" w:after="80" w:line="276" w:lineRule="auto"/>
        <w:rPr>
          <w:i/>
          <w:iCs/>
        </w:rPr>
      </w:pPr>
      <w:r>
        <w:rPr>
          <w:b/>
          <w:bCs/>
          <w:i/>
          <w:iCs/>
        </w:rPr>
        <w:t>2.4. Research Gap</w:t>
      </w:r>
    </w:p>
    <w:p w14:paraId="670E6553" w14:textId="77777777" w:rsidR="00BE4AA9" w:rsidRDefault="00000000" w:rsidP="00836E45">
      <w:pPr>
        <w:spacing w:after="120" w:line="480" w:lineRule="auto"/>
        <w:ind w:firstLine="720"/>
        <w:jc w:val="both"/>
      </w:pPr>
      <w:r>
        <w:t>Existing literature establishes that Vietnamese learners may have difficulty with English word-final consonants and prosodic processing, while cross-linguistic literacy theory supports attention to the transfer of prior routines into English decoding, and research on SL and gradual-</w:t>
      </w:r>
      <w:r>
        <w:lastRenderedPageBreak/>
        <w:t>release instruction grounds explicit, sequenced procedures. However, no located study systematically maps foundational SL routines onto Vietnamese phonological barriers and converts the compatibility judgments into bilingual scripted guidance for primary teachers. The study addresses this gap by analysing the four HMH routines against coda deletion, monosyllabic processing, and prosodic transfer. Its contribution is conceptual and material-oriented: a theoretically grounded basis for adapting explicit micro-instructional routines to Vietnam’s ESL-emerging primary context and future classroom validation.</w:t>
      </w:r>
    </w:p>
    <w:p w14:paraId="2E521B36" w14:textId="77777777" w:rsidR="00BE4AA9" w:rsidRDefault="00000000" w:rsidP="00836E45">
      <w:pPr>
        <w:keepNext/>
        <w:spacing w:before="360" w:after="120" w:line="276" w:lineRule="auto"/>
        <w:jc w:val="center"/>
      </w:pPr>
      <w:r>
        <w:rPr>
          <w:b/>
          <w:bCs/>
        </w:rPr>
        <w:t>3. Methodology</w:t>
      </w:r>
    </w:p>
    <w:p w14:paraId="1EEABC56" w14:textId="77777777" w:rsidR="00BE4AA9" w:rsidRPr="00836E45" w:rsidRDefault="00000000">
      <w:pPr>
        <w:keepNext/>
        <w:spacing w:before="240" w:after="80" w:line="276" w:lineRule="auto"/>
        <w:rPr>
          <w:i/>
          <w:iCs/>
        </w:rPr>
      </w:pPr>
      <w:r>
        <w:rPr>
          <w:b/>
          <w:bCs/>
          <w:i/>
          <w:iCs/>
        </w:rPr>
        <w:t>3.1. Research Design</w:t>
      </w:r>
    </w:p>
    <w:p w14:paraId="2E48014A" w14:textId="202C5EC9" w:rsidR="00BE4AA9" w:rsidRDefault="00000000" w:rsidP="00836E45">
      <w:pPr>
        <w:spacing w:after="120" w:line="480" w:lineRule="auto"/>
        <w:ind w:firstLine="720"/>
        <w:jc w:val="both"/>
      </w:pPr>
      <w:r>
        <w:t>This study adopted a theory-informed qualitative document analysis to examine the compatibility of selected foundational Structured Literacy (SL) routines with L1-induced phonological barriers relevant to Vietnamese primary learners. Document analysis suits this aim because it enables systematic examination of stated purposes, procedural sequences, model language, and implied learner actions (Bowen, 2009), and it fits an exploratory, theory-building phase that necessarily precedes classroom intervention: a routine’s theoretical compatibility with a barrier must be established before its classroom effects can be tested. The analysis was conceptual rather than experimental, examining whether observable mechanisms aligned with the framework’s barriers rather than measuring learner performance. Compatibility was defined as the extent to which a routine required learners to perform a phonological or oral-reading operation relevant to the targeted difficulty; the focus was thus on instructional affordances—what each routine makes learners attend to, produce, combine, or imitate.</w:t>
      </w:r>
    </w:p>
    <w:p w14:paraId="1B6649C1" w14:textId="77777777" w:rsidR="00BE4AA9" w:rsidRPr="00FD20AC" w:rsidRDefault="00000000">
      <w:pPr>
        <w:keepNext/>
        <w:spacing w:before="240" w:after="80" w:line="276" w:lineRule="auto"/>
        <w:rPr>
          <w:i/>
          <w:iCs/>
        </w:rPr>
      </w:pPr>
      <w:r>
        <w:rPr>
          <w:b/>
          <w:bCs/>
          <w:i/>
          <w:iCs/>
        </w:rPr>
        <w:lastRenderedPageBreak/>
        <w:t>3.2. Documentary Corpus and Routine Selection</w:t>
      </w:r>
    </w:p>
    <w:p w14:paraId="3E282ABC" w14:textId="400F8BB8" w:rsidR="00BE4AA9" w:rsidRDefault="00000000" w:rsidP="00FD20AC">
      <w:pPr>
        <w:spacing w:after="160" w:line="480" w:lineRule="auto"/>
        <w:ind w:firstLine="720"/>
        <w:jc w:val="both"/>
      </w:pPr>
      <w:r>
        <w:t>The primary corpus was the HMH Into Reading Grade 1 Instructional Routines handbook (Houghton Mifflin Harcourt, 2017), selected for its explicitly structured routines</w:t>
      </w:r>
      <w:r w:rsidR="004D3276">
        <w:t xml:space="preserve">, </w:t>
      </w:r>
      <w:r>
        <w:t>stated purposes, materials, steps, and model teacher language</w:t>
      </w:r>
      <w:r w:rsidR="004D3276">
        <w:t xml:space="preserve">, </w:t>
      </w:r>
      <w:r>
        <w:t>supporting micro-level analysis of how phonological instruction is operationalized. Four routines were purposively selected for their direct correspondence to the study’s abstract and research questions: Tap and Count the Sounds, Blending: Sound-by-Sound, Blending: Continuous, and Echo Reading. A routine was included only when it explicitly involved phonological or oral-reading activity, contained observable procedures, and could be mapped onto at least one targeted barrier. Because the analytical interest lies in mechanisms rather than labels, the unit selected was the procedure exhibiting the relevant mechanism</w:t>
      </w:r>
      <w:r w:rsidR="004D3276">
        <w:t xml:space="preserve">, </w:t>
      </w:r>
      <w:r>
        <w:t>which in one case is a step within a larger routine: the tap-and-count procedure is documented within the High-Frequency Words routine rather than as a discrete routine, and is treated here as a focal unit for its phoneme-segmentation mechanism (see Section 4.2, note). Other routines were excluded when their primary mechanism did not bear on the three barriers: the Vocabulary routine (p. R12) targets word meaning rather than phonological operations; the Syllabication: VCCV Pattern routine (p. R17), though it involves blending, operates on two-syllable words and so falls outside the study’s monosyllabic scope; and Choral Reading (p. R25) was treated only as a possible supplement to Echo Reading, since the abstract specifies four core routines. This screening preceded scoring, so selection was governed by mechanism and barrier scope rather than by an expectation of high scores. The analysis nonetheless remains subject to some selection bias, since the four retained routines were identified in advance as phonologically relevant; this is acknowledged in Section 5.4.</w:t>
      </w:r>
    </w:p>
    <w:p w14:paraId="25FC3BED" w14:textId="77777777" w:rsidR="00BE4AA9" w:rsidRPr="00FD20AC" w:rsidRDefault="00000000">
      <w:pPr>
        <w:keepNext/>
        <w:spacing w:before="240" w:after="80" w:line="276" w:lineRule="auto"/>
        <w:rPr>
          <w:i/>
          <w:iCs/>
        </w:rPr>
      </w:pPr>
      <w:r>
        <w:rPr>
          <w:b/>
          <w:bCs/>
          <w:i/>
          <w:iCs/>
        </w:rPr>
        <w:lastRenderedPageBreak/>
        <w:t>3.3. Analytical Categories and Unit of Analysis</w:t>
      </w:r>
    </w:p>
    <w:p w14:paraId="5893AD77" w14:textId="6F50F12D" w:rsidR="00BE4AA9" w:rsidRPr="00F67CF3" w:rsidRDefault="00000000" w:rsidP="00FD20AC">
      <w:pPr>
        <w:spacing w:after="120" w:line="480" w:lineRule="auto"/>
        <w:ind w:firstLine="720"/>
        <w:jc w:val="both"/>
        <w:rPr>
          <w:lang w:val="vi-VN"/>
        </w:rPr>
      </w:pPr>
      <w:r>
        <w:t>The unit of analysis was the micro-instructional routine episode, a bounded sequence in which the source specifies a teacher action, an expected learner response, and a target spoken-language feature. Each episode was examined for its purpose, procedural steps, sample language, learner demand, phonological level, and relevance to the Vietnamese context. Three a priori barrier categories were retained from the fixed framework: coda deletion and final-stop production (difficulty retaining or articulating English word-final consonants); monosyllabic processing (treating one-syllable words as undivided units rather than phoneme sequences); and prosodic transfer (carry-over of Vietnamese-shaped prosodic patterns into English connected oral reading). These categories were not generated from the HMH material; they served as the lens for evaluating compatibility. Four focal episodes were delimited, one per routine; where a procedure recurred across host routines, it was treated as a single unit defined by its mechanism rather than counted separately.</w:t>
      </w:r>
    </w:p>
    <w:p w14:paraId="34729B2D" w14:textId="77777777" w:rsidR="00BE4AA9" w:rsidRPr="00FD20AC" w:rsidRDefault="00000000" w:rsidP="00FD20AC">
      <w:pPr>
        <w:keepNext/>
        <w:spacing w:after="120" w:line="480" w:lineRule="auto"/>
        <w:rPr>
          <w:i/>
          <w:iCs/>
        </w:rPr>
      </w:pPr>
      <w:r>
        <w:rPr>
          <w:b/>
          <w:bCs/>
          <w:i/>
          <w:iCs/>
        </w:rPr>
        <w:t>3.4. Analytical Procedure</w:t>
      </w:r>
    </w:p>
    <w:p w14:paraId="2BB7EB3C" w14:textId="09A20B12" w:rsidR="00BE4AA9" w:rsidRDefault="00000000" w:rsidP="00FD20AC">
      <w:pPr>
        <w:spacing w:after="120" w:line="480" w:lineRule="auto"/>
        <w:ind w:firstLine="720"/>
        <w:jc w:val="both"/>
        <w:rPr>
          <w:lang w:val="vi-VN"/>
        </w:rPr>
      </w:pPr>
      <w:r>
        <w:t>The analysis proceeded through four stages. First, each routine’s procedural components were extracted</w:t>
      </w:r>
      <w:r w:rsidR="004D3276">
        <w:t xml:space="preserve">: </w:t>
      </w:r>
      <w:r>
        <w:t>instructional purpose, teacher and learner actions, model word or phrase, and operating level (phoneme, word, or connected oral reading). Second, each routine was coded for its primary mechanism and mapped onto the barrier it most directly addresses, with the routine-by-routine rationale presented in the Findings.</w:t>
      </w:r>
    </w:p>
    <w:p w14:paraId="7393C8D4" w14:textId="663A2717" w:rsidR="00A56431" w:rsidRPr="00A56431" w:rsidRDefault="00A56431" w:rsidP="00FD20AC">
      <w:pPr>
        <w:spacing w:after="120" w:line="480" w:lineRule="auto"/>
        <w:ind w:firstLine="720"/>
        <w:jc w:val="both"/>
        <w:rPr>
          <w:lang w:val="vi-VN"/>
        </w:rPr>
      </w:pPr>
      <w:r>
        <w:t>The four evaluation criteria were developed by the authors specifically for this analysis rather than adopted from an existing instrument. Their design follows a distinction common in materials evaluation</w:t>
      </w:r>
      <w:r w:rsidR="004D3276">
        <w:t xml:space="preserve">, </w:t>
      </w:r>
      <w:r>
        <w:t>between a routine’s intrinsic suitability for a learning objective and the practical demands of delivering it</w:t>
      </w:r>
      <w:r w:rsidR="004D3276">
        <w:t xml:space="preserve">, </w:t>
      </w:r>
      <w:r>
        <w:t xml:space="preserve">separating two analytically independent questions: whether a </w:t>
      </w:r>
      <w:r>
        <w:lastRenderedPageBreak/>
        <w:t>routine’s required learner action is theoretically aligned with a targeted barrier, and how demanding it would be to adapt for a Vietnamese teacher’s guide. Mechanistic alignment operationalizes the first, assessing whether the required action corresponds to the operation a barrier defines. Teacher feasibility and resource feasibility capture the practical dimension</w:t>
      </w:r>
      <w:r w:rsidR="004D3276">
        <w:t xml:space="preserve">, </w:t>
      </w:r>
      <w:r>
        <w:t>the demand on the teacher’s delivery and on materials</w:t>
      </w:r>
      <w:r w:rsidR="004D3276">
        <w:t xml:space="preserve">, </w:t>
      </w:r>
      <w:r>
        <w:t>while adaptation requirement captures the modification needed to address L1–L2 distance. The 0–2 scale marks absent, partial, and strong presence of each criterion, avoiding a finer gradation that document evidence could not reliably support; the band thresholds (7–8 High, 4–6 Conditional, 0–3 Limited) let a routine be judged Conditional on practical grounds even when its mechanism was strongly aligned.</w:t>
      </w:r>
    </w:p>
    <w:p w14:paraId="49C82720" w14:textId="3E91E060" w:rsidR="00BE4AA9" w:rsidRDefault="00000000" w:rsidP="00FD20AC">
      <w:pPr>
        <w:spacing w:after="120" w:line="480" w:lineRule="auto"/>
        <w:ind w:firstLine="720"/>
        <w:jc w:val="both"/>
      </w:pPr>
      <w:r>
        <w:t>Third, each routine was scored on the four criteria using the 0–2 scale and band thresholds described above. Finally, routines assessed as compatible were grouped into phonemic segmentation, coda-to-word blending, and prosodic oral modeling, each operationalized through bilingual I do – We do – You do prompts informed by the Gradual Release of Responsibility model (Pearson &amp; Gallagher, 1983; Fisher &amp; Frey, 2014).</w:t>
      </w:r>
    </w:p>
    <w:p w14:paraId="1E91D7A9" w14:textId="77777777" w:rsidR="00BE4AA9" w:rsidRPr="00FD20AC" w:rsidRDefault="00000000" w:rsidP="00FD20AC">
      <w:pPr>
        <w:keepNext/>
        <w:spacing w:after="120" w:line="480" w:lineRule="auto"/>
        <w:rPr>
          <w:i/>
          <w:iCs/>
        </w:rPr>
      </w:pPr>
      <w:r>
        <w:rPr>
          <w:b/>
          <w:bCs/>
          <w:i/>
          <w:iCs/>
        </w:rPr>
        <w:t>3.5. Trustworthiness and Scope of Interpretation</w:t>
      </w:r>
    </w:p>
    <w:p w14:paraId="5C0B2A7C" w14:textId="3A2FBC41" w:rsidR="00BE4AA9" w:rsidRDefault="00000000" w:rsidP="00FD20AC">
      <w:pPr>
        <w:spacing w:after="120" w:line="480" w:lineRule="auto"/>
        <w:ind w:firstLine="720"/>
        <w:jc w:val="both"/>
      </w:pPr>
      <w:r>
        <w:t xml:space="preserve">Analytical transparency was supported by an extraction-and-coding record linking every compatibility judgment to an observable routine feature; predetermined categories and explicit criteria reduced unsystematic interpretation. Coding proceeded in two stages: the primary author conducted the initial extraction and compatibility coding against the predetermined criteria, after which the second author reviewed each judgment against the corresponding documented feature. Discrepancies were resolved through discussion until agreement was reached, and the coding table was retained as an audit trail. Because the second author’s review followed rather than preceded the initial coding, the procedure constitutes verification coding rather than fully independent </w:t>
      </w:r>
      <w:r>
        <w:lastRenderedPageBreak/>
        <w:t>double-coding; independent inter-coder analysis and expert review are identified in Section 5.4 as steps for future validation. Because the study analysed documents rather than outcomes, its findings concern theoretical compatibility and material-design potential. The active functions named in the abstract are therefore interpreted throughout as projected instructional functions requiring classroom validation, not demonstrated effects; where the abstract uses such verbs for concision, the findings qualify each as an instructional affordance evidenced in the documents. For the same reason, the abstract’s term tonal interference denotes what this paper analyses more precisely as prosodic transfer (Section 2.2.3).</w:t>
      </w:r>
    </w:p>
    <w:p w14:paraId="3369CAD0" w14:textId="77777777" w:rsidR="00BE4AA9" w:rsidRDefault="00000000" w:rsidP="00FD20AC">
      <w:pPr>
        <w:keepNext/>
        <w:spacing w:after="120" w:line="480" w:lineRule="auto"/>
        <w:jc w:val="center"/>
      </w:pPr>
      <w:r>
        <w:rPr>
          <w:b/>
          <w:bCs/>
        </w:rPr>
        <w:t>4. Findings</w:t>
      </w:r>
    </w:p>
    <w:p w14:paraId="7C965963" w14:textId="77777777" w:rsidR="00BE4AA9" w:rsidRPr="00FD20AC" w:rsidRDefault="00000000" w:rsidP="00FD20AC">
      <w:pPr>
        <w:keepNext/>
        <w:spacing w:after="120" w:line="480" w:lineRule="auto"/>
        <w:rPr>
          <w:i/>
          <w:iCs/>
        </w:rPr>
      </w:pPr>
      <w:r>
        <w:rPr>
          <w:b/>
          <w:bCs/>
          <w:i/>
          <w:iCs/>
        </w:rPr>
        <w:t>4.1. Overview of the Findings</w:t>
      </w:r>
    </w:p>
    <w:p w14:paraId="2EF02446" w14:textId="4BDFE204" w:rsidR="00BE4AA9" w:rsidRDefault="00000000" w:rsidP="00FD20AC">
      <w:pPr>
        <w:spacing w:after="120" w:line="480" w:lineRule="auto"/>
        <w:ind w:firstLine="720"/>
        <w:jc w:val="both"/>
      </w:pPr>
      <w:r>
        <w:t>The analysis identified a coherent relationship between the four routines and the three L1-induced barriers</w:t>
      </w:r>
      <w:r w:rsidR="004D3276">
        <w:t xml:space="preserve">, </w:t>
      </w:r>
      <w:r>
        <w:t>monosyllabic processing, coda deletion and final-stop difficulty, and prosodic transfer</w:t>
      </w:r>
      <w:r w:rsidR="004D3276">
        <w:t xml:space="preserve">, </w:t>
      </w:r>
      <w:r>
        <w:t>operating at different linguistic levels in a progression from phoneme awareness to word construction and connected oral reading. Consistent with the methodological scope, the judgments below describe projected instructional functions evidenced in the documents, not measured effects. As Table 1 shows, Tap and Count the Sounds and Blending: Continuous were rated High, whereas Blending: Sound-by-Sound and Echo Reading were rated Conditional because adaptation depends on additional teacher-facing support, not on any weakness in their mechanism.</w:t>
      </w:r>
    </w:p>
    <w:p w14:paraId="4DAC6E44" w14:textId="77777777" w:rsidR="00BE4AA9" w:rsidRPr="00FD20AC" w:rsidRDefault="00000000">
      <w:pPr>
        <w:keepNext/>
        <w:spacing w:before="200" w:line="276" w:lineRule="auto"/>
        <w:rPr>
          <w:b/>
          <w:bCs/>
        </w:rPr>
      </w:pPr>
      <w:r>
        <w:rPr>
          <w:b/>
          <w:bCs/>
        </w:rPr>
        <w:t>Table 1</w:t>
      </w:r>
    </w:p>
    <w:p w14:paraId="6B0F0290" w14:textId="77777777" w:rsidR="00BE4AA9" w:rsidRDefault="00000000">
      <w:pPr>
        <w:keepNext/>
        <w:spacing w:after="120" w:line="276" w:lineRule="auto"/>
      </w:pPr>
      <w:r>
        <w:rPr>
          <w:i/>
          <w:iCs/>
        </w:rPr>
        <w:t>Compatibility of Selected HMH Routines with Vietnamese-Related Phonological Barriers</w:t>
      </w:r>
    </w:p>
    <w:tbl>
      <w:tblPr>
        <w:tblW w:w="9360" w:type="dxa"/>
        <w:tblBorders>
          <w:top w:val="single" w:sz="4" w:space="0" w:color="auto"/>
        </w:tblBorders>
        <w:tblCellMar>
          <w:left w:w="10" w:type="dxa"/>
          <w:right w:w="10" w:type="dxa"/>
        </w:tblCellMar>
        <w:tblLook w:val="04A0" w:firstRow="1" w:lastRow="0" w:firstColumn="1" w:lastColumn="0" w:noHBand="0" w:noVBand="1"/>
      </w:tblPr>
      <w:tblGrid>
        <w:gridCol w:w="1836"/>
        <w:gridCol w:w="2580"/>
        <w:gridCol w:w="2082"/>
        <w:gridCol w:w="1667"/>
        <w:gridCol w:w="1195"/>
      </w:tblGrid>
      <w:tr w:rsidR="00BE4AA9" w14:paraId="5EC6013A" w14:textId="77777777" w:rsidTr="00FD20AC">
        <w:trPr>
          <w:tblHeader/>
        </w:trPr>
        <w:tc>
          <w:tcPr>
            <w:tcW w:w="1900" w:type="dxa"/>
            <w:tcBorders>
              <w:top w:val="single" w:sz="4" w:space="0" w:color="auto"/>
              <w:bottom w:val="single" w:sz="4" w:space="0" w:color="auto"/>
            </w:tcBorders>
            <w:tcMar>
              <w:top w:w="60" w:type="dxa"/>
              <w:left w:w="100" w:type="dxa"/>
              <w:bottom w:w="60" w:type="dxa"/>
              <w:right w:w="100" w:type="dxa"/>
            </w:tcMar>
            <w:vAlign w:val="center"/>
          </w:tcPr>
          <w:p w14:paraId="39E242AD" w14:textId="77777777" w:rsidR="00BE4AA9" w:rsidRDefault="00000000">
            <w:r>
              <w:rPr>
                <w:b/>
                <w:bCs/>
                <w:sz w:val="20"/>
                <w:szCs w:val="20"/>
              </w:rPr>
              <w:t>HMH routine</w:t>
            </w:r>
          </w:p>
        </w:tc>
        <w:tc>
          <w:tcPr>
            <w:tcW w:w="2700" w:type="dxa"/>
            <w:tcBorders>
              <w:top w:val="single" w:sz="4" w:space="0" w:color="auto"/>
              <w:bottom w:val="single" w:sz="4" w:space="0" w:color="auto"/>
            </w:tcBorders>
            <w:tcMar>
              <w:top w:w="60" w:type="dxa"/>
              <w:left w:w="100" w:type="dxa"/>
              <w:bottom w:w="60" w:type="dxa"/>
              <w:right w:w="100" w:type="dxa"/>
            </w:tcMar>
            <w:vAlign w:val="center"/>
          </w:tcPr>
          <w:p w14:paraId="3824C422" w14:textId="77777777" w:rsidR="00BE4AA9" w:rsidRDefault="00000000">
            <w:r>
              <w:rPr>
                <w:b/>
                <w:bCs/>
                <w:sz w:val="20"/>
                <w:szCs w:val="20"/>
              </w:rPr>
              <w:t>Documentary evidence</w:t>
            </w:r>
          </w:p>
        </w:tc>
        <w:tc>
          <w:tcPr>
            <w:tcW w:w="2160" w:type="dxa"/>
            <w:tcBorders>
              <w:top w:val="single" w:sz="4" w:space="0" w:color="auto"/>
              <w:bottom w:val="single" w:sz="4" w:space="0" w:color="auto"/>
            </w:tcBorders>
            <w:tcMar>
              <w:top w:w="60" w:type="dxa"/>
              <w:left w:w="100" w:type="dxa"/>
              <w:bottom w:w="60" w:type="dxa"/>
              <w:right w:w="100" w:type="dxa"/>
            </w:tcMar>
            <w:vAlign w:val="center"/>
          </w:tcPr>
          <w:p w14:paraId="75852BA8" w14:textId="77777777" w:rsidR="00BE4AA9" w:rsidRDefault="00000000">
            <w:r>
              <w:rPr>
                <w:b/>
                <w:bCs/>
                <w:sz w:val="20"/>
                <w:szCs w:val="20"/>
              </w:rPr>
              <w:t>Targeted Vietnamese-related barrier</w:t>
            </w:r>
          </w:p>
        </w:tc>
        <w:tc>
          <w:tcPr>
            <w:tcW w:w="1700" w:type="dxa"/>
            <w:tcBorders>
              <w:top w:val="single" w:sz="4" w:space="0" w:color="auto"/>
              <w:bottom w:val="single" w:sz="4" w:space="0" w:color="auto"/>
            </w:tcBorders>
            <w:tcMar>
              <w:top w:w="60" w:type="dxa"/>
              <w:left w:w="100" w:type="dxa"/>
              <w:bottom w:w="60" w:type="dxa"/>
              <w:right w:w="100" w:type="dxa"/>
            </w:tcMar>
            <w:vAlign w:val="center"/>
          </w:tcPr>
          <w:p w14:paraId="10E8CE09" w14:textId="77777777" w:rsidR="00BE4AA9" w:rsidRDefault="00000000">
            <w:r>
              <w:rPr>
                <w:b/>
                <w:bCs/>
                <w:sz w:val="20"/>
                <w:szCs w:val="20"/>
              </w:rPr>
              <w:t>Identified mechanism</w:t>
            </w:r>
          </w:p>
        </w:tc>
        <w:tc>
          <w:tcPr>
            <w:tcW w:w="900" w:type="dxa"/>
            <w:tcBorders>
              <w:top w:val="single" w:sz="4" w:space="0" w:color="auto"/>
              <w:bottom w:val="single" w:sz="4" w:space="0" w:color="auto"/>
            </w:tcBorders>
            <w:tcMar>
              <w:top w:w="60" w:type="dxa"/>
              <w:left w:w="100" w:type="dxa"/>
              <w:bottom w:w="60" w:type="dxa"/>
              <w:right w:w="100" w:type="dxa"/>
            </w:tcMar>
            <w:vAlign w:val="center"/>
          </w:tcPr>
          <w:p w14:paraId="4E34E870" w14:textId="77777777" w:rsidR="00BE4AA9" w:rsidRDefault="00000000">
            <w:r>
              <w:rPr>
                <w:b/>
                <w:bCs/>
                <w:sz w:val="20"/>
                <w:szCs w:val="20"/>
              </w:rPr>
              <w:t>Judgment</w:t>
            </w:r>
          </w:p>
        </w:tc>
      </w:tr>
      <w:tr w:rsidR="00BE4AA9" w14:paraId="571EDA71" w14:textId="77777777" w:rsidTr="00FD20AC">
        <w:tc>
          <w:tcPr>
            <w:tcW w:w="1900" w:type="dxa"/>
            <w:tcBorders>
              <w:top w:val="single" w:sz="4" w:space="0" w:color="auto"/>
            </w:tcBorders>
            <w:tcMar>
              <w:top w:w="60" w:type="dxa"/>
              <w:left w:w="100" w:type="dxa"/>
              <w:bottom w:w="60" w:type="dxa"/>
              <w:right w:w="100" w:type="dxa"/>
            </w:tcMar>
            <w:vAlign w:val="center"/>
          </w:tcPr>
          <w:p w14:paraId="6D2A0787" w14:textId="77777777" w:rsidR="00BE4AA9" w:rsidRDefault="00000000">
            <w:r>
              <w:rPr>
                <w:b/>
                <w:bCs/>
                <w:sz w:val="20"/>
                <w:szCs w:val="20"/>
              </w:rPr>
              <w:t>Tap and Count the Sounds</w:t>
            </w:r>
          </w:p>
        </w:tc>
        <w:tc>
          <w:tcPr>
            <w:tcW w:w="2700" w:type="dxa"/>
            <w:tcBorders>
              <w:top w:val="single" w:sz="4" w:space="0" w:color="auto"/>
            </w:tcBorders>
            <w:tcMar>
              <w:top w:w="60" w:type="dxa"/>
              <w:left w:w="100" w:type="dxa"/>
              <w:bottom w:w="60" w:type="dxa"/>
              <w:right w:w="100" w:type="dxa"/>
            </w:tcMar>
            <w:vAlign w:val="center"/>
          </w:tcPr>
          <w:p w14:paraId="006FB0BF" w14:textId="77777777" w:rsidR="00BE4AA9" w:rsidRDefault="00000000">
            <w:r>
              <w:rPr>
                <w:sz w:val="20"/>
                <w:szCs w:val="20"/>
              </w:rPr>
              <w:t>Learners tap and count the sounds in can as /k/ /ă/ /n/ (p. R13).</w:t>
            </w:r>
          </w:p>
        </w:tc>
        <w:tc>
          <w:tcPr>
            <w:tcW w:w="2160" w:type="dxa"/>
            <w:tcBorders>
              <w:top w:val="single" w:sz="4" w:space="0" w:color="auto"/>
            </w:tcBorders>
            <w:tcMar>
              <w:top w:w="60" w:type="dxa"/>
              <w:left w:w="100" w:type="dxa"/>
              <w:bottom w:w="60" w:type="dxa"/>
              <w:right w:w="100" w:type="dxa"/>
            </w:tcMar>
            <w:vAlign w:val="center"/>
          </w:tcPr>
          <w:p w14:paraId="57DC35AD" w14:textId="77777777" w:rsidR="00BE4AA9" w:rsidRDefault="00000000">
            <w:r>
              <w:rPr>
                <w:sz w:val="20"/>
                <w:szCs w:val="20"/>
              </w:rPr>
              <w:t>Monosyllabic processing and whole-syllable guessing</w:t>
            </w:r>
          </w:p>
        </w:tc>
        <w:tc>
          <w:tcPr>
            <w:tcW w:w="1700" w:type="dxa"/>
            <w:tcBorders>
              <w:top w:val="single" w:sz="4" w:space="0" w:color="auto"/>
            </w:tcBorders>
            <w:tcMar>
              <w:top w:w="60" w:type="dxa"/>
              <w:left w:w="100" w:type="dxa"/>
              <w:bottom w:w="60" w:type="dxa"/>
              <w:right w:w="100" w:type="dxa"/>
            </w:tcMar>
            <w:vAlign w:val="center"/>
          </w:tcPr>
          <w:p w14:paraId="360400B8" w14:textId="77777777" w:rsidR="00BE4AA9" w:rsidRDefault="00000000">
            <w:r>
              <w:rPr>
                <w:sz w:val="20"/>
                <w:szCs w:val="20"/>
              </w:rPr>
              <w:t>Auditory-tactile phonemic segmentation</w:t>
            </w:r>
          </w:p>
        </w:tc>
        <w:tc>
          <w:tcPr>
            <w:tcW w:w="900" w:type="dxa"/>
            <w:tcBorders>
              <w:top w:val="single" w:sz="4" w:space="0" w:color="auto"/>
            </w:tcBorders>
            <w:tcMar>
              <w:top w:w="60" w:type="dxa"/>
              <w:left w:w="100" w:type="dxa"/>
              <w:bottom w:w="60" w:type="dxa"/>
              <w:right w:w="100" w:type="dxa"/>
            </w:tcMar>
            <w:vAlign w:val="center"/>
          </w:tcPr>
          <w:p w14:paraId="529C741A" w14:textId="77777777" w:rsidR="00BE4AA9" w:rsidRDefault="00000000">
            <w:r>
              <w:rPr>
                <w:sz w:val="20"/>
                <w:szCs w:val="20"/>
              </w:rPr>
              <w:t>High, 8/8</w:t>
            </w:r>
          </w:p>
        </w:tc>
      </w:tr>
      <w:tr w:rsidR="00BE4AA9" w14:paraId="4BDEF826" w14:textId="77777777" w:rsidTr="00FD20AC">
        <w:tc>
          <w:tcPr>
            <w:tcW w:w="1900" w:type="dxa"/>
            <w:tcMar>
              <w:top w:w="60" w:type="dxa"/>
              <w:left w:w="100" w:type="dxa"/>
              <w:bottom w:w="60" w:type="dxa"/>
              <w:right w:w="100" w:type="dxa"/>
            </w:tcMar>
            <w:vAlign w:val="center"/>
          </w:tcPr>
          <w:p w14:paraId="55AF0873" w14:textId="77777777" w:rsidR="00BE4AA9" w:rsidRDefault="00000000">
            <w:r>
              <w:rPr>
                <w:b/>
                <w:bCs/>
                <w:sz w:val="20"/>
                <w:szCs w:val="20"/>
              </w:rPr>
              <w:lastRenderedPageBreak/>
              <w:t>Blending: Sound-by-Sound</w:t>
            </w:r>
          </w:p>
        </w:tc>
        <w:tc>
          <w:tcPr>
            <w:tcW w:w="2700" w:type="dxa"/>
            <w:tcMar>
              <w:top w:w="60" w:type="dxa"/>
              <w:left w:w="100" w:type="dxa"/>
              <w:bottom w:w="60" w:type="dxa"/>
              <w:right w:w="100" w:type="dxa"/>
            </w:tcMar>
            <w:vAlign w:val="center"/>
          </w:tcPr>
          <w:p w14:paraId="36E41718" w14:textId="77777777" w:rsidR="00BE4AA9" w:rsidRDefault="00000000">
            <w:r>
              <w:rPr>
                <w:sz w:val="20"/>
                <w:szCs w:val="20"/>
              </w:rPr>
              <w:t>Learners construct sit incrementally and include final /t/ before producing the whole word (p. R15).</w:t>
            </w:r>
          </w:p>
        </w:tc>
        <w:tc>
          <w:tcPr>
            <w:tcW w:w="2160" w:type="dxa"/>
            <w:tcMar>
              <w:top w:w="60" w:type="dxa"/>
              <w:left w:w="100" w:type="dxa"/>
              <w:bottom w:w="60" w:type="dxa"/>
              <w:right w:w="100" w:type="dxa"/>
            </w:tcMar>
            <w:vAlign w:val="center"/>
          </w:tcPr>
          <w:p w14:paraId="6756BC19" w14:textId="77777777" w:rsidR="00BE4AA9" w:rsidRDefault="00000000">
            <w:r>
              <w:rPr>
                <w:sz w:val="20"/>
                <w:szCs w:val="20"/>
              </w:rPr>
              <w:t>Coda deletion and final-stop difficulty</w:t>
            </w:r>
          </w:p>
        </w:tc>
        <w:tc>
          <w:tcPr>
            <w:tcW w:w="1700" w:type="dxa"/>
            <w:tcMar>
              <w:top w:w="60" w:type="dxa"/>
              <w:left w:w="100" w:type="dxa"/>
              <w:bottom w:w="60" w:type="dxa"/>
              <w:right w:w="100" w:type="dxa"/>
            </w:tcMar>
            <w:vAlign w:val="center"/>
          </w:tcPr>
          <w:p w14:paraId="057AF6C2" w14:textId="77777777" w:rsidR="00BE4AA9" w:rsidRDefault="00000000">
            <w:r>
              <w:rPr>
                <w:sz w:val="20"/>
                <w:szCs w:val="20"/>
              </w:rPr>
              <w:t>Sequential phoneme accountability and coda-focused attention</w:t>
            </w:r>
          </w:p>
        </w:tc>
        <w:tc>
          <w:tcPr>
            <w:tcW w:w="900" w:type="dxa"/>
            <w:tcMar>
              <w:top w:w="60" w:type="dxa"/>
              <w:left w:w="100" w:type="dxa"/>
              <w:bottom w:w="60" w:type="dxa"/>
              <w:right w:w="100" w:type="dxa"/>
            </w:tcMar>
            <w:vAlign w:val="center"/>
          </w:tcPr>
          <w:p w14:paraId="595924A0" w14:textId="77777777" w:rsidR="00BE4AA9" w:rsidRDefault="00000000">
            <w:r>
              <w:rPr>
                <w:sz w:val="20"/>
                <w:szCs w:val="20"/>
              </w:rPr>
              <w:t>Conditional, 6/8</w:t>
            </w:r>
          </w:p>
        </w:tc>
      </w:tr>
      <w:tr w:rsidR="00BE4AA9" w14:paraId="61E580E1" w14:textId="77777777" w:rsidTr="00FD20AC">
        <w:tc>
          <w:tcPr>
            <w:tcW w:w="1900" w:type="dxa"/>
            <w:tcBorders>
              <w:bottom w:val="nil"/>
            </w:tcBorders>
            <w:tcMar>
              <w:top w:w="60" w:type="dxa"/>
              <w:left w:w="100" w:type="dxa"/>
              <w:bottom w:w="60" w:type="dxa"/>
              <w:right w:w="100" w:type="dxa"/>
            </w:tcMar>
            <w:vAlign w:val="center"/>
          </w:tcPr>
          <w:p w14:paraId="43E2A478" w14:textId="77777777" w:rsidR="00BE4AA9" w:rsidRDefault="00000000">
            <w:r>
              <w:rPr>
                <w:b/>
                <w:bCs/>
                <w:sz w:val="20"/>
                <w:szCs w:val="20"/>
              </w:rPr>
              <w:t>Blending: Continuous</w:t>
            </w:r>
          </w:p>
        </w:tc>
        <w:tc>
          <w:tcPr>
            <w:tcW w:w="2700" w:type="dxa"/>
            <w:tcBorders>
              <w:bottom w:val="nil"/>
            </w:tcBorders>
            <w:tcMar>
              <w:top w:w="60" w:type="dxa"/>
              <w:left w:w="100" w:type="dxa"/>
              <w:bottom w:w="60" w:type="dxa"/>
              <w:right w:w="100" w:type="dxa"/>
            </w:tcMar>
            <w:vAlign w:val="center"/>
          </w:tcPr>
          <w:p w14:paraId="68CC6130" w14:textId="77777777" w:rsidR="00BE4AA9" w:rsidRDefault="00000000">
            <w:r>
              <w:rPr>
                <w:sz w:val="20"/>
                <w:szCs w:val="20"/>
              </w:rPr>
              <w:t>Learners blend mat without breaks before producing the complete word (p. R16).</w:t>
            </w:r>
          </w:p>
        </w:tc>
        <w:tc>
          <w:tcPr>
            <w:tcW w:w="2160" w:type="dxa"/>
            <w:tcBorders>
              <w:bottom w:val="nil"/>
            </w:tcBorders>
            <w:tcMar>
              <w:top w:w="60" w:type="dxa"/>
              <w:left w:w="100" w:type="dxa"/>
              <w:bottom w:w="60" w:type="dxa"/>
              <w:right w:w="100" w:type="dxa"/>
            </w:tcMar>
            <w:vAlign w:val="center"/>
          </w:tcPr>
          <w:p w14:paraId="03B9673A" w14:textId="77777777" w:rsidR="00BE4AA9" w:rsidRDefault="00000000">
            <w:r>
              <w:rPr>
                <w:sz w:val="20"/>
                <w:szCs w:val="20"/>
              </w:rPr>
              <w:t>Difficulty with word-level synthesis (inability to assemble identified phonemes into a complete word), with coda retention as a secondary concern</w:t>
            </w:r>
          </w:p>
        </w:tc>
        <w:tc>
          <w:tcPr>
            <w:tcW w:w="1700" w:type="dxa"/>
            <w:tcBorders>
              <w:bottom w:val="nil"/>
            </w:tcBorders>
            <w:tcMar>
              <w:top w:w="60" w:type="dxa"/>
              <w:left w:w="100" w:type="dxa"/>
              <w:bottom w:w="60" w:type="dxa"/>
              <w:right w:w="100" w:type="dxa"/>
            </w:tcMar>
            <w:vAlign w:val="center"/>
          </w:tcPr>
          <w:p w14:paraId="7AB9C80D" w14:textId="77777777" w:rsidR="00BE4AA9" w:rsidRDefault="00000000">
            <w:r>
              <w:rPr>
                <w:sz w:val="20"/>
                <w:szCs w:val="20"/>
              </w:rPr>
              <w:t>Continuous phonological synthesis</w:t>
            </w:r>
          </w:p>
        </w:tc>
        <w:tc>
          <w:tcPr>
            <w:tcW w:w="900" w:type="dxa"/>
            <w:tcBorders>
              <w:bottom w:val="nil"/>
            </w:tcBorders>
            <w:tcMar>
              <w:top w:w="60" w:type="dxa"/>
              <w:left w:w="100" w:type="dxa"/>
              <w:bottom w:w="60" w:type="dxa"/>
              <w:right w:w="100" w:type="dxa"/>
            </w:tcMar>
            <w:vAlign w:val="center"/>
          </w:tcPr>
          <w:p w14:paraId="443C8C77" w14:textId="77777777" w:rsidR="00BE4AA9" w:rsidRDefault="00000000">
            <w:r>
              <w:rPr>
                <w:sz w:val="20"/>
                <w:szCs w:val="20"/>
              </w:rPr>
              <w:t>High, 7/8</w:t>
            </w:r>
          </w:p>
        </w:tc>
      </w:tr>
      <w:tr w:rsidR="00BE4AA9" w14:paraId="71902825" w14:textId="77777777" w:rsidTr="00FD20AC">
        <w:tc>
          <w:tcPr>
            <w:tcW w:w="1900" w:type="dxa"/>
            <w:tcBorders>
              <w:top w:val="nil"/>
              <w:bottom w:val="single" w:sz="4" w:space="0" w:color="auto"/>
            </w:tcBorders>
            <w:tcMar>
              <w:top w:w="60" w:type="dxa"/>
              <w:left w:w="100" w:type="dxa"/>
              <w:bottom w:w="60" w:type="dxa"/>
              <w:right w:w="100" w:type="dxa"/>
            </w:tcMar>
            <w:vAlign w:val="center"/>
          </w:tcPr>
          <w:p w14:paraId="3C8E14CD" w14:textId="77777777" w:rsidR="00BE4AA9" w:rsidRDefault="00000000">
            <w:r>
              <w:rPr>
                <w:b/>
                <w:bCs/>
                <w:sz w:val="20"/>
                <w:szCs w:val="20"/>
              </w:rPr>
              <w:t>Echo Reading</w:t>
            </w:r>
          </w:p>
        </w:tc>
        <w:tc>
          <w:tcPr>
            <w:tcW w:w="2700" w:type="dxa"/>
            <w:tcBorders>
              <w:top w:val="nil"/>
              <w:bottom w:val="single" w:sz="4" w:space="0" w:color="auto"/>
            </w:tcBorders>
            <w:tcMar>
              <w:top w:w="60" w:type="dxa"/>
              <w:left w:w="100" w:type="dxa"/>
              <w:bottom w:w="60" w:type="dxa"/>
              <w:right w:w="100" w:type="dxa"/>
            </w:tcMar>
            <w:vAlign w:val="center"/>
          </w:tcPr>
          <w:p w14:paraId="31C0C6E1" w14:textId="77777777" w:rsidR="00BE4AA9" w:rsidRDefault="00000000">
            <w:r>
              <w:rPr>
                <w:sz w:val="20"/>
                <w:szCs w:val="20"/>
              </w:rPr>
              <w:t>Learners repeat teacher-modeled oral reading while imitating pronunciation and expression (p. R24).</w:t>
            </w:r>
          </w:p>
        </w:tc>
        <w:tc>
          <w:tcPr>
            <w:tcW w:w="2160" w:type="dxa"/>
            <w:tcBorders>
              <w:top w:val="nil"/>
              <w:bottom w:val="single" w:sz="4" w:space="0" w:color="auto"/>
            </w:tcBorders>
            <w:tcMar>
              <w:top w:w="60" w:type="dxa"/>
              <w:left w:w="100" w:type="dxa"/>
              <w:bottom w:w="60" w:type="dxa"/>
              <w:right w:w="100" w:type="dxa"/>
            </w:tcMar>
            <w:vAlign w:val="center"/>
          </w:tcPr>
          <w:p w14:paraId="4B9A6760" w14:textId="77777777" w:rsidR="00BE4AA9" w:rsidRDefault="00000000">
            <w:r>
              <w:rPr>
                <w:sz w:val="20"/>
                <w:szCs w:val="20"/>
              </w:rPr>
              <w:t>Prosodic transfer in connected oral reading</w:t>
            </w:r>
          </w:p>
        </w:tc>
        <w:tc>
          <w:tcPr>
            <w:tcW w:w="1700" w:type="dxa"/>
            <w:tcBorders>
              <w:top w:val="nil"/>
              <w:bottom w:val="single" w:sz="4" w:space="0" w:color="auto"/>
            </w:tcBorders>
            <w:tcMar>
              <w:top w:w="60" w:type="dxa"/>
              <w:left w:w="100" w:type="dxa"/>
              <w:bottom w:w="60" w:type="dxa"/>
              <w:right w:w="100" w:type="dxa"/>
            </w:tcMar>
            <w:vAlign w:val="center"/>
          </w:tcPr>
          <w:p w14:paraId="7D7CAC35" w14:textId="77777777" w:rsidR="00BE4AA9" w:rsidRDefault="00000000">
            <w:r>
              <w:rPr>
                <w:sz w:val="20"/>
                <w:szCs w:val="20"/>
              </w:rPr>
              <w:t>Modeled prosodic imitation</w:t>
            </w:r>
          </w:p>
        </w:tc>
        <w:tc>
          <w:tcPr>
            <w:tcW w:w="900" w:type="dxa"/>
            <w:tcBorders>
              <w:top w:val="nil"/>
              <w:bottom w:val="single" w:sz="4" w:space="0" w:color="auto"/>
            </w:tcBorders>
            <w:tcMar>
              <w:top w:w="60" w:type="dxa"/>
              <w:left w:w="100" w:type="dxa"/>
              <w:bottom w:w="60" w:type="dxa"/>
              <w:right w:w="100" w:type="dxa"/>
            </w:tcMar>
            <w:vAlign w:val="center"/>
          </w:tcPr>
          <w:p w14:paraId="32E76165" w14:textId="77777777" w:rsidR="00BE4AA9" w:rsidRDefault="00000000">
            <w:r>
              <w:rPr>
                <w:sz w:val="20"/>
                <w:szCs w:val="20"/>
              </w:rPr>
              <w:t>Conditional, 5/8</w:t>
            </w:r>
          </w:p>
        </w:tc>
      </w:tr>
    </w:tbl>
    <w:p w14:paraId="3AF9D181" w14:textId="77777777" w:rsidR="00FD20AC" w:rsidRDefault="00FD20AC" w:rsidP="00FD20AC">
      <w:pPr>
        <w:spacing w:before="80" w:after="200"/>
        <w:ind w:firstLine="720"/>
        <w:rPr>
          <w:i/>
          <w:iCs/>
          <w:sz w:val="20"/>
          <w:szCs w:val="20"/>
        </w:rPr>
      </w:pPr>
    </w:p>
    <w:p w14:paraId="42610615" w14:textId="65A9B7B7" w:rsidR="00BE4AA9" w:rsidRDefault="00000000" w:rsidP="00FD20AC">
      <w:pPr>
        <w:spacing w:before="80" w:after="200"/>
        <w:ind w:firstLine="720"/>
      </w:pPr>
      <w:r>
        <w:rPr>
          <w:i/>
          <w:iCs/>
          <w:sz w:val="20"/>
          <w:szCs w:val="20"/>
        </w:rPr>
        <w:t xml:space="preserve">Note. </w:t>
      </w:r>
      <w:r>
        <w:rPr>
          <w:sz w:val="20"/>
          <w:szCs w:val="20"/>
        </w:rPr>
        <w:t>Scores range 0–8 across four criteria. Bands: 7–8 = High, 4–6 = Conditional, 0–3 = Limited. Conditional ratings reflect implementation and adaptation demands, not weak mechanistic alignment; the mechanisms of Blending: Sound-by-Sound and Echo Reading are strongly aligned with their targeted barriers. Page references (R13–R24) are to Houghton Mifflin Harcourt (2017).</w:t>
      </w:r>
    </w:p>
    <w:p w14:paraId="1F332A2C" w14:textId="77777777" w:rsidR="00BE4AA9" w:rsidRPr="00FD20AC" w:rsidRDefault="00000000">
      <w:pPr>
        <w:keepNext/>
        <w:spacing w:before="240" w:after="80" w:line="276" w:lineRule="auto"/>
        <w:rPr>
          <w:i/>
          <w:iCs/>
        </w:rPr>
      </w:pPr>
      <w:r>
        <w:rPr>
          <w:b/>
          <w:bCs/>
          <w:i/>
          <w:iCs/>
        </w:rPr>
        <w:t>4.2. Tap and Count the Sounds: Making Phonemes Explicit within Monosyllabic Words</w:t>
      </w:r>
    </w:p>
    <w:p w14:paraId="08E5ABF6" w14:textId="77777777" w:rsidR="00BE4AA9" w:rsidRDefault="00000000" w:rsidP="00FD20AC">
      <w:pPr>
        <w:spacing w:after="120" w:line="480" w:lineRule="auto"/>
        <w:ind w:firstLine="720"/>
        <w:jc w:val="both"/>
      </w:pPr>
      <w:r>
        <w:t>The first finding concerns the compatibility of Tap and Count the Sounds with the barrier of monosyllabic processing. In the HMH routine, learners are directed to represent each sound in the target word physically and orally. In the documented example, the word can is segmented into /k/ /ă/ /n/, with one finger-tapping movement assigned to each sound before learners identify the total number of sounds in the word (Houghton Mifflin Harcourt, 2017, p. R13)</w:t>
      </w:r>
      <w:r>
        <w:rPr>
          <w:rStyle w:val="FootnoteReference"/>
        </w:rPr>
        <w:footnoteReference w:id="3"/>
      </w:r>
      <w:r>
        <w:t xml:space="preserve">. The analytical significance of this routine lies in the learner action it requires: a learner cannot complete the task by repeating can as a single memorized oral form, because the routine requires the word to be decomposed into three separately accountable units. This procedural demand corresponds directly </w:t>
      </w:r>
      <w:r>
        <w:lastRenderedPageBreak/>
        <w:t>to the study’s definition of monosyllabic processing, in which a learner approaches an English one-syllable word as an undivided sound block rather than as a sequence of phonemes.</w:t>
      </w:r>
    </w:p>
    <w:p w14:paraId="6E02A4E7" w14:textId="77777777" w:rsidR="00BE4AA9" w:rsidRDefault="00000000" w:rsidP="00FD20AC">
      <w:pPr>
        <w:spacing w:after="120" w:line="480" w:lineRule="auto"/>
        <w:jc w:val="both"/>
      </w:pPr>
      <w:r>
        <w:t>The routine scored 8/8 (High). Its mechanism aligned directly with the targeted barrier, the tapping action externalized phonemic structure observably, and it required no specialised resources and only minimal adaptation for bilingual guidance. Within the framework, Tap and Count the Sounds is therefore the clearest routine-level response to whole-syllable guessing, transforming internal sound analysis into a visible, monitorable classroom action.</w:t>
      </w:r>
    </w:p>
    <w:p w14:paraId="767D1605" w14:textId="77777777" w:rsidR="00BE4AA9" w:rsidRPr="00FD20AC" w:rsidRDefault="00000000" w:rsidP="00FD20AC">
      <w:pPr>
        <w:keepNext/>
        <w:spacing w:after="120" w:line="480" w:lineRule="auto"/>
        <w:rPr>
          <w:i/>
          <w:iCs/>
        </w:rPr>
      </w:pPr>
      <w:r>
        <w:rPr>
          <w:b/>
          <w:bCs/>
          <w:i/>
          <w:iCs/>
        </w:rPr>
        <w:t>4.3. Blending: Sound-by-Sound: Foregrounding the Word-Final Consonant</w:t>
      </w:r>
    </w:p>
    <w:p w14:paraId="37C2B16E" w14:textId="19600EFB" w:rsidR="00BE4AA9" w:rsidRDefault="00000000" w:rsidP="00FD20AC">
      <w:pPr>
        <w:spacing w:after="120" w:line="480" w:lineRule="auto"/>
        <w:ind w:firstLine="720"/>
        <w:jc w:val="both"/>
      </w:pPr>
      <w:r>
        <w:t>The second finding concerns Blending: Sound-by-Sound and its compatibility with coda deletion and final-stop difficulty. In the documented example, sit is not presented immediately as a complete oral form; learners are guided through a successive sequence in which individual sounds are introduced and blended until the final /t/ is incorporated (Houghton Mifflin Harcourt, 2017, p. R15). This makes the coda instructionally salient: the final consonant is neither optional nor embedded in undifferentiated whole-word repetition but is separately represented, elicited, and required in the completed blend. The routine thus activates sequential phoneme accountability and coda-focused attention, and a learner who omits the final /t/ produces an incomplete response the routine immediately exposes.</w:t>
      </w:r>
    </w:p>
    <w:p w14:paraId="431DAD4A" w14:textId="5E7137EC" w:rsidR="00BE4AA9" w:rsidRPr="00FD20AC" w:rsidRDefault="00000000" w:rsidP="00FD20AC">
      <w:pPr>
        <w:spacing w:after="120" w:line="480" w:lineRule="auto"/>
        <w:ind w:firstLine="720"/>
        <w:jc w:val="both"/>
        <w:rPr>
          <w:i/>
          <w:iCs/>
        </w:rPr>
      </w:pPr>
      <w:r>
        <w:t xml:space="preserve">The mechanism of this routine is thus strongly aligned with coda deletion, consistent with the abstract’s characterization of sound-by-sound blending as effective for foregrounding the coda. Its overall compatibility was rated Conditional (6/8) for implementation reasons rather than weak relevance: in the Vietnamese context, a teacher’s guide would need explicit support for modeling final consonants clearly and avoiding productions in which the final sound is omitted or followed by an unintended vowel. The abstract’s “released stops” should be read in an instructional rather </w:t>
      </w:r>
      <w:r>
        <w:lastRenderedPageBreak/>
        <w:t>than strict phonetic sense: the routine makes the word-final consonant salient and accountable within the decoding sequence, not audible release as a phonetic target, and does not establish how learners realize final stops across all connected-speech environments. Blending: Sound-by-Sound is therefore directly compatible with coda-focused instruction, provided implementation is supported by Vietnamese-specific teacher prompts and final-consonant monitoring notes.</w:t>
      </w:r>
    </w:p>
    <w:p w14:paraId="648DD209" w14:textId="77777777" w:rsidR="00BE4AA9" w:rsidRPr="00FD20AC" w:rsidRDefault="00000000" w:rsidP="00FD20AC">
      <w:pPr>
        <w:keepNext/>
        <w:spacing w:after="120" w:line="480" w:lineRule="auto"/>
        <w:rPr>
          <w:i/>
          <w:iCs/>
        </w:rPr>
      </w:pPr>
      <w:r>
        <w:rPr>
          <w:b/>
          <w:bCs/>
          <w:i/>
          <w:iCs/>
        </w:rPr>
        <w:t>4.4. Blending: Continuous: Moving from Segmented Sounds to Complete Word Production</w:t>
      </w:r>
    </w:p>
    <w:p w14:paraId="2FBFA186" w14:textId="77777777" w:rsidR="00BE4AA9" w:rsidRDefault="00000000" w:rsidP="00FD20AC">
      <w:pPr>
        <w:spacing w:after="120" w:line="480" w:lineRule="auto"/>
        <w:ind w:firstLine="720"/>
        <w:jc w:val="both"/>
      </w:pPr>
      <w:r>
        <w:t>The third finding concerns Blending: Continuous. In the HMH procedure, learners blend a word’s sounds without breaks, as in the documented treatment of mat, before producing the complete word (Houghton Mifflin Harcourt, 2017, p. R16). Unlike the two preceding routines, it requires sustaining the full sound sequence in a single production. The mechanism, continuous phonological synthesis, is relevant to learners who identify individual sounds but fail to assemble them smoothly; it also supports coda-focused instruction when sequenced after sound-by-sound work, since a final consonant made explicit earlier must be retained within uninterrupted production.</w:t>
      </w:r>
    </w:p>
    <w:p w14:paraId="65A46DFD" w14:textId="6C3B6172" w:rsidR="00BE4AA9" w:rsidRDefault="00000000" w:rsidP="00FD20AC">
      <w:pPr>
        <w:spacing w:after="120" w:line="480" w:lineRule="auto"/>
        <w:ind w:firstLine="720"/>
        <w:jc w:val="both"/>
      </w:pPr>
      <w:r>
        <w:t>The routine scored 7/8 (High): its mechanism was explicit, its resource demands low, and its core adaptable without redesign. The main adaptation concerned target-word selection—continuous blending should use words with vulnerable final consonants, so smooth production does not come at the expense of coda retention. Blending: Continuous thus links phoneme-level attention with complete word production, providing the transitional step between explicit coda attention and later oral fluency work.</w:t>
      </w:r>
    </w:p>
    <w:p w14:paraId="701C7AB8" w14:textId="77777777" w:rsidR="00BE4AA9" w:rsidRPr="00FD20AC" w:rsidRDefault="00000000" w:rsidP="00FD20AC">
      <w:pPr>
        <w:keepNext/>
        <w:spacing w:after="120" w:line="480" w:lineRule="auto"/>
        <w:rPr>
          <w:i/>
          <w:iCs/>
        </w:rPr>
      </w:pPr>
      <w:r>
        <w:rPr>
          <w:b/>
          <w:bCs/>
          <w:i/>
          <w:iCs/>
        </w:rPr>
        <w:lastRenderedPageBreak/>
        <w:t>4.5. Echo Reading: Providing a Model for Sentence-Level Prosody</w:t>
      </w:r>
    </w:p>
    <w:p w14:paraId="0F9CCFB2" w14:textId="1CC28545" w:rsidR="00BE4AA9" w:rsidRDefault="00000000" w:rsidP="00FD20AC">
      <w:pPr>
        <w:spacing w:after="120" w:line="480" w:lineRule="auto"/>
        <w:ind w:firstLine="720"/>
        <w:jc w:val="both"/>
      </w:pPr>
      <w:r>
        <w:t>The fourth finding concerns Echo Reading and prosodic transfer. The teacher reads a portion of text aloud and learners repeat it while imitating pronunciation and expression (Houghton Mifflin Harcourt, 2017, p. R24). Unlike the earlier routines, it operates beyond isolated phonemes or words, targeting modeled oral production within phrases or sentences. The analysis identified modeled prosodic imitation as its central mechanism, corresponding to prosodic transfer because it provides an external English model against which learners’ connected reading can be shaped—relevant to the abstract’s claim that sentence-level prosody can be recalibrated through structured modeling and repetition.</w:t>
      </w:r>
    </w:p>
    <w:p w14:paraId="0DD8940B" w14:textId="77777777" w:rsidR="00BE4AA9" w:rsidRDefault="00000000" w:rsidP="00FD20AC">
      <w:pPr>
        <w:spacing w:after="120" w:line="480" w:lineRule="auto"/>
        <w:ind w:firstLine="720"/>
        <w:jc w:val="both"/>
      </w:pPr>
      <w:r>
        <w:t>Echo Reading received a Conditional judgment (5/8). It requires learners to imitate a model, but the source does not ensure the model suits Vietnamese learners’ prosodic needs: its value depends on accurate teacher pronunciation, phrasing, prominence, and intonation, or on reliable recorded models and phrase-marked scripts. Echo Reading therefore carries the strongest implementation condition among the four, requiring more extensive adaptation than the phoneme- and word-level routines.</w:t>
      </w:r>
    </w:p>
    <w:p w14:paraId="48B41C33" w14:textId="77777777" w:rsidR="00BE4AA9" w:rsidRPr="00FD20AC" w:rsidRDefault="00000000" w:rsidP="00FD20AC">
      <w:pPr>
        <w:keepNext/>
        <w:spacing w:after="120" w:line="480" w:lineRule="auto"/>
        <w:rPr>
          <w:i/>
          <w:iCs/>
        </w:rPr>
      </w:pPr>
      <w:r>
        <w:rPr>
          <w:b/>
          <w:bCs/>
          <w:i/>
          <w:iCs/>
        </w:rPr>
        <w:t>4.6. Integrated Finding: A Three-Level Instructional Progression</w:t>
      </w:r>
    </w:p>
    <w:p w14:paraId="40AA9ED4" w14:textId="030D6646" w:rsidR="00BE4AA9" w:rsidRDefault="00000000" w:rsidP="00FD20AC">
      <w:pPr>
        <w:spacing w:after="120" w:line="480" w:lineRule="auto"/>
        <w:ind w:firstLine="720"/>
        <w:jc w:val="both"/>
      </w:pPr>
      <w:r>
        <w:t xml:space="preserve">Across the four routines, the analysis identified a three-level progression: Tap and Count the Sounds supports phonemic segmentation of monosyllabic words; the two blending routines jointly support coda-inclusive word construction and continuous synthesis; and Echo Reading extends toward modeled sentence-level prosody. This progression is not prescribed by the source handbook. Although each routine is documented in </w:t>
      </w:r>
      <w:r>
        <w:rPr>
          <w:i/>
        </w:rPr>
        <w:t>Into Reading</w:t>
      </w:r>
      <w:r>
        <w:t xml:space="preserve">, their organization into a single phoneme-to-prosody progression is a conceptual reconstruction by the present authors, drawing on Structured Literacy’s principle of systematic, cumulative sequencing rather than an ordering </w:t>
      </w:r>
      <w:r>
        <w:lastRenderedPageBreak/>
        <w:t>stated in the source. On this basis, the progression supports the Tripartite Adaptation Framework for Scripted Instruction</w:t>
      </w:r>
      <w:r w:rsidR="001A5C1A">
        <w:t xml:space="preserve">, </w:t>
      </w:r>
      <w:r>
        <w:t>a Phonemic Segmentation Scaffold, a Coda-to-Word Blending Scaffold, and a Prosodic Oral-Fluency Scaffold</w:t>
      </w:r>
      <w:r w:rsidR="001A5C1A">
        <w:t xml:space="preserve">, </w:t>
      </w:r>
      <w:r>
        <w:t>elaborated in the Discussion.</w:t>
      </w:r>
    </w:p>
    <w:p w14:paraId="6C9BFDBC" w14:textId="77777777" w:rsidR="00BE4AA9" w:rsidRDefault="00000000" w:rsidP="00FD20AC">
      <w:pPr>
        <w:spacing w:after="120" w:line="480" w:lineRule="auto"/>
        <w:ind w:firstLine="720"/>
        <w:jc w:val="both"/>
      </w:pPr>
      <w:r>
        <w:t>In relation to RQ1, the findings show that all four selected routines demonstrate theoretical compatibility with at least one identified Vietnamese-related barrier, although two require conditional implementation support. In relation to RQ2, the findings establish the documentary basis for translating these routines into bilingual I do – We do – You do teacher-guide scaffolds, which is developed further in the Discussion.</w:t>
      </w:r>
    </w:p>
    <w:p w14:paraId="37620384" w14:textId="77777777" w:rsidR="00BE4AA9" w:rsidRDefault="00000000" w:rsidP="00FD20AC">
      <w:pPr>
        <w:keepNext/>
        <w:spacing w:after="120" w:line="480" w:lineRule="auto"/>
        <w:jc w:val="center"/>
      </w:pPr>
      <w:r>
        <w:rPr>
          <w:b/>
          <w:bCs/>
        </w:rPr>
        <w:t>5. Discussion</w:t>
      </w:r>
    </w:p>
    <w:p w14:paraId="462DC049" w14:textId="77777777" w:rsidR="00BE4AA9" w:rsidRPr="00FD20AC" w:rsidRDefault="00000000" w:rsidP="00FD20AC">
      <w:pPr>
        <w:keepNext/>
        <w:spacing w:after="120" w:line="480" w:lineRule="auto"/>
        <w:rPr>
          <w:i/>
          <w:iCs/>
        </w:rPr>
      </w:pPr>
      <w:r>
        <w:rPr>
          <w:b/>
          <w:bCs/>
          <w:i/>
          <w:iCs/>
        </w:rPr>
        <w:t>5.1. From Routine Compatibility to a Micro-Instructional Progression</w:t>
      </w:r>
    </w:p>
    <w:p w14:paraId="6436887C" w14:textId="17B607B7" w:rsidR="00BE4AA9" w:rsidRDefault="00000000" w:rsidP="00FD20AC">
      <w:pPr>
        <w:spacing w:after="120" w:line="480" w:lineRule="auto"/>
        <w:ind w:firstLine="720"/>
        <w:jc w:val="both"/>
      </w:pPr>
      <w:r>
        <w:t>Read as a staged sequence, the routines suit the Vietnamese context because the three barriers occur at related but distinct levels of oral decoding: phoneme-level segmentation (Tap and Count the Sounds), word-level construction and synthesis (the two blending routines), and connected-speech modeling (Echo Reading). This staging is consistent with Koda’s (2005) view that additional-language literacy processing is shaped by established L1 routines and with evidence that English word-final consonants are vulnerable in Vietnamese learner speech (Disney &amp; Le, 2024), linking coda awareness with complete spoken-word formation rather than isolated articulation.</w:t>
      </w:r>
    </w:p>
    <w:p w14:paraId="1B1EE054" w14:textId="08E19ACB" w:rsidR="00BE4AA9" w:rsidRDefault="00000000" w:rsidP="00FD20AC">
      <w:pPr>
        <w:spacing w:after="120" w:line="480" w:lineRule="auto"/>
        <w:ind w:firstLine="720"/>
        <w:jc w:val="both"/>
      </w:pPr>
      <w:r>
        <w:t xml:space="preserve">At the connected-speech level, Echo Reading structures imitation of modeled pronunciation and expression, extending support toward phrasing and prosody—supported by evidence that Vietnamese prosodic experience can influence English stress processing (Le, 2021)—though its compatibility depends more on implementation quality. Together, the routines </w:t>
      </w:r>
      <w:r>
        <w:lastRenderedPageBreak/>
        <w:t>suggest foundational oral fluency may be supported through increasingly complex demands, and this staged interpretation links the document analysis to the study’s material-design contribution.</w:t>
      </w:r>
    </w:p>
    <w:p w14:paraId="0A90C3D8" w14:textId="77777777" w:rsidR="00BE4AA9" w:rsidRPr="00FD20AC" w:rsidRDefault="00000000" w:rsidP="00FD20AC">
      <w:pPr>
        <w:keepNext/>
        <w:spacing w:after="120" w:line="480" w:lineRule="auto"/>
        <w:rPr>
          <w:i/>
          <w:iCs/>
        </w:rPr>
      </w:pPr>
      <w:r>
        <w:rPr>
          <w:b/>
          <w:bCs/>
          <w:i/>
          <w:iCs/>
        </w:rPr>
        <w:t>5.2. Translating Compatibility into Bilingual Scripted Instruction</w:t>
      </w:r>
    </w:p>
    <w:p w14:paraId="6EB5FA53" w14:textId="50C2ABA2" w:rsidR="00BE4AA9" w:rsidRDefault="00000000" w:rsidP="00FD20AC">
      <w:pPr>
        <w:spacing w:after="120" w:line="480" w:lineRule="auto"/>
        <w:ind w:firstLine="720"/>
        <w:jc w:val="both"/>
      </w:pPr>
      <w:r>
        <w:t>The findings support the proposed Tripartite Adaptation Framework for Scripted Instruction, reorganizing the four routines around three functions: Phonemic Segmentation, Coda-to-Word Blending, and Prosodic Oral Fluency. The first adapts Tap and Count the Sounds into brief bilingual procedures requiring learners to hear, tap, and identify the phonemes in short words, so practice does not rely on whole-word repetition. The second combines the two blending routines: learners produce the final consonant as part of the word and then retain it while blending continuously—well suited to Vietnamese teacher’s guides because it lets teachers anticipate errors such as final-consonant omission or an unintended vowel after a coda. The third adapts Echo Reading for connected production by specifying phrase boundaries, prominent words, and an oral model to imitate, with recorded models or annotated scripts where necessary. Because the framework supports rather than works against Vietnam’s ESL-oriented direction, the bilingual prompts are temporary scaffolds: the first-language gloss makes a task instruction unambiguous in a large class, while the target action—segmenting, blending, or imitating—is performed in English. The scripts confine Vietnamese to brief procedural cues and error-monitoring notes rather than the modeled language itself, and these cues can be faded as learners gain familiarity so English becomes the sole language of practice.</w:t>
      </w:r>
    </w:p>
    <w:p w14:paraId="0FF97007" w14:textId="77777777" w:rsidR="008A013A" w:rsidRDefault="00000000" w:rsidP="008A013A">
      <w:pPr>
        <w:spacing w:after="120" w:line="480" w:lineRule="auto"/>
        <w:ind w:firstLine="720"/>
        <w:jc w:val="both"/>
      </w:pPr>
      <w:r>
        <w:t xml:space="preserve">Across the three components, the I do – We do – You do sequence provides a practical structure: the teacher models the target action, learners practise with support, then apply it independently while the teacher monitors anticipated L1-related difficulties—consistent with the Gradual Release of Responsibility model (Pearson &amp; Gallagher, 1983; Fisher &amp; Frey, 2014). The </w:t>
      </w:r>
      <w:r>
        <w:lastRenderedPageBreak/>
        <w:t>implication is not to replace communicative instruction with decoding routines but to strengthen communicative materials by inserting short, targeted routines before or within speaking and oral-reading activities, connecting pronunciation instruction to curriculum design rather than leaving it to unscripted correction (McGregor &amp; Reed, 2018).</w:t>
      </w:r>
    </w:p>
    <w:p w14:paraId="725C471B" w14:textId="52DD5457" w:rsidR="00BE4AA9" w:rsidRDefault="00000000" w:rsidP="008A013A">
      <w:pPr>
        <w:spacing w:after="120" w:line="480" w:lineRule="auto"/>
        <w:ind w:firstLine="720"/>
        <w:jc w:val="both"/>
      </w:pPr>
      <w:r>
        <w:t xml:space="preserve">The following compact example is an author-constructed illustration of the Coda-to-Word Blending component, not an excerpt from the analysed corpus; because the HMH source is an English-only handbook, the bilingual scripting is part of the proposed adaptation rather than of the documentary data. It illustrates the intended register: short, command-like bilingual prompts suited to large Vietnamese classes, avoiding word-by-word translation. </w:t>
      </w:r>
      <w:r>
        <w:rPr>
          <w:i/>
          <w:iCs/>
        </w:rPr>
        <w:t>I do</w:t>
      </w:r>
      <w:r>
        <w:t xml:space="preserve">: “Listen: /s/ … /ĭ/ … /t/ → sit. Watch my mouth on the last sound.” (Nghe cô: /s/ … /ĭ/ … /t/. Nhìn miệng cô ở âm cuối.) </w:t>
      </w:r>
      <w:r>
        <w:rPr>
          <w:i/>
          <w:iCs/>
        </w:rPr>
        <w:t>We do</w:t>
      </w:r>
      <w:r>
        <w:t xml:space="preserve">: “Blend with me—don’t drop the last sound.” (Đọc nối cùng cô—đừng bỏ âm cuối.) </w:t>
      </w:r>
      <w:r>
        <w:rPr>
          <w:i/>
          <w:iCs/>
        </w:rPr>
        <w:t>You do</w:t>
      </w:r>
      <w:r>
        <w:t>: “Your turn. Say the whole word. Is the last sound there?” (Đến lượt em. Đọc cả từ. Có âm cuối chưa?)</w:t>
      </w:r>
    </w:p>
    <w:p w14:paraId="5920DBA8" w14:textId="77777777" w:rsidR="00BE4AA9" w:rsidRPr="008A013A" w:rsidRDefault="00000000" w:rsidP="00FD20AC">
      <w:pPr>
        <w:keepNext/>
        <w:spacing w:after="120" w:line="480" w:lineRule="auto"/>
        <w:rPr>
          <w:i/>
          <w:iCs/>
        </w:rPr>
      </w:pPr>
      <w:r>
        <w:rPr>
          <w:b/>
          <w:bCs/>
          <w:i/>
          <w:iCs/>
        </w:rPr>
        <w:t>5.3. Implications for Primary English Materials and Teacher Support</w:t>
      </w:r>
    </w:p>
    <w:p w14:paraId="5C9797D1" w14:textId="77777777" w:rsidR="00BE4AA9" w:rsidRDefault="00000000" w:rsidP="00FD20AC">
      <w:pPr>
        <w:spacing w:after="120" w:line="480" w:lineRule="auto"/>
        <w:ind w:firstLine="720"/>
        <w:jc w:val="both"/>
      </w:pPr>
      <w:r>
        <w:t xml:space="preserve">The analysis has two immediate implications for materials development. First, primary English teacher’s guides should make predictable phonological difficulties visible at the level of procedure: instead of directing teachers only to “repeat,” “read aloud,” or “practise pronunciation,” materials should indicate the target sound feature, the expected learner response, and the likely L1-related error to monitor. Second, barriers require different support: phonemic segmentation and word blending can work through simple bilingual prompts, gestures, and selected target words, whereas prosodic modeling is more demanding because its value depends on model accuracy, so materials incorporating Echo Reading should provide phrase-marked sentences, short audio demonstrations, or teacher preparation notes. If primary learners are to use English increasingly </w:t>
      </w:r>
      <w:r>
        <w:lastRenderedPageBreak/>
        <w:t>for communication, materials must support the sound-level and prosodic foundations that make oral communication intelligible; the framework adds this support without displacing communicative goals.</w:t>
      </w:r>
    </w:p>
    <w:p w14:paraId="3EA81A53" w14:textId="09CD8473" w:rsidR="00BE4AA9" w:rsidRDefault="00000000" w:rsidP="00FD20AC">
      <w:pPr>
        <w:spacing w:after="120" w:line="480" w:lineRule="auto"/>
        <w:ind w:firstLine="720"/>
        <w:jc w:val="both"/>
      </w:pPr>
      <w:r>
        <w:t>Translating these routines into Vietnamese primary classrooms also depends on contextual conditions a document analysis cannot resolve. Teachers’ own English pronunciation proficiency is most consequential, since Echo Reading and the prosodic component supply value only insofar as the modeled delivery is accurate</w:t>
      </w:r>
      <w:r w:rsidR="001A5C1A">
        <w:t xml:space="preserve">, </w:t>
      </w:r>
      <w:r>
        <w:t>the principal reason recorded models and phrase-marked scripts are proposed. Class size and lesson time constrain implementation: the routines are brief by design, but large classes and crowded schedules mean they must be embeddable in a few minutes rather than treated as separate lessons. Alignment with the existing communicative textbook matters too, because the framework is inserted into current materials rather than replacing them, requiring the routines to attach to words and texts learners already encounter. Finally, age-appropriate engagement is relevant for Grade 1 learners, for whom the tactile and choral character of the routines is an advantage but sustained phoneme-level work must stay short and playful. These conditions do not weaken the theoretical compatibility established above, but they qualify the move to classroom use and define what subsequent piloting would examine.</w:t>
      </w:r>
    </w:p>
    <w:p w14:paraId="52069D1F" w14:textId="77777777" w:rsidR="00BE4AA9" w:rsidRDefault="00000000" w:rsidP="00FD20AC">
      <w:pPr>
        <w:spacing w:after="120" w:line="480" w:lineRule="auto"/>
        <w:ind w:firstLine="720"/>
        <w:jc w:val="both"/>
      </w:pPr>
      <w:r>
        <w:t xml:space="preserve">The contribution must be read within several limitations. First, it analyses four selected routines from one handbook and so does not evaluate the complete HMH programme or Structured Literacy as a whole. Second, it does not compare the routines with currently used Vietnamese primary English textbooks; claims about a need for stronger micro-level decoding support should be understood as a design rationale rather than the result of a completed textbook audit. Third, being qualitative document analysis rather than classroom intervention, it establishes that the routines contain mechanisms theoretically compatible with Vietnamese-related barriers but does </w:t>
      </w:r>
      <w:r>
        <w:lastRenderedPageBreak/>
        <w:t>not demonstrate that they improve learner production—a distinction especially important for Echo Reading, whose contribution depends on model accuracy, teacher preparation, and implementation conditions.</w:t>
      </w:r>
    </w:p>
    <w:p w14:paraId="62C6863A" w14:textId="77777777" w:rsidR="00BE4AA9" w:rsidRDefault="00000000" w:rsidP="00FD20AC">
      <w:pPr>
        <w:spacing w:after="120" w:line="480" w:lineRule="auto"/>
        <w:ind w:firstLine="720"/>
        <w:jc w:val="both"/>
      </w:pPr>
      <w:r>
        <w:t>The next phase should begin with expert review of the bilingual framework by specialists in Vietnamese–English phonology, primary English education, and materials design. Following revision, a small-scale classroom pilot could examine teacher usability, learner participation, and the feasibility of embedding the routines in regular communicative lessons, after which intervention research could evaluate changes in phoneme segmentation accuracy, word-final consonant retention, word-level blending accuracy, and sentence-level oral-reading prosody, alongside teacher usability and student engagement.</w:t>
      </w:r>
    </w:p>
    <w:p w14:paraId="75184259" w14:textId="77777777" w:rsidR="00BE4AA9" w:rsidRDefault="00000000" w:rsidP="00FD20AC">
      <w:pPr>
        <w:keepNext/>
        <w:spacing w:after="120" w:line="480" w:lineRule="auto"/>
        <w:jc w:val="center"/>
      </w:pPr>
      <w:r>
        <w:rPr>
          <w:b/>
          <w:bCs/>
        </w:rPr>
        <w:t>6. Conclusion</w:t>
      </w:r>
    </w:p>
    <w:p w14:paraId="3EB64406" w14:textId="711F0A97" w:rsidR="00BE4AA9" w:rsidRDefault="00000000" w:rsidP="00FD20AC">
      <w:pPr>
        <w:spacing w:after="120" w:line="480" w:lineRule="auto"/>
        <w:ind w:firstLine="720"/>
        <w:jc w:val="both"/>
      </w:pPr>
      <w:r>
        <w:t>This study examined whether four foundational Structured Literacy routines from HMH Into Reading Grade 1 are theoretically compatible with three L1-induced phonological barriers facing Vietnamese primary learners—monosyllabic processing, coda deletion, and prosodic transfer—and how compatible routines might be translated into bilingual scripted guidance. The analysis indicates that the four form a coherent phoneme-to-prosody progression, all compatible with at least one barrier and two requiring conditional implementation support. On this basis it proposes the Tripartite Adaptation Framework for Scripted Instruction as an operationally specified, theoretically justified, and explicitly non-validated basis for future testing. Its value lies not in claiming demonstrated learning gains but in offering materials designers a micro-instructional lens for embedding explicit decoding support within Vietnam’s ESL-emerging, communicatively oriented classrooms.</w:t>
      </w:r>
    </w:p>
    <w:p w14:paraId="715C5F09" w14:textId="77777777" w:rsidR="00BE4AA9" w:rsidRDefault="00000000">
      <w:pPr>
        <w:keepNext/>
        <w:spacing w:before="360" w:after="120" w:line="276" w:lineRule="auto"/>
      </w:pPr>
      <w:r>
        <w:rPr>
          <w:b/>
          <w:bCs/>
        </w:rPr>
        <w:lastRenderedPageBreak/>
        <w:t>References</w:t>
      </w:r>
    </w:p>
    <w:p w14:paraId="7FB6D9B2" w14:textId="77777777" w:rsidR="00BE4AA9" w:rsidRDefault="00000000">
      <w:pPr>
        <w:spacing w:after="120" w:line="276" w:lineRule="auto"/>
        <w:ind w:left="720" w:hanging="720"/>
      </w:pPr>
      <w:r>
        <w:t xml:space="preserve">Bowen, G. A. (2009). Document analysis as a qualitative research method. </w:t>
      </w:r>
      <w:r>
        <w:rPr>
          <w:i/>
          <w:iCs/>
        </w:rPr>
        <w:t>Qualitative Research Journal, 9</w:t>
      </w:r>
      <w:r>
        <w:t xml:space="preserve">(2), 27–40. </w:t>
      </w:r>
      <w:hyperlink r:id="rId7" w:history="1">
        <w:r>
          <w:rPr>
            <w:color w:val="0000FF"/>
            <w:u w:val="single"/>
          </w:rPr>
          <w:t>https://doi.org/10.3316/QRJ0902027</w:t>
        </w:r>
      </w:hyperlink>
    </w:p>
    <w:p w14:paraId="24CA8491" w14:textId="77777777" w:rsidR="00BE4AA9" w:rsidRDefault="00000000">
      <w:pPr>
        <w:spacing w:after="120" w:line="276" w:lineRule="auto"/>
        <w:ind w:left="720" w:hanging="720"/>
      </w:pPr>
      <w:r>
        <w:t xml:space="preserve">Disney, S. J., &amp; Le, N. C. (2024). Word-final /s/–/z/ omission in Vietnamese English. </w:t>
      </w:r>
      <w:r>
        <w:rPr>
          <w:i/>
          <w:iCs/>
        </w:rPr>
        <w:t>Languages, 9</w:t>
      </w:r>
      <w:r>
        <w:t xml:space="preserve">(10), Article 327. </w:t>
      </w:r>
      <w:hyperlink r:id="rId8" w:history="1">
        <w:r>
          <w:rPr>
            <w:color w:val="0000FF"/>
            <w:u w:val="single"/>
          </w:rPr>
          <w:t>https://doi.org/10.3390/languages9100327</w:t>
        </w:r>
      </w:hyperlink>
    </w:p>
    <w:p w14:paraId="084C6EBE" w14:textId="77777777" w:rsidR="00BE4AA9" w:rsidRDefault="00000000">
      <w:pPr>
        <w:spacing w:after="120" w:line="276" w:lineRule="auto"/>
        <w:ind w:left="720" w:hanging="720"/>
      </w:pPr>
      <w:r>
        <w:t xml:space="preserve">Fallon, K. A., &amp; Katz, L. A. (2020). Structured literacy intervention for students with dyslexia: Focus on growing morphological skills. </w:t>
      </w:r>
      <w:r>
        <w:rPr>
          <w:i/>
          <w:iCs/>
        </w:rPr>
        <w:t>Language, Speech, and Hearing Services in Schools, 51</w:t>
      </w:r>
      <w:r>
        <w:t xml:space="preserve">(2), 336–344. </w:t>
      </w:r>
      <w:hyperlink r:id="rId9" w:history="1">
        <w:r>
          <w:rPr>
            <w:color w:val="0000FF"/>
            <w:u w:val="single"/>
          </w:rPr>
          <w:t>https://doi.org/10.1044/2019_LSHSS-19-00019</w:t>
        </w:r>
      </w:hyperlink>
    </w:p>
    <w:p w14:paraId="77412E1C" w14:textId="77777777" w:rsidR="00BE4AA9" w:rsidRDefault="00000000">
      <w:pPr>
        <w:spacing w:after="120" w:line="276" w:lineRule="auto"/>
        <w:ind w:left="720" w:hanging="720"/>
      </w:pPr>
      <w:r>
        <w:t xml:space="preserve">Fisher, D., &amp; Frey, N. (2014). </w:t>
      </w:r>
      <w:r>
        <w:rPr>
          <w:i/>
          <w:iCs/>
        </w:rPr>
        <w:t>Better learning through structured teaching: A framework for the gradual release of responsibility</w:t>
      </w:r>
      <w:r>
        <w:t xml:space="preserve"> (2nd ed.). ASCD.</w:t>
      </w:r>
    </w:p>
    <w:p w14:paraId="1A92E621" w14:textId="77777777" w:rsidR="00BE4AA9" w:rsidRDefault="00000000">
      <w:pPr>
        <w:spacing w:after="120" w:line="276" w:lineRule="auto"/>
        <w:ind w:left="720" w:hanging="720"/>
      </w:pPr>
      <w:r>
        <w:t xml:space="preserve">Houghton Mifflin Harcourt. (2017). </w:t>
      </w:r>
      <w:r>
        <w:rPr>
          <w:i/>
          <w:iCs/>
        </w:rPr>
        <w:t>Into reading, Grade 1: Instructional routines</w:t>
      </w:r>
      <w:r>
        <w:t>. Houghton Mifflin Harcourt.</w:t>
      </w:r>
    </w:p>
    <w:p w14:paraId="10934081" w14:textId="77777777" w:rsidR="00BE4AA9" w:rsidRDefault="00000000">
      <w:pPr>
        <w:spacing w:after="120" w:line="276" w:lineRule="auto"/>
        <w:ind w:left="720" w:hanging="720"/>
      </w:pPr>
      <w:r>
        <w:t xml:space="preserve">Jarvis, S., &amp; Pavlenko, A. (2008). </w:t>
      </w:r>
      <w:r>
        <w:rPr>
          <w:i/>
          <w:iCs/>
        </w:rPr>
        <w:t>Crosslinguistic influence in language and cognition</w:t>
      </w:r>
      <w:r>
        <w:t xml:space="preserve">. Routledge. </w:t>
      </w:r>
      <w:hyperlink r:id="rId10" w:history="1">
        <w:r>
          <w:rPr>
            <w:color w:val="0000FF"/>
            <w:u w:val="single"/>
          </w:rPr>
          <w:t>https://doi.org/10.4324/9780203935927</w:t>
        </w:r>
      </w:hyperlink>
    </w:p>
    <w:p w14:paraId="7C1E5765" w14:textId="77777777" w:rsidR="00BE4AA9" w:rsidRDefault="00000000">
      <w:pPr>
        <w:spacing w:after="120" w:line="276" w:lineRule="auto"/>
        <w:ind w:left="720" w:hanging="720"/>
      </w:pPr>
      <w:r>
        <w:t xml:space="preserve">Koda, K. (2005). </w:t>
      </w:r>
      <w:r>
        <w:rPr>
          <w:i/>
          <w:iCs/>
        </w:rPr>
        <w:t>Insights into second language reading: A cross-linguistic approach</w:t>
      </w:r>
      <w:r>
        <w:t xml:space="preserve">. Cambridge University Press. </w:t>
      </w:r>
      <w:hyperlink r:id="rId11" w:history="1">
        <w:r>
          <w:rPr>
            <w:color w:val="0000FF"/>
            <w:u w:val="single"/>
          </w:rPr>
          <w:t>https://doi.org/10.1017/CBO9781139524841</w:t>
        </w:r>
      </w:hyperlink>
    </w:p>
    <w:p w14:paraId="330BC949" w14:textId="77777777" w:rsidR="00BE4AA9" w:rsidRDefault="00000000">
      <w:pPr>
        <w:spacing w:after="120" w:line="276" w:lineRule="auto"/>
        <w:ind w:left="720" w:hanging="720"/>
      </w:pPr>
      <w:r>
        <w:t xml:space="preserve">Le, G. (2021). L1 Vietnamese L2 English speakers’ cues to the perception of stress. </w:t>
      </w:r>
      <w:r>
        <w:rPr>
          <w:i/>
          <w:iCs/>
        </w:rPr>
        <w:t>Studies in the Linguistic Sciences: Illinois Working Papers, 2021</w:t>
      </w:r>
      <w:r>
        <w:t xml:space="preserve">. </w:t>
      </w:r>
      <w:hyperlink r:id="rId12" w:history="1">
        <w:r>
          <w:rPr>
            <w:color w:val="0000FF"/>
            <w:u w:val="single"/>
          </w:rPr>
          <w:t>https://www.ideals.illinois.edu/items/118845</w:t>
        </w:r>
      </w:hyperlink>
    </w:p>
    <w:p w14:paraId="6635B847" w14:textId="77777777" w:rsidR="00BE4AA9" w:rsidRDefault="00000000">
      <w:pPr>
        <w:spacing w:after="120" w:line="276" w:lineRule="auto"/>
        <w:ind w:left="720" w:hanging="720"/>
      </w:pPr>
      <w:r>
        <w:t xml:space="preserve">McGregor, A., &amp; Reed, M. (2018). Integrating pronunciation into the English language curriculum: A framework for teachers. </w:t>
      </w:r>
      <w:r>
        <w:rPr>
          <w:i/>
          <w:iCs/>
        </w:rPr>
        <w:t>The CATESOL Journal, 30</w:t>
      </w:r>
      <w:r>
        <w:t xml:space="preserve">(1), 69–94. </w:t>
      </w:r>
      <w:hyperlink r:id="rId13" w:history="1">
        <w:r>
          <w:rPr>
            <w:color w:val="0000FF"/>
            <w:u w:val="single"/>
          </w:rPr>
          <w:t>https://escholarship.org/uc/item/0cx139qq</w:t>
        </w:r>
      </w:hyperlink>
    </w:p>
    <w:p w14:paraId="35EB75ED" w14:textId="77777777" w:rsidR="00BE4AA9" w:rsidRDefault="00000000">
      <w:pPr>
        <w:spacing w:after="120" w:line="276" w:lineRule="auto"/>
        <w:ind w:left="720" w:hanging="720"/>
      </w:pPr>
      <w:r>
        <w:t xml:space="preserve">Ministry of Education and Training. (2018). </w:t>
      </w:r>
      <w:r>
        <w:rPr>
          <w:i/>
          <w:iCs/>
        </w:rPr>
        <w:t>Chương trình giáo dục phổ thông môn Tiếng Anh</w:t>
      </w:r>
      <w:r>
        <w:t xml:space="preserve"> [General education curriculum for English] (Promulgated under Circular No. 32/2018/TT-BGDĐT). </w:t>
      </w:r>
      <w:hyperlink r:id="rId14" w:history="1">
        <w:r>
          <w:rPr>
            <w:color w:val="0000FF"/>
            <w:u w:val="single"/>
          </w:rPr>
          <w:t>https://thuvienphapluat.vn/van-ban/Giao-duc/Thong-tu-32-2018-TT-BGDDT-Chuong-trinh-giao-duc-pho-thong-403454.aspx</w:t>
        </w:r>
      </w:hyperlink>
    </w:p>
    <w:p w14:paraId="2517E1C9" w14:textId="77777777" w:rsidR="00BE4AA9" w:rsidRDefault="00000000">
      <w:pPr>
        <w:spacing w:after="120" w:line="276" w:lineRule="auto"/>
        <w:ind w:left="720" w:hanging="720"/>
      </w:pPr>
      <w:r>
        <w:t xml:space="preserve">Nguyen, T. T. T. (2007). </w:t>
      </w:r>
      <w:r>
        <w:rPr>
          <w:i/>
          <w:iCs/>
        </w:rPr>
        <w:t>Difficulties for Vietnamese when pronouncing English: Final consonants</w:t>
      </w:r>
      <w:r>
        <w:t xml:space="preserve"> [Student thesis, Högskolan i Halmstad]. DiVA Portal. </w:t>
      </w:r>
      <w:hyperlink r:id="rId15" w:history="1">
        <w:r>
          <w:rPr>
            <w:color w:val="0000FF"/>
            <w:u w:val="single"/>
          </w:rPr>
          <w:t>https://www.diva-portal.org/smash/record.jsf?pid=diva2:518290</w:t>
        </w:r>
      </w:hyperlink>
    </w:p>
    <w:p w14:paraId="203DA9F2" w14:textId="77777777" w:rsidR="00BE4AA9" w:rsidRDefault="00000000">
      <w:pPr>
        <w:spacing w:after="120" w:line="276" w:lineRule="auto"/>
        <w:ind w:left="720" w:hanging="720"/>
      </w:pPr>
      <w:r>
        <w:t xml:space="preserve">Nhat, T. N. M., &amp; Hien, H. T. T. (2025). R.E.F.L.E.C.T: Enhancing Vietnamese EFL undergraduates’ pronunciation proficiency. </w:t>
      </w:r>
      <w:r>
        <w:rPr>
          <w:i/>
          <w:iCs/>
        </w:rPr>
        <w:t>Asian-Pacific Journal of Second and Foreign Language Education, 10</w:t>
      </w:r>
      <w:r>
        <w:t xml:space="preserve">(1), Article 25. </w:t>
      </w:r>
      <w:hyperlink r:id="rId16" w:history="1">
        <w:r>
          <w:rPr>
            <w:color w:val="0000FF"/>
            <w:u w:val="single"/>
          </w:rPr>
          <w:t>https://doi.org/10.1186/s40862-025-00333-0</w:t>
        </w:r>
      </w:hyperlink>
    </w:p>
    <w:p w14:paraId="78AD7F27" w14:textId="77777777" w:rsidR="00BE4AA9" w:rsidRDefault="00000000">
      <w:pPr>
        <w:spacing w:after="120" w:line="276" w:lineRule="auto"/>
        <w:ind w:left="720" w:hanging="720"/>
      </w:pPr>
      <w:r>
        <w:t xml:space="preserve">Odlin, T. (1989). </w:t>
      </w:r>
      <w:r>
        <w:rPr>
          <w:i/>
          <w:iCs/>
        </w:rPr>
        <w:t>Language transfer: Cross-linguistic influence in language learning</w:t>
      </w:r>
      <w:r>
        <w:t xml:space="preserve">. Cambridge University Press. </w:t>
      </w:r>
      <w:hyperlink r:id="rId17" w:history="1">
        <w:r>
          <w:rPr>
            <w:color w:val="0000FF"/>
            <w:u w:val="single"/>
          </w:rPr>
          <w:t>https://doi.org/10.1017/CBO9781139524537</w:t>
        </w:r>
      </w:hyperlink>
    </w:p>
    <w:p w14:paraId="32F3FDFE" w14:textId="77777777" w:rsidR="00BE4AA9" w:rsidRDefault="00000000">
      <w:pPr>
        <w:spacing w:after="120" w:line="276" w:lineRule="auto"/>
        <w:ind w:left="720" w:hanging="720"/>
      </w:pPr>
      <w:r>
        <w:lastRenderedPageBreak/>
        <w:t xml:space="preserve">Pearson, P. D., &amp; Gallagher, M. C. (1983). The instruction of reading comprehension. </w:t>
      </w:r>
      <w:r>
        <w:rPr>
          <w:i/>
          <w:iCs/>
        </w:rPr>
        <w:t>Contemporary Educational Psychology, 8</w:t>
      </w:r>
      <w:r>
        <w:t xml:space="preserve">(3), 317–344. </w:t>
      </w:r>
      <w:hyperlink r:id="rId18" w:history="1">
        <w:r>
          <w:rPr>
            <w:color w:val="0000FF"/>
            <w:u w:val="single"/>
          </w:rPr>
          <w:t>https://doi.org/10.1016/0361-476X(83)90019-X</w:t>
        </w:r>
      </w:hyperlink>
    </w:p>
    <w:p w14:paraId="5563D8CE" w14:textId="77777777" w:rsidR="00BE4AA9" w:rsidRDefault="00000000">
      <w:pPr>
        <w:spacing w:after="120" w:line="276" w:lineRule="auto"/>
        <w:ind w:left="720" w:hanging="720"/>
      </w:pPr>
      <w:r>
        <w:t xml:space="preserve">Politburo. (2024). </w:t>
      </w:r>
      <w:r>
        <w:rPr>
          <w:i/>
          <w:iCs/>
        </w:rPr>
        <w:t>Kết luận số 91-KL/TW về tiếp tục thực hiện Nghị quyết số 29-NQ/TW</w:t>
      </w:r>
      <w:r>
        <w:t xml:space="preserve"> [Conclusion No. 91-KL/TW on continuing the implementation of Resolution No. 29-NQ/TW]. </w:t>
      </w:r>
      <w:hyperlink r:id="rId19" w:history="1">
        <w:r>
          <w:rPr>
            <w:color w:val="0000FF"/>
            <w:u w:val="single"/>
          </w:rPr>
          <w:t>https://thuvienphapluat.vn/van-ban/Giao-duc/Ket-luan-91-KL-TW-2024-tiep-tuc-thuc-hien-Nghi-quyet-29-NQ-TW-doi-moi-can-ban-toan-dien-giao-duc-621156.aspx</w:t>
        </w:r>
      </w:hyperlink>
    </w:p>
    <w:p w14:paraId="72814760" w14:textId="77777777" w:rsidR="00BE4AA9" w:rsidRDefault="00000000">
      <w:pPr>
        <w:spacing w:after="120" w:line="276" w:lineRule="auto"/>
        <w:ind w:left="720" w:hanging="720"/>
      </w:pPr>
      <w:r>
        <w:t xml:space="preserve">Selinker, L. (1972). Interlanguage. </w:t>
      </w:r>
      <w:r>
        <w:rPr>
          <w:i/>
          <w:iCs/>
        </w:rPr>
        <w:t>International Review of Applied Linguistics in Language Teaching, 10</w:t>
      </w:r>
      <w:r>
        <w:t xml:space="preserve">(1–4), 209–231. </w:t>
      </w:r>
      <w:hyperlink r:id="rId20" w:history="1">
        <w:r>
          <w:rPr>
            <w:color w:val="0000FF"/>
            <w:u w:val="single"/>
          </w:rPr>
          <w:t>https://doi.org/10.1515/iral.1972.10.1-4.209</w:t>
        </w:r>
      </w:hyperlink>
    </w:p>
    <w:sectPr w:rsidR="00BE4AA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B38C6" w14:textId="77777777" w:rsidR="00EA5825" w:rsidRDefault="00EA5825">
      <w:r>
        <w:separator/>
      </w:r>
    </w:p>
  </w:endnote>
  <w:endnote w:type="continuationSeparator" w:id="0">
    <w:p w14:paraId="2716018D" w14:textId="77777777" w:rsidR="00EA5825" w:rsidRDefault="00EA5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D7C1F" w14:textId="77777777" w:rsidR="00EA5825" w:rsidRDefault="00EA5825">
      <w:r>
        <w:separator/>
      </w:r>
    </w:p>
  </w:footnote>
  <w:footnote w:type="continuationSeparator" w:id="0">
    <w:p w14:paraId="717BFE30" w14:textId="77777777" w:rsidR="00EA5825" w:rsidRDefault="00EA5825">
      <w:r>
        <w:continuationSeparator/>
      </w:r>
    </w:p>
  </w:footnote>
  <w:footnote w:id="1">
    <w:p w14:paraId="74E49165" w14:textId="77777777" w:rsidR="00193C52" w:rsidRDefault="00B52534" w:rsidP="00B52534">
      <w:pPr>
        <w:pStyle w:val="FootnoteText"/>
        <w:rPr>
          <w:spacing w:val="-2"/>
        </w:rPr>
      </w:pPr>
      <w:r w:rsidRPr="00D00215">
        <w:rPr>
          <w:rStyle w:val="FootnoteReference"/>
        </w:rPr>
        <w:footnoteRef/>
      </w:r>
      <w:r w:rsidR="003D647B">
        <w:rPr>
          <w:spacing w:val="-2"/>
        </w:rPr>
        <w:t xml:space="preserve"> </w:t>
      </w:r>
      <w:r w:rsidRPr="00D00215">
        <w:rPr>
          <w:spacing w:val="-2"/>
        </w:rPr>
        <w:t xml:space="preserve"> </w:t>
      </w:r>
      <w:r w:rsidR="003D647B">
        <w:t>University of Languages and International Studies, Vietnam National University, Ha Noi</w:t>
      </w:r>
      <w:r w:rsidRPr="00D00215">
        <w:rPr>
          <w:spacing w:val="-2"/>
        </w:rPr>
        <w:t xml:space="preserve">; </w:t>
      </w:r>
    </w:p>
    <w:p w14:paraId="13022F21" w14:textId="308F907E" w:rsidR="00B52534" w:rsidRPr="00D00215" w:rsidRDefault="00193C52" w:rsidP="00B52534">
      <w:pPr>
        <w:pStyle w:val="FootnoteText"/>
      </w:pPr>
      <w:r>
        <w:rPr>
          <w:spacing w:val="-2"/>
        </w:rPr>
        <w:t xml:space="preserve">    </w:t>
      </w:r>
      <w:r w:rsidR="00B52534">
        <w:rPr>
          <w:i/>
          <w:iCs/>
          <w:spacing w:val="-2"/>
        </w:rPr>
        <w:t>Email:</w:t>
      </w:r>
      <w:r w:rsidR="00B52534" w:rsidRPr="00AD7745">
        <w:rPr>
          <w:i/>
          <w:iCs/>
        </w:rPr>
        <w:t xml:space="preserve"> </w:t>
      </w:r>
      <w:r w:rsidR="003D647B">
        <w:rPr>
          <w:i/>
          <w:iCs/>
        </w:rPr>
        <w:t>thupha</w:t>
      </w:r>
      <w:r>
        <w:rPr>
          <w:i/>
          <w:iCs/>
        </w:rPr>
        <w:t>m01.work@gmail.com</w:t>
      </w:r>
    </w:p>
  </w:footnote>
  <w:footnote w:id="2">
    <w:p w14:paraId="55D6BC0F" w14:textId="69A1FDE4" w:rsidR="00B52534" w:rsidRPr="00D00215" w:rsidRDefault="00B52534" w:rsidP="00B52534">
      <w:pPr>
        <w:pStyle w:val="FootnoteText"/>
      </w:pPr>
      <w:r w:rsidRPr="00D00215">
        <w:rPr>
          <w:rStyle w:val="FootnoteReference"/>
        </w:rPr>
        <w:footnoteRef/>
      </w:r>
      <w:r w:rsidRPr="00D00215">
        <w:t xml:space="preserve"> </w:t>
      </w:r>
      <w:r w:rsidR="00193C52">
        <w:t>University of Languages and International Studies, Vietnam National University, Ha Noi</w:t>
      </w:r>
      <w:r w:rsidR="00193C52">
        <w:rPr>
          <w:spacing w:val="-2"/>
        </w:rPr>
        <w:t>.</w:t>
      </w:r>
    </w:p>
  </w:footnote>
  <w:footnote w:id="3">
    <w:p w14:paraId="03E446E3" w14:textId="6ABD68E0" w:rsidR="00BE4AA9" w:rsidRDefault="00000000">
      <w:pPr>
        <w:pStyle w:val="FootnoteText"/>
        <w:jc w:val="both"/>
      </w:pPr>
      <w:r>
        <w:rPr>
          <w:rStyle w:val="FootnoteReference"/>
        </w:rPr>
        <w:footnoteRef/>
      </w:r>
      <w:r>
        <w:t xml:space="preserve"> In the source handbook, “Tap and Count the Sounds” is not a standalone routine but a step within the High-Frequency Words routine (Houghton Mifflin Harcourt, 2017, p. R13; the worked example is can) and within Heart Words (p. R35). It is isolated here as a unit of analysis for its phoneme-segmentation mechanism; the label is retained for consistency with the abstract, and its application to general decoding is an analytical extension rather than a use prescribed by HMH.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B33E8"/>
    <w:multiLevelType w:val="hybridMultilevel"/>
    <w:tmpl w:val="0E6827CE"/>
    <w:lvl w:ilvl="0" w:tplc="5FB897E0">
      <w:start w:val="1"/>
      <w:numFmt w:val="bullet"/>
      <w:lvlText w:val="●"/>
      <w:lvlJc w:val="left"/>
      <w:pPr>
        <w:ind w:left="720" w:hanging="360"/>
      </w:pPr>
    </w:lvl>
    <w:lvl w:ilvl="1" w:tplc="E9E0E402">
      <w:start w:val="1"/>
      <w:numFmt w:val="bullet"/>
      <w:lvlText w:val="○"/>
      <w:lvlJc w:val="left"/>
      <w:pPr>
        <w:ind w:left="1440" w:hanging="360"/>
      </w:pPr>
    </w:lvl>
    <w:lvl w:ilvl="2" w:tplc="B12C6FA8">
      <w:start w:val="1"/>
      <w:numFmt w:val="bullet"/>
      <w:lvlText w:val="■"/>
      <w:lvlJc w:val="left"/>
      <w:pPr>
        <w:ind w:left="2160" w:hanging="360"/>
      </w:pPr>
    </w:lvl>
    <w:lvl w:ilvl="3" w:tplc="06C0355C">
      <w:start w:val="1"/>
      <w:numFmt w:val="bullet"/>
      <w:lvlText w:val="●"/>
      <w:lvlJc w:val="left"/>
      <w:pPr>
        <w:ind w:left="2880" w:hanging="360"/>
      </w:pPr>
    </w:lvl>
    <w:lvl w:ilvl="4" w:tplc="74F0A146">
      <w:start w:val="1"/>
      <w:numFmt w:val="bullet"/>
      <w:lvlText w:val="○"/>
      <w:lvlJc w:val="left"/>
      <w:pPr>
        <w:ind w:left="3600" w:hanging="360"/>
      </w:pPr>
    </w:lvl>
    <w:lvl w:ilvl="5" w:tplc="68FC296E">
      <w:start w:val="1"/>
      <w:numFmt w:val="bullet"/>
      <w:lvlText w:val="■"/>
      <w:lvlJc w:val="left"/>
      <w:pPr>
        <w:ind w:left="4320" w:hanging="360"/>
      </w:pPr>
    </w:lvl>
    <w:lvl w:ilvl="6" w:tplc="C5F00624">
      <w:start w:val="1"/>
      <w:numFmt w:val="bullet"/>
      <w:lvlText w:val="●"/>
      <w:lvlJc w:val="left"/>
      <w:pPr>
        <w:ind w:left="5040" w:hanging="360"/>
      </w:pPr>
    </w:lvl>
    <w:lvl w:ilvl="7" w:tplc="D4A69722">
      <w:start w:val="1"/>
      <w:numFmt w:val="bullet"/>
      <w:lvlText w:val="●"/>
      <w:lvlJc w:val="left"/>
      <w:pPr>
        <w:ind w:left="5760" w:hanging="360"/>
      </w:pPr>
    </w:lvl>
    <w:lvl w:ilvl="8" w:tplc="701AF96E">
      <w:start w:val="1"/>
      <w:numFmt w:val="bullet"/>
      <w:lvlText w:val="●"/>
      <w:lvlJc w:val="left"/>
      <w:pPr>
        <w:ind w:left="6480" w:hanging="360"/>
      </w:pPr>
    </w:lvl>
  </w:abstractNum>
  <w:num w:numId="1" w16cid:durableId="10212752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AA9"/>
    <w:rsid w:val="00193C52"/>
    <w:rsid w:val="001A5C1A"/>
    <w:rsid w:val="003D647B"/>
    <w:rsid w:val="00474B75"/>
    <w:rsid w:val="004D3276"/>
    <w:rsid w:val="00836E45"/>
    <w:rsid w:val="008A013A"/>
    <w:rsid w:val="00A25681"/>
    <w:rsid w:val="00A56431"/>
    <w:rsid w:val="00B52534"/>
    <w:rsid w:val="00BE4AA9"/>
    <w:rsid w:val="00E518B6"/>
    <w:rsid w:val="00EA5825"/>
    <w:rsid w:val="00EA7639"/>
    <w:rsid w:val="00F67CF3"/>
    <w:rsid w:val="00FD2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79C97"/>
  <w15:docId w15:val="{CB66BC33-2FC1-48CB-AE03-62425F95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aliases w:val="RALs"/>
    <w:link w:val="FootnoteTextChar"/>
    <w:uiPriority w:val="99"/>
    <w:unhideWhenUsed/>
    <w:rPr>
      <w:sz w:val="20"/>
      <w:szCs w:val="20"/>
    </w:rPr>
  </w:style>
  <w:style w:type="character" w:customStyle="1" w:styleId="FootnoteTextChar">
    <w:name w:val="Footnote Text Char"/>
    <w:aliases w:val="RALs Char"/>
    <w:link w:val="FootnoteText"/>
    <w:uiPriority w:val="99"/>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RALs-Authors">
    <w:name w:val="RALs-Authors"/>
    <w:basedOn w:val="Normal"/>
    <w:next w:val="Normal"/>
    <w:qFormat/>
    <w:rsid w:val="00B52534"/>
    <w:pPr>
      <w:spacing w:before="120" w:after="120"/>
      <w:ind w:firstLine="720"/>
      <w:jc w:val="center"/>
    </w:pPr>
    <w:rPr>
      <w:i/>
      <w:sz w:val="20"/>
      <w:szCs w:val="20"/>
      <w:lang w:bidi="fa-IR"/>
    </w:rPr>
  </w:style>
  <w:style w:type="paragraph" w:customStyle="1" w:styleId="RALs-HeadingsNoIndent">
    <w:name w:val="RALs-HeadingsNoIndent"/>
    <w:basedOn w:val="Normal"/>
    <w:next w:val="Normal"/>
    <w:qFormat/>
    <w:rsid w:val="003D647B"/>
    <w:pPr>
      <w:keepNext/>
      <w:spacing w:before="240" w:after="60" w:line="276" w:lineRule="auto"/>
      <w:jc w:val="both"/>
    </w:pPr>
    <w:rPr>
      <w:rFonts w:cs="B Zar"/>
      <w:b/>
      <w:bCs/>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doi.org/10.3390/languages9100327" TargetMode="External"/><Relationship Id="rId13" Type="http://schemas.openxmlformats.org/officeDocument/2006/relationships/hyperlink" Target="https://escholarship.org/uc/item/0cx139qq" TargetMode="External"/><Relationship Id="rId18" Type="http://schemas.openxmlformats.org/officeDocument/2006/relationships/hyperlink" Target="https://doi.org/10.1016/0361-476X(83)90019-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3316/QRJ0902027" TargetMode="External"/><Relationship Id="rId12" Type="http://schemas.openxmlformats.org/officeDocument/2006/relationships/hyperlink" Target="https://www.ideals.illinois.edu/items/118845" TargetMode="External"/><Relationship Id="rId17" Type="http://schemas.openxmlformats.org/officeDocument/2006/relationships/hyperlink" Target="https://doi.org/10.1017/CBO9781139524537" TargetMode="External"/><Relationship Id="rId2" Type="http://schemas.openxmlformats.org/officeDocument/2006/relationships/styles" Target="styles.xml"/><Relationship Id="rId16" Type="http://schemas.openxmlformats.org/officeDocument/2006/relationships/hyperlink" Target="https://doi.org/10.1186/s40862-025-00333-0" TargetMode="External"/><Relationship Id="rId20" Type="http://schemas.openxmlformats.org/officeDocument/2006/relationships/hyperlink" Target="https://doi.org/10.1515/iral.1972.10.1-4.2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7/CBO9781139524841" TargetMode="External"/><Relationship Id="rId5" Type="http://schemas.openxmlformats.org/officeDocument/2006/relationships/footnotes" Target="footnotes.xml"/><Relationship Id="rId15" Type="http://schemas.openxmlformats.org/officeDocument/2006/relationships/hyperlink" Target="https://www.diva-portal.org/smash/record.jsf?pid=diva2:518290" TargetMode="External"/><Relationship Id="rId10" Type="http://schemas.openxmlformats.org/officeDocument/2006/relationships/hyperlink" Target="https://doi.org/10.4324/9780203935927" TargetMode="External"/><Relationship Id="rId19" Type="http://schemas.openxmlformats.org/officeDocument/2006/relationships/hyperlink" Target="https://thuvienphapluat.vn/van-ban/Giao-duc/Ket-luan-91-KL-TW-2024-tiep-tuc-thuc-hien-Nghi-quyet-29-NQ-TW-doi-moi-can-ban-toan-dien-giao-duc-621156.aspx" TargetMode="External"/><Relationship Id="rId4" Type="http://schemas.openxmlformats.org/officeDocument/2006/relationships/webSettings" Target="webSettings.xml"/><Relationship Id="rId9" Type="http://schemas.openxmlformats.org/officeDocument/2006/relationships/hyperlink" Target="https://doi.org/10.1044/2019_LSHSS-19-00019" TargetMode="External"/><Relationship Id="rId14" Type="http://schemas.openxmlformats.org/officeDocument/2006/relationships/hyperlink" Target="https://thuvienphapluat.vn/van-ban/Giao-duc/Thong-tu-32-2018-TT-BGDDT-Chuong-trinh-giao-duc-pho-thong-403454.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6449</Words>
  <Characters>36764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Phan Hoàng Thùy Linh</cp:lastModifiedBy>
  <cp:revision>2</cp:revision>
  <dcterms:created xsi:type="dcterms:W3CDTF">2026-06-30T16:17:00Z</dcterms:created>
  <dcterms:modified xsi:type="dcterms:W3CDTF">2026-06-30T16:17:00Z</dcterms:modified>
</cp:coreProperties>
</file>