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DFBF" w14:textId="6C278D4E" w:rsidR="00104431" w:rsidRDefault="00000000" w:rsidP="0016047F">
      <w:pPr>
        <w:pStyle w:val="Heading1"/>
        <w:jc w:val="center"/>
        <w:rPr>
          <w:rFonts w:ascii="Times New Roman" w:hAnsi="Times New Roman" w:cs="Times New Roman"/>
          <w:color w:val="auto"/>
          <w:sz w:val="34"/>
          <w:szCs w:val="34"/>
        </w:rPr>
      </w:pPr>
      <w:r w:rsidRPr="0016047F">
        <w:rPr>
          <w:rFonts w:ascii="Times New Roman" w:hAnsi="Times New Roman" w:cs="Times New Roman"/>
          <w:color w:val="auto"/>
          <w:sz w:val="34"/>
          <w:szCs w:val="34"/>
        </w:rPr>
        <w:t>Summary of Revisions</w:t>
      </w:r>
    </w:p>
    <w:p w14:paraId="4E95D1A9" w14:textId="77777777" w:rsidR="0016047F" w:rsidRPr="0016047F" w:rsidRDefault="0016047F" w:rsidP="0016047F">
      <w:pPr>
        <w:spacing w:before="240"/>
        <w:jc w:val="center"/>
        <w:rPr>
          <w:rFonts w:ascii="Times New Roman" w:hAnsi="Times New Roman" w:cs="Times New Roman"/>
          <w:b/>
          <w:bCs/>
          <w:sz w:val="34"/>
          <w:szCs w:val="31"/>
        </w:rPr>
      </w:pPr>
      <w:r w:rsidRPr="0016047F">
        <w:rPr>
          <w:rFonts w:ascii="Times New Roman" w:hAnsi="Times New Roman" w:cs="Times New Roman"/>
          <w:b/>
          <w:bCs/>
          <w:sz w:val="34"/>
          <w:szCs w:val="31"/>
        </w:rPr>
        <w:t xml:space="preserve">Rethinking Assessment in the Shift from EFL to ESL: </w:t>
      </w:r>
    </w:p>
    <w:p w14:paraId="6499197B" w14:textId="77777777" w:rsidR="0016047F" w:rsidRPr="0016047F" w:rsidRDefault="0016047F" w:rsidP="0016047F">
      <w:pPr>
        <w:jc w:val="center"/>
        <w:rPr>
          <w:rFonts w:ascii="Times New Roman" w:hAnsi="Times New Roman" w:cs="Times New Roman"/>
          <w:b/>
          <w:bCs/>
          <w:sz w:val="34"/>
          <w:szCs w:val="31"/>
        </w:rPr>
      </w:pPr>
      <w:r w:rsidRPr="0016047F">
        <w:rPr>
          <w:rFonts w:ascii="Times New Roman" w:hAnsi="Times New Roman" w:cs="Times New Roman"/>
          <w:b/>
          <w:bCs/>
          <w:sz w:val="34"/>
          <w:szCs w:val="31"/>
        </w:rPr>
        <w:t>A Critical Review of No-Exam Classrooms</w:t>
      </w:r>
    </w:p>
    <w:p w14:paraId="607382C3" w14:textId="77777777" w:rsidR="0016047F" w:rsidRPr="00E40940" w:rsidRDefault="0016047F" w:rsidP="0016047F">
      <w:pPr>
        <w:pStyle w:val="RALs-Authors"/>
        <w:rPr>
          <w:rFonts w:asciiTheme="majorBidi" w:hAnsiTheme="majorBidi" w:cstheme="majorBidi"/>
        </w:rPr>
      </w:pPr>
      <w:r>
        <w:rPr>
          <w:rFonts w:asciiTheme="majorBidi" w:hAnsiTheme="majorBidi" w:cstheme="majorBidi"/>
        </w:rPr>
        <w:t>Thi Thanh Thao Nguyen</w:t>
      </w:r>
      <w:r>
        <w:rPr>
          <w:rStyle w:val="FootnoteReference"/>
          <w:rFonts w:asciiTheme="majorBidi" w:hAnsiTheme="majorBidi" w:cstheme="majorBidi"/>
        </w:rPr>
        <w:footnoteReference w:id="1"/>
      </w:r>
      <w:r>
        <w:rPr>
          <w:rFonts w:asciiTheme="majorBidi" w:hAnsiTheme="majorBidi" w:cstheme="majorBidi"/>
        </w:rPr>
        <w:t>, Thi Dieu Duyen Le</w:t>
      </w:r>
      <w:r>
        <w:rPr>
          <w:rStyle w:val="FootnoteReference"/>
          <w:rFonts w:asciiTheme="majorBidi" w:hAnsiTheme="majorBidi" w:cstheme="majorBidi"/>
        </w:rPr>
        <w:footnoteReference w:id="2"/>
      </w:r>
      <w:r>
        <w:rPr>
          <w:rFonts w:asciiTheme="majorBidi" w:hAnsiTheme="majorBidi" w:cstheme="majorBidi"/>
        </w:rPr>
        <w:t>, Thi Hong Tham Chau</w:t>
      </w:r>
      <w:r>
        <w:rPr>
          <w:rStyle w:val="FootnoteReference"/>
          <w:rFonts w:asciiTheme="majorBidi" w:hAnsiTheme="majorBidi" w:cstheme="majorBidi"/>
        </w:rPr>
        <w:footnoteReference w:id="3"/>
      </w:r>
      <w:r>
        <w:rPr>
          <w:rFonts w:asciiTheme="majorBidi" w:hAnsiTheme="majorBidi" w:cstheme="majorBidi"/>
        </w:rPr>
        <w:t>, Thanh Tinh Bui</w:t>
      </w:r>
      <w:r>
        <w:rPr>
          <w:rFonts w:asciiTheme="majorBidi" w:hAnsiTheme="majorBidi" w:cstheme="majorBidi"/>
          <w:vertAlign w:val="superscript"/>
        </w:rPr>
        <w:t>4</w:t>
      </w:r>
      <w:r>
        <w:rPr>
          <w:rFonts w:asciiTheme="majorBidi" w:hAnsiTheme="majorBidi" w:cstheme="majorBidi"/>
        </w:rPr>
        <w:t xml:space="preserve"> &amp; Van Doan Tran</w:t>
      </w:r>
      <w:r>
        <w:rPr>
          <w:rFonts w:asciiTheme="majorBidi" w:hAnsiTheme="majorBidi" w:cstheme="majorBidi"/>
          <w:vertAlign w:val="superscript"/>
        </w:rPr>
        <w:t>5</w:t>
      </w:r>
    </w:p>
    <w:p w14:paraId="03A0DDEF" w14:textId="77777777" w:rsidR="0016047F" w:rsidRPr="0016047F" w:rsidRDefault="0016047F" w:rsidP="0016047F">
      <w:pPr>
        <w:pStyle w:val="Heading1"/>
        <w:jc w:val="center"/>
        <w:rPr>
          <w:rFonts w:ascii="Times New Roman" w:hAnsi="Times New Roman" w:cs="Times New Roman"/>
          <w:color w:val="auto"/>
          <w:sz w:val="34"/>
          <w:szCs w:val="34"/>
        </w:rPr>
      </w:pPr>
    </w:p>
    <w:tbl>
      <w:tblPr>
        <w:tblStyle w:val="TableGrid"/>
        <w:tblW w:w="10060" w:type="dxa"/>
        <w:tblLook w:val="0000" w:firstRow="0" w:lastRow="0" w:firstColumn="0" w:lastColumn="0" w:noHBand="0" w:noVBand="0"/>
      </w:tblPr>
      <w:tblGrid>
        <w:gridCol w:w="760"/>
        <w:gridCol w:w="2700"/>
        <w:gridCol w:w="5749"/>
        <w:gridCol w:w="851"/>
      </w:tblGrid>
      <w:tr w:rsidR="00104431" w:rsidRPr="0016047F" w14:paraId="562B716B" w14:textId="77777777" w:rsidTr="0016047F">
        <w:tc>
          <w:tcPr>
            <w:tcW w:w="760" w:type="dxa"/>
          </w:tcPr>
          <w:p w14:paraId="76B87661" w14:textId="77777777" w:rsidR="00104431" w:rsidRPr="0016047F" w:rsidRDefault="00000000">
            <w:pPr>
              <w:rPr>
                <w:rFonts w:ascii="Times New Roman" w:hAnsi="Times New Roman" w:cs="Times New Roman"/>
                <w:b/>
                <w:bCs/>
              </w:rPr>
            </w:pPr>
            <w:r w:rsidRPr="0016047F">
              <w:rPr>
                <w:rFonts w:ascii="Times New Roman" w:hAnsi="Times New Roman" w:cs="Times New Roman"/>
                <w:b/>
                <w:bCs/>
              </w:rPr>
              <w:t>No.</w:t>
            </w:r>
          </w:p>
        </w:tc>
        <w:tc>
          <w:tcPr>
            <w:tcW w:w="2700" w:type="dxa"/>
          </w:tcPr>
          <w:p w14:paraId="1DA258D5" w14:textId="77777777" w:rsidR="00104431" w:rsidRPr="0016047F" w:rsidRDefault="00000000">
            <w:pPr>
              <w:rPr>
                <w:rFonts w:ascii="Times New Roman" w:hAnsi="Times New Roman" w:cs="Times New Roman"/>
                <w:b/>
                <w:bCs/>
              </w:rPr>
            </w:pPr>
            <w:r w:rsidRPr="0016047F">
              <w:rPr>
                <w:rFonts w:ascii="Times New Roman" w:hAnsi="Times New Roman" w:cs="Times New Roman"/>
                <w:b/>
                <w:bCs/>
              </w:rPr>
              <w:t>Comment</w:t>
            </w:r>
          </w:p>
        </w:tc>
        <w:tc>
          <w:tcPr>
            <w:tcW w:w="5749" w:type="dxa"/>
          </w:tcPr>
          <w:p w14:paraId="7836A4F0" w14:textId="77777777" w:rsidR="00104431" w:rsidRPr="0016047F" w:rsidRDefault="00000000">
            <w:pPr>
              <w:rPr>
                <w:rFonts w:ascii="Times New Roman" w:hAnsi="Times New Roman" w:cs="Times New Roman"/>
                <w:b/>
                <w:bCs/>
              </w:rPr>
            </w:pPr>
            <w:r w:rsidRPr="0016047F">
              <w:rPr>
                <w:rFonts w:ascii="Times New Roman" w:hAnsi="Times New Roman" w:cs="Times New Roman"/>
                <w:b/>
                <w:bCs/>
              </w:rPr>
              <w:t>How it was revised</w:t>
            </w:r>
          </w:p>
        </w:tc>
        <w:tc>
          <w:tcPr>
            <w:tcW w:w="851" w:type="dxa"/>
          </w:tcPr>
          <w:p w14:paraId="636288EA" w14:textId="77777777" w:rsidR="00104431" w:rsidRPr="0016047F" w:rsidRDefault="00000000">
            <w:pPr>
              <w:rPr>
                <w:rFonts w:ascii="Times New Roman" w:hAnsi="Times New Roman" w:cs="Times New Roman"/>
                <w:b/>
                <w:bCs/>
              </w:rPr>
            </w:pPr>
            <w:r w:rsidRPr="0016047F">
              <w:rPr>
                <w:rFonts w:ascii="Times New Roman" w:hAnsi="Times New Roman" w:cs="Times New Roman"/>
                <w:b/>
                <w:bCs/>
              </w:rPr>
              <w:t>Page</w:t>
            </w:r>
          </w:p>
        </w:tc>
      </w:tr>
      <w:tr w:rsidR="00104431" w:rsidRPr="0016047F" w14:paraId="3FC7A5BA" w14:textId="77777777" w:rsidTr="0016047F">
        <w:tc>
          <w:tcPr>
            <w:tcW w:w="760" w:type="dxa"/>
          </w:tcPr>
          <w:p w14:paraId="5BAAEBBD" w14:textId="77777777" w:rsidR="00104431" w:rsidRPr="0016047F" w:rsidRDefault="00000000">
            <w:pPr>
              <w:jc w:val="center"/>
              <w:rPr>
                <w:rFonts w:ascii="Times New Roman" w:hAnsi="Times New Roman" w:cs="Times New Roman"/>
              </w:rPr>
            </w:pPr>
            <w:r w:rsidRPr="0016047F">
              <w:rPr>
                <w:rFonts w:ascii="Times New Roman" w:hAnsi="Times New Roman" w:cs="Times New Roman"/>
                <w:b/>
                <w:bCs/>
                <w:sz w:val="20"/>
                <w:szCs w:val="20"/>
              </w:rPr>
              <w:t>1</w:t>
            </w:r>
          </w:p>
        </w:tc>
        <w:tc>
          <w:tcPr>
            <w:tcW w:w="2700" w:type="dxa"/>
          </w:tcPr>
          <w:p w14:paraId="472291A5" w14:textId="77777777" w:rsidR="00104431" w:rsidRPr="0016047F" w:rsidRDefault="00000000" w:rsidP="0016047F">
            <w:pPr>
              <w:jc w:val="both"/>
              <w:rPr>
                <w:rFonts w:ascii="Times New Roman" w:hAnsi="Times New Roman" w:cs="Times New Roman"/>
              </w:rPr>
            </w:pPr>
            <w:r w:rsidRPr="0016047F">
              <w:rPr>
                <w:rFonts w:ascii="Times New Roman" w:hAnsi="Times New Roman" w:cs="Times New Roman"/>
                <w:sz w:val="20"/>
                <w:szCs w:val="20"/>
              </w:rPr>
              <w:t>The abstract promises a solution to constraints, but Chapter 4 admits the framework only redistributes problems. Revise the abstract to show that the framework manages trade-offs rather than solving them.</w:t>
            </w:r>
          </w:p>
        </w:tc>
        <w:tc>
          <w:tcPr>
            <w:tcW w:w="5749" w:type="dxa"/>
          </w:tcPr>
          <w:p w14:paraId="143A3492" w14:textId="25A64857" w:rsidR="00104431" w:rsidRPr="0016047F" w:rsidRDefault="00000000" w:rsidP="0016047F">
            <w:pPr>
              <w:jc w:val="both"/>
              <w:rPr>
                <w:rFonts w:ascii="Times New Roman" w:hAnsi="Times New Roman" w:cs="Times New Roman"/>
              </w:rPr>
            </w:pPr>
            <w:r w:rsidRPr="0016047F">
              <w:rPr>
                <w:rFonts w:ascii="Times New Roman" w:hAnsi="Times New Roman" w:cs="Times New Roman"/>
                <w:sz w:val="20"/>
                <w:szCs w:val="20"/>
              </w:rPr>
              <w:t>Reworded the abstract and the closing sentence of the Introduction so the framework is presented as a way to manage and redistribute the trade-offs (validity, reliability, learner agency, accountability) rather than resolve them. The abstract now states the paper a framework to manage, rather than eliminate, the trade-offs, and the Introduction frames the reconceptualization as seeking to manage enduring tensions rather than resolve them.</w:t>
            </w:r>
          </w:p>
        </w:tc>
        <w:tc>
          <w:tcPr>
            <w:tcW w:w="851" w:type="dxa"/>
          </w:tcPr>
          <w:p w14:paraId="17FF7F69" w14:textId="77777777" w:rsidR="00104431" w:rsidRPr="0016047F" w:rsidRDefault="00000000" w:rsidP="0016047F">
            <w:pPr>
              <w:jc w:val="center"/>
              <w:rPr>
                <w:rFonts w:ascii="Times New Roman" w:hAnsi="Times New Roman" w:cs="Times New Roman"/>
              </w:rPr>
            </w:pPr>
            <w:r w:rsidRPr="0016047F">
              <w:rPr>
                <w:rFonts w:ascii="Times New Roman" w:hAnsi="Times New Roman" w:cs="Times New Roman"/>
                <w:sz w:val="20"/>
                <w:szCs w:val="20"/>
              </w:rPr>
              <w:t>1, 3</w:t>
            </w:r>
          </w:p>
        </w:tc>
      </w:tr>
      <w:tr w:rsidR="00104431" w:rsidRPr="0016047F" w14:paraId="1DBA1B59" w14:textId="77777777" w:rsidTr="0016047F">
        <w:tc>
          <w:tcPr>
            <w:tcW w:w="760" w:type="dxa"/>
          </w:tcPr>
          <w:p w14:paraId="692DAE74" w14:textId="77777777" w:rsidR="00104431" w:rsidRPr="0016047F" w:rsidRDefault="00000000">
            <w:pPr>
              <w:jc w:val="center"/>
              <w:rPr>
                <w:rFonts w:ascii="Times New Roman" w:hAnsi="Times New Roman" w:cs="Times New Roman"/>
              </w:rPr>
            </w:pPr>
            <w:r w:rsidRPr="0016047F">
              <w:rPr>
                <w:rFonts w:ascii="Times New Roman" w:hAnsi="Times New Roman" w:cs="Times New Roman"/>
                <w:b/>
                <w:bCs/>
                <w:sz w:val="20"/>
                <w:szCs w:val="20"/>
              </w:rPr>
              <w:t>2</w:t>
            </w:r>
          </w:p>
        </w:tc>
        <w:tc>
          <w:tcPr>
            <w:tcW w:w="2700" w:type="dxa"/>
          </w:tcPr>
          <w:p w14:paraId="188A88D6" w14:textId="77777777" w:rsidR="00104431" w:rsidRPr="0016047F" w:rsidRDefault="00000000" w:rsidP="0016047F">
            <w:pPr>
              <w:jc w:val="both"/>
              <w:rPr>
                <w:rFonts w:ascii="Times New Roman" w:hAnsi="Times New Roman" w:cs="Times New Roman"/>
              </w:rPr>
            </w:pPr>
            <w:r w:rsidRPr="0016047F">
              <w:rPr>
                <w:rFonts w:ascii="Times New Roman" w:hAnsi="Times New Roman" w:cs="Times New Roman"/>
                <w:sz w:val="20"/>
                <w:szCs w:val="20"/>
              </w:rPr>
              <w:t>Table 1 sets up an extreme, “either/or” binary that contradicts the later argument for an integrated system. Add a third column detailing a “Hybrid Model” to bridge the gap.</w:t>
            </w:r>
          </w:p>
        </w:tc>
        <w:tc>
          <w:tcPr>
            <w:tcW w:w="5749" w:type="dxa"/>
          </w:tcPr>
          <w:p w14:paraId="15B0346A" w14:textId="77777777" w:rsidR="00104431" w:rsidRPr="0016047F" w:rsidRDefault="00000000" w:rsidP="0016047F">
            <w:pPr>
              <w:jc w:val="both"/>
              <w:rPr>
                <w:rFonts w:ascii="Times New Roman" w:hAnsi="Times New Roman" w:cs="Times New Roman"/>
              </w:rPr>
            </w:pPr>
            <w:r w:rsidRPr="0016047F">
              <w:rPr>
                <w:rFonts w:ascii="Times New Roman" w:hAnsi="Times New Roman" w:cs="Times New Roman"/>
                <w:sz w:val="20"/>
                <w:szCs w:val="20"/>
              </w:rPr>
              <w:t>Added a third column, “Hybrid (Integrated) Model,” to Table 1 with a bridging entry for every row (e.g., periodic anchor points within continuous evidence; authentic tasks under partly standardized conditions; accuracy and communicative effectiveness weighted together). Added a sentence beneath the table clarifying that the outer columns are contrasting ideal types, not mutually exclusive options, and that the hybrid column anticipates the integrated framework in Section 4.</w:t>
            </w:r>
          </w:p>
        </w:tc>
        <w:tc>
          <w:tcPr>
            <w:tcW w:w="851" w:type="dxa"/>
          </w:tcPr>
          <w:p w14:paraId="23D7829A" w14:textId="77777777" w:rsidR="00104431" w:rsidRPr="0016047F" w:rsidRDefault="00000000">
            <w:pPr>
              <w:jc w:val="center"/>
              <w:rPr>
                <w:rFonts w:ascii="Times New Roman" w:hAnsi="Times New Roman" w:cs="Times New Roman"/>
              </w:rPr>
            </w:pPr>
            <w:r w:rsidRPr="0016047F">
              <w:rPr>
                <w:rFonts w:ascii="Times New Roman" w:hAnsi="Times New Roman" w:cs="Times New Roman"/>
                <w:sz w:val="20"/>
                <w:szCs w:val="20"/>
              </w:rPr>
              <w:t>3–4</w:t>
            </w:r>
          </w:p>
        </w:tc>
      </w:tr>
      <w:tr w:rsidR="00104431" w:rsidRPr="0016047F" w14:paraId="393903B1" w14:textId="77777777" w:rsidTr="0016047F">
        <w:tc>
          <w:tcPr>
            <w:tcW w:w="760" w:type="dxa"/>
          </w:tcPr>
          <w:p w14:paraId="07B7F12A" w14:textId="77777777" w:rsidR="00104431" w:rsidRPr="0016047F" w:rsidRDefault="00000000">
            <w:pPr>
              <w:jc w:val="center"/>
              <w:rPr>
                <w:rFonts w:ascii="Times New Roman" w:hAnsi="Times New Roman" w:cs="Times New Roman"/>
              </w:rPr>
            </w:pPr>
            <w:r w:rsidRPr="0016047F">
              <w:rPr>
                <w:rFonts w:ascii="Times New Roman" w:hAnsi="Times New Roman" w:cs="Times New Roman"/>
                <w:b/>
                <w:bCs/>
                <w:sz w:val="20"/>
                <w:szCs w:val="20"/>
              </w:rPr>
              <w:t>3</w:t>
            </w:r>
          </w:p>
        </w:tc>
        <w:tc>
          <w:tcPr>
            <w:tcW w:w="2700" w:type="dxa"/>
          </w:tcPr>
          <w:p w14:paraId="36AB84D7" w14:textId="77777777" w:rsidR="00104431" w:rsidRPr="0016047F" w:rsidRDefault="00000000" w:rsidP="0016047F">
            <w:pPr>
              <w:jc w:val="both"/>
              <w:rPr>
                <w:rFonts w:ascii="Times New Roman" w:hAnsi="Times New Roman" w:cs="Times New Roman"/>
              </w:rPr>
            </w:pPr>
            <w:r w:rsidRPr="0016047F">
              <w:rPr>
                <w:rFonts w:ascii="Times New Roman" w:hAnsi="Times New Roman" w:cs="Times New Roman"/>
                <w:sz w:val="20"/>
                <w:szCs w:val="20"/>
              </w:rPr>
              <w:t>The phrase “It must be explicitly taught and scaffolded” is accidentally repeated back-to-back in paragraph 7. Delete the duplicate sentence and consolidate the repetitive theoretical paragraphs.</w:t>
            </w:r>
          </w:p>
        </w:tc>
        <w:tc>
          <w:tcPr>
            <w:tcW w:w="5749" w:type="dxa"/>
          </w:tcPr>
          <w:p w14:paraId="6D1408DD" w14:textId="77777777" w:rsidR="00104431" w:rsidRPr="0016047F" w:rsidRDefault="00000000" w:rsidP="0016047F">
            <w:pPr>
              <w:jc w:val="both"/>
              <w:rPr>
                <w:rFonts w:ascii="Times New Roman" w:hAnsi="Times New Roman" w:cs="Times New Roman"/>
              </w:rPr>
            </w:pPr>
            <w:r w:rsidRPr="0016047F">
              <w:rPr>
                <w:rFonts w:ascii="Times New Roman" w:hAnsi="Times New Roman" w:cs="Times New Roman"/>
                <w:sz w:val="20"/>
                <w:szCs w:val="20"/>
              </w:rPr>
              <w:t>Deleted the duplicated sentence “It must be explicitly taught and scaffolded.” Consolidated the repetitive second constructivism paragraph by trimming the restated explanation and keeping only its unique critical question (comparability vs. representational accuracy), so it builds on rather than repeats the earlier constructivism discussion.</w:t>
            </w:r>
          </w:p>
        </w:tc>
        <w:tc>
          <w:tcPr>
            <w:tcW w:w="851" w:type="dxa"/>
          </w:tcPr>
          <w:p w14:paraId="34A5018B" w14:textId="77777777" w:rsidR="00104431" w:rsidRPr="0016047F" w:rsidRDefault="00000000">
            <w:pPr>
              <w:jc w:val="center"/>
              <w:rPr>
                <w:rFonts w:ascii="Times New Roman" w:hAnsi="Times New Roman" w:cs="Times New Roman"/>
              </w:rPr>
            </w:pPr>
            <w:r w:rsidRPr="0016047F">
              <w:rPr>
                <w:rFonts w:ascii="Times New Roman" w:hAnsi="Times New Roman" w:cs="Times New Roman"/>
                <w:sz w:val="20"/>
                <w:szCs w:val="20"/>
              </w:rPr>
              <w:t>8</w:t>
            </w:r>
          </w:p>
        </w:tc>
      </w:tr>
      <w:tr w:rsidR="00104431" w:rsidRPr="0016047F" w14:paraId="6D33F32A" w14:textId="77777777" w:rsidTr="00FB52B1">
        <w:tc>
          <w:tcPr>
            <w:tcW w:w="760" w:type="dxa"/>
            <w:shd w:val="clear" w:color="auto" w:fill="FAE2D5" w:themeFill="accent2" w:themeFillTint="33"/>
          </w:tcPr>
          <w:p w14:paraId="5B4F811B" w14:textId="77777777" w:rsidR="00104431" w:rsidRPr="0016047F" w:rsidRDefault="00000000">
            <w:pPr>
              <w:jc w:val="center"/>
              <w:rPr>
                <w:rFonts w:ascii="Times New Roman" w:hAnsi="Times New Roman" w:cs="Times New Roman"/>
              </w:rPr>
            </w:pPr>
            <w:r w:rsidRPr="0016047F">
              <w:rPr>
                <w:rFonts w:ascii="Times New Roman" w:hAnsi="Times New Roman" w:cs="Times New Roman"/>
                <w:b/>
                <w:bCs/>
                <w:sz w:val="20"/>
                <w:szCs w:val="20"/>
              </w:rPr>
              <w:t>4</w:t>
            </w:r>
          </w:p>
        </w:tc>
        <w:tc>
          <w:tcPr>
            <w:tcW w:w="2700" w:type="dxa"/>
            <w:shd w:val="clear" w:color="auto" w:fill="FAE2D5" w:themeFill="accent2" w:themeFillTint="33"/>
          </w:tcPr>
          <w:p w14:paraId="1418C08D" w14:textId="77777777" w:rsidR="00104431" w:rsidRPr="0016047F" w:rsidRDefault="00000000" w:rsidP="0016047F">
            <w:pPr>
              <w:jc w:val="both"/>
              <w:rPr>
                <w:rFonts w:ascii="Times New Roman" w:hAnsi="Times New Roman" w:cs="Times New Roman"/>
              </w:rPr>
            </w:pPr>
            <w:r w:rsidRPr="0016047F">
              <w:rPr>
                <w:rFonts w:ascii="Times New Roman" w:hAnsi="Times New Roman" w:cs="Times New Roman"/>
                <w:sz w:val="20"/>
                <w:szCs w:val="20"/>
              </w:rPr>
              <w:t>The framework introduces great principles (Table 2) but never explains how to calculate final grades from messy evidence. Provide a brief, concrete grading scenario balancing interactional data with institutional metrics.</w:t>
            </w:r>
          </w:p>
        </w:tc>
        <w:tc>
          <w:tcPr>
            <w:tcW w:w="5749" w:type="dxa"/>
            <w:shd w:val="clear" w:color="auto" w:fill="FAE2D5" w:themeFill="accent2" w:themeFillTint="33"/>
          </w:tcPr>
          <w:p w14:paraId="149FAF9A" w14:textId="77777777" w:rsidR="00104431" w:rsidRPr="0016047F" w:rsidRDefault="00000000" w:rsidP="0016047F">
            <w:pPr>
              <w:jc w:val="both"/>
              <w:rPr>
                <w:rFonts w:ascii="Times New Roman" w:hAnsi="Times New Roman" w:cs="Times New Roman"/>
              </w:rPr>
            </w:pPr>
            <w:r w:rsidRPr="0016047F">
              <w:rPr>
                <w:rFonts w:ascii="Times New Roman" w:hAnsi="Times New Roman" w:cs="Times New Roman"/>
                <w:sz w:val="20"/>
                <w:szCs w:val="20"/>
              </w:rPr>
              <w:t>Added a concrete grading scenario paragraph in Chapter 4. It walks through an end-of-term ESL speaking mark split into weighted strands (40% interactional evidence on an analytic rubric, 30% process portfolio, 30% standardized task), describes safeguards for the least standardized strand (multiple samples, second-rater checks, shared rubric), and explains how sharp discrepancies are flagged rather than averaged, making explicit how interactional data and institutional metrics are balanced into a defensible final grade.</w:t>
            </w:r>
          </w:p>
        </w:tc>
        <w:tc>
          <w:tcPr>
            <w:tcW w:w="851" w:type="dxa"/>
            <w:shd w:val="clear" w:color="auto" w:fill="FAE2D5" w:themeFill="accent2" w:themeFillTint="33"/>
          </w:tcPr>
          <w:p w14:paraId="4D205A45" w14:textId="77777777" w:rsidR="00104431" w:rsidRPr="0016047F" w:rsidRDefault="00000000">
            <w:pPr>
              <w:jc w:val="center"/>
              <w:rPr>
                <w:rFonts w:ascii="Times New Roman" w:hAnsi="Times New Roman" w:cs="Times New Roman"/>
              </w:rPr>
            </w:pPr>
            <w:r w:rsidRPr="0016047F">
              <w:rPr>
                <w:rFonts w:ascii="Times New Roman" w:hAnsi="Times New Roman" w:cs="Times New Roman"/>
                <w:sz w:val="20"/>
                <w:szCs w:val="20"/>
              </w:rPr>
              <w:t>12–13</w:t>
            </w:r>
          </w:p>
        </w:tc>
      </w:tr>
      <w:tr w:rsidR="00104431" w:rsidRPr="0016047F" w14:paraId="02F8D695" w14:textId="77777777" w:rsidTr="0016047F">
        <w:tc>
          <w:tcPr>
            <w:tcW w:w="760" w:type="dxa"/>
          </w:tcPr>
          <w:p w14:paraId="7D0473E3" w14:textId="77777777" w:rsidR="00104431" w:rsidRPr="0016047F" w:rsidRDefault="00000000">
            <w:pPr>
              <w:jc w:val="center"/>
              <w:rPr>
                <w:rFonts w:ascii="Times New Roman" w:hAnsi="Times New Roman" w:cs="Times New Roman"/>
              </w:rPr>
            </w:pPr>
            <w:r w:rsidRPr="0016047F">
              <w:rPr>
                <w:rFonts w:ascii="Times New Roman" w:hAnsi="Times New Roman" w:cs="Times New Roman"/>
                <w:b/>
                <w:bCs/>
                <w:sz w:val="20"/>
                <w:szCs w:val="20"/>
              </w:rPr>
              <w:t>5</w:t>
            </w:r>
          </w:p>
        </w:tc>
        <w:tc>
          <w:tcPr>
            <w:tcW w:w="2700" w:type="dxa"/>
          </w:tcPr>
          <w:p w14:paraId="2EDEBF61" w14:textId="77777777" w:rsidR="00104431" w:rsidRPr="0016047F" w:rsidRDefault="00000000" w:rsidP="0016047F">
            <w:pPr>
              <w:jc w:val="both"/>
              <w:rPr>
                <w:rFonts w:ascii="Times New Roman" w:hAnsi="Times New Roman" w:cs="Times New Roman"/>
              </w:rPr>
            </w:pPr>
            <w:r w:rsidRPr="0016047F">
              <w:rPr>
                <w:rFonts w:ascii="Times New Roman" w:hAnsi="Times New Roman" w:cs="Times New Roman"/>
                <w:sz w:val="20"/>
                <w:szCs w:val="20"/>
              </w:rPr>
              <w:t>Tai et al. is cited as 2018 in the text but listed as 2017 in the references.</w:t>
            </w:r>
          </w:p>
        </w:tc>
        <w:tc>
          <w:tcPr>
            <w:tcW w:w="5749" w:type="dxa"/>
          </w:tcPr>
          <w:p w14:paraId="3260C614" w14:textId="77777777" w:rsidR="00104431" w:rsidRPr="0016047F" w:rsidRDefault="00000000" w:rsidP="0016047F">
            <w:pPr>
              <w:jc w:val="both"/>
              <w:rPr>
                <w:rFonts w:ascii="Times New Roman" w:hAnsi="Times New Roman" w:cs="Times New Roman"/>
              </w:rPr>
            </w:pPr>
            <w:r w:rsidRPr="0016047F">
              <w:rPr>
                <w:rFonts w:ascii="Times New Roman" w:hAnsi="Times New Roman" w:cs="Times New Roman"/>
                <w:sz w:val="20"/>
                <w:szCs w:val="20"/>
              </w:rPr>
              <w:t>Corrected the reference-list entry for Tai, Ajjawi, Boud, Dawson, &amp; Panadero from (2017) to (2018) so it matches the in-text citations, which appear as 2018 throughout (the article belongs to the 2018 volume, Higher Education, 76(3)).</w:t>
            </w:r>
          </w:p>
        </w:tc>
        <w:tc>
          <w:tcPr>
            <w:tcW w:w="851" w:type="dxa"/>
          </w:tcPr>
          <w:p w14:paraId="459BBEF0" w14:textId="77777777" w:rsidR="00104431" w:rsidRPr="0016047F" w:rsidRDefault="00000000">
            <w:pPr>
              <w:jc w:val="center"/>
              <w:rPr>
                <w:rFonts w:ascii="Times New Roman" w:hAnsi="Times New Roman" w:cs="Times New Roman"/>
              </w:rPr>
            </w:pPr>
            <w:r w:rsidRPr="0016047F">
              <w:rPr>
                <w:rFonts w:ascii="Times New Roman" w:hAnsi="Times New Roman" w:cs="Times New Roman"/>
                <w:sz w:val="20"/>
                <w:szCs w:val="20"/>
              </w:rPr>
              <w:t>14</w:t>
            </w:r>
          </w:p>
        </w:tc>
      </w:tr>
      <w:tr w:rsidR="00104431" w:rsidRPr="0016047F" w14:paraId="5571957B" w14:textId="77777777" w:rsidTr="0016047F">
        <w:tc>
          <w:tcPr>
            <w:tcW w:w="760" w:type="dxa"/>
          </w:tcPr>
          <w:p w14:paraId="1F4CB9FE" w14:textId="77777777" w:rsidR="00104431" w:rsidRPr="0016047F" w:rsidRDefault="00000000">
            <w:pPr>
              <w:jc w:val="center"/>
              <w:rPr>
                <w:rFonts w:ascii="Times New Roman" w:hAnsi="Times New Roman" w:cs="Times New Roman"/>
              </w:rPr>
            </w:pPr>
            <w:r w:rsidRPr="0016047F">
              <w:rPr>
                <w:rFonts w:ascii="Times New Roman" w:hAnsi="Times New Roman" w:cs="Times New Roman"/>
                <w:b/>
                <w:bCs/>
                <w:sz w:val="20"/>
                <w:szCs w:val="20"/>
              </w:rPr>
              <w:lastRenderedPageBreak/>
              <w:t>6</w:t>
            </w:r>
          </w:p>
        </w:tc>
        <w:tc>
          <w:tcPr>
            <w:tcW w:w="2700" w:type="dxa"/>
          </w:tcPr>
          <w:p w14:paraId="5D881107" w14:textId="77777777" w:rsidR="00104431" w:rsidRPr="0016047F" w:rsidRDefault="00000000" w:rsidP="0016047F">
            <w:pPr>
              <w:jc w:val="both"/>
              <w:rPr>
                <w:rFonts w:ascii="Times New Roman" w:hAnsi="Times New Roman" w:cs="Times New Roman"/>
              </w:rPr>
            </w:pPr>
            <w:r w:rsidRPr="0016047F">
              <w:rPr>
                <w:rFonts w:ascii="Times New Roman" w:hAnsi="Times New Roman" w:cs="Times New Roman"/>
                <w:sz w:val="20"/>
                <w:szCs w:val="20"/>
              </w:rPr>
              <w:t>Please consider the writing as there are a few grammatical mistakes.</w:t>
            </w:r>
          </w:p>
        </w:tc>
        <w:tc>
          <w:tcPr>
            <w:tcW w:w="5749" w:type="dxa"/>
          </w:tcPr>
          <w:p w14:paraId="48021C86" w14:textId="77777777" w:rsidR="00104431" w:rsidRPr="0016047F" w:rsidRDefault="00000000" w:rsidP="0016047F">
            <w:pPr>
              <w:jc w:val="both"/>
              <w:rPr>
                <w:rFonts w:ascii="Times New Roman" w:hAnsi="Times New Roman" w:cs="Times New Roman"/>
              </w:rPr>
            </w:pPr>
            <w:r w:rsidRPr="0016047F">
              <w:rPr>
                <w:rFonts w:ascii="Times New Roman" w:hAnsi="Times New Roman" w:cs="Times New Roman"/>
                <w:sz w:val="20"/>
                <w:szCs w:val="20"/>
              </w:rPr>
              <w:t>Corrected several grammatical issues: added the missing closing comma to the parenthetical list “interaction, written production, and reflection,”; replaced the awkward “…representative performance, which is whether…” with “…representative performance, that is, whether…”; replaced “…how assessment is understood, which is not as a problem…” with a cleaner colon construction; and fixed subject–verb agreement in “At the core of this issue are a set…” → “At the core of this issue lies a set…”.</w:t>
            </w:r>
          </w:p>
        </w:tc>
        <w:tc>
          <w:tcPr>
            <w:tcW w:w="851" w:type="dxa"/>
          </w:tcPr>
          <w:p w14:paraId="140D1880" w14:textId="77777777" w:rsidR="00104431" w:rsidRPr="0016047F" w:rsidRDefault="00000000">
            <w:pPr>
              <w:jc w:val="center"/>
              <w:rPr>
                <w:rFonts w:ascii="Times New Roman" w:hAnsi="Times New Roman" w:cs="Times New Roman"/>
              </w:rPr>
            </w:pPr>
            <w:r w:rsidRPr="0016047F">
              <w:rPr>
                <w:rFonts w:ascii="Times New Roman" w:hAnsi="Times New Roman" w:cs="Times New Roman"/>
                <w:sz w:val="20"/>
                <w:szCs w:val="20"/>
              </w:rPr>
              <w:t>5, 6, 10, 13</w:t>
            </w:r>
          </w:p>
        </w:tc>
      </w:tr>
    </w:tbl>
    <w:p w14:paraId="01806541" w14:textId="77777777" w:rsidR="00104431" w:rsidRDefault="00000000">
      <w:pPr>
        <w:spacing w:before="240"/>
      </w:pPr>
      <w:r>
        <w:rPr>
          <w:i/>
          <w:iCs/>
          <w:color w:val="777777"/>
          <w:sz w:val="18"/>
          <w:szCs w:val="18"/>
        </w:rPr>
        <w:t>Note: Page numbers refer to the revised document and may shift slightly because new material (the Table 1 hybrid column and the Chapter 4 grading scenario) was added.</w:t>
      </w:r>
    </w:p>
    <w:sectPr w:rsidR="00104431" w:rsidSect="0016047F">
      <w:pgSz w:w="12240" w:h="15840"/>
      <w:pgMar w:top="1440" w:right="1440" w:bottom="1440" w:left="993"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BA25" w14:textId="77777777" w:rsidR="00212E6C" w:rsidRDefault="00212E6C" w:rsidP="0016047F">
      <w:r>
        <w:separator/>
      </w:r>
    </w:p>
  </w:endnote>
  <w:endnote w:type="continuationSeparator" w:id="0">
    <w:p w14:paraId="27004867" w14:textId="77777777" w:rsidR="00212E6C" w:rsidRDefault="00212E6C" w:rsidP="0016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E751" w14:textId="77777777" w:rsidR="00212E6C" w:rsidRDefault="00212E6C" w:rsidP="0016047F">
      <w:r>
        <w:separator/>
      </w:r>
    </w:p>
  </w:footnote>
  <w:footnote w:type="continuationSeparator" w:id="0">
    <w:p w14:paraId="6C7D2724" w14:textId="77777777" w:rsidR="00212E6C" w:rsidRDefault="00212E6C" w:rsidP="0016047F">
      <w:r>
        <w:continuationSeparator/>
      </w:r>
    </w:p>
  </w:footnote>
  <w:footnote w:id="1">
    <w:p w14:paraId="4A6C4F14" w14:textId="77777777" w:rsidR="0016047F" w:rsidRPr="0016047F" w:rsidRDefault="0016047F" w:rsidP="0016047F">
      <w:pPr>
        <w:pStyle w:val="FootnoteText"/>
        <w:rPr>
          <w:rFonts w:ascii="Times New Roman" w:hAnsi="Times New Roman" w:cs="Times New Roman"/>
        </w:rPr>
      </w:pPr>
      <w:r w:rsidRPr="00D00215">
        <w:rPr>
          <w:rStyle w:val="FootnoteReference"/>
          <w:rFonts w:cs="Times New Roman"/>
        </w:rPr>
        <w:footnoteRef/>
      </w:r>
      <w:r w:rsidRPr="00D00215">
        <w:rPr>
          <w:rFonts w:cs="Times New Roman"/>
        </w:rPr>
        <w:t xml:space="preserve"> </w:t>
      </w:r>
      <w:r w:rsidRPr="0016047F">
        <w:rPr>
          <w:rFonts w:ascii="Times New Roman" w:hAnsi="Times New Roman" w:cs="Times New Roman"/>
          <w:spacing w:val="-2"/>
        </w:rPr>
        <w:t xml:space="preserve">Corresponding author, </w:t>
      </w:r>
      <w:r w:rsidRPr="0016047F">
        <w:rPr>
          <w:rFonts w:ascii="Times New Roman" w:hAnsi="Times New Roman" w:cs="Times New Roman"/>
        </w:rPr>
        <w:t xml:space="preserve">International Institute, Ho Chi Minh City University of Economics and Finance, Vietnam, </w:t>
      </w:r>
      <w:r w:rsidRPr="0016047F">
        <w:rPr>
          <w:rFonts w:ascii="Times New Roman" w:hAnsi="Times New Roman" w:cs="Times New Roman"/>
          <w:i/>
          <w:iCs/>
          <w:spacing w:val="-2"/>
        </w:rPr>
        <w:t>Email:</w:t>
      </w:r>
      <w:r w:rsidRPr="0016047F">
        <w:rPr>
          <w:rFonts w:ascii="Times New Roman" w:hAnsi="Times New Roman" w:cs="Times New Roman"/>
          <w:i/>
          <w:iCs/>
        </w:rPr>
        <w:t xml:space="preserve"> thaonnt2@uef.edu.vn</w:t>
      </w:r>
    </w:p>
  </w:footnote>
  <w:footnote w:id="2">
    <w:p w14:paraId="38227CBF" w14:textId="77777777" w:rsidR="0016047F" w:rsidRPr="0016047F" w:rsidRDefault="0016047F" w:rsidP="0016047F">
      <w:pPr>
        <w:pStyle w:val="FootnoteText"/>
        <w:rPr>
          <w:rFonts w:ascii="Times New Roman" w:hAnsi="Times New Roman" w:cs="Times New Roman"/>
        </w:rPr>
      </w:pPr>
      <w:r w:rsidRPr="0016047F">
        <w:rPr>
          <w:rStyle w:val="FootnoteReference"/>
          <w:rFonts w:ascii="Times New Roman" w:hAnsi="Times New Roman" w:cs="Times New Roman"/>
        </w:rPr>
        <w:footnoteRef/>
      </w:r>
      <w:r w:rsidRPr="0016047F">
        <w:rPr>
          <w:rFonts w:ascii="Times New Roman" w:hAnsi="Times New Roman" w:cs="Times New Roman"/>
        </w:rPr>
        <w:t xml:space="preserve"> Faculty of Foreign Languages &amp; Oriental Studies, Yersin University of Da Lat, Vietnam</w:t>
      </w:r>
    </w:p>
  </w:footnote>
  <w:footnote w:id="3">
    <w:p w14:paraId="1E1873FF" w14:textId="77777777" w:rsidR="0016047F" w:rsidRPr="0016047F" w:rsidRDefault="0016047F" w:rsidP="0016047F">
      <w:pPr>
        <w:pStyle w:val="FootnoteText"/>
        <w:rPr>
          <w:rFonts w:ascii="Times New Roman" w:hAnsi="Times New Roman" w:cs="Times New Roman"/>
          <w:spacing w:val="-2"/>
        </w:rPr>
      </w:pPr>
      <w:r w:rsidRPr="0016047F">
        <w:rPr>
          <w:rStyle w:val="FootnoteReference"/>
          <w:rFonts w:ascii="Times New Roman" w:hAnsi="Times New Roman" w:cs="Times New Roman"/>
        </w:rPr>
        <w:footnoteRef/>
      </w:r>
      <w:r w:rsidRPr="0016047F">
        <w:rPr>
          <w:rFonts w:ascii="Times New Roman" w:hAnsi="Times New Roman" w:cs="Times New Roman"/>
        </w:rPr>
        <w:t xml:space="preserve"> Faculty of Foreign Language, Nguyen Tat Thanh University, Vietnam</w:t>
      </w:r>
    </w:p>
    <w:p w14:paraId="2B26B17D" w14:textId="77777777" w:rsidR="0016047F" w:rsidRPr="0016047F" w:rsidRDefault="0016047F" w:rsidP="0016047F">
      <w:pPr>
        <w:pStyle w:val="FootnoteText"/>
        <w:rPr>
          <w:rFonts w:ascii="Times New Roman" w:hAnsi="Times New Roman" w:cs="Times New Roman"/>
          <w:spacing w:val="-2"/>
        </w:rPr>
      </w:pPr>
      <w:r w:rsidRPr="0016047F">
        <w:rPr>
          <w:rStyle w:val="FootnoteReference"/>
          <w:rFonts w:ascii="Times New Roman" w:hAnsi="Times New Roman" w:cs="Times New Roman"/>
        </w:rPr>
        <w:t>4</w:t>
      </w:r>
      <w:r w:rsidRPr="0016047F">
        <w:rPr>
          <w:rFonts w:ascii="Times New Roman" w:hAnsi="Times New Roman" w:cs="Times New Roman"/>
        </w:rPr>
        <w:t xml:space="preserve"> Foreign Languages and Informatics Center, Dong Thap University, Vietnam</w:t>
      </w:r>
    </w:p>
    <w:p w14:paraId="0673D690" w14:textId="77777777" w:rsidR="0016047F" w:rsidRPr="0016047F" w:rsidRDefault="0016047F" w:rsidP="0016047F">
      <w:pPr>
        <w:pStyle w:val="FootnoteText"/>
        <w:rPr>
          <w:rFonts w:ascii="Times New Roman" w:hAnsi="Times New Roman" w:cs="Times New Roman"/>
        </w:rPr>
      </w:pPr>
      <w:r w:rsidRPr="0016047F">
        <w:rPr>
          <w:rStyle w:val="FootnoteReference"/>
          <w:rFonts w:ascii="Times New Roman" w:hAnsi="Times New Roman" w:cs="Times New Roman"/>
        </w:rPr>
        <w:t>5</w:t>
      </w:r>
      <w:r w:rsidRPr="0016047F">
        <w:rPr>
          <w:rFonts w:ascii="Times New Roman" w:hAnsi="Times New Roman" w:cs="Times New Roman"/>
        </w:rPr>
        <w:t xml:space="preserve"> Faculty of Foreign Languages, Ho Chi Minh City University of Industry and Trade, Vietnam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443CA"/>
    <w:multiLevelType w:val="hybridMultilevel"/>
    <w:tmpl w:val="C7549E32"/>
    <w:lvl w:ilvl="0" w:tplc="4B66EF0A">
      <w:start w:val="1"/>
      <w:numFmt w:val="bullet"/>
      <w:lvlText w:val="●"/>
      <w:lvlJc w:val="left"/>
      <w:pPr>
        <w:ind w:left="720" w:hanging="360"/>
      </w:pPr>
    </w:lvl>
    <w:lvl w:ilvl="1" w:tplc="D3CE1B8E">
      <w:start w:val="1"/>
      <w:numFmt w:val="bullet"/>
      <w:lvlText w:val="○"/>
      <w:lvlJc w:val="left"/>
      <w:pPr>
        <w:ind w:left="1440" w:hanging="360"/>
      </w:pPr>
    </w:lvl>
    <w:lvl w:ilvl="2" w:tplc="6950A5D0">
      <w:start w:val="1"/>
      <w:numFmt w:val="bullet"/>
      <w:lvlText w:val="■"/>
      <w:lvlJc w:val="left"/>
      <w:pPr>
        <w:ind w:left="2160" w:hanging="360"/>
      </w:pPr>
    </w:lvl>
    <w:lvl w:ilvl="3" w:tplc="9B1895F4">
      <w:start w:val="1"/>
      <w:numFmt w:val="bullet"/>
      <w:lvlText w:val="●"/>
      <w:lvlJc w:val="left"/>
      <w:pPr>
        <w:ind w:left="2880" w:hanging="360"/>
      </w:pPr>
    </w:lvl>
    <w:lvl w:ilvl="4" w:tplc="3ACE7C6C">
      <w:start w:val="1"/>
      <w:numFmt w:val="bullet"/>
      <w:lvlText w:val="○"/>
      <w:lvlJc w:val="left"/>
      <w:pPr>
        <w:ind w:left="3600" w:hanging="360"/>
      </w:pPr>
    </w:lvl>
    <w:lvl w:ilvl="5" w:tplc="9A32D484">
      <w:start w:val="1"/>
      <w:numFmt w:val="bullet"/>
      <w:lvlText w:val="■"/>
      <w:lvlJc w:val="left"/>
      <w:pPr>
        <w:ind w:left="4320" w:hanging="360"/>
      </w:pPr>
    </w:lvl>
    <w:lvl w:ilvl="6" w:tplc="4E2664F0">
      <w:start w:val="1"/>
      <w:numFmt w:val="bullet"/>
      <w:lvlText w:val="●"/>
      <w:lvlJc w:val="left"/>
      <w:pPr>
        <w:ind w:left="5040" w:hanging="360"/>
      </w:pPr>
    </w:lvl>
    <w:lvl w:ilvl="7" w:tplc="B454AE96">
      <w:start w:val="1"/>
      <w:numFmt w:val="bullet"/>
      <w:lvlText w:val="●"/>
      <w:lvlJc w:val="left"/>
      <w:pPr>
        <w:ind w:left="5760" w:hanging="360"/>
      </w:pPr>
    </w:lvl>
    <w:lvl w:ilvl="8" w:tplc="1E586B8A">
      <w:start w:val="1"/>
      <w:numFmt w:val="bullet"/>
      <w:lvlText w:val="●"/>
      <w:lvlJc w:val="left"/>
      <w:pPr>
        <w:ind w:left="6480" w:hanging="360"/>
      </w:pPr>
    </w:lvl>
  </w:abstractNum>
  <w:num w:numId="1" w16cid:durableId="1093992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431"/>
    <w:rsid w:val="00047737"/>
    <w:rsid w:val="00104431"/>
    <w:rsid w:val="0016047F"/>
    <w:rsid w:val="001700F8"/>
    <w:rsid w:val="00212E6C"/>
    <w:rsid w:val="006741AC"/>
    <w:rsid w:val="007E7912"/>
    <w:rsid w:val="00903666"/>
    <w:rsid w:val="00FB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3748"/>
  <w15:docId w15:val="{9738FFD6-62BE-456C-9A4A-8BCD95CD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00"/>
      <w:outlineLvl w:val="0"/>
    </w:pPr>
    <w:rPr>
      <w:b/>
      <w:bCs/>
      <w:color w:val="1F4E79"/>
      <w:sz w:val="30"/>
      <w:szCs w:val="3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aliases w:val="RALs"/>
    <w:link w:val="FootnoteTextChar"/>
    <w:uiPriority w:val="99"/>
    <w:unhideWhenUsed/>
    <w:rPr>
      <w:sz w:val="20"/>
      <w:szCs w:val="20"/>
    </w:rPr>
  </w:style>
  <w:style w:type="character" w:customStyle="1" w:styleId="FootnoteTextChar">
    <w:name w:val="Footnote Text Char"/>
    <w:aliases w:val="RALs Char"/>
    <w:link w:val="FootnoteText"/>
    <w:uiPriority w:val="99"/>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RALs-Authors">
    <w:name w:val="RALs-Authors"/>
    <w:basedOn w:val="Normal"/>
    <w:next w:val="Normal"/>
    <w:qFormat/>
    <w:rsid w:val="0016047F"/>
    <w:pPr>
      <w:spacing w:before="120" w:after="120"/>
      <w:ind w:firstLine="720"/>
      <w:jc w:val="center"/>
    </w:pPr>
    <w:rPr>
      <w:rFonts w:ascii="Times New Roman" w:eastAsia="Times New Roman" w:hAnsi="Times New Roman" w:cs="Times New Roman"/>
      <w:i/>
      <w:sz w:val="20"/>
      <w:szCs w:val="20"/>
      <w:lang w:bidi="fa-IR"/>
    </w:rPr>
  </w:style>
  <w:style w:type="table" w:styleId="TableGrid">
    <w:name w:val="Table Grid"/>
    <w:basedOn w:val="TableNormal"/>
    <w:uiPriority w:val="39"/>
    <w:rsid w:val="00160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Nguyễn Thị Thanh Thảo</cp:lastModifiedBy>
  <cp:revision>4</cp:revision>
  <dcterms:created xsi:type="dcterms:W3CDTF">2026-06-10T15:16:00Z</dcterms:created>
  <dcterms:modified xsi:type="dcterms:W3CDTF">2026-06-11T07:13:00Z</dcterms:modified>
</cp:coreProperties>
</file>