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E69F" w14:textId="77777777" w:rsidR="002B2863" w:rsidRPr="00701F59" w:rsidRDefault="002B2863" w:rsidP="002B2863">
      <w:pPr>
        <w:spacing w:before="240"/>
        <w:jc w:val="center"/>
        <w:rPr>
          <w:b/>
          <w:bCs/>
          <w:sz w:val="34"/>
          <w:szCs w:val="31"/>
        </w:rPr>
      </w:pPr>
      <w:r>
        <w:rPr>
          <w:b/>
          <w:bCs/>
          <w:sz w:val="34"/>
          <w:szCs w:val="31"/>
        </w:rPr>
        <w:t xml:space="preserve">Rethinking Assessment in the Shift from EFL to ESL: </w:t>
      </w:r>
    </w:p>
    <w:p w14:paraId="76933F7E" w14:textId="77777777" w:rsidR="002B2863" w:rsidRPr="00701F59" w:rsidRDefault="002B2863" w:rsidP="002B2863">
      <w:pPr>
        <w:jc w:val="center"/>
        <w:rPr>
          <w:b/>
          <w:bCs/>
          <w:sz w:val="34"/>
          <w:szCs w:val="31"/>
        </w:rPr>
      </w:pPr>
      <w:r>
        <w:rPr>
          <w:b/>
          <w:bCs/>
          <w:sz w:val="34"/>
          <w:szCs w:val="31"/>
        </w:rPr>
        <w:t>A Critical Review of No-Exam Classrooms</w:t>
      </w:r>
    </w:p>
    <w:p w14:paraId="55F79453" w14:textId="57B92EE5" w:rsidR="00722EDE" w:rsidRPr="00E40940" w:rsidRDefault="00627956" w:rsidP="00722EDE">
      <w:pPr>
        <w:pStyle w:val="RALs-Authors"/>
        <w:rPr>
          <w:rFonts w:asciiTheme="majorBidi" w:hAnsiTheme="majorBidi" w:cstheme="majorBidi"/>
        </w:rPr>
      </w:pPr>
      <w:r>
        <w:rPr>
          <w:rFonts w:asciiTheme="majorBidi" w:hAnsiTheme="majorBidi" w:cstheme="majorBidi"/>
        </w:rPr>
        <w:t>Thi Thanh Thao Nguyen</w:t>
      </w:r>
      <w:r>
        <w:rPr>
          <w:rStyle w:val="FootnoteReference"/>
          <w:rFonts w:asciiTheme="majorBidi" w:hAnsiTheme="majorBidi" w:cstheme="majorBidi"/>
        </w:rPr>
        <w:footnoteReference w:id="1"/>
      </w:r>
      <w:r>
        <w:rPr>
          <w:rFonts w:asciiTheme="majorBidi" w:hAnsiTheme="majorBidi" w:cstheme="majorBidi"/>
        </w:rPr>
        <w:t>, Thi Dieu Duyen Le</w:t>
      </w:r>
      <w:r>
        <w:rPr>
          <w:rStyle w:val="FootnoteReference"/>
          <w:rFonts w:asciiTheme="majorBidi" w:hAnsiTheme="majorBidi" w:cstheme="majorBidi"/>
        </w:rPr>
        <w:footnoteReference w:id="2"/>
      </w:r>
      <w:r>
        <w:rPr>
          <w:rFonts w:asciiTheme="majorBidi" w:hAnsiTheme="majorBidi" w:cstheme="majorBidi"/>
        </w:rPr>
        <w:t>, Thi Hong Tham Chau</w:t>
      </w:r>
      <w:r>
        <w:rPr>
          <w:rStyle w:val="FootnoteReference"/>
          <w:rFonts w:asciiTheme="majorBidi" w:hAnsiTheme="majorBidi" w:cstheme="majorBidi"/>
        </w:rPr>
        <w:footnoteReference w:id="3"/>
      </w:r>
      <w:r>
        <w:rPr>
          <w:rFonts w:asciiTheme="majorBidi" w:hAnsiTheme="majorBidi" w:cstheme="majorBidi"/>
        </w:rPr>
        <w:t>, Thanh Tinh Bui</w:t>
      </w:r>
      <w:r>
        <w:rPr>
          <w:rFonts w:asciiTheme="majorBidi" w:hAnsiTheme="majorBidi" w:cstheme="majorBidi"/>
          <w:vertAlign w:val="superscript"/>
        </w:rPr>
        <w:t>4</w:t>
      </w:r>
      <w:r>
        <w:rPr>
          <w:rFonts w:asciiTheme="majorBidi" w:hAnsiTheme="majorBidi" w:cstheme="majorBidi"/>
        </w:rPr>
        <w:t xml:space="preserve"> &amp; Van Doan Tran</w:t>
      </w:r>
      <w:r>
        <w:rPr>
          <w:rFonts w:asciiTheme="majorBidi" w:hAnsiTheme="majorBidi" w:cstheme="majorBidi"/>
          <w:vertAlign w:val="superscript"/>
        </w:rPr>
        <w:t>5</w:t>
      </w:r>
    </w:p>
    <w:p w14:paraId="16021483" w14:textId="77777777" w:rsidR="00316775" w:rsidRDefault="00316775" w:rsidP="00722EDE">
      <w:pPr>
        <w:pStyle w:val="RALs-HeadingsNoIndent"/>
        <w:rPr>
          <w:rFonts w:asciiTheme="majorBidi" w:hAnsiTheme="majorBidi" w:cstheme="majorBidi"/>
          <w:sz w:val="24"/>
          <w:szCs w:val="24"/>
        </w:rPr>
      </w:pPr>
    </w:p>
    <w:p w14:paraId="68D9AFB1" w14:textId="77777777" w:rsidR="00722EDE" w:rsidRPr="00E40940" w:rsidRDefault="00722EDE" w:rsidP="00722EDE">
      <w:pPr>
        <w:pStyle w:val="RALs-HeadingsNoIndent"/>
        <w:rPr>
          <w:rFonts w:asciiTheme="majorBidi" w:hAnsiTheme="majorBidi" w:cstheme="majorBidi"/>
          <w:sz w:val="24"/>
          <w:szCs w:val="24"/>
        </w:rPr>
      </w:pPr>
      <w:r>
        <w:rPr>
          <w:rFonts w:asciiTheme="majorBidi" w:hAnsiTheme="majorBidi" w:cstheme="majorBidi"/>
          <w:sz w:val="24"/>
          <w:szCs w:val="24"/>
        </w:rPr>
        <w:t>Abstract</w:t>
      </w:r>
    </w:p>
    <w:p w14:paraId="6E6F3333" w14:textId="0D55FCEB" w:rsidR="00722EDE" w:rsidRPr="00F80631" w:rsidRDefault="002B2863" w:rsidP="00722EDE">
      <w:pPr>
        <w:pStyle w:val="RALs-Normal-NoIndent"/>
        <w:rPr>
          <w:rFonts w:asciiTheme="majorBidi" w:hAnsiTheme="majorBidi" w:cstheme="majorBidi"/>
          <w:sz w:val="28"/>
          <w:szCs w:val="28"/>
        </w:rPr>
      </w:pPr>
      <w:r>
        <w:rPr>
          <w:rFonts w:asciiTheme="majorBidi" w:hAnsiTheme="majorBidi" w:cstheme="majorBidi"/>
          <w:sz w:val="24"/>
          <w:szCs w:val="24"/>
        </w:rPr>
        <w:t xml:space="preserve">This article critically examines the growing interest in “no-exam” classrooms within the transition from English as a Foreign Language (EFL) to English as a Second Language (ESL) in Vietnam. While traditional exam-based assessment is increasingly viewed as misaligned with communicative and context-sensitive language use, alternative approaches that emphasize continuous, evidence-based assessment are often presented as inherently superior. Drawing on perspectives from language testing, sociocultural theory, and contemporary assessment scholarship, this paper argues that the shift from exams to evidence does not resolve longstanding tensions in assessment but rather redistributes them. In particular, issues of validity, reliability, learner agency, and institutional accountability remain central. </w:t>
      </w:r>
      <w:r w:rsidR="00C56E21" w:rsidRPr="00C56E21">
        <w:rPr>
          <w:rFonts w:asciiTheme="majorBidi" w:hAnsiTheme="majorBidi" w:cstheme="majorBidi"/>
          <w:sz w:val="24"/>
          <w:szCs w:val="24"/>
        </w:rPr>
        <w:t>The paper proposes a reconceptualised assessment framework that integrates multimodal evidence, feedback processes, and evaluative judgement to navigate the inherent trade-offs associated with these constraints</w:t>
      </w:r>
      <w:r>
        <w:rPr>
          <w:rFonts w:asciiTheme="majorBidi" w:hAnsiTheme="majorBidi" w:cstheme="majorBidi"/>
          <w:sz w:val="24"/>
          <w:szCs w:val="24"/>
        </w:rPr>
        <w:t xml:space="preserve">. </w:t>
      </w:r>
      <w:r w:rsidR="00C56E21" w:rsidRPr="00C56E21">
        <w:rPr>
          <w:rFonts w:asciiTheme="majorBidi" w:hAnsiTheme="majorBidi" w:cstheme="majorBidi"/>
          <w:sz w:val="24"/>
          <w:szCs w:val="24"/>
        </w:rPr>
        <w:t>It concludes that the future of TESOL assessment lies not in abandoning exams, but in developing hybrid systems that acknowledge and negotiate the tensions between pedagogical relevance and institutional credibility.</w:t>
      </w:r>
    </w:p>
    <w:p w14:paraId="01DD6BA9" w14:textId="42C8A363" w:rsidR="00316775" w:rsidRPr="00F80631" w:rsidRDefault="00722EDE" w:rsidP="002B2863">
      <w:pPr>
        <w:spacing w:before="240"/>
        <w:ind w:firstLine="284"/>
        <w:rPr>
          <w:rFonts w:asciiTheme="majorBidi" w:hAnsiTheme="majorBidi" w:cstheme="majorBidi"/>
          <w:b/>
          <w:bCs/>
          <w:sz w:val="24"/>
          <w:szCs w:val="24"/>
        </w:rPr>
      </w:pPr>
      <w:r>
        <w:rPr>
          <w:rFonts w:asciiTheme="majorBidi" w:hAnsiTheme="majorBidi" w:cstheme="majorBidi"/>
          <w:b/>
          <w:bCs/>
          <w:i/>
          <w:iCs/>
          <w:sz w:val="24"/>
          <w:szCs w:val="24"/>
        </w:rPr>
        <w:t>Keywords</w:t>
      </w:r>
      <w:r>
        <w:rPr>
          <w:rFonts w:asciiTheme="majorBidi" w:hAnsiTheme="majorBidi" w:cstheme="majorBidi"/>
          <w:b/>
          <w:bCs/>
          <w:sz w:val="24"/>
          <w:szCs w:val="24"/>
        </w:rPr>
        <w:t xml:space="preserve">: </w:t>
      </w:r>
      <w:r>
        <w:rPr>
          <w:rFonts w:asciiTheme="majorBidi" w:hAnsiTheme="majorBidi" w:cstheme="majorBidi"/>
          <w:sz w:val="24"/>
          <w:szCs w:val="24"/>
        </w:rPr>
        <w:t>assessment reform, no-exam classroom, evaluative judgement, ESL transition, feedback processes</w:t>
      </w:r>
    </w:p>
    <w:p w14:paraId="2677DFE1" w14:textId="77777777" w:rsidR="00722EDE" w:rsidRPr="00E40940" w:rsidRDefault="00722EDE" w:rsidP="002B2863">
      <w:pPr>
        <w:pStyle w:val="RALs-Heading1"/>
        <w:spacing w:line="480" w:lineRule="auto"/>
        <w:rPr>
          <w:rFonts w:asciiTheme="majorBidi" w:hAnsiTheme="majorBidi" w:cstheme="majorBidi"/>
          <w:b w:val="0"/>
          <w:bCs w:val="0"/>
          <w:sz w:val="24"/>
          <w:szCs w:val="24"/>
        </w:rPr>
      </w:pPr>
      <w:r>
        <w:rPr>
          <w:rFonts w:asciiTheme="majorBidi" w:hAnsiTheme="majorBidi" w:cstheme="majorBidi"/>
          <w:sz w:val="24"/>
          <w:szCs w:val="24"/>
        </w:rPr>
        <w:t>1. Introduction</w:t>
      </w:r>
    </w:p>
    <w:p w14:paraId="15BD9BAB" w14:textId="7A814EC6" w:rsidR="002B2863" w:rsidRPr="002B2863" w:rsidRDefault="002B2863" w:rsidP="002B2863">
      <w:pPr>
        <w:autoSpaceDE w:val="0"/>
        <w:autoSpaceDN w:val="0"/>
        <w:adjustRightInd w:val="0"/>
        <w:spacing w:before="0" w:after="0" w:line="480" w:lineRule="auto"/>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The ongoing shift from English as a Foreign Language (EFL) to English as a Second Language (ESL) in Vietnam necessitates a fundamental reconsideration of how language learning is assessed. As educational priorities increasingly emphasize communicative competence, real-world language use, and functional multilingualism, traditional assessment systems, which have been largely dominated by high-stakes examinations, appear increasingly </w:t>
      </w:r>
      <w:r>
        <w:rPr>
          <w:rFonts w:asciiTheme="majorBidi" w:eastAsiaTheme="minorHAnsi" w:hAnsiTheme="majorBidi" w:cstheme="majorBidi"/>
          <w:sz w:val="24"/>
          <w:szCs w:val="24"/>
        </w:rPr>
        <w:lastRenderedPageBreak/>
        <w:t>misaligned with these goals (Fulcher, 2010). While exams have historically been associated with objectivity, comparability, and institutional accountability, their capacity to capture the dynamic, socially situated, and developmental nature of language use remains contested (Messick, 1989; Fulcher, 2010).</w:t>
      </w:r>
    </w:p>
    <w:p w14:paraId="2609993C" w14:textId="77777777" w:rsidR="002B2863" w:rsidRPr="002B2863" w:rsidRDefault="002B2863" w:rsidP="002B2863">
      <w:pPr>
        <w:autoSpaceDE w:val="0"/>
        <w:autoSpaceDN w:val="0"/>
        <w:adjustRightInd w:val="0"/>
        <w:spacing w:before="0" w:after="0" w:line="480" w:lineRule="auto"/>
        <w:rPr>
          <w:rFonts w:asciiTheme="majorBidi" w:eastAsiaTheme="minorHAnsi" w:hAnsiTheme="majorBidi" w:cstheme="majorBidi"/>
          <w:sz w:val="24"/>
          <w:szCs w:val="24"/>
        </w:rPr>
      </w:pPr>
      <w:r>
        <w:rPr>
          <w:rFonts w:asciiTheme="majorBidi" w:eastAsiaTheme="minorHAnsi" w:hAnsiTheme="majorBidi" w:cstheme="majorBidi"/>
          <w:sz w:val="24"/>
          <w:szCs w:val="24"/>
        </w:rPr>
        <w:t>This misalignment reflects a deeper epistemological tension between the nature of language and the logic of assessment. Language is not a static body of knowledge to be reproduced under time pressure, but a socially mediated and evolving capacity shaped through interaction, feedback, and meaningful communicative practice (Vygotsky, 1978). Yet, exam-based systems continue to conceptualize language as discrete, decontextualized knowledge, privileging accuracy and performance under constrained conditions. As a result, learners may succeed in examinations while remaining unable to use language effectively in authentic contexts.</w:t>
      </w:r>
    </w:p>
    <w:p w14:paraId="5948496B" w14:textId="77777777" w:rsidR="002B2863" w:rsidRPr="002B2863" w:rsidRDefault="002B2863" w:rsidP="002B2863">
      <w:pPr>
        <w:autoSpaceDE w:val="0"/>
        <w:autoSpaceDN w:val="0"/>
        <w:adjustRightInd w:val="0"/>
        <w:spacing w:before="0" w:after="0" w:line="480" w:lineRule="auto"/>
        <w:rPr>
          <w:rFonts w:asciiTheme="majorBidi" w:eastAsiaTheme="minorHAnsi" w:hAnsiTheme="majorBidi" w:cstheme="majorBidi"/>
          <w:sz w:val="24"/>
          <w:szCs w:val="24"/>
        </w:rPr>
      </w:pPr>
      <w:r>
        <w:rPr>
          <w:rFonts w:asciiTheme="majorBidi" w:eastAsiaTheme="minorHAnsi" w:hAnsiTheme="majorBidi" w:cstheme="majorBidi"/>
          <w:sz w:val="24"/>
          <w:szCs w:val="24"/>
        </w:rPr>
        <w:t>This tension is further reinforced by the institutional functions of assessment. In many systems, including Vietnam, exams serve not only pedagogical purposes but also certification, selection, and social mobility. Their deep entrenchment within educational structures makes them resistant to change, even when their limitations are widely acknowledged.</w:t>
      </w:r>
    </w:p>
    <w:p w14:paraId="453577AB" w14:textId="77777777" w:rsidR="002B2863" w:rsidRPr="002B2863" w:rsidRDefault="002B2863" w:rsidP="002B2863">
      <w:pPr>
        <w:autoSpaceDE w:val="0"/>
        <w:autoSpaceDN w:val="0"/>
        <w:adjustRightInd w:val="0"/>
        <w:spacing w:before="0" w:after="0" w:line="480" w:lineRule="auto"/>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In response, a growing body of scholarship in TESOL and educational assessment has questioned the dominance of summative testing, </w:t>
      </w:r>
      <w:r>
        <w:rPr>
          <w:rFonts w:asciiTheme="majorBidi" w:eastAsiaTheme="minorHAnsi" w:hAnsiTheme="majorBidi" w:cstheme="majorBidi"/>
          <w:sz w:val="24"/>
          <w:szCs w:val="24"/>
          <w:lang w:val="en"/>
        </w:rPr>
        <w:t>advocating for formative and sustainable approaches to assessment that extend beyond immediate performance</w:t>
      </w:r>
      <w:r>
        <w:rPr>
          <w:rFonts w:asciiTheme="majorBidi" w:eastAsiaTheme="minorHAnsi" w:hAnsiTheme="majorBidi" w:cstheme="majorBidi"/>
          <w:sz w:val="24"/>
          <w:szCs w:val="24"/>
        </w:rPr>
        <w:t xml:space="preserve"> (Boud &amp; Falchikov, 2007; Carless, 2015). More recent work highlights learner engagement in assessment, particularly </w:t>
      </w:r>
      <w:r>
        <w:rPr>
          <w:rFonts w:asciiTheme="majorBidi" w:eastAsiaTheme="minorHAnsi" w:hAnsiTheme="majorBidi" w:cstheme="majorBidi"/>
          <w:sz w:val="24"/>
          <w:szCs w:val="24"/>
          <w:lang w:val="en"/>
        </w:rPr>
        <w:t>through co-regulation of learning and learners’ capacity to make evaluative judgements</w:t>
      </w:r>
      <w:r>
        <w:rPr>
          <w:rFonts w:asciiTheme="majorBidi" w:eastAsiaTheme="minorHAnsi" w:hAnsiTheme="majorBidi" w:cstheme="majorBidi"/>
          <w:sz w:val="24"/>
          <w:szCs w:val="24"/>
        </w:rPr>
        <w:t xml:space="preserve"> (Andrade &amp; Brookhart, 2019; Tai et al., 2018). Within this broader shift, “no-exam” classrooms have emerged as a provocative alternative.</w:t>
      </w:r>
    </w:p>
    <w:p w14:paraId="5FD47808" w14:textId="287617D9" w:rsidR="006F01BE" w:rsidRPr="00EE6618" w:rsidRDefault="002B2863" w:rsidP="002B2863">
      <w:pPr>
        <w:autoSpaceDE w:val="0"/>
        <w:autoSpaceDN w:val="0"/>
        <w:adjustRightInd w:val="0"/>
        <w:spacing w:before="0" w:after="0" w:line="480" w:lineRule="auto"/>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However, such approaches are often framed in overly optimistic terms. Rather than treating them as solutions, this article argues for a reconceptualization of assessment itself, one </w:t>
      </w:r>
      <w:r>
        <w:rPr>
          <w:rFonts w:asciiTheme="majorBidi" w:eastAsiaTheme="minorHAnsi" w:hAnsiTheme="majorBidi" w:cstheme="majorBidi"/>
          <w:sz w:val="24"/>
          <w:szCs w:val="24"/>
        </w:rPr>
        <w:lastRenderedPageBreak/>
        <w:t>that seeks to manage its enduring tensions rather than to resolve them. By critically examining the shift from exam-based to evidence-based assessment, it explores both the potential and the limitations of no-exam classrooms in the context of the EFL-to-ESL transition.</w:t>
      </w:r>
    </w:p>
    <w:p w14:paraId="750DABB6" w14:textId="20AE600B" w:rsidR="00722EDE" w:rsidRPr="00E40940" w:rsidRDefault="00722EDE" w:rsidP="00722EDE">
      <w:pPr>
        <w:pStyle w:val="RALs-Heading1"/>
        <w:rPr>
          <w:rFonts w:asciiTheme="majorBidi" w:hAnsiTheme="majorBidi" w:cstheme="majorBidi"/>
          <w:sz w:val="24"/>
          <w:szCs w:val="24"/>
        </w:rPr>
      </w:pPr>
      <w:r>
        <w:rPr>
          <w:rFonts w:asciiTheme="majorBidi" w:hAnsiTheme="majorBidi" w:cstheme="majorBidi"/>
          <w:sz w:val="24"/>
          <w:szCs w:val="24"/>
        </w:rPr>
        <w:t>2. Rethinking Assessment: From Exams to Evidence</w:t>
      </w:r>
    </w:p>
    <w:p w14:paraId="6E92B71F" w14:textId="77777777" w:rsidR="002B2863" w:rsidRPr="002B2863" w:rsidRDefault="002B2863" w:rsidP="002B2863">
      <w:pPr>
        <w:spacing w:line="480" w:lineRule="auto"/>
        <w:rPr>
          <w:rFonts w:asciiTheme="majorBidi" w:hAnsiTheme="majorBidi" w:cstheme="majorBidi"/>
          <w:sz w:val="24"/>
          <w:szCs w:val="24"/>
        </w:rPr>
      </w:pPr>
      <w:r>
        <w:rPr>
          <w:rFonts w:asciiTheme="majorBidi" w:hAnsiTheme="majorBidi" w:cstheme="majorBidi"/>
          <w:sz w:val="24"/>
          <w:szCs w:val="24"/>
        </w:rPr>
        <w:t xml:space="preserve">The notion of “no-exam” classrooms is frequently interpreted as a rejection of assessment. In practice, however, it represents a transformation in how assessment is conceptualized and enacted. Rather than eliminating evaluation, these approaches redistribute it across time, tasks, and interactions, shifting from a single, high-stakes event to an ongoing process of evidence collection and interpretation. </w:t>
      </w:r>
      <w:r>
        <w:rPr>
          <w:rFonts w:asciiTheme="majorBidi" w:hAnsiTheme="majorBidi" w:cstheme="majorBidi"/>
          <w:sz w:val="24"/>
          <w:szCs w:val="24"/>
          <w:lang w:val="en"/>
        </w:rPr>
        <w:t>This shift can be conceptualized as a movement from a “snapshot” model of assessment to a longitudinal, evidence-based model, as summarized in Table 1. The two outer columns are presented as contrasting ideal types rather than mutually exclusive options; the third column sketches a hybrid model that draws selectively on both and anticipates the integrated framework developed in Section 4.</w:t>
      </w:r>
    </w:p>
    <w:p w14:paraId="70C28053" w14:textId="77777777" w:rsidR="002B2863" w:rsidRPr="002B2863" w:rsidRDefault="002B2863" w:rsidP="002B2863">
      <w:pPr>
        <w:spacing w:after="0"/>
        <w:ind w:firstLine="0"/>
        <w:rPr>
          <w:rFonts w:asciiTheme="majorBidi" w:hAnsiTheme="majorBidi" w:cstheme="majorBidi"/>
          <w:b/>
          <w:bCs/>
          <w:sz w:val="24"/>
          <w:szCs w:val="24"/>
        </w:rPr>
      </w:pPr>
      <w:r>
        <w:rPr>
          <w:rFonts w:asciiTheme="majorBidi" w:hAnsiTheme="majorBidi" w:cstheme="majorBidi"/>
          <w:b/>
          <w:bCs/>
          <w:sz w:val="24"/>
          <w:szCs w:val="24"/>
        </w:rPr>
        <w:t xml:space="preserve">Table 1. </w:t>
      </w:r>
    </w:p>
    <w:p w14:paraId="0D88183A" w14:textId="7D1A3079" w:rsidR="002B2863" w:rsidRPr="002B2863" w:rsidRDefault="002B2863" w:rsidP="002B2863">
      <w:pPr>
        <w:spacing w:after="0"/>
        <w:ind w:firstLine="0"/>
        <w:rPr>
          <w:rFonts w:asciiTheme="majorBidi" w:hAnsiTheme="majorBidi" w:cstheme="majorBidi"/>
          <w:i/>
          <w:iCs/>
          <w:sz w:val="24"/>
          <w:szCs w:val="24"/>
        </w:rPr>
      </w:pPr>
      <w:r>
        <w:rPr>
          <w:rFonts w:asciiTheme="majorBidi" w:hAnsiTheme="majorBidi" w:cstheme="majorBidi"/>
          <w:i/>
          <w:iCs/>
          <w:sz w:val="24"/>
          <w:szCs w:val="24"/>
        </w:rPr>
        <w:t>From Snapshot Testing to Longitudinal Evidence</w:t>
      </w:r>
    </w:p>
    <w:tbl>
      <w:tblPr>
        <w:tblStyle w:val="PlainTable2"/>
        <w:tblW w:w="9026" w:type="dxa"/>
        <w:tblInd w:w="-142" w:type="dxa"/>
        <w:tblLook w:val="04A0" w:firstRow="1" w:lastRow="0" w:firstColumn="1" w:lastColumn="0" w:noHBand="0" w:noVBand="1"/>
      </w:tblPr>
      <w:tblGrid>
        <w:gridCol w:w="3026"/>
        <w:gridCol w:w="3000"/>
        <w:gridCol w:w="3000"/>
      </w:tblGrid>
      <w:tr w:rsidR="002B2863" w:rsidRPr="002B2863" w14:paraId="4CC3C983" w14:textId="77777777" w:rsidTr="002B2863">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3026" w:type="dxa"/>
            <w:tcBorders>
              <w:top w:val="single" w:sz="4" w:space="0" w:color="7F7F7F" w:themeColor="text1" w:themeTint="80"/>
              <w:bottom w:val="single" w:sz="4" w:space="0" w:color="auto"/>
            </w:tcBorders>
            <w:hideMark/>
          </w:tcPr>
          <w:p w14:paraId="39161534" w14:textId="77777777" w:rsidR="002B2863" w:rsidRPr="002B2863" w:rsidRDefault="002B2863" w:rsidP="002B2863">
            <w:pPr>
              <w:spacing w:after="0" w:line="480" w:lineRule="auto"/>
              <w:ind w:firstLine="29"/>
              <w:jc w:val="left"/>
              <w:rPr>
                <w:rFonts w:asciiTheme="majorBidi" w:hAnsiTheme="majorBidi" w:cstheme="majorBidi"/>
                <w:szCs w:val="20"/>
              </w:rPr>
            </w:pPr>
            <w:r>
              <w:rPr>
                <w:rFonts w:asciiTheme="majorBidi" w:hAnsiTheme="majorBidi" w:cstheme="majorBidi"/>
                <w:szCs w:val="20"/>
              </w:rPr>
              <w:t>Traditional Exam Model</w:t>
            </w:r>
          </w:p>
        </w:tc>
        <w:tc>
          <w:tcPr>
            <w:tcW w:w="3000" w:type="dxa"/>
            <w:tcBorders>
              <w:top w:val="single" w:sz="4" w:space="0" w:color="7F7F7F" w:themeColor="text1" w:themeTint="80"/>
              <w:bottom w:val="single" w:sz="4" w:space="0" w:color="auto"/>
            </w:tcBorders>
            <w:hideMark/>
          </w:tcPr>
          <w:p w14:paraId="1F384535" w14:textId="77777777" w:rsidR="002B2863" w:rsidRPr="002B2863" w:rsidRDefault="002B2863" w:rsidP="002B2863">
            <w:pPr>
              <w:spacing w:line="480" w:lineRule="auto"/>
              <w:ind w:firstLine="3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Evidence-Based (No-Exam) Model</w:t>
            </w:r>
          </w:p>
        </w:tc>
        <w:tc>
          <w:tcPr>
            <w:tcW w:w="3000" w:type="dxa"/>
            <w:tcBorders>
              <w:top w:val="single" w:sz="4" w:space="0" w:color="7F7F7F" w:themeColor="text1" w:themeTint="80"/>
              <w:bottom w:val="single" w:sz="4" w:space="0" w:color="auto"/>
            </w:tcBorders>
          </w:tcPr>
          <w:p w14:paraId="1F384540" w14:textId="77777777" w:rsidR="002B2863" w:rsidRPr="002B2863" w:rsidRDefault="002B2863" w:rsidP="002B2863">
            <w:pPr>
              <w:spacing w:line="480" w:lineRule="auto"/>
              <w:ind w:firstLine="3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Hybrid (Integrated) Model</w:t>
            </w:r>
          </w:p>
        </w:tc>
      </w:tr>
      <w:tr w:rsidR="002B2863" w:rsidRPr="002B2863" w14:paraId="2FCD95C9" w14:textId="77777777" w:rsidTr="002B2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6" w:type="dxa"/>
            <w:tcBorders>
              <w:top w:val="single" w:sz="4" w:space="0" w:color="auto"/>
              <w:bottom w:val="nil"/>
            </w:tcBorders>
            <w:hideMark/>
          </w:tcPr>
          <w:p w14:paraId="0E167677" w14:textId="77777777" w:rsidR="002B2863" w:rsidRPr="002B2863" w:rsidRDefault="002B2863" w:rsidP="002B2863">
            <w:pPr>
              <w:spacing w:line="480" w:lineRule="auto"/>
              <w:ind w:firstLine="29"/>
              <w:jc w:val="left"/>
              <w:rPr>
                <w:rFonts w:asciiTheme="majorBidi" w:hAnsiTheme="majorBidi" w:cstheme="majorBidi"/>
                <w:b w:val="0"/>
                <w:bCs w:val="0"/>
                <w:szCs w:val="20"/>
              </w:rPr>
            </w:pPr>
            <w:r>
              <w:rPr>
                <w:rFonts w:asciiTheme="majorBidi" w:hAnsiTheme="majorBidi" w:cstheme="majorBidi"/>
                <w:b w:val="0"/>
                <w:bCs w:val="0"/>
                <w:szCs w:val="20"/>
              </w:rPr>
              <w:t>Single high-stakes performance</w:t>
            </w:r>
          </w:p>
        </w:tc>
        <w:tc>
          <w:tcPr>
            <w:tcW w:w="3000" w:type="dxa"/>
            <w:tcBorders>
              <w:top w:val="single" w:sz="4" w:space="0" w:color="auto"/>
              <w:bottom w:val="nil"/>
            </w:tcBorders>
            <w:hideMark/>
          </w:tcPr>
          <w:p w14:paraId="0ECB7ED6" w14:textId="77777777" w:rsidR="002B2863" w:rsidRPr="002B2863" w:rsidRDefault="002B2863" w:rsidP="002B2863">
            <w:pPr>
              <w:spacing w:line="480" w:lineRule="auto"/>
              <w:ind w:firstLine="3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Continuous, low-stakes evidence</w:t>
            </w:r>
          </w:p>
        </w:tc>
        <w:tc>
          <w:tcPr>
            <w:tcW w:w="3000" w:type="dxa"/>
            <w:tcBorders>
              <w:top w:val="single" w:sz="4" w:space="0" w:color="auto"/>
              <w:bottom w:val="nil"/>
            </w:tcBorders>
          </w:tcPr>
          <w:p w14:paraId="0ECB7E01" w14:textId="77777777" w:rsidR="002B2863" w:rsidRPr="002B2863" w:rsidRDefault="002B2863" w:rsidP="002B2863">
            <w:pPr>
              <w:spacing w:line="480" w:lineRule="auto"/>
              <w:ind w:firstLine="3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Periodic anchor points set within continuous evidence</w:t>
            </w:r>
          </w:p>
        </w:tc>
      </w:tr>
      <w:tr w:rsidR="002B2863" w:rsidRPr="002B2863" w14:paraId="0A24E070" w14:textId="77777777" w:rsidTr="002B2863">
        <w:tc>
          <w:tcPr>
            <w:cnfStyle w:val="001000000000" w:firstRow="0" w:lastRow="0" w:firstColumn="1" w:lastColumn="0" w:oddVBand="0" w:evenVBand="0" w:oddHBand="0" w:evenHBand="0" w:firstRowFirstColumn="0" w:firstRowLastColumn="0" w:lastRowFirstColumn="0" w:lastRowLastColumn="0"/>
            <w:tcW w:w="3026" w:type="dxa"/>
            <w:tcBorders>
              <w:top w:val="nil"/>
              <w:bottom w:val="nil"/>
            </w:tcBorders>
            <w:hideMark/>
          </w:tcPr>
          <w:p w14:paraId="7CF802C7" w14:textId="77777777" w:rsidR="002B2863" w:rsidRPr="002B2863" w:rsidRDefault="002B2863" w:rsidP="002B2863">
            <w:pPr>
              <w:spacing w:line="480" w:lineRule="auto"/>
              <w:ind w:firstLine="29"/>
              <w:jc w:val="left"/>
              <w:rPr>
                <w:rFonts w:asciiTheme="majorBidi" w:hAnsiTheme="majorBidi" w:cstheme="majorBidi"/>
                <w:b w:val="0"/>
                <w:bCs w:val="0"/>
                <w:szCs w:val="20"/>
              </w:rPr>
            </w:pPr>
            <w:r>
              <w:rPr>
                <w:rFonts w:asciiTheme="majorBidi" w:hAnsiTheme="majorBidi" w:cstheme="majorBidi"/>
                <w:b w:val="0"/>
                <w:bCs w:val="0"/>
                <w:szCs w:val="20"/>
              </w:rPr>
              <w:t>Time-limited, decontextualized tasks</w:t>
            </w:r>
          </w:p>
        </w:tc>
        <w:tc>
          <w:tcPr>
            <w:tcW w:w="3000" w:type="dxa"/>
            <w:tcBorders>
              <w:top w:val="nil"/>
              <w:bottom w:val="nil"/>
            </w:tcBorders>
            <w:hideMark/>
          </w:tcPr>
          <w:p w14:paraId="518F866D" w14:textId="77777777" w:rsidR="002B2863" w:rsidRPr="002B2863" w:rsidRDefault="002B2863" w:rsidP="002B2863">
            <w:pPr>
              <w:spacing w:line="480" w:lineRule="auto"/>
              <w:ind w:firstLine="3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Contextualized, interaction-based tasks</w:t>
            </w:r>
          </w:p>
        </w:tc>
        <w:tc>
          <w:tcPr>
            <w:tcW w:w="3000" w:type="dxa"/>
            <w:tcBorders>
              <w:top w:val="nil"/>
              <w:bottom w:val="nil"/>
            </w:tcBorders>
          </w:tcPr>
          <w:p w14:paraId="518F8601" w14:textId="77777777" w:rsidR="002B2863" w:rsidRPr="002B2863" w:rsidRDefault="002B2863" w:rsidP="002B2863">
            <w:pPr>
              <w:spacing w:line="480" w:lineRule="auto"/>
              <w:ind w:firstLine="3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Authentic tasks under partly standardized conditions</w:t>
            </w:r>
          </w:p>
        </w:tc>
      </w:tr>
      <w:tr w:rsidR="002B2863" w:rsidRPr="002B2863" w14:paraId="1D2196E7" w14:textId="77777777" w:rsidTr="002B2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6" w:type="dxa"/>
            <w:tcBorders>
              <w:top w:val="nil"/>
              <w:bottom w:val="nil"/>
            </w:tcBorders>
            <w:hideMark/>
          </w:tcPr>
          <w:p w14:paraId="43C2DE30" w14:textId="77777777" w:rsidR="002B2863" w:rsidRPr="002B2863" w:rsidRDefault="002B2863" w:rsidP="002B2863">
            <w:pPr>
              <w:spacing w:line="480" w:lineRule="auto"/>
              <w:ind w:firstLine="29"/>
              <w:jc w:val="left"/>
              <w:rPr>
                <w:rFonts w:asciiTheme="majorBidi" w:hAnsiTheme="majorBidi" w:cstheme="majorBidi"/>
                <w:b w:val="0"/>
                <w:bCs w:val="0"/>
                <w:szCs w:val="20"/>
              </w:rPr>
            </w:pPr>
            <w:r>
              <w:rPr>
                <w:rFonts w:asciiTheme="majorBidi" w:hAnsiTheme="majorBidi" w:cstheme="majorBidi"/>
                <w:b w:val="0"/>
                <w:bCs w:val="0"/>
                <w:szCs w:val="20"/>
              </w:rPr>
              <w:t>Focus on accuracy and correctness</w:t>
            </w:r>
          </w:p>
        </w:tc>
        <w:tc>
          <w:tcPr>
            <w:tcW w:w="3000" w:type="dxa"/>
            <w:tcBorders>
              <w:top w:val="nil"/>
              <w:bottom w:val="nil"/>
            </w:tcBorders>
            <w:hideMark/>
          </w:tcPr>
          <w:p w14:paraId="25D2A571" w14:textId="77777777" w:rsidR="002B2863" w:rsidRPr="002B2863" w:rsidRDefault="002B2863" w:rsidP="002B2863">
            <w:pPr>
              <w:spacing w:line="480" w:lineRule="auto"/>
              <w:ind w:firstLine="3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Focus on communicative effectiveness</w:t>
            </w:r>
          </w:p>
        </w:tc>
        <w:tc>
          <w:tcPr>
            <w:tcW w:w="3000" w:type="dxa"/>
            <w:tcBorders>
              <w:top w:val="nil"/>
              <w:bottom w:val="nil"/>
            </w:tcBorders>
          </w:tcPr>
          <w:p w14:paraId="1635A901" w14:textId="77777777" w:rsidR="002B2863" w:rsidRPr="002B2863" w:rsidRDefault="002B2863" w:rsidP="002B2863">
            <w:pPr>
              <w:spacing w:line="480" w:lineRule="auto"/>
              <w:ind w:firstLine="3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Accuracy and communicative effectiveness weighted together</w:t>
            </w:r>
          </w:p>
        </w:tc>
      </w:tr>
      <w:tr w:rsidR="002B2863" w:rsidRPr="002B2863" w14:paraId="23C5AE5D" w14:textId="77777777" w:rsidTr="002B2863">
        <w:tc>
          <w:tcPr>
            <w:cnfStyle w:val="001000000000" w:firstRow="0" w:lastRow="0" w:firstColumn="1" w:lastColumn="0" w:oddVBand="0" w:evenVBand="0" w:oddHBand="0" w:evenHBand="0" w:firstRowFirstColumn="0" w:firstRowLastColumn="0" w:lastRowFirstColumn="0" w:lastRowLastColumn="0"/>
            <w:tcW w:w="3026" w:type="dxa"/>
            <w:tcBorders>
              <w:top w:val="nil"/>
              <w:bottom w:val="nil"/>
            </w:tcBorders>
            <w:hideMark/>
          </w:tcPr>
          <w:p w14:paraId="2CA6CDE6" w14:textId="77777777" w:rsidR="002B2863" w:rsidRPr="002B2863" w:rsidRDefault="002B2863" w:rsidP="002B2863">
            <w:pPr>
              <w:spacing w:line="480" w:lineRule="auto"/>
              <w:ind w:firstLine="29"/>
              <w:jc w:val="left"/>
              <w:rPr>
                <w:rFonts w:asciiTheme="majorBidi" w:hAnsiTheme="majorBidi" w:cstheme="majorBidi"/>
                <w:b w:val="0"/>
                <w:bCs w:val="0"/>
                <w:szCs w:val="20"/>
              </w:rPr>
            </w:pPr>
            <w:r>
              <w:rPr>
                <w:rFonts w:asciiTheme="majorBidi" w:hAnsiTheme="majorBidi" w:cstheme="majorBidi"/>
                <w:b w:val="0"/>
                <w:bCs w:val="0"/>
                <w:szCs w:val="20"/>
              </w:rPr>
              <w:t>Product-oriented</w:t>
            </w:r>
          </w:p>
        </w:tc>
        <w:tc>
          <w:tcPr>
            <w:tcW w:w="3000" w:type="dxa"/>
            <w:tcBorders>
              <w:top w:val="nil"/>
              <w:bottom w:val="nil"/>
            </w:tcBorders>
            <w:hideMark/>
          </w:tcPr>
          <w:p w14:paraId="1635A9F4" w14:textId="77777777" w:rsidR="002B2863" w:rsidRPr="002B2863" w:rsidRDefault="002B2863" w:rsidP="002B2863">
            <w:pPr>
              <w:spacing w:line="480" w:lineRule="auto"/>
              <w:ind w:firstLine="3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Process + product oriented</w:t>
            </w:r>
          </w:p>
        </w:tc>
        <w:tc>
          <w:tcPr>
            <w:tcW w:w="3000" w:type="dxa"/>
            <w:tcBorders>
              <w:top w:val="nil"/>
              <w:bottom w:val="nil"/>
            </w:tcBorders>
          </w:tcPr>
          <w:p w14:paraId="1635A902" w14:textId="77777777" w:rsidR="002B2863" w:rsidRPr="002B2863" w:rsidRDefault="002B2863" w:rsidP="002B2863">
            <w:pPr>
              <w:spacing w:line="480" w:lineRule="auto"/>
              <w:ind w:firstLine="3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Process and product, with selective benchmarking</w:t>
            </w:r>
          </w:p>
        </w:tc>
      </w:tr>
      <w:tr w:rsidR="002B2863" w:rsidRPr="002B2863" w14:paraId="27C0E775" w14:textId="77777777" w:rsidTr="002B2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6" w:type="dxa"/>
            <w:tcBorders>
              <w:top w:val="nil"/>
            </w:tcBorders>
            <w:hideMark/>
          </w:tcPr>
          <w:p w14:paraId="71BEEC84" w14:textId="77777777" w:rsidR="002B2863" w:rsidRPr="002B2863" w:rsidRDefault="002B2863" w:rsidP="002B2863">
            <w:pPr>
              <w:spacing w:line="480" w:lineRule="auto"/>
              <w:ind w:firstLine="29"/>
              <w:jc w:val="left"/>
              <w:rPr>
                <w:rFonts w:asciiTheme="majorBidi" w:hAnsiTheme="majorBidi" w:cstheme="majorBidi"/>
                <w:b w:val="0"/>
                <w:bCs w:val="0"/>
                <w:szCs w:val="20"/>
              </w:rPr>
            </w:pPr>
            <w:r>
              <w:rPr>
                <w:rFonts w:asciiTheme="majorBidi" w:hAnsiTheme="majorBidi" w:cstheme="majorBidi"/>
                <w:b w:val="0"/>
                <w:bCs w:val="0"/>
                <w:szCs w:val="20"/>
              </w:rPr>
              <w:lastRenderedPageBreak/>
              <w:t>One-time measurement</w:t>
            </w:r>
          </w:p>
        </w:tc>
        <w:tc>
          <w:tcPr>
            <w:tcW w:w="3000" w:type="dxa"/>
            <w:tcBorders>
              <w:top w:val="nil"/>
            </w:tcBorders>
            <w:hideMark/>
          </w:tcPr>
          <w:p w14:paraId="44846FC6" w14:textId="77777777" w:rsidR="002B2863" w:rsidRPr="002B2863" w:rsidRDefault="002B2863" w:rsidP="002B2863">
            <w:pPr>
              <w:spacing w:line="480" w:lineRule="auto"/>
              <w:ind w:firstLine="3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Development over time</w:t>
            </w:r>
          </w:p>
        </w:tc>
        <w:tc>
          <w:tcPr>
            <w:tcW w:w="3000" w:type="dxa"/>
            <w:tcBorders>
              <w:top w:val="nil"/>
            </w:tcBorders>
          </w:tcPr>
          <w:p w14:paraId="44846F01" w14:textId="77777777" w:rsidR="002B2863" w:rsidRPr="002B2863" w:rsidRDefault="002B2863" w:rsidP="002B2863">
            <w:pPr>
              <w:spacing w:line="480" w:lineRule="auto"/>
              <w:ind w:firstLine="3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Pr>
                <w:rFonts w:asciiTheme="majorBidi" w:hAnsiTheme="majorBidi" w:cstheme="majorBidi"/>
                <w:szCs w:val="20"/>
              </w:rPr>
              <w:t>Development tracked through recurring checkpoints</w:t>
            </w:r>
          </w:p>
        </w:tc>
      </w:tr>
    </w:tbl>
    <w:p w14:paraId="7EB96A4A" w14:textId="77777777" w:rsidR="002B2863" w:rsidRDefault="002B2863" w:rsidP="002B2863">
      <w:pPr>
        <w:spacing w:before="0" w:after="0" w:line="480" w:lineRule="auto"/>
        <w:rPr>
          <w:rFonts w:asciiTheme="majorBidi" w:hAnsiTheme="majorBidi" w:cstheme="majorBidi"/>
          <w:sz w:val="24"/>
          <w:szCs w:val="24"/>
        </w:rPr>
      </w:pPr>
    </w:p>
    <w:p w14:paraId="2E7C35E4" w14:textId="06DA45EE" w:rsidR="002B2863" w:rsidRPr="002B2863" w:rsidRDefault="002B2863" w:rsidP="002B2863">
      <w:pPr>
        <w:spacing w:before="0" w:after="0" w:line="480" w:lineRule="auto"/>
        <w:rPr>
          <w:rFonts w:asciiTheme="majorBidi" w:hAnsiTheme="majorBidi" w:cstheme="majorBidi"/>
          <w:sz w:val="24"/>
          <w:szCs w:val="24"/>
        </w:rPr>
      </w:pPr>
      <w:r>
        <w:rPr>
          <w:rFonts w:asciiTheme="majorBidi" w:hAnsiTheme="majorBidi" w:cstheme="majorBidi"/>
          <w:sz w:val="24"/>
          <w:szCs w:val="24"/>
        </w:rPr>
        <w:t>Traditional exam-based assessment operates within a measurement paradigm, assuming that language ability can be quantified through standardized tasks administered under controlled conditions. This approach prioritizes reliability and comparability, ensuring that all learners are assessed using the same criteria. However, such standardization often requires the simplification of complex constructs, reducing communicative competence to discrete, measurable components (Fulcher, 2010).</w:t>
      </w:r>
    </w:p>
    <w:p w14:paraId="6E2C431E" w14:textId="77777777" w:rsidR="002B2863" w:rsidRPr="002B2863" w:rsidRDefault="002B2863" w:rsidP="002B2863">
      <w:pPr>
        <w:spacing w:line="480" w:lineRule="auto"/>
        <w:rPr>
          <w:rFonts w:asciiTheme="majorBidi" w:hAnsiTheme="majorBidi" w:cstheme="majorBidi"/>
          <w:sz w:val="24"/>
          <w:szCs w:val="24"/>
        </w:rPr>
      </w:pPr>
      <w:r>
        <w:rPr>
          <w:rFonts w:asciiTheme="majorBidi" w:hAnsiTheme="majorBidi" w:cstheme="majorBidi"/>
          <w:sz w:val="24"/>
          <w:szCs w:val="24"/>
        </w:rPr>
        <w:t>This reduction has important consequences. By focusing on what can be easily measured, exams may neglect aspects of language use that are more difficult to quantify, such as interactional competence, pragmatic appropriateness, and strategic communication. As a result, there is a risk of construct under-representation, where the assessment fails to capture the full range of abilities it claims to measure (Messick, 1989).</w:t>
      </w:r>
    </w:p>
    <w:p w14:paraId="3317C731" w14:textId="77777777" w:rsidR="002B2863" w:rsidRPr="002B2863" w:rsidRDefault="002B2863" w:rsidP="002B2863">
      <w:pPr>
        <w:spacing w:line="480" w:lineRule="auto"/>
        <w:rPr>
          <w:rFonts w:asciiTheme="majorBidi" w:hAnsiTheme="majorBidi" w:cstheme="majorBidi"/>
          <w:sz w:val="24"/>
          <w:szCs w:val="24"/>
        </w:rPr>
      </w:pPr>
      <w:r>
        <w:rPr>
          <w:rFonts w:asciiTheme="majorBidi" w:hAnsiTheme="majorBidi" w:cstheme="majorBidi"/>
          <w:sz w:val="24"/>
          <w:szCs w:val="24"/>
        </w:rPr>
        <w:t>In contrast, evidence-based assessment models expand the range of evidence used to evaluate learning, incorporating spoken interactions, written outputs, reflective accounts, peer feedback, and teacher observations. This allows for a more comprehensive and context-sensitive representation of language ability. However, this shift from measurement to evidence introduces new challenges. Unlike exam scores, which produce clear and comparable outcomes, evidence-based assessment relies on interpretive judgment, raising questions about reliability, transparency, and fairness.</w:t>
      </w:r>
    </w:p>
    <w:p w14:paraId="32416EDB" w14:textId="77777777" w:rsidR="002B2863" w:rsidRPr="002B2863" w:rsidRDefault="002B2863" w:rsidP="002B2863">
      <w:pPr>
        <w:spacing w:line="480" w:lineRule="auto"/>
        <w:rPr>
          <w:rFonts w:asciiTheme="majorBidi" w:hAnsiTheme="majorBidi" w:cstheme="majorBidi"/>
          <w:sz w:val="24"/>
          <w:szCs w:val="24"/>
        </w:rPr>
      </w:pPr>
      <w:r>
        <w:rPr>
          <w:rFonts w:asciiTheme="majorBidi" w:hAnsiTheme="majorBidi" w:cstheme="majorBidi"/>
          <w:sz w:val="24"/>
          <w:szCs w:val="24"/>
        </w:rPr>
        <w:t xml:space="preserve">Furthermore, this shift redefines assessment as an interpretive and context-dependent practice rather than a purely technical process of measurement. In traditional systems, knowledge is treated as something that can be sampled and generalized across contexts, </w:t>
      </w:r>
      <w:r>
        <w:rPr>
          <w:rFonts w:asciiTheme="majorBidi" w:hAnsiTheme="majorBidi" w:cstheme="majorBidi"/>
          <w:sz w:val="24"/>
          <w:szCs w:val="24"/>
        </w:rPr>
        <w:lastRenderedPageBreak/>
        <w:t>aligning with a positivist view of assessment. However, when assessment is based on multiple forms of evidence, this epistemological foundation becomes less stable.</w:t>
      </w:r>
    </w:p>
    <w:p w14:paraId="1346890D" w14:textId="77777777" w:rsidR="002B2863" w:rsidRPr="002B2863" w:rsidRDefault="002B2863" w:rsidP="002B2863">
      <w:pPr>
        <w:spacing w:line="480" w:lineRule="auto"/>
        <w:rPr>
          <w:rFonts w:asciiTheme="majorBidi" w:hAnsiTheme="majorBidi" w:cstheme="majorBidi"/>
          <w:sz w:val="24"/>
          <w:szCs w:val="24"/>
        </w:rPr>
      </w:pPr>
      <w:r>
        <w:rPr>
          <w:rFonts w:asciiTheme="majorBidi" w:hAnsiTheme="majorBidi" w:cstheme="majorBidi"/>
          <w:sz w:val="24"/>
          <w:szCs w:val="24"/>
        </w:rPr>
        <w:t>One key issue is the problem of commensurability. Different forms of evidence, such as interaction, written production, and reflection, do not easily translate into a single metric. Unlike test scores, which are designed to be comparable, these forms of evidence are inherently heterogeneous. This raises the question of whether assessment should prioritize comparability or embrace the richness and contextuality of evidence, even at the expense of standardization.</w:t>
      </w:r>
    </w:p>
    <w:p w14:paraId="140461C3" w14:textId="77777777" w:rsidR="002B2863" w:rsidRPr="002B2863" w:rsidRDefault="002B2863" w:rsidP="002B2863">
      <w:pPr>
        <w:spacing w:line="480" w:lineRule="auto"/>
        <w:rPr>
          <w:rFonts w:asciiTheme="majorBidi" w:hAnsiTheme="majorBidi" w:cstheme="majorBidi"/>
          <w:sz w:val="24"/>
          <w:szCs w:val="24"/>
        </w:rPr>
      </w:pPr>
      <w:r>
        <w:rPr>
          <w:rFonts w:asciiTheme="majorBidi" w:hAnsiTheme="majorBidi" w:cstheme="majorBidi"/>
          <w:sz w:val="24"/>
          <w:szCs w:val="24"/>
        </w:rPr>
        <w:t>This tension is particularly salient in ESL-oriented contexts, where language use is situated and context-dependent. If communicative competence varies across contexts, interlocutors, and purposes, then reducing it to a single score may be inherently reductive. Evidence-based approaches respond to this by embracing variability rather than controlling for it, but this also complicates decision-making in institutional settings where comparable outcomes are required.</w:t>
      </w:r>
    </w:p>
    <w:p w14:paraId="0727257F" w14:textId="0C63DABF" w:rsidR="002B2863" w:rsidRPr="002B2863" w:rsidRDefault="002B2863" w:rsidP="002B2863">
      <w:pPr>
        <w:spacing w:line="480" w:lineRule="auto"/>
        <w:rPr>
          <w:rFonts w:asciiTheme="majorBidi" w:hAnsiTheme="majorBidi" w:cstheme="majorBidi"/>
          <w:sz w:val="24"/>
          <w:szCs w:val="24"/>
        </w:rPr>
      </w:pPr>
      <w:r>
        <w:rPr>
          <w:rFonts w:asciiTheme="majorBidi" w:hAnsiTheme="majorBidi" w:cstheme="majorBidi"/>
          <w:sz w:val="24"/>
          <w:szCs w:val="24"/>
        </w:rPr>
        <w:t>Another critical issue concerns the temporal dimension of assessment. Traditional exams capture performance at a specific moment, whereas evidence-based assessment tracks development over time. While this allows for a more nuanced understanding of learning, it raises questions about what counts as representative performance, that is, whether assessment should privilege peak performance, typical performance, or improvement.</w:t>
      </w:r>
    </w:p>
    <w:p w14:paraId="26A78F0D" w14:textId="06A8B029" w:rsidR="006A0AE2" w:rsidRPr="00E40940" w:rsidRDefault="002B2863" w:rsidP="002B2863">
      <w:pPr>
        <w:spacing w:line="480" w:lineRule="auto"/>
        <w:rPr>
          <w:rFonts w:asciiTheme="majorBidi" w:hAnsiTheme="majorBidi" w:cstheme="majorBidi"/>
          <w:sz w:val="24"/>
          <w:szCs w:val="24"/>
        </w:rPr>
      </w:pPr>
      <w:r>
        <w:rPr>
          <w:rFonts w:asciiTheme="majorBidi" w:hAnsiTheme="majorBidi" w:cstheme="majorBidi"/>
          <w:sz w:val="24"/>
          <w:szCs w:val="24"/>
        </w:rPr>
        <w:t>Finally, the redistribution of assessment across time and contexts alters the relationship between assessment and learning. In exam-driven systems, assessment often functions as a terminal event. In evidence-based models, it becomes embedded within ongoing activity. While this integration is pedagogically desirable, it also blurs the boundary between formative and summative assessment, raising questions about how and when evaluative judgments should be made.</w:t>
      </w:r>
    </w:p>
    <w:p w14:paraId="0527B1DB" w14:textId="2CA93A0E" w:rsidR="00722EDE" w:rsidRPr="00E40940" w:rsidRDefault="002B2863" w:rsidP="002B2863">
      <w:pPr>
        <w:pStyle w:val="RALs-Heading1"/>
        <w:rPr>
          <w:rFonts w:asciiTheme="majorBidi" w:hAnsiTheme="majorBidi" w:cstheme="majorBidi"/>
          <w:sz w:val="24"/>
          <w:szCs w:val="24"/>
        </w:rPr>
      </w:pPr>
      <w:r>
        <w:rPr>
          <w:rFonts w:asciiTheme="majorBidi" w:hAnsiTheme="majorBidi" w:cstheme="majorBidi"/>
          <w:sz w:val="24"/>
          <w:szCs w:val="24"/>
        </w:rPr>
        <w:lastRenderedPageBreak/>
        <w:t>3. Theoretical and Critical Perspectives</w:t>
      </w:r>
    </w:p>
    <w:p w14:paraId="43BA14AB"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The move toward no-exam assessment is often justified through established theoretical frameworks, including sociocultural theory, constructivism, and Assessment for Learning. While these perspectives provide strong support for alternative approaches, they also reveal underlying tensions that complicate their implementation.</w:t>
      </w:r>
    </w:p>
    <w:p w14:paraId="54B7ACE0"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From a sociocultural perspective, learning is inherently social and mediated through interaction (Vygotsky, 1978). Language competence emerges through participation in communicative practices, where meaning is co-constructed between individuals. This challenges the validity of traditional exams, which isolate learners from interactional contexts. However, it also complicates the notion of individual assessment. If performance is co-constructed, it becomes difficult to determine the extent to which it reflects individual ability. This raises important questions about attribution, fairness, and the role of assessment in evaluating individual learners.</w:t>
      </w:r>
    </w:p>
    <w:p w14:paraId="256FF587"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Constructivist theory further conceptualizes learning as an active process of meaning-making (Piaget, 1970; Boud &amp; Falchikov, 2007). Knowledge is not reproduced but constructed through engagement with tasks and experiences. This challenges the epistemological assumptions of exam-based assessment, which often treats knowledge as stable and transferable. However, constructivism also implies that learning is inherently variable, shaped by individual experiences and interpretations. This variability complicates the application of standardized assessment criteria and raises questions about how consistency can be achieved without oversimplifying the learning process.</w:t>
      </w:r>
    </w:p>
    <w:p w14:paraId="532B01F3"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 xml:space="preserve">Assessment for Learning (AfL) emphasizes the central role of feedback in supporting learning (Black &amp; Wiliam, 1998). Carless (2015) extends this perspective by highlighting dialogic feedback, where learners actively engage with feedback processes. </w:t>
      </w:r>
      <w:r>
        <w:rPr>
          <w:rFonts w:asciiTheme="majorBidi" w:hAnsiTheme="majorBidi" w:cstheme="majorBidi"/>
          <w:color w:val="000000"/>
          <w:lang w:val="en"/>
        </w:rPr>
        <w:t xml:space="preserve">More recent work </w:t>
      </w:r>
      <w:r>
        <w:rPr>
          <w:rFonts w:asciiTheme="majorBidi" w:hAnsiTheme="majorBidi" w:cstheme="majorBidi"/>
          <w:color w:val="000000"/>
          <w:lang w:val="en"/>
        </w:rPr>
        <w:lastRenderedPageBreak/>
        <w:t>emphasizes learners’ capacity to interpret and use feedback effectively, particularly through the development of evaluative judgement</w:t>
      </w:r>
      <w:r>
        <w:rPr>
          <w:rFonts w:asciiTheme="majorBidi" w:hAnsiTheme="majorBidi" w:cstheme="majorBidi"/>
          <w:color w:val="000000"/>
        </w:rPr>
        <w:t xml:space="preserve"> (Tai et al., 2018). These perspectives support the integration of assessment into learning processes and align with the principles of no-exam classrooms.</w:t>
      </w:r>
    </w:p>
    <w:p w14:paraId="33F6B32D"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However, they also introduce new challenges. The emphasis on learner agency assumes that learners possess the skills and dispositions necessary to engage with feedback. In contexts where students are accustomed to exam-driven systems, this assumption may not hold. Without explicit support, learners may struggle to interpret feedback or to translate it into meaningful action. As a result, the effectiveness of no-exam approaches may depend on the development of new forms of assessment literacy among both teachers and students.</w:t>
      </w:r>
    </w:p>
    <w:p w14:paraId="1A448E68"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From a validity perspective, Messick (1989) argues that assessment must accurately represent the construct it claims to measure. In communicative language teaching, this construct is inherently complex and context-dependent. While no-exam approaches attempt to enhance construct validity by incorporating multiple forms of evidence, they simultaneously reduce standardization. This creates a tension between validity and reliability that cannot be fully resolved.</w:t>
      </w:r>
    </w:p>
    <w:p w14:paraId="5317E314"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Moreover, the shift toward evidence-based assessment reconfigures power relations within the classroom. Traditional exams position teachers as evaluators and students as subjects of evaluation. In contrast, no-exam approaches emphasize collaboration, reflection, and shared responsibility. While this may be pedagogically desirable, it also challenges established roles and may create uncertainty for both teachers and learners.</w:t>
      </w:r>
    </w:p>
    <w:p w14:paraId="566F520D"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 xml:space="preserve">Taken together, these theoretical perspectives suggest that no-exam assessment is not a straightforward solution, but a reconfiguration of existing dilemmas. It foregrounds issues of </w:t>
      </w:r>
      <w:r>
        <w:rPr>
          <w:rFonts w:asciiTheme="majorBidi" w:hAnsiTheme="majorBidi" w:cstheme="majorBidi"/>
          <w:color w:val="000000"/>
        </w:rPr>
        <w:lastRenderedPageBreak/>
        <w:t>interpretation, agency, and context, while introducing new challenges related to consistency, scalability, and institutional alignment.</w:t>
      </w:r>
    </w:p>
    <w:p w14:paraId="07ABAA1F"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A further layer of complexity emerges when these theoretical perspectives are considered not only as justifications for alternative assessment, but as lenses for critique. While sociocultural theory emphasizes interaction and mediation, it does not necessarily provide clear guidance on how to evaluate individual performance within collaborative contexts. If learning is distributed across participants and tools, then assessment must account for this distribution. However, most educational systems continue to require individual certification, creating a structural tension between theory and practice.</w:t>
      </w:r>
    </w:p>
    <w:p w14:paraId="5FAA223B"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The same critique applies to constructivist accounts. Because they treat learning trajectories as individualized, they support personalized, process-oriented assessment but sit uneasily with the notion of common standards. If learning is inherently individualized, then the application of uniform assessment criteria may risk misrepresenting learners’ achievements. This raises a critical question: to what extent should assessment prioritize comparability over representational accuracy?</w:t>
      </w:r>
    </w:p>
    <w:p w14:paraId="1CF00967"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 xml:space="preserve">The concept of feedback literacy further complicates this picture. While Tai et al. (2018) </w:t>
      </w:r>
      <w:r>
        <w:rPr>
          <w:rFonts w:asciiTheme="majorBidi" w:hAnsiTheme="majorBidi" w:cstheme="majorBidi"/>
          <w:color w:val="000000"/>
          <w:lang w:val="en"/>
        </w:rPr>
        <w:t>emphasize the development of evaluative judgement, which underpins learners’ ability to interpret and use feedback effectively, this capacity cannot be assumed and must be explicitly taught and scaffolded</w:t>
      </w:r>
      <w:r>
        <w:rPr>
          <w:rFonts w:asciiTheme="majorBidi" w:hAnsiTheme="majorBidi" w:cstheme="majorBidi"/>
          <w:color w:val="000000"/>
        </w:rPr>
        <w:t>. In contexts where students have been socialized into exam-oriented systems, the transition to feedback-rich environments may require significant adjustment. Without such support, learners may struggle to engage with feedback, leading to superficial or ineffective use of assessment information.</w:t>
      </w:r>
    </w:p>
    <w:p w14:paraId="3FA57156"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lastRenderedPageBreak/>
        <w:t>Moreover, the emphasis on learner agency in no-exam approaches may obscure the continued influence of institutional and cultural structures. While students may be encouraged to take ownership of their learning, their actions remain shaped by broader expectations, including grading systems, curriculum requirements, and future opportunities. In this sense, agency is not simply a matter of individual choice, but is mediated by systemic constraints.</w:t>
      </w:r>
    </w:p>
    <w:p w14:paraId="48F9BD91" w14:textId="7777777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From a critical perspective, it is also important to consider how power operates within assessment systems. Traditional exams centralize authority in the hands of institutions and examiners, while no-exam approaches redistribute some of this authority to teachers and learners. However, this redistribution is not neutral. It may create new forms of inequality, particularly if learners differ in their ability to engage with reflective and self-directed processes. Students with stronger metacognitive skills or greater access to support may benefit disproportionately, raising concerns about equity.</w:t>
      </w:r>
    </w:p>
    <w:p w14:paraId="2FEA4EE6" w14:textId="232F22F7" w:rsidR="002B2863" w:rsidRPr="002B2863" w:rsidRDefault="002B2863" w:rsidP="002B2863">
      <w:pPr>
        <w:pStyle w:val="NormalWeb"/>
        <w:shd w:val="clear" w:color="auto" w:fill="FFFFFF"/>
        <w:spacing w:before="0" w:after="120" w:line="480" w:lineRule="auto"/>
        <w:ind w:firstLine="720"/>
        <w:jc w:val="both"/>
        <w:textAlignment w:val="baseline"/>
        <w:rPr>
          <w:rFonts w:asciiTheme="majorBidi" w:hAnsiTheme="majorBidi" w:cstheme="majorBidi"/>
          <w:color w:val="000000"/>
        </w:rPr>
      </w:pPr>
      <w:r>
        <w:rPr>
          <w:rFonts w:asciiTheme="majorBidi" w:hAnsiTheme="majorBidi" w:cstheme="majorBidi"/>
          <w:color w:val="000000"/>
        </w:rPr>
        <w:t>Finally, the shift toward evidence-based assessment can be understood as part of a broader movement toward what Boud and Falchikov (2007) describe as sustainable assessment. This approach emphasizes the development of learners’ capacity to evaluate their own work beyond formal education. While this represents an important goal, it also requires a redefinition of success in education, with a shift from performance on tests to the ability to engage in ongoing learning. This has far-reaching implications not only for assessment practices, but for the purposes of education itself.</w:t>
      </w:r>
    </w:p>
    <w:p w14:paraId="141DB6BA" w14:textId="0357817C" w:rsidR="002B2863" w:rsidRPr="00E40940" w:rsidRDefault="002B2863" w:rsidP="002B2863">
      <w:pPr>
        <w:pStyle w:val="RALs-Heading1"/>
        <w:rPr>
          <w:rFonts w:asciiTheme="majorBidi" w:hAnsiTheme="majorBidi" w:cstheme="majorBidi"/>
          <w:sz w:val="24"/>
          <w:szCs w:val="24"/>
        </w:rPr>
      </w:pPr>
      <w:r>
        <w:rPr>
          <w:rFonts w:asciiTheme="majorBidi" w:hAnsiTheme="majorBidi" w:cstheme="majorBidi"/>
          <w:sz w:val="24"/>
          <w:szCs w:val="24"/>
        </w:rPr>
        <w:t>4. Toward a Reconceptualised Assessment Framework</w:t>
      </w:r>
    </w:p>
    <w:p w14:paraId="434EEA96" w14:textId="77777777"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t xml:space="preserve">Rather than framing the debate as a binary choice between exam-based and no-exam approaches, a more productive perspective is to reconceptualize assessment as a system that integrates multiple forms of evidence while remaining responsive to institutional and pedagogical demands. The question is therefore not whether exams should be retained or </w:t>
      </w:r>
      <w:r>
        <w:rPr>
          <w:rFonts w:asciiTheme="majorBidi" w:hAnsiTheme="majorBidi" w:cstheme="majorBidi"/>
        </w:rPr>
        <w:lastRenderedPageBreak/>
        <w:t>removed, but how different assessment practices can be combined to better reflect the complexity of language learning in ESL-oriented contexts.</w:t>
      </w:r>
    </w:p>
    <w:p w14:paraId="458A50DD" w14:textId="77777777"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t>This reconceptualization requires a shift from viewing assessment as a tool for measurement to understanding it as a system of practices that mediate learning, evaluation, and decision-making. In traditional exam-based models, assessment is largely separated from instruction and designed to produce standardized outcomes. In contrast, evidence-based approaches embed assessment within learning processes, emphasizing development, interaction, and feedback. However, as the previous discussion has shown, neither approach is without limitations.</w:t>
      </w:r>
    </w:p>
    <w:p w14:paraId="664CF5FD" w14:textId="77777777"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t>At the core of this issue lies a set of persistent tensions that cannot be fully resolved, but must instead be managed. One such tension lies between validity and reliability. While evidence-based assessment enhances construct validity by capturing authentic and context-sensitive language use, it often reduces standardization, making it more difficult to ensure consistency across learners (Messick, 1989). Conversely, traditional exams achieve high reliability through controlled conditions, but risk under-representing the construct of communicative competence.</w:t>
      </w:r>
    </w:p>
    <w:p w14:paraId="3185E498" w14:textId="77777777"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t>A related tension exists between authenticity and comparability. Tasks that closely resemble real-world language use are inherently variable, shaped by context, interlocutors, and purpose. While this variability reflects the nature of language, it complicates efforts to compare learners on a common scale. Similarly, there is a tension between flexibility and accountability. Evidence-based systems allow for adaptation to learners’ needs and trajectories, but institutions often require clear, comparable outcomes for purposes of certification and progression.</w:t>
      </w:r>
    </w:p>
    <w:p w14:paraId="49FBF9C6" w14:textId="71AAEF73" w:rsidR="007C53D1" w:rsidRDefault="007C53D1" w:rsidP="002270B5">
      <w:pPr>
        <w:pStyle w:val="NormalWeb"/>
        <w:shd w:val="clear" w:color="auto" w:fill="FFFFFF"/>
        <w:spacing w:before="0" w:after="120" w:line="480" w:lineRule="auto"/>
        <w:ind w:firstLine="720"/>
        <w:jc w:val="both"/>
        <w:textAlignment w:val="baseline"/>
        <w:rPr>
          <w:rFonts w:asciiTheme="majorBidi" w:hAnsiTheme="majorBidi" w:cstheme="majorBidi"/>
          <w:b/>
          <w:bCs/>
        </w:rPr>
      </w:pPr>
      <w:r>
        <w:rPr>
          <w:rFonts w:asciiTheme="majorBidi" w:hAnsiTheme="majorBidi" w:cstheme="majorBidi"/>
        </w:rPr>
        <w:lastRenderedPageBreak/>
        <w:t>Rather than attempting to eliminate these tensions, a reconceptualised approach to assessment makes them explicit and seeks to balance them through principled design. To address these tensions, a reconceptualised framework for ESL assessment can be proposed, integrating key principles that balance validity, reliability, and pedagogical relevance (see Table 2).</w:t>
      </w:r>
    </w:p>
    <w:p w14:paraId="3C0A3FC7" w14:textId="2F28C435" w:rsidR="007C53D1" w:rsidRPr="007C53D1" w:rsidRDefault="007C53D1" w:rsidP="002270B5">
      <w:pPr>
        <w:pStyle w:val="NormalWeb"/>
        <w:shd w:val="clear" w:color="auto" w:fill="FFFFFF"/>
        <w:spacing w:before="120" w:beforeAutospacing="0" w:after="0" w:afterAutospacing="0" w:line="276" w:lineRule="auto"/>
        <w:ind w:firstLine="720"/>
        <w:jc w:val="both"/>
        <w:textAlignment w:val="baseline"/>
        <w:rPr>
          <w:rFonts w:asciiTheme="majorBidi" w:hAnsiTheme="majorBidi" w:cstheme="majorBidi"/>
          <w:b/>
          <w:bCs/>
        </w:rPr>
      </w:pPr>
      <w:r>
        <w:rPr>
          <w:rFonts w:asciiTheme="majorBidi" w:hAnsiTheme="majorBidi" w:cstheme="majorBidi"/>
          <w:b/>
          <w:bCs/>
        </w:rPr>
        <w:t xml:space="preserve">Table 2. </w:t>
      </w:r>
    </w:p>
    <w:p w14:paraId="18439329" w14:textId="6704BE6D" w:rsidR="007C53D1" w:rsidRPr="007C53D1" w:rsidRDefault="007C53D1" w:rsidP="007C53D1">
      <w:pPr>
        <w:pStyle w:val="NormalWeb"/>
        <w:shd w:val="clear" w:color="auto" w:fill="FFFFFF"/>
        <w:spacing w:before="0" w:after="120"/>
        <w:ind w:firstLine="720"/>
        <w:jc w:val="both"/>
        <w:textAlignment w:val="baseline"/>
        <w:rPr>
          <w:rFonts w:asciiTheme="majorBidi" w:hAnsiTheme="majorBidi" w:cstheme="majorBidi"/>
          <w:i/>
          <w:iCs/>
        </w:rPr>
      </w:pPr>
      <w:r>
        <w:rPr>
          <w:rFonts w:asciiTheme="majorBidi" w:hAnsiTheme="majorBidi" w:cstheme="majorBidi"/>
          <w:i/>
          <w:iCs/>
          <w:lang w:val="en"/>
        </w:rPr>
        <w:t>A Reconceptualised Framework for ESL Assessment: Key Design Principles and Implications</w:t>
      </w:r>
    </w:p>
    <w:tbl>
      <w:tblPr>
        <w:tblStyle w:val="RALs-APA-Table"/>
        <w:tblW w:w="9141" w:type="dxa"/>
        <w:tblLook w:val="04A0" w:firstRow="1" w:lastRow="0" w:firstColumn="1" w:lastColumn="0" w:noHBand="0" w:noVBand="1"/>
      </w:tblPr>
      <w:tblGrid>
        <w:gridCol w:w="2410"/>
        <w:gridCol w:w="3544"/>
        <w:gridCol w:w="3187"/>
      </w:tblGrid>
      <w:tr w:rsidR="007C53D1" w:rsidRPr="007C53D1" w14:paraId="4590A0C9" w14:textId="77777777" w:rsidTr="007C53D1">
        <w:trPr>
          <w:cnfStyle w:val="100000000000" w:firstRow="1" w:lastRow="0" w:firstColumn="0" w:lastColumn="0" w:oddVBand="0" w:evenVBand="0" w:oddHBand="0" w:evenHBand="0" w:firstRowFirstColumn="0" w:firstRowLastColumn="0" w:lastRowFirstColumn="0" w:lastRowLastColumn="0"/>
        </w:trPr>
        <w:tc>
          <w:tcPr>
            <w:tcW w:w="2410" w:type="dxa"/>
            <w:hideMark/>
          </w:tcPr>
          <w:p w14:paraId="737139AC" w14:textId="77777777" w:rsidR="007C53D1" w:rsidRPr="007C53D1" w:rsidRDefault="007C53D1" w:rsidP="007C53D1">
            <w:pPr>
              <w:pStyle w:val="NormalWeb"/>
              <w:shd w:val="clear" w:color="auto" w:fill="FFFFFF"/>
              <w:spacing w:before="0" w:after="120" w:line="480" w:lineRule="auto"/>
              <w:jc w:val="both"/>
              <w:textAlignment w:val="baseline"/>
              <w:rPr>
                <w:rFonts w:asciiTheme="majorBidi" w:hAnsiTheme="majorBidi" w:cstheme="majorBidi"/>
                <w:b/>
                <w:bCs/>
                <w:sz w:val="20"/>
                <w:szCs w:val="20"/>
              </w:rPr>
            </w:pPr>
            <w:r>
              <w:rPr>
                <w:rFonts w:asciiTheme="majorBidi" w:hAnsiTheme="majorBidi" w:cstheme="majorBidi"/>
                <w:b/>
                <w:bCs/>
                <w:sz w:val="20"/>
                <w:szCs w:val="20"/>
              </w:rPr>
              <w:t>Principle</w:t>
            </w:r>
          </w:p>
        </w:tc>
        <w:tc>
          <w:tcPr>
            <w:tcW w:w="3544" w:type="dxa"/>
            <w:hideMark/>
          </w:tcPr>
          <w:p w14:paraId="59BE7B03" w14:textId="77777777" w:rsidR="007C53D1" w:rsidRPr="007C53D1" w:rsidRDefault="007C53D1" w:rsidP="007C53D1">
            <w:pPr>
              <w:pStyle w:val="NormalWeb"/>
              <w:shd w:val="clear" w:color="auto" w:fill="FFFFFF"/>
              <w:spacing w:before="0" w:after="120" w:line="480" w:lineRule="auto"/>
              <w:jc w:val="both"/>
              <w:textAlignment w:val="baseline"/>
              <w:rPr>
                <w:rFonts w:asciiTheme="majorBidi" w:hAnsiTheme="majorBidi" w:cstheme="majorBidi"/>
                <w:b/>
                <w:bCs/>
                <w:sz w:val="20"/>
                <w:szCs w:val="20"/>
              </w:rPr>
            </w:pPr>
            <w:r>
              <w:rPr>
                <w:rFonts w:asciiTheme="majorBidi" w:hAnsiTheme="majorBidi" w:cstheme="majorBidi"/>
                <w:b/>
                <w:bCs/>
                <w:sz w:val="20"/>
                <w:szCs w:val="20"/>
              </w:rPr>
              <w:t>Description</w:t>
            </w:r>
          </w:p>
        </w:tc>
        <w:tc>
          <w:tcPr>
            <w:tcW w:w="0" w:type="auto"/>
            <w:hideMark/>
          </w:tcPr>
          <w:p w14:paraId="7B8201EB" w14:textId="77777777" w:rsidR="007C53D1" w:rsidRPr="007C53D1" w:rsidRDefault="007C53D1" w:rsidP="007C53D1">
            <w:pPr>
              <w:pStyle w:val="NormalWeb"/>
              <w:shd w:val="clear" w:color="auto" w:fill="FFFFFF"/>
              <w:spacing w:before="0" w:after="120" w:line="480" w:lineRule="auto"/>
              <w:jc w:val="both"/>
              <w:textAlignment w:val="baseline"/>
              <w:rPr>
                <w:rFonts w:asciiTheme="majorBidi" w:hAnsiTheme="majorBidi" w:cstheme="majorBidi"/>
                <w:b/>
                <w:bCs/>
                <w:sz w:val="20"/>
                <w:szCs w:val="20"/>
              </w:rPr>
            </w:pPr>
            <w:r>
              <w:rPr>
                <w:rFonts w:asciiTheme="majorBidi" w:hAnsiTheme="majorBidi" w:cstheme="majorBidi"/>
                <w:b/>
                <w:bCs/>
                <w:sz w:val="20"/>
                <w:szCs w:val="20"/>
              </w:rPr>
              <w:t>Implication</w:t>
            </w:r>
          </w:p>
        </w:tc>
      </w:tr>
      <w:tr w:rsidR="007C53D1" w:rsidRPr="007C53D1" w14:paraId="7A068142" w14:textId="77777777" w:rsidTr="007C53D1">
        <w:tc>
          <w:tcPr>
            <w:tcW w:w="2410" w:type="dxa"/>
            <w:hideMark/>
          </w:tcPr>
          <w:p w14:paraId="58752825" w14:textId="77777777" w:rsidR="007C53D1" w:rsidRPr="007C53D1" w:rsidRDefault="007C53D1" w:rsidP="007C53D1">
            <w:pPr>
              <w:pStyle w:val="NormalWeb"/>
              <w:shd w:val="clear" w:color="auto" w:fill="FFFFFF"/>
              <w:spacing w:before="0" w:after="120" w:line="480" w:lineRule="auto"/>
              <w:jc w:val="both"/>
              <w:textAlignment w:val="baseline"/>
              <w:rPr>
                <w:rFonts w:asciiTheme="majorBidi" w:hAnsiTheme="majorBidi" w:cstheme="majorBidi"/>
                <w:b/>
                <w:bCs/>
                <w:sz w:val="20"/>
                <w:szCs w:val="20"/>
              </w:rPr>
            </w:pPr>
            <w:r>
              <w:rPr>
                <w:rFonts w:asciiTheme="majorBidi" w:hAnsiTheme="majorBidi" w:cstheme="majorBidi"/>
                <w:b/>
                <w:bCs/>
                <w:sz w:val="20"/>
                <w:szCs w:val="20"/>
              </w:rPr>
              <w:t>Multimodal Evidence</w:t>
            </w:r>
          </w:p>
        </w:tc>
        <w:tc>
          <w:tcPr>
            <w:tcW w:w="3544" w:type="dxa"/>
            <w:hideMark/>
          </w:tcPr>
          <w:p w14:paraId="2191E737" w14:textId="77777777" w:rsidR="007C53D1" w:rsidRPr="007C53D1" w:rsidRDefault="007C53D1" w:rsidP="007C53D1">
            <w:pPr>
              <w:pStyle w:val="NormalWeb"/>
              <w:shd w:val="clear" w:color="auto" w:fill="FFFFFF"/>
              <w:spacing w:before="0" w:after="120" w:line="480" w:lineRule="auto"/>
              <w:ind w:right="319"/>
              <w:jc w:val="both"/>
              <w:textAlignment w:val="baseline"/>
              <w:rPr>
                <w:rFonts w:asciiTheme="majorBidi" w:hAnsiTheme="majorBidi" w:cstheme="majorBidi"/>
                <w:sz w:val="20"/>
                <w:szCs w:val="20"/>
              </w:rPr>
            </w:pPr>
            <w:r>
              <w:rPr>
                <w:rFonts w:asciiTheme="majorBidi" w:hAnsiTheme="majorBidi" w:cstheme="majorBidi"/>
                <w:sz w:val="20"/>
                <w:szCs w:val="20"/>
              </w:rPr>
              <w:t>Combines product, process, and interaction</w:t>
            </w:r>
          </w:p>
        </w:tc>
        <w:tc>
          <w:tcPr>
            <w:tcW w:w="0" w:type="auto"/>
            <w:hideMark/>
          </w:tcPr>
          <w:p w14:paraId="755FDF4D" w14:textId="77777777" w:rsidR="007C53D1" w:rsidRPr="007C53D1" w:rsidRDefault="007C53D1" w:rsidP="007C53D1">
            <w:pPr>
              <w:pStyle w:val="NormalWeb"/>
              <w:shd w:val="clear" w:color="auto" w:fill="FFFFFF"/>
              <w:spacing w:before="0" w:after="120" w:line="480" w:lineRule="auto"/>
              <w:ind w:right="268"/>
              <w:jc w:val="both"/>
              <w:textAlignment w:val="baseline"/>
              <w:rPr>
                <w:rFonts w:asciiTheme="majorBidi" w:hAnsiTheme="majorBidi" w:cstheme="majorBidi"/>
                <w:sz w:val="20"/>
                <w:szCs w:val="20"/>
              </w:rPr>
            </w:pPr>
            <w:r>
              <w:rPr>
                <w:rFonts w:asciiTheme="majorBidi" w:hAnsiTheme="majorBidi" w:cstheme="majorBidi"/>
                <w:sz w:val="20"/>
                <w:szCs w:val="20"/>
              </w:rPr>
              <w:t>Reduces reliance on single performance</w:t>
            </w:r>
          </w:p>
        </w:tc>
      </w:tr>
      <w:tr w:rsidR="007C53D1" w:rsidRPr="007C53D1" w14:paraId="26FB51A9" w14:textId="77777777" w:rsidTr="007C53D1">
        <w:tc>
          <w:tcPr>
            <w:tcW w:w="2410" w:type="dxa"/>
            <w:hideMark/>
          </w:tcPr>
          <w:p w14:paraId="6699BD95" w14:textId="77777777" w:rsidR="007C53D1" w:rsidRPr="007C53D1" w:rsidRDefault="007C53D1" w:rsidP="007C53D1">
            <w:pPr>
              <w:pStyle w:val="NormalWeb"/>
              <w:shd w:val="clear" w:color="auto" w:fill="FFFFFF"/>
              <w:spacing w:before="0" w:after="120" w:line="480" w:lineRule="auto"/>
              <w:jc w:val="both"/>
              <w:textAlignment w:val="baseline"/>
              <w:rPr>
                <w:rFonts w:asciiTheme="majorBidi" w:hAnsiTheme="majorBidi" w:cstheme="majorBidi"/>
                <w:b/>
                <w:bCs/>
                <w:sz w:val="20"/>
                <w:szCs w:val="20"/>
              </w:rPr>
            </w:pPr>
            <w:r>
              <w:rPr>
                <w:rFonts w:asciiTheme="majorBidi" w:hAnsiTheme="majorBidi" w:cstheme="majorBidi"/>
                <w:b/>
                <w:bCs/>
                <w:sz w:val="20"/>
                <w:szCs w:val="20"/>
              </w:rPr>
              <w:t>Longitudinal Assessment</w:t>
            </w:r>
          </w:p>
        </w:tc>
        <w:tc>
          <w:tcPr>
            <w:tcW w:w="3544" w:type="dxa"/>
            <w:hideMark/>
          </w:tcPr>
          <w:p w14:paraId="330AD9AB" w14:textId="77777777" w:rsidR="007C53D1" w:rsidRPr="007C53D1" w:rsidRDefault="007C53D1" w:rsidP="007C53D1">
            <w:pPr>
              <w:pStyle w:val="NormalWeb"/>
              <w:shd w:val="clear" w:color="auto" w:fill="FFFFFF"/>
              <w:spacing w:before="0" w:after="120" w:line="480" w:lineRule="auto"/>
              <w:ind w:right="319"/>
              <w:jc w:val="both"/>
              <w:textAlignment w:val="baseline"/>
              <w:rPr>
                <w:rFonts w:asciiTheme="majorBidi" w:hAnsiTheme="majorBidi" w:cstheme="majorBidi"/>
                <w:sz w:val="20"/>
                <w:szCs w:val="20"/>
              </w:rPr>
            </w:pPr>
            <w:r>
              <w:rPr>
                <w:rFonts w:asciiTheme="majorBidi" w:hAnsiTheme="majorBidi" w:cstheme="majorBidi"/>
                <w:sz w:val="20"/>
                <w:szCs w:val="20"/>
              </w:rPr>
              <w:t>Tracks development over time</w:t>
            </w:r>
          </w:p>
        </w:tc>
        <w:tc>
          <w:tcPr>
            <w:tcW w:w="0" w:type="auto"/>
            <w:hideMark/>
          </w:tcPr>
          <w:p w14:paraId="424D351C" w14:textId="77777777" w:rsidR="007C53D1" w:rsidRPr="007C53D1" w:rsidRDefault="007C53D1" w:rsidP="007C53D1">
            <w:pPr>
              <w:pStyle w:val="NormalWeb"/>
              <w:shd w:val="clear" w:color="auto" w:fill="FFFFFF"/>
              <w:spacing w:before="0" w:after="120" w:line="480" w:lineRule="auto"/>
              <w:ind w:right="268"/>
              <w:jc w:val="both"/>
              <w:textAlignment w:val="baseline"/>
              <w:rPr>
                <w:rFonts w:asciiTheme="majorBidi" w:hAnsiTheme="majorBidi" w:cstheme="majorBidi"/>
                <w:sz w:val="20"/>
                <w:szCs w:val="20"/>
              </w:rPr>
            </w:pPr>
            <w:r>
              <w:rPr>
                <w:rFonts w:asciiTheme="majorBidi" w:hAnsiTheme="majorBidi" w:cstheme="majorBidi"/>
                <w:sz w:val="20"/>
                <w:szCs w:val="20"/>
              </w:rPr>
              <w:t>Reflects learning as progression</w:t>
            </w:r>
          </w:p>
        </w:tc>
      </w:tr>
      <w:tr w:rsidR="007C53D1" w:rsidRPr="007C53D1" w14:paraId="144E8C07" w14:textId="77777777" w:rsidTr="007C53D1">
        <w:tc>
          <w:tcPr>
            <w:tcW w:w="2410" w:type="dxa"/>
            <w:hideMark/>
          </w:tcPr>
          <w:p w14:paraId="127875BF" w14:textId="77777777" w:rsidR="007C53D1" w:rsidRPr="007C53D1" w:rsidRDefault="007C53D1" w:rsidP="007C53D1">
            <w:pPr>
              <w:pStyle w:val="NormalWeb"/>
              <w:shd w:val="clear" w:color="auto" w:fill="FFFFFF"/>
              <w:spacing w:before="0" w:after="120" w:line="480" w:lineRule="auto"/>
              <w:jc w:val="both"/>
              <w:textAlignment w:val="baseline"/>
              <w:rPr>
                <w:rFonts w:asciiTheme="majorBidi" w:hAnsiTheme="majorBidi" w:cstheme="majorBidi"/>
                <w:b/>
                <w:bCs/>
                <w:sz w:val="20"/>
                <w:szCs w:val="20"/>
              </w:rPr>
            </w:pPr>
            <w:r>
              <w:rPr>
                <w:rFonts w:asciiTheme="majorBidi" w:hAnsiTheme="majorBidi" w:cstheme="majorBidi"/>
                <w:b/>
                <w:bCs/>
                <w:sz w:val="20"/>
                <w:szCs w:val="20"/>
              </w:rPr>
              <w:t>Analytic Criteria</w:t>
            </w:r>
          </w:p>
        </w:tc>
        <w:tc>
          <w:tcPr>
            <w:tcW w:w="3544" w:type="dxa"/>
            <w:hideMark/>
          </w:tcPr>
          <w:p w14:paraId="3249E074" w14:textId="77777777" w:rsidR="007C53D1" w:rsidRPr="007C53D1" w:rsidRDefault="007C53D1" w:rsidP="007C53D1">
            <w:pPr>
              <w:pStyle w:val="NormalWeb"/>
              <w:shd w:val="clear" w:color="auto" w:fill="FFFFFF"/>
              <w:spacing w:before="0" w:after="120" w:line="480" w:lineRule="auto"/>
              <w:ind w:right="319"/>
              <w:jc w:val="both"/>
              <w:textAlignment w:val="baseline"/>
              <w:rPr>
                <w:rFonts w:asciiTheme="majorBidi" w:hAnsiTheme="majorBidi" w:cstheme="majorBidi"/>
                <w:sz w:val="20"/>
                <w:szCs w:val="20"/>
              </w:rPr>
            </w:pPr>
            <w:r>
              <w:rPr>
                <w:rFonts w:asciiTheme="majorBidi" w:hAnsiTheme="majorBidi" w:cstheme="majorBidi"/>
                <w:sz w:val="20"/>
                <w:szCs w:val="20"/>
              </w:rPr>
              <w:t>Uses clear rubrics</w:t>
            </w:r>
          </w:p>
        </w:tc>
        <w:tc>
          <w:tcPr>
            <w:tcW w:w="0" w:type="auto"/>
            <w:hideMark/>
          </w:tcPr>
          <w:p w14:paraId="5734813B" w14:textId="77777777" w:rsidR="007C53D1" w:rsidRPr="007C53D1" w:rsidRDefault="007C53D1" w:rsidP="007C53D1">
            <w:pPr>
              <w:pStyle w:val="NormalWeb"/>
              <w:shd w:val="clear" w:color="auto" w:fill="FFFFFF"/>
              <w:spacing w:before="0" w:after="120" w:line="480" w:lineRule="auto"/>
              <w:ind w:right="268"/>
              <w:jc w:val="both"/>
              <w:textAlignment w:val="baseline"/>
              <w:rPr>
                <w:rFonts w:asciiTheme="majorBidi" w:hAnsiTheme="majorBidi" w:cstheme="majorBidi"/>
                <w:sz w:val="20"/>
                <w:szCs w:val="20"/>
              </w:rPr>
            </w:pPr>
            <w:r>
              <w:rPr>
                <w:rFonts w:asciiTheme="majorBidi" w:hAnsiTheme="majorBidi" w:cstheme="majorBidi"/>
                <w:sz w:val="20"/>
                <w:szCs w:val="20"/>
              </w:rPr>
              <w:t>Enhances transparency and consistency</w:t>
            </w:r>
          </w:p>
        </w:tc>
      </w:tr>
      <w:tr w:rsidR="007C53D1" w:rsidRPr="007C53D1" w14:paraId="049B62C8" w14:textId="77777777" w:rsidTr="007C53D1">
        <w:tc>
          <w:tcPr>
            <w:tcW w:w="2410" w:type="dxa"/>
            <w:hideMark/>
          </w:tcPr>
          <w:p w14:paraId="245EA8FC" w14:textId="77777777" w:rsidR="007C53D1" w:rsidRPr="007C53D1" w:rsidRDefault="007C53D1" w:rsidP="007C53D1">
            <w:pPr>
              <w:pStyle w:val="NormalWeb"/>
              <w:shd w:val="clear" w:color="auto" w:fill="FFFFFF"/>
              <w:spacing w:before="0" w:after="120" w:line="480" w:lineRule="auto"/>
              <w:jc w:val="both"/>
              <w:textAlignment w:val="baseline"/>
              <w:rPr>
                <w:rFonts w:asciiTheme="majorBidi" w:hAnsiTheme="majorBidi" w:cstheme="majorBidi"/>
                <w:b/>
                <w:bCs/>
                <w:sz w:val="20"/>
                <w:szCs w:val="20"/>
              </w:rPr>
            </w:pPr>
            <w:r>
              <w:rPr>
                <w:rFonts w:asciiTheme="majorBidi" w:hAnsiTheme="majorBidi" w:cstheme="majorBidi"/>
                <w:b/>
                <w:bCs/>
                <w:sz w:val="20"/>
                <w:szCs w:val="20"/>
              </w:rPr>
              <w:t>Feedback Integration</w:t>
            </w:r>
          </w:p>
        </w:tc>
        <w:tc>
          <w:tcPr>
            <w:tcW w:w="3544" w:type="dxa"/>
            <w:hideMark/>
          </w:tcPr>
          <w:p w14:paraId="5E85871D" w14:textId="77777777" w:rsidR="007C53D1" w:rsidRPr="007C53D1" w:rsidRDefault="007C53D1" w:rsidP="007C53D1">
            <w:pPr>
              <w:pStyle w:val="NormalWeb"/>
              <w:shd w:val="clear" w:color="auto" w:fill="FFFFFF"/>
              <w:spacing w:before="0" w:after="120" w:line="480" w:lineRule="auto"/>
              <w:ind w:right="319"/>
              <w:jc w:val="both"/>
              <w:textAlignment w:val="baseline"/>
              <w:rPr>
                <w:rFonts w:asciiTheme="majorBidi" w:hAnsiTheme="majorBidi" w:cstheme="majorBidi"/>
                <w:sz w:val="20"/>
                <w:szCs w:val="20"/>
              </w:rPr>
            </w:pPr>
            <w:r>
              <w:rPr>
                <w:rFonts w:asciiTheme="majorBidi" w:hAnsiTheme="majorBidi" w:cstheme="majorBidi"/>
                <w:sz w:val="20"/>
                <w:szCs w:val="20"/>
              </w:rPr>
              <w:t>Embeds feedback in learning cycles</w:t>
            </w:r>
          </w:p>
        </w:tc>
        <w:tc>
          <w:tcPr>
            <w:tcW w:w="0" w:type="auto"/>
            <w:hideMark/>
          </w:tcPr>
          <w:p w14:paraId="439D4CE2" w14:textId="77777777" w:rsidR="007C53D1" w:rsidRPr="007C53D1" w:rsidRDefault="007C53D1" w:rsidP="007C53D1">
            <w:pPr>
              <w:pStyle w:val="NormalWeb"/>
              <w:shd w:val="clear" w:color="auto" w:fill="FFFFFF"/>
              <w:spacing w:before="0" w:after="120" w:line="480" w:lineRule="auto"/>
              <w:ind w:right="268"/>
              <w:jc w:val="both"/>
              <w:textAlignment w:val="baseline"/>
              <w:rPr>
                <w:rFonts w:asciiTheme="majorBidi" w:hAnsiTheme="majorBidi" w:cstheme="majorBidi"/>
                <w:sz w:val="20"/>
                <w:szCs w:val="20"/>
              </w:rPr>
            </w:pPr>
            <w:r>
              <w:rPr>
                <w:rFonts w:asciiTheme="majorBidi" w:hAnsiTheme="majorBidi" w:cstheme="majorBidi"/>
                <w:sz w:val="20"/>
                <w:szCs w:val="20"/>
              </w:rPr>
              <w:t>Supports continuous development</w:t>
            </w:r>
          </w:p>
        </w:tc>
      </w:tr>
      <w:tr w:rsidR="007C53D1" w:rsidRPr="007C53D1" w14:paraId="10F06084" w14:textId="77777777" w:rsidTr="007C53D1">
        <w:tc>
          <w:tcPr>
            <w:tcW w:w="2410" w:type="dxa"/>
            <w:hideMark/>
          </w:tcPr>
          <w:p w14:paraId="58293C9D" w14:textId="77777777" w:rsidR="007C53D1" w:rsidRPr="007C53D1" w:rsidRDefault="007C53D1" w:rsidP="007C53D1">
            <w:pPr>
              <w:pStyle w:val="NormalWeb"/>
              <w:shd w:val="clear" w:color="auto" w:fill="FFFFFF"/>
              <w:spacing w:before="0" w:after="120" w:line="480" w:lineRule="auto"/>
              <w:jc w:val="both"/>
              <w:textAlignment w:val="baseline"/>
              <w:rPr>
                <w:rFonts w:asciiTheme="majorBidi" w:hAnsiTheme="majorBidi" w:cstheme="majorBidi"/>
                <w:b/>
                <w:bCs/>
                <w:sz w:val="20"/>
                <w:szCs w:val="20"/>
              </w:rPr>
            </w:pPr>
            <w:r>
              <w:rPr>
                <w:rFonts w:asciiTheme="majorBidi" w:hAnsiTheme="majorBidi" w:cstheme="majorBidi"/>
                <w:b/>
                <w:bCs/>
                <w:sz w:val="20"/>
                <w:szCs w:val="20"/>
              </w:rPr>
              <w:t>Learner Agency</w:t>
            </w:r>
          </w:p>
        </w:tc>
        <w:tc>
          <w:tcPr>
            <w:tcW w:w="3544" w:type="dxa"/>
            <w:hideMark/>
          </w:tcPr>
          <w:p w14:paraId="41074873" w14:textId="77777777" w:rsidR="007C53D1" w:rsidRPr="007C53D1" w:rsidRDefault="007C53D1" w:rsidP="007C53D1">
            <w:pPr>
              <w:pStyle w:val="NormalWeb"/>
              <w:shd w:val="clear" w:color="auto" w:fill="FFFFFF"/>
              <w:spacing w:before="0" w:after="120" w:line="480" w:lineRule="auto"/>
              <w:ind w:right="319"/>
              <w:jc w:val="both"/>
              <w:textAlignment w:val="baseline"/>
              <w:rPr>
                <w:rFonts w:asciiTheme="majorBidi" w:hAnsiTheme="majorBidi" w:cstheme="majorBidi"/>
                <w:sz w:val="20"/>
                <w:szCs w:val="20"/>
              </w:rPr>
            </w:pPr>
            <w:r>
              <w:rPr>
                <w:rFonts w:asciiTheme="majorBidi" w:hAnsiTheme="majorBidi" w:cstheme="majorBidi"/>
                <w:sz w:val="20"/>
                <w:szCs w:val="20"/>
              </w:rPr>
              <w:t>Involves reflection and self-assessment</w:t>
            </w:r>
          </w:p>
        </w:tc>
        <w:tc>
          <w:tcPr>
            <w:tcW w:w="0" w:type="auto"/>
            <w:hideMark/>
          </w:tcPr>
          <w:p w14:paraId="4F732F74" w14:textId="77777777" w:rsidR="007C53D1" w:rsidRPr="007C53D1" w:rsidRDefault="007C53D1" w:rsidP="007C53D1">
            <w:pPr>
              <w:pStyle w:val="NormalWeb"/>
              <w:shd w:val="clear" w:color="auto" w:fill="FFFFFF"/>
              <w:spacing w:before="0" w:after="120" w:line="480" w:lineRule="auto"/>
              <w:ind w:right="268"/>
              <w:jc w:val="both"/>
              <w:textAlignment w:val="baseline"/>
              <w:rPr>
                <w:rFonts w:asciiTheme="majorBidi" w:hAnsiTheme="majorBidi" w:cstheme="majorBidi"/>
                <w:sz w:val="20"/>
                <w:szCs w:val="20"/>
              </w:rPr>
            </w:pPr>
            <w:r>
              <w:rPr>
                <w:rFonts w:asciiTheme="majorBidi" w:hAnsiTheme="majorBidi" w:cstheme="majorBidi"/>
                <w:sz w:val="20"/>
                <w:szCs w:val="20"/>
              </w:rPr>
              <w:t>Promotes self-regulated learning</w:t>
            </w:r>
          </w:p>
        </w:tc>
      </w:tr>
    </w:tbl>
    <w:p w14:paraId="466DEDC3" w14:textId="77777777" w:rsidR="007C53D1" w:rsidRDefault="007C53D1" w:rsidP="007C53D1">
      <w:pPr>
        <w:pStyle w:val="NormalWeb"/>
        <w:shd w:val="clear" w:color="auto" w:fill="FFFFFF"/>
        <w:spacing w:before="0" w:beforeAutospacing="0" w:after="0" w:afterAutospacing="0" w:line="480" w:lineRule="auto"/>
        <w:ind w:firstLine="720"/>
        <w:contextualSpacing/>
        <w:jc w:val="both"/>
        <w:textAlignment w:val="baseline"/>
        <w:rPr>
          <w:rFonts w:asciiTheme="majorBidi" w:hAnsiTheme="majorBidi" w:cstheme="majorBidi"/>
        </w:rPr>
      </w:pPr>
    </w:p>
    <w:p w14:paraId="70B36697" w14:textId="0B25DBCD" w:rsidR="007C53D1" w:rsidRPr="007C53D1" w:rsidRDefault="007C53D1" w:rsidP="007C53D1">
      <w:pPr>
        <w:pStyle w:val="NormalWeb"/>
        <w:shd w:val="clear" w:color="auto" w:fill="FFFFFF"/>
        <w:spacing w:before="0" w:beforeAutospacing="0" w:after="0" w:afterAutospacing="0" w:line="480" w:lineRule="auto"/>
        <w:ind w:firstLine="720"/>
        <w:contextualSpacing/>
        <w:jc w:val="both"/>
        <w:textAlignment w:val="baseline"/>
        <w:rPr>
          <w:rFonts w:asciiTheme="majorBidi" w:hAnsiTheme="majorBidi" w:cstheme="majorBidi"/>
        </w:rPr>
      </w:pPr>
      <w:r>
        <w:rPr>
          <w:rFonts w:asciiTheme="majorBidi" w:hAnsiTheme="majorBidi" w:cstheme="majorBidi"/>
        </w:rPr>
        <w:t>Table 2 outlines a reconceptualised assessment framework that seeks to balance competing demands within ESL-oriented contexts. Rather than privileging a single form of evidence, the framework emphasizes multimodality, drawing on product, process, and interactional data to provide a more comprehensive representation of language ability. This approach aligns with calls to enhance construct validity by capturing the complexity of communicative competence.</w:t>
      </w:r>
    </w:p>
    <w:p w14:paraId="2D73A95D" w14:textId="77777777"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t xml:space="preserve">At the same time, the inclusion of analytic criteria and structured rubrics reflects the need for transparency and consistency in evaluation. While evidence-based approaches often </w:t>
      </w:r>
      <w:r>
        <w:rPr>
          <w:rFonts w:asciiTheme="majorBidi" w:hAnsiTheme="majorBidi" w:cstheme="majorBidi"/>
        </w:rPr>
        <w:lastRenderedPageBreak/>
        <w:t>prioritize authenticity, without clear criteria they risk becoming opaque or inconsistent. Analytic frameworks therefore play a crucial role in mediating between flexibility and standardization, providing a shared basis for interpretation while allowing for contextual variation.</w:t>
      </w:r>
    </w:p>
    <w:p w14:paraId="49352E06" w14:textId="77777777"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t xml:space="preserve">The integration of feedback as a central component of assessment further shifts the focus from judgment to development. Rather than functioning solely as an evaluative endpoint, assessment becomes part of an ongoing cycle of feedback and improvement (Carless, 2015). </w:t>
      </w:r>
      <w:r>
        <w:rPr>
          <w:rFonts w:asciiTheme="majorBidi" w:hAnsiTheme="majorBidi" w:cstheme="majorBidi"/>
          <w:lang w:val="en"/>
        </w:rPr>
        <w:t>However, as noted earlier, this shift depends on learners’ capacity to engage with feedback effectively. The emphasis on learner agency must therefore be accompanied by explicit support for the development of evaluative judgement</w:t>
      </w:r>
      <w:r>
        <w:rPr>
          <w:rFonts w:asciiTheme="majorBidi" w:hAnsiTheme="majorBidi" w:cstheme="majorBidi"/>
        </w:rPr>
        <w:t xml:space="preserve"> (Tai et al., 2018).</w:t>
      </w:r>
    </w:p>
    <w:p w14:paraId="183382D6" w14:textId="77777777"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t>Importantly, the framework does not resolve the tensions identified earlier, but redistributes them. For example, increasing the use of authentic, interaction-based tasks may enhance validity but reduce comparability across learners. Similarly, promoting learner autonomy may support engagement, but also introduce variability in how assessment is enacted. These trade-offs are not shortcomings of the framework, but inherent features of assessment in complex learning environments.</w:t>
      </w:r>
    </w:p>
    <w:p w14:paraId="0B2EF961" w14:textId="77777777"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t>In practice, this suggests the need for hybrid models that combine elements of both traditional and alternative approaches. Rather than eliminating exams entirely, they can be repositioned within a broader system of evidence, where their role is complemented by ongoing, process-oriented assessment. Such models allow for the retention of standardization where necessary, while also incorporating richer forms of evidence that better reflect communicative competence.</w:t>
      </w:r>
    </w:p>
    <w:p w14:paraId="0B2EF970" w14:textId="77777777"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lastRenderedPageBreak/>
        <w:t>A brief scenario illustrates how such a model might convert heterogeneous evidence into a defensible final grade. Suppose an institution requires a single end-of-term mark for an ESL speaking course. A teacher might allocate that mark across three weighted strands: 40% to interactional evidence gathered over the term (recorded pair and group tasks, judged against an analytic rubric for fluency, interactional management, and pragmatic appropriateness), 30% to a portfolio of process evidence (drafts, self-assessments, and responses to feedback), and 30% to a standardized end-of-term task that satisfies the institution’s demand for comparability. Because the interactional strand is the least standardized, it is the one most in need of safeguards: at least two interaction samples are rated, a second rater reviews a sample of borderline cases, and the rubric is shared with learners in advance so that judgements remain transparent. Where the standardized task and the interactional record diverge sharply, the discrepancy is not averaged away but flagged for review, prompting the teacher to ask whether the exam under-represented the learner’s communicative competence or whether the continuous evidence was inflated by uneven task conditions. The final grade is therefore not a precise calculation but a principled, auditable judgement, with the weighting scheme making explicit how interactional data and institutional metrics have been balanced.</w:t>
      </w:r>
    </w:p>
    <w:p w14:paraId="2421A31B" w14:textId="7E3A47E5" w:rsidR="007C53D1" w:rsidRPr="007C53D1" w:rsidRDefault="007C53D1" w:rsidP="007C53D1">
      <w:pPr>
        <w:pStyle w:val="NormalWeb"/>
        <w:shd w:val="clear" w:color="auto" w:fill="FFFFFF"/>
        <w:spacing w:before="0" w:after="120" w:line="480" w:lineRule="auto"/>
        <w:ind w:firstLine="720"/>
        <w:jc w:val="both"/>
        <w:textAlignment w:val="baseline"/>
        <w:rPr>
          <w:rFonts w:asciiTheme="majorBidi" w:hAnsiTheme="majorBidi" w:cstheme="majorBidi"/>
        </w:rPr>
      </w:pPr>
      <w:r>
        <w:rPr>
          <w:rFonts w:asciiTheme="majorBidi" w:hAnsiTheme="majorBidi" w:cstheme="majorBidi"/>
        </w:rPr>
        <w:t>Ultimately, a reconceptualised approach to assessment requires a shift in how assessment is understood: not as a problem to be solved through technical refinement, but as a practice that must be continually negotiated in relation to changing educational goals and contexts. In ESL-oriented environments, where language use is inherently dynamic and situated, this negotiation becomes central to the design of meaningful and credible assessment systems.</w:t>
      </w:r>
    </w:p>
    <w:p w14:paraId="18C8AC1C" w14:textId="2F562BC4" w:rsidR="00722EDE" w:rsidRPr="00E40940" w:rsidRDefault="00722EDE" w:rsidP="00695D84">
      <w:pPr>
        <w:pStyle w:val="RALs-Heading1"/>
        <w:spacing w:before="0" w:line="480" w:lineRule="auto"/>
        <w:rPr>
          <w:rFonts w:asciiTheme="majorBidi" w:hAnsiTheme="majorBidi" w:cstheme="majorBidi"/>
          <w:sz w:val="24"/>
          <w:szCs w:val="24"/>
        </w:rPr>
      </w:pPr>
      <w:r>
        <w:rPr>
          <w:rFonts w:asciiTheme="majorBidi" w:hAnsiTheme="majorBidi" w:cstheme="majorBidi"/>
          <w:sz w:val="24"/>
          <w:szCs w:val="24"/>
        </w:rPr>
        <w:lastRenderedPageBreak/>
        <w:t>5. Conclusion: Reframing Assessment in the EFL-to-ESL Transition</w:t>
      </w:r>
    </w:p>
    <w:p w14:paraId="78AC2B8F" w14:textId="5C7F2285" w:rsidR="00A37C46" w:rsidRPr="00A37C46" w:rsidRDefault="00A37C46" w:rsidP="00695D84">
      <w:pPr>
        <w:spacing w:before="0" w:line="480" w:lineRule="auto"/>
        <w:rPr>
          <w:rFonts w:asciiTheme="majorBidi" w:hAnsiTheme="majorBidi" w:cstheme="majorBidi"/>
          <w:sz w:val="24"/>
          <w:szCs w:val="24"/>
        </w:rPr>
      </w:pPr>
      <w:r>
        <w:rPr>
          <w:rFonts w:asciiTheme="majorBidi" w:hAnsiTheme="majorBidi" w:cstheme="majorBidi"/>
          <w:sz w:val="24"/>
          <w:szCs w:val="24"/>
        </w:rPr>
        <w:t>The transition from EFL to ESL contexts represents more than a shift in language policy; it entails a fundamental rethinking of what it means to know and use a language. As communicative competence becomes the central goal of language education, assessment practices must evolve to reflect this shift. Traditional exam-based systems, while efficient and standardized, may no longer be sufficient to capture the complexity of language use in real-world contexts.</w:t>
      </w:r>
    </w:p>
    <w:p w14:paraId="001016F9" w14:textId="77777777" w:rsidR="00A37C46" w:rsidRPr="00A37C46" w:rsidRDefault="00A37C46" w:rsidP="00A37C46">
      <w:pPr>
        <w:spacing w:line="480" w:lineRule="auto"/>
        <w:rPr>
          <w:rFonts w:asciiTheme="majorBidi" w:hAnsiTheme="majorBidi" w:cstheme="majorBidi"/>
          <w:sz w:val="24"/>
          <w:szCs w:val="24"/>
        </w:rPr>
      </w:pPr>
      <w:r>
        <w:rPr>
          <w:rFonts w:asciiTheme="majorBidi" w:hAnsiTheme="majorBidi" w:cstheme="majorBidi"/>
          <w:sz w:val="24"/>
          <w:szCs w:val="24"/>
        </w:rPr>
        <w:t>No-exam classrooms offer a compelling response to this challenge by emphasizing continuous, evidence-based assessment aligned with learning processes. However, as this paper has argued, they should not be viewed as a complete replacement for exams, but as part of a broader reconceptualization of assessment. They highlight important limitations of traditional systems, but also introduce new tensions related to reliability, workload, learner readiness, and institutional constraints.</w:t>
      </w:r>
    </w:p>
    <w:p w14:paraId="044DF20D" w14:textId="77777777" w:rsidR="00A37C46" w:rsidRPr="00A37C46" w:rsidRDefault="00A37C46" w:rsidP="00A37C46">
      <w:pPr>
        <w:spacing w:line="480" w:lineRule="auto"/>
        <w:rPr>
          <w:rFonts w:asciiTheme="majorBidi" w:hAnsiTheme="majorBidi" w:cstheme="majorBidi"/>
          <w:sz w:val="24"/>
          <w:szCs w:val="24"/>
        </w:rPr>
      </w:pPr>
      <w:r>
        <w:rPr>
          <w:rFonts w:asciiTheme="majorBidi" w:hAnsiTheme="majorBidi" w:cstheme="majorBidi"/>
          <w:sz w:val="24"/>
          <w:szCs w:val="24"/>
        </w:rPr>
        <w:t>In the context of the EFL-to-ESL transition, the key challenge is not whether to retain or remove exams, but how to design assessment systems that are both pedagogically meaningful and institutionally viable. This requires a shift from viewing assessment as a tool for measurement to understanding it as a complex, context-dependent practice that supports learning while maintaining credibility.</w:t>
      </w:r>
    </w:p>
    <w:p w14:paraId="3D4B9AEA" w14:textId="77777777" w:rsidR="00A37C46" w:rsidRPr="00A37C46" w:rsidRDefault="00A37C46" w:rsidP="00A37C46">
      <w:pPr>
        <w:spacing w:line="480" w:lineRule="auto"/>
        <w:rPr>
          <w:rFonts w:asciiTheme="majorBidi" w:hAnsiTheme="majorBidi" w:cstheme="majorBidi"/>
          <w:sz w:val="24"/>
          <w:szCs w:val="24"/>
        </w:rPr>
      </w:pPr>
      <w:r>
        <w:rPr>
          <w:rFonts w:asciiTheme="majorBidi" w:hAnsiTheme="majorBidi" w:cstheme="majorBidi"/>
          <w:sz w:val="24"/>
          <w:szCs w:val="24"/>
        </w:rPr>
        <w:t>Ultimately, the future of TESOL assessment lies not in choosing between exams and no-exam approaches, but in developing integrated systems that balance competing demands. By acknowledging and engaging with these tensions, rather than attempting to eliminate them, language educators can move toward more valid, equitable, and sustainable forms of assessment in ESL-oriented contexts.</w:t>
      </w:r>
    </w:p>
    <w:p w14:paraId="657F6744" w14:textId="1882E15D" w:rsidR="00722EDE" w:rsidRPr="00E40940" w:rsidRDefault="00722EDE" w:rsidP="00A37C46">
      <w:pPr>
        <w:spacing w:line="480" w:lineRule="auto"/>
        <w:rPr>
          <w:rFonts w:asciiTheme="majorBidi" w:hAnsiTheme="majorBidi" w:cstheme="majorBidi"/>
          <w:sz w:val="24"/>
          <w:szCs w:val="24"/>
        </w:rPr>
      </w:pPr>
    </w:p>
    <w:p w14:paraId="0DB8BD4C" w14:textId="77777777" w:rsidR="00722EDE" w:rsidRPr="00E40940" w:rsidRDefault="00722EDE" w:rsidP="006505BE">
      <w:pPr>
        <w:pStyle w:val="RALs-Heading1"/>
        <w:jc w:val="both"/>
        <w:rPr>
          <w:rFonts w:asciiTheme="majorBidi" w:hAnsiTheme="majorBidi" w:cstheme="majorBidi"/>
          <w:sz w:val="24"/>
          <w:szCs w:val="24"/>
        </w:rPr>
      </w:pPr>
      <w:r>
        <w:rPr>
          <w:rFonts w:asciiTheme="majorBidi" w:hAnsiTheme="majorBidi" w:cstheme="majorBidi"/>
          <w:sz w:val="24"/>
          <w:szCs w:val="24"/>
        </w:rPr>
        <w:lastRenderedPageBreak/>
        <w:t>References</w:t>
      </w:r>
    </w:p>
    <w:p w14:paraId="72E1EA82" w14:textId="4CFDA27E" w:rsidR="00A37C46" w:rsidRPr="00A37C46" w:rsidRDefault="00A37C46" w:rsidP="00A37C46">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Black, P., &amp; Wiliam, D. (1998). Assessment and classroom learning. </w:t>
      </w:r>
      <w:r>
        <w:rPr>
          <w:rFonts w:asciiTheme="majorBidi" w:eastAsiaTheme="minorHAnsi" w:hAnsiTheme="majorBidi" w:cstheme="majorBidi"/>
          <w:i/>
          <w:iCs/>
          <w:sz w:val="24"/>
          <w:szCs w:val="24"/>
        </w:rPr>
        <w:t>Assessment in Education: Principles, Policy &amp; Practice, 5</w:t>
      </w:r>
      <w:r>
        <w:rPr>
          <w:rFonts w:asciiTheme="majorBidi" w:eastAsiaTheme="minorHAnsi" w:hAnsiTheme="majorBidi" w:cstheme="majorBidi"/>
          <w:sz w:val="24"/>
          <w:szCs w:val="24"/>
        </w:rPr>
        <w:t>(1), 7–74.</w:t>
      </w:r>
    </w:p>
    <w:p w14:paraId="5FEE6DB1" w14:textId="77777777" w:rsidR="00A37C46" w:rsidRPr="00A37C46" w:rsidRDefault="00A37C46" w:rsidP="00A37C46">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Andrade, H. L., &amp; Brookhart, S. M. (2019). Classroom assessment as the co-regulation of learning. </w:t>
      </w:r>
      <w:r>
        <w:rPr>
          <w:rFonts w:asciiTheme="majorBidi" w:eastAsiaTheme="minorHAnsi" w:hAnsiTheme="majorBidi" w:cstheme="majorBidi"/>
          <w:i/>
          <w:iCs/>
          <w:sz w:val="24"/>
          <w:szCs w:val="24"/>
        </w:rPr>
        <w:t>Assessment in Education: Principles, Policy &amp; Practice</w:t>
      </w:r>
      <w:r>
        <w:rPr>
          <w:rFonts w:asciiTheme="majorBidi" w:eastAsiaTheme="minorHAnsi" w:hAnsiTheme="majorBidi" w:cstheme="majorBidi"/>
          <w:sz w:val="24"/>
          <w:szCs w:val="24"/>
        </w:rPr>
        <w:t xml:space="preserve">, </w:t>
      </w:r>
      <w:r>
        <w:rPr>
          <w:rFonts w:asciiTheme="majorBidi" w:eastAsiaTheme="minorHAnsi" w:hAnsiTheme="majorBidi" w:cstheme="majorBidi"/>
          <w:i/>
          <w:iCs/>
          <w:sz w:val="24"/>
          <w:szCs w:val="24"/>
        </w:rPr>
        <w:t>27</w:t>
      </w:r>
      <w:r>
        <w:rPr>
          <w:rFonts w:asciiTheme="majorBidi" w:eastAsiaTheme="minorHAnsi" w:hAnsiTheme="majorBidi" w:cstheme="majorBidi"/>
          <w:sz w:val="24"/>
          <w:szCs w:val="24"/>
        </w:rPr>
        <w:t xml:space="preserve">(4), 1–23. </w:t>
      </w:r>
      <w:hyperlink r:id="rId8" w:history="1">
        <w:r>
          <w:rPr>
            <w:rStyle w:val="Hyperlink"/>
            <w:rFonts w:asciiTheme="majorBidi" w:eastAsiaTheme="minorHAnsi" w:hAnsiTheme="majorBidi" w:cstheme="majorBidi"/>
            <w:sz w:val="24"/>
            <w:szCs w:val="24"/>
          </w:rPr>
          <w:t>https://doi.org/10.1080/0969594x.2019.1571992</w:t>
        </w:r>
      </w:hyperlink>
    </w:p>
    <w:p w14:paraId="58F311DD" w14:textId="77777777" w:rsidR="00A37C46" w:rsidRPr="00A37C46" w:rsidRDefault="00A37C46" w:rsidP="00A37C46">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Boud, D., &amp; Falchikov, N. (2007). </w:t>
      </w:r>
      <w:r>
        <w:rPr>
          <w:rFonts w:asciiTheme="majorBidi" w:eastAsiaTheme="minorHAnsi" w:hAnsiTheme="majorBidi" w:cstheme="majorBidi"/>
          <w:i/>
          <w:iCs/>
          <w:sz w:val="24"/>
          <w:szCs w:val="24"/>
        </w:rPr>
        <w:t>Rethinking assessment in higher education: Learning for the longer term</w:t>
      </w:r>
      <w:r>
        <w:rPr>
          <w:rFonts w:asciiTheme="majorBidi" w:eastAsiaTheme="minorHAnsi" w:hAnsiTheme="majorBidi" w:cstheme="majorBidi"/>
          <w:sz w:val="24"/>
          <w:szCs w:val="24"/>
        </w:rPr>
        <w:t>. Routledge.</w:t>
      </w:r>
    </w:p>
    <w:p w14:paraId="00014114" w14:textId="77777777" w:rsidR="00A37C46" w:rsidRPr="00A37C46" w:rsidRDefault="00A37C46" w:rsidP="00A37C46">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Carless, D. (2015). </w:t>
      </w:r>
      <w:r>
        <w:rPr>
          <w:rFonts w:asciiTheme="majorBidi" w:eastAsiaTheme="minorHAnsi" w:hAnsiTheme="majorBidi" w:cstheme="majorBidi"/>
          <w:i/>
          <w:iCs/>
          <w:sz w:val="24"/>
          <w:szCs w:val="24"/>
        </w:rPr>
        <w:t>Excellence in university assessment</w:t>
      </w:r>
      <w:r>
        <w:rPr>
          <w:rFonts w:asciiTheme="majorBidi" w:eastAsiaTheme="minorHAnsi" w:hAnsiTheme="majorBidi" w:cstheme="majorBidi"/>
          <w:sz w:val="24"/>
          <w:szCs w:val="24"/>
        </w:rPr>
        <w:t>. Routledge.</w:t>
      </w:r>
    </w:p>
    <w:p w14:paraId="4B2A3E0F" w14:textId="77777777" w:rsidR="00A37C46" w:rsidRPr="00A37C46" w:rsidRDefault="00A37C46" w:rsidP="00A37C46">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Fulcher, G. (2010). </w:t>
      </w:r>
      <w:r>
        <w:rPr>
          <w:rFonts w:asciiTheme="majorBidi" w:eastAsiaTheme="minorHAnsi" w:hAnsiTheme="majorBidi" w:cstheme="majorBidi"/>
          <w:i/>
          <w:iCs/>
          <w:sz w:val="24"/>
          <w:szCs w:val="24"/>
        </w:rPr>
        <w:t>Practical language testing</w:t>
      </w:r>
      <w:r>
        <w:rPr>
          <w:rFonts w:asciiTheme="majorBidi" w:eastAsiaTheme="minorHAnsi" w:hAnsiTheme="majorBidi" w:cstheme="majorBidi"/>
          <w:sz w:val="24"/>
          <w:szCs w:val="24"/>
        </w:rPr>
        <w:t>. Routledge.</w:t>
      </w:r>
    </w:p>
    <w:p w14:paraId="2E9B9C38" w14:textId="77777777" w:rsidR="00A37C46" w:rsidRPr="00A37C46" w:rsidRDefault="00A37C46" w:rsidP="00A37C46">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Messick, S. (1989). Validity. In R. L. Linn (Ed.), </w:t>
      </w:r>
      <w:r>
        <w:rPr>
          <w:rFonts w:asciiTheme="majorBidi" w:eastAsiaTheme="minorHAnsi" w:hAnsiTheme="majorBidi" w:cstheme="majorBidi"/>
          <w:i/>
          <w:iCs/>
          <w:sz w:val="24"/>
          <w:szCs w:val="24"/>
        </w:rPr>
        <w:t>Educational measurement</w:t>
      </w:r>
      <w:r>
        <w:rPr>
          <w:rFonts w:asciiTheme="majorBidi" w:eastAsiaTheme="minorHAnsi" w:hAnsiTheme="majorBidi" w:cstheme="majorBidi"/>
          <w:sz w:val="24"/>
          <w:szCs w:val="24"/>
        </w:rPr>
        <w:t xml:space="preserve"> (3rd ed., pp. 13–103). Macmillan.</w:t>
      </w:r>
    </w:p>
    <w:p w14:paraId="22C4DEB9" w14:textId="77777777" w:rsidR="00A37C46" w:rsidRPr="00A37C46" w:rsidRDefault="00A37C46" w:rsidP="00A37C46">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Piaget, J. (1970). </w:t>
      </w:r>
      <w:r>
        <w:rPr>
          <w:rFonts w:asciiTheme="majorBidi" w:eastAsiaTheme="minorHAnsi" w:hAnsiTheme="majorBidi" w:cstheme="majorBidi"/>
          <w:i/>
          <w:iCs/>
          <w:sz w:val="24"/>
          <w:szCs w:val="24"/>
        </w:rPr>
        <w:t>Science of education and the psychology of the child</w:t>
      </w:r>
      <w:r>
        <w:rPr>
          <w:rFonts w:asciiTheme="majorBidi" w:eastAsiaTheme="minorHAnsi" w:hAnsiTheme="majorBidi" w:cstheme="majorBidi"/>
          <w:sz w:val="24"/>
          <w:szCs w:val="24"/>
        </w:rPr>
        <w:t>. Orion Press.</w:t>
      </w:r>
    </w:p>
    <w:p w14:paraId="75A11288" w14:textId="77777777" w:rsidR="00A37C46" w:rsidRPr="00A37C46" w:rsidRDefault="00A37C46" w:rsidP="00A37C46">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Vygotsky, L. S. (1978). </w:t>
      </w:r>
      <w:r>
        <w:rPr>
          <w:rFonts w:asciiTheme="majorBidi" w:eastAsiaTheme="minorHAnsi" w:hAnsiTheme="majorBidi" w:cstheme="majorBidi"/>
          <w:i/>
          <w:iCs/>
          <w:sz w:val="24"/>
          <w:szCs w:val="24"/>
        </w:rPr>
        <w:t>Mind in society: The development of higher psychological processes</w:t>
      </w:r>
      <w:r>
        <w:rPr>
          <w:rFonts w:asciiTheme="majorBidi" w:eastAsiaTheme="minorHAnsi" w:hAnsiTheme="majorBidi" w:cstheme="majorBidi"/>
          <w:sz w:val="24"/>
          <w:szCs w:val="24"/>
        </w:rPr>
        <w:t>. Harvard University Press.</w:t>
      </w:r>
    </w:p>
    <w:p w14:paraId="3F50D581" w14:textId="77777777" w:rsidR="00A37C46" w:rsidRPr="00A37C46" w:rsidRDefault="00A37C46" w:rsidP="00A37C46">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Zimmerman, B. J. (2002). Becoming a self-regulated learner: An overview. </w:t>
      </w:r>
      <w:r>
        <w:rPr>
          <w:rFonts w:asciiTheme="majorBidi" w:eastAsiaTheme="minorHAnsi" w:hAnsiTheme="majorBidi" w:cstheme="majorBidi"/>
          <w:i/>
          <w:iCs/>
          <w:sz w:val="24"/>
          <w:szCs w:val="24"/>
        </w:rPr>
        <w:t>Theory Into Practice, 41</w:t>
      </w:r>
      <w:r>
        <w:rPr>
          <w:rFonts w:asciiTheme="majorBidi" w:eastAsiaTheme="minorHAnsi" w:hAnsiTheme="majorBidi" w:cstheme="majorBidi"/>
          <w:sz w:val="24"/>
          <w:szCs w:val="24"/>
        </w:rPr>
        <w:t>(2), 64–70.</w:t>
      </w:r>
    </w:p>
    <w:p w14:paraId="0C8FB09E" w14:textId="1F750860" w:rsidR="00A37C46" w:rsidRPr="00A37C46" w:rsidRDefault="00A37C46" w:rsidP="00AB206D">
      <w:pPr>
        <w:pStyle w:val="RALs-ReferencesList"/>
        <w:ind w:left="720" w:hanging="72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Tai, J., Ajjawi, R., Boud, D., Dawson, P., &amp; Panadero, E. (2018). Developing evaluative judgement: enabling students to make decisions about the quality of work. </w:t>
      </w:r>
      <w:r>
        <w:rPr>
          <w:rFonts w:asciiTheme="majorBidi" w:eastAsiaTheme="minorHAnsi" w:hAnsiTheme="majorBidi" w:cstheme="majorBidi"/>
          <w:i/>
          <w:iCs/>
          <w:sz w:val="24"/>
          <w:szCs w:val="24"/>
        </w:rPr>
        <w:t>Higher Education</w:t>
      </w:r>
      <w:r>
        <w:rPr>
          <w:rFonts w:asciiTheme="majorBidi" w:eastAsiaTheme="minorHAnsi" w:hAnsiTheme="majorBidi" w:cstheme="majorBidi"/>
          <w:sz w:val="24"/>
          <w:szCs w:val="24"/>
        </w:rPr>
        <w:t xml:space="preserve">, </w:t>
      </w:r>
      <w:r>
        <w:rPr>
          <w:rFonts w:asciiTheme="majorBidi" w:eastAsiaTheme="minorHAnsi" w:hAnsiTheme="majorBidi" w:cstheme="majorBidi"/>
          <w:i/>
          <w:iCs/>
          <w:sz w:val="24"/>
          <w:szCs w:val="24"/>
        </w:rPr>
        <w:t>76</w:t>
      </w:r>
      <w:r>
        <w:rPr>
          <w:rFonts w:asciiTheme="majorBidi" w:eastAsiaTheme="minorHAnsi" w:hAnsiTheme="majorBidi" w:cstheme="majorBidi"/>
          <w:sz w:val="24"/>
          <w:szCs w:val="24"/>
        </w:rPr>
        <w:t xml:space="preserve">(3), 467–481. </w:t>
      </w:r>
      <w:hyperlink r:id="rId9" w:history="1">
        <w:r>
          <w:rPr>
            <w:rStyle w:val="Hyperlink"/>
            <w:rFonts w:asciiTheme="majorBidi" w:eastAsiaTheme="minorHAnsi" w:hAnsiTheme="majorBidi" w:cstheme="majorBidi"/>
            <w:sz w:val="24"/>
            <w:szCs w:val="24"/>
          </w:rPr>
          <w:t>https://doi.org/10.1007/s10734-017-0220-3</w:t>
        </w:r>
      </w:hyperlink>
      <w:r>
        <w:rPr>
          <w:rFonts w:asciiTheme="majorBidi" w:eastAsiaTheme="minorHAnsi" w:hAnsiTheme="majorBidi" w:cstheme="majorBidi"/>
          <w:sz w:val="24"/>
          <w:szCs w:val="24"/>
        </w:rPr>
        <w:t xml:space="preserve"> </w:t>
      </w:r>
    </w:p>
    <w:p w14:paraId="3273E1CE" w14:textId="77777777" w:rsidR="002334D9" w:rsidRDefault="002334D9" w:rsidP="00374F3D">
      <w:pPr>
        <w:pStyle w:val="RALs-ReferencesList"/>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Bionote</w:t>
      </w:r>
    </w:p>
    <w:p w14:paraId="167AF796" w14:textId="49EC3711" w:rsidR="00B74285" w:rsidRDefault="00B74285" w:rsidP="00B74285">
      <w:pPr>
        <w:ind w:firstLine="0"/>
        <w:rPr>
          <w:rFonts w:asciiTheme="majorBidi" w:hAnsiTheme="majorBidi" w:cstheme="majorBidi"/>
          <w:sz w:val="24"/>
          <w:szCs w:val="24"/>
        </w:rPr>
      </w:pPr>
      <w:r>
        <w:rPr>
          <w:rFonts w:asciiTheme="majorBidi" w:hAnsiTheme="majorBidi" w:cstheme="majorBidi"/>
          <w:b/>
          <w:bCs/>
          <w:sz w:val="24"/>
          <w:szCs w:val="24"/>
        </w:rPr>
        <w:t>Ms. Nguyen Thi Thanh Thao</w:t>
      </w:r>
      <w:r>
        <w:rPr>
          <w:rFonts w:asciiTheme="majorBidi" w:hAnsiTheme="majorBidi" w:cstheme="majorBidi"/>
          <w:sz w:val="24"/>
          <w:szCs w:val="24"/>
        </w:rPr>
        <w:t xml:space="preserve"> is a full-time lecturer at the International Institute, Ho Chi Minh City University of Economics and Finance, Vietnam. She is currently a PhD student in English Language Studies at Suranaree University of Technology, Thailand. Her research interests include teaching methodologies, language assessment, and technology-enhanced language learning. </w:t>
      </w:r>
    </w:p>
    <w:p w14:paraId="0CB79876" w14:textId="7CCF097E" w:rsidR="00AB206D" w:rsidRDefault="00AB206D" w:rsidP="00B74285">
      <w:pPr>
        <w:ind w:firstLine="0"/>
        <w:rPr>
          <w:rFonts w:asciiTheme="majorBidi" w:hAnsiTheme="majorBidi" w:cstheme="majorBidi"/>
          <w:sz w:val="24"/>
          <w:szCs w:val="24"/>
        </w:rPr>
      </w:pPr>
      <w:r>
        <w:rPr>
          <w:rFonts w:asciiTheme="majorBidi" w:hAnsiTheme="majorBidi" w:cstheme="majorBidi"/>
          <w:b/>
          <w:bCs/>
          <w:sz w:val="24"/>
          <w:szCs w:val="24"/>
        </w:rPr>
        <w:t>Ms. Le Thi Dieu Duyen</w:t>
      </w:r>
      <w:r>
        <w:rPr>
          <w:rFonts w:asciiTheme="majorBidi" w:hAnsiTheme="majorBidi" w:cstheme="majorBidi"/>
          <w:sz w:val="24"/>
          <w:szCs w:val="24"/>
        </w:rPr>
        <w:t xml:space="preserve"> is a full-time lecturer at the Faculty of Foreign Languages &amp; Oriental Studies, Yersin University of Da Lat, Vietnam. She is currently a PhD student in English Language Studies at Suranaree University of Technology, Thailand. Her research interests include discourse analysis, sociolinguistics, and technology-enhanced language learning.</w:t>
      </w:r>
    </w:p>
    <w:p w14:paraId="6462A6C5" w14:textId="67A41E53" w:rsidR="00B837ED" w:rsidRDefault="00B837ED" w:rsidP="00B74285">
      <w:pPr>
        <w:ind w:firstLine="0"/>
        <w:rPr>
          <w:rFonts w:asciiTheme="majorBidi" w:hAnsiTheme="majorBidi" w:cstheme="majorBidi"/>
          <w:sz w:val="24"/>
          <w:szCs w:val="24"/>
        </w:rPr>
      </w:pPr>
      <w:r>
        <w:rPr>
          <w:rFonts w:asciiTheme="majorBidi" w:hAnsiTheme="majorBidi" w:cstheme="majorBidi"/>
          <w:b/>
          <w:bCs/>
          <w:sz w:val="24"/>
          <w:szCs w:val="24"/>
        </w:rPr>
        <w:t>Ms. Chau Thi Hong Tham</w:t>
      </w:r>
      <w:r>
        <w:rPr>
          <w:rFonts w:asciiTheme="majorBidi" w:hAnsiTheme="majorBidi" w:cstheme="majorBidi"/>
          <w:sz w:val="24"/>
          <w:szCs w:val="24"/>
        </w:rPr>
        <w:t xml:space="preserve"> is a lecturer at Nguyen Tat Thanh University, Vietnam, specializing in English language teaching methodologies. She is currently a PhD student in English Language Studies at Suranaree University of Technology, Thailand. Her research interests focus on teacher professional development, teacher identity construction, and language ideology in educational contexts.</w:t>
      </w:r>
    </w:p>
    <w:p w14:paraId="6A6E22A8" w14:textId="251407CB" w:rsidR="00B74285" w:rsidRDefault="00B74285" w:rsidP="00B74285">
      <w:pPr>
        <w:ind w:firstLine="0"/>
        <w:rPr>
          <w:rFonts w:asciiTheme="majorBidi" w:hAnsiTheme="majorBidi" w:cstheme="majorBidi"/>
          <w:sz w:val="24"/>
          <w:szCs w:val="24"/>
        </w:rPr>
      </w:pPr>
      <w:r>
        <w:rPr>
          <w:rFonts w:asciiTheme="majorBidi" w:hAnsiTheme="majorBidi" w:cstheme="majorBidi"/>
          <w:b/>
          <w:bCs/>
          <w:sz w:val="24"/>
          <w:szCs w:val="24"/>
        </w:rPr>
        <w:t>Mr. Bui Thanh Tinh</w:t>
      </w:r>
      <w:r>
        <w:rPr>
          <w:rFonts w:asciiTheme="majorBidi" w:hAnsiTheme="majorBidi" w:cstheme="majorBidi"/>
          <w:sz w:val="24"/>
          <w:szCs w:val="24"/>
        </w:rPr>
        <w:t xml:space="preserve"> is an EFL lecturer who has been working at Dong Thap University for more than eight years. He is currently a PhD student in English Language Studies at Suranaree </w:t>
      </w:r>
      <w:r>
        <w:rPr>
          <w:rFonts w:asciiTheme="majorBidi" w:hAnsiTheme="majorBidi" w:cstheme="majorBidi"/>
          <w:sz w:val="24"/>
          <w:szCs w:val="24"/>
        </w:rPr>
        <w:lastRenderedPageBreak/>
        <w:t>University of Technology, Thailand. His research interests focus on innovative approaches to English language teaching, and language testing and assessment.</w:t>
      </w:r>
    </w:p>
    <w:p w14:paraId="3EA56A7C" w14:textId="333BFD66" w:rsidR="00AB206D" w:rsidRDefault="00AB206D" w:rsidP="00B74285">
      <w:pPr>
        <w:ind w:firstLine="0"/>
        <w:rPr>
          <w:rFonts w:asciiTheme="majorBidi" w:hAnsiTheme="majorBidi" w:cstheme="majorBidi"/>
          <w:sz w:val="24"/>
          <w:szCs w:val="24"/>
        </w:rPr>
      </w:pPr>
      <w:r>
        <w:rPr>
          <w:rFonts w:asciiTheme="majorBidi" w:hAnsiTheme="majorBidi" w:cstheme="majorBidi"/>
          <w:b/>
          <w:bCs/>
          <w:sz w:val="24"/>
          <w:szCs w:val="24"/>
        </w:rPr>
        <w:t>Mr. Tran Van Doan</w:t>
      </w:r>
      <w:r>
        <w:rPr>
          <w:rFonts w:asciiTheme="majorBidi" w:hAnsiTheme="majorBidi" w:cstheme="majorBidi"/>
          <w:sz w:val="24"/>
          <w:szCs w:val="24"/>
        </w:rPr>
        <w:t xml:space="preserve"> is a full-time lecturer at the Faculty of Foreign Languages, Ho Chi Minh City University of Industry and Trade, Vietnam. He is currently a PhD student in English Language Studies at Suranaree University of Technology, Thailand. His research interests include language mindset theory, language assessment, and technology-enhanced language learning.</w:t>
      </w:r>
    </w:p>
    <w:p w14:paraId="17751468" w14:textId="77777777" w:rsidR="00B74285" w:rsidRPr="00E40940" w:rsidRDefault="00B74285" w:rsidP="00B74285">
      <w:pPr>
        <w:ind w:firstLine="0"/>
        <w:rPr>
          <w:rFonts w:asciiTheme="majorBidi" w:hAnsiTheme="majorBidi" w:cstheme="majorBidi"/>
          <w:sz w:val="24"/>
          <w:szCs w:val="24"/>
        </w:rPr>
      </w:pPr>
    </w:p>
    <w:sectPr w:rsidR="00B74285" w:rsidRPr="00E40940"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688F" w14:textId="77777777" w:rsidR="0082214E" w:rsidRDefault="0082214E" w:rsidP="00722EDE">
      <w:pPr>
        <w:spacing w:before="0" w:after="0" w:line="240" w:lineRule="auto"/>
      </w:pPr>
      <w:r>
        <w:separator/>
      </w:r>
    </w:p>
  </w:endnote>
  <w:endnote w:type="continuationSeparator" w:id="0">
    <w:p w14:paraId="64E29560" w14:textId="77777777" w:rsidR="0082214E" w:rsidRDefault="0082214E"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9652" w14:textId="77777777" w:rsidR="0082214E" w:rsidRDefault="0082214E" w:rsidP="00722EDE">
      <w:pPr>
        <w:spacing w:before="0" w:after="0" w:line="240" w:lineRule="auto"/>
      </w:pPr>
      <w:r>
        <w:separator/>
      </w:r>
    </w:p>
  </w:footnote>
  <w:footnote w:type="continuationSeparator" w:id="0">
    <w:p w14:paraId="0BF9B295" w14:textId="77777777" w:rsidR="0082214E" w:rsidRDefault="0082214E" w:rsidP="00722EDE">
      <w:pPr>
        <w:spacing w:before="0" w:after="0" w:line="240" w:lineRule="auto"/>
      </w:pPr>
      <w:r>
        <w:continuationSeparator/>
      </w:r>
    </w:p>
  </w:footnote>
  <w:footnote w:id="1">
    <w:p w14:paraId="4EE74CC2" w14:textId="1EBEAAEB" w:rsidR="00722EDE" w:rsidRPr="00D00215" w:rsidRDefault="00722EDE" w:rsidP="00AD7745">
      <w:pPr>
        <w:pStyle w:val="FootnoteText"/>
        <w:rPr>
          <w:rFonts w:cs="Times New Roman"/>
        </w:rPr>
      </w:pPr>
      <w:r w:rsidRPr="00D00215">
        <w:rPr>
          <w:rStyle w:val="FootnoteReference"/>
          <w:rFonts w:cs="Times New Roman"/>
        </w:rPr>
        <w:footnoteRef/>
      </w:r>
      <w:r w:rsidRPr="00D00215">
        <w:rPr>
          <w:rFonts w:cs="Times New Roman"/>
        </w:rPr>
        <w:t xml:space="preserve"> </w:t>
      </w:r>
      <w:r w:rsidRPr="00D00215">
        <w:rPr>
          <w:rFonts w:cs="Times New Roman"/>
          <w:spacing w:val="-2"/>
        </w:rPr>
        <w:t xml:space="preserve">Corresponding author, </w:t>
      </w:r>
      <w:r w:rsidR="00627956" w:rsidRPr="00627956">
        <w:rPr>
          <w:rFonts w:cs="Times New Roman"/>
        </w:rPr>
        <w:t>International Institute, Ho Chi Minh City University of Economics and Finance,</w:t>
      </w:r>
      <w:r w:rsidR="00627956">
        <w:rPr>
          <w:rFonts w:cs="Times New Roman"/>
        </w:rPr>
        <w:t xml:space="preserve"> Vietnam, </w:t>
      </w:r>
      <w:r w:rsidR="00AD7745">
        <w:rPr>
          <w:rFonts w:cs="Times New Roman"/>
          <w:i/>
          <w:iCs/>
          <w:spacing w:val="-2"/>
        </w:rPr>
        <w:t>Email:</w:t>
      </w:r>
      <w:r w:rsidR="00AD7745" w:rsidRPr="00AD7745">
        <w:rPr>
          <w:rFonts w:cs="Times New Roman"/>
          <w:i/>
          <w:iCs/>
        </w:rPr>
        <w:t xml:space="preserve"> </w:t>
      </w:r>
      <w:r w:rsidR="00627956">
        <w:rPr>
          <w:rFonts w:cs="Times New Roman"/>
          <w:i/>
          <w:iCs/>
        </w:rPr>
        <w:t>thaonnt2@uef.edu.vn</w:t>
      </w:r>
    </w:p>
  </w:footnote>
  <w:footnote w:id="2">
    <w:p w14:paraId="1A78A0E5" w14:textId="269B39CB" w:rsidR="00722EDE" w:rsidRPr="00D00215" w:rsidRDefault="00722EDE" w:rsidP="00722EDE">
      <w:pPr>
        <w:pStyle w:val="FootnoteText"/>
        <w:rPr>
          <w:rFonts w:cs="Times New Roman"/>
        </w:rPr>
      </w:pPr>
      <w:r w:rsidRPr="00D00215">
        <w:rPr>
          <w:rStyle w:val="FootnoteReference"/>
          <w:rFonts w:cs="Times New Roman"/>
        </w:rPr>
        <w:footnoteRef/>
      </w:r>
      <w:r w:rsidRPr="00D00215">
        <w:rPr>
          <w:rFonts w:cs="Times New Roman"/>
        </w:rPr>
        <w:t xml:space="preserve"> </w:t>
      </w:r>
      <w:r w:rsidR="00627956" w:rsidRPr="00627956">
        <w:rPr>
          <w:rFonts w:cs="Times New Roman"/>
        </w:rPr>
        <w:t>Faculty of Foreign Languages &amp; Oriental Studies, Yersin University of Da Lat</w:t>
      </w:r>
      <w:r w:rsidR="00627956">
        <w:rPr>
          <w:rFonts w:cs="Times New Roman"/>
        </w:rPr>
        <w:t>, Vietnam</w:t>
      </w:r>
    </w:p>
  </w:footnote>
  <w:footnote w:id="3">
    <w:p w14:paraId="20C132AE" w14:textId="3F3CCE7B" w:rsidR="00722EDE" w:rsidRDefault="00722EDE" w:rsidP="00722EDE">
      <w:pPr>
        <w:pStyle w:val="FootnoteText"/>
        <w:rPr>
          <w:rFonts w:cs="Times New Roman"/>
          <w:spacing w:val="-2"/>
        </w:rPr>
      </w:pPr>
      <w:r w:rsidRPr="00D00215">
        <w:rPr>
          <w:rStyle w:val="FootnoteReference"/>
          <w:rFonts w:cs="Times New Roman"/>
        </w:rPr>
        <w:footnoteRef/>
      </w:r>
      <w:r w:rsidRPr="00D00215">
        <w:rPr>
          <w:rFonts w:cs="Times New Roman"/>
        </w:rPr>
        <w:t xml:space="preserve"> </w:t>
      </w:r>
      <w:r w:rsidR="00627956" w:rsidRPr="00627956">
        <w:rPr>
          <w:rFonts w:cs="Times New Roman"/>
        </w:rPr>
        <w:t>Faculty of Foreign Language, Nguyen Tat Thanh University</w:t>
      </w:r>
      <w:r w:rsidR="00627956">
        <w:rPr>
          <w:rFonts w:cs="Times New Roman"/>
        </w:rPr>
        <w:t>, Vietnam</w:t>
      </w:r>
    </w:p>
    <w:p w14:paraId="69F3DBC8" w14:textId="1B1BD8F6" w:rsidR="00627956" w:rsidRDefault="00627956" w:rsidP="00627956">
      <w:pPr>
        <w:pStyle w:val="FootnoteText"/>
        <w:ind w:left="0" w:firstLine="0"/>
        <w:rPr>
          <w:rFonts w:cs="Times New Roman"/>
          <w:spacing w:val="-2"/>
        </w:rPr>
      </w:pPr>
      <w:r>
        <w:rPr>
          <w:rStyle w:val="FootnoteReference"/>
          <w:rFonts w:cs="Times New Roman"/>
        </w:rPr>
        <w:t>4</w:t>
      </w:r>
      <w:r w:rsidRPr="00D00215">
        <w:rPr>
          <w:rFonts w:cs="Times New Roman"/>
        </w:rPr>
        <w:t xml:space="preserve"> </w:t>
      </w:r>
      <w:r w:rsidRPr="00627956">
        <w:rPr>
          <w:rFonts w:cs="Times New Roman"/>
        </w:rPr>
        <w:t>Foreign Languages and Informatics Center, Dong Thap University</w:t>
      </w:r>
      <w:r>
        <w:rPr>
          <w:rFonts w:cs="Times New Roman"/>
        </w:rPr>
        <w:t>, Vietnam</w:t>
      </w:r>
    </w:p>
    <w:p w14:paraId="3DF8AE07" w14:textId="052EB65E" w:rsidR="00627956" w:rsidRDefault="00627956" w:rsidP="00627956">
      <w:pPr>
        <w:pStyle w:val="FootnoteText"/>
        <w:ind w:left="0" w:firstLine="0"/>
      </w:pPr>
      <w:r>
        <w:rPr>
          <w:rStyle w:val="FootnoteReference"/>
          <w:rFonts w:cs="Times New Roman"/>
        </w:rPr>
        <w:t>5</w:t>
      </w:r>
      <w:r>
        <w:rPr>
          <w:rFonts w:cs="Times New Roman"/>
        </w:rPr>
        <w:t xml:space="preserve"> </w:t>
      </w:r>
      <w:r w:rsidRPr="00627956">
        <w:rPr>
          <w:rFonts w:cs="Times New Roman"/>
        </w:rPr>
        <w:t>Faculty of Foreign Languages, Ho Chi Minh City University of Industry and Trade</w:t>
      </w:r>
      <w:r>
        <w:rPr>
          <w:rFonts w:cs="Times New Roman"/>
        </w:rPr>
        <w:t>, Vietnam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178862">
    <w:abstractNumId w:val="0"/>
  </w:num>
  <w:num w:numId="2" w16cid:durableId="12427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13D61"/>
    <w:rsid w:val="000255FB"/>
    <w:rsid w:val="000452F9"/>
    <w:rsid w:val="0008495B"/>
    <w:rsid w:val="00097731"/>
    <w:rsid w:val="000D02DA"/>
    <w:rsid w:val="00100186"/>
    <w:rsid w:val="00105F23"/>
    <w:rsid w:val="001700F8"/>
    <w:rsid w:val="00174629"/>
    <w:rsid w:val="001D1F3F"/>
    <w:rsid w:val="002270B5"/>
    <w:rsid w:val="00230B4C"/>
    <w:rsid w:val="002334D9"/>
    <w:rsid w:val="0024049F"/>
    <w:rsid w:val="002639BD"/>
    <w:rsid w:val="00263F22"/>
    <w:rsid w:val="002835DB"/>
    <w:rsid w:val="00291EBB"/>
    <w:rsid w:val="002B2863"/>
    <w:rsid w:val="002E660C"/>
    <w:rsid w:val="00316775"/>
    <w:rsid w:val="00352213"/>
    <w:rsid w:val="00352D49"/>
    <w:rsid w:val="00353EB2"/>
    <w:rsid w:val="00374F3D"/>
    <w:rsid w:val="00385D90"/>
    <w:rsid w:val="003943D0"/>
    <w:rsid w:val="003C1DED"/>
    <w:rsid w:val="003E053B"/>
    <w:rsid w:val="003E395E"/>
    <w:rsid w:val="003E7F04"/>
    <w:rsid w:val="004234EE"/>
    <w:rsid w:val="00486E01"/>
    <w:rsid w:val="00492B4B"/>
    <w:rsid w:val="00531702"/>
    <w:rsid w:val="00534412"/>
    <w:rsid w:val="00551063"/>
    <w:rsid w:val="0055247B"/>
    <w:rsid w:val="0055635B"/>
    <w:rsid w:val="005D200D"/>
    <w:rsid w:val="005E6521"/>
    <w:rsid w:val="005F4AE4"/>
    <w:rsid w:val="0060356B"/>
    <w:rsid w:val="00622A07"/>
    <w:rsid w:val="00627956"/>
    <w:rsid w:val="006505BE"/>
    <w:rsid w:val="00660CAB"/>
    <w:rsid w:val="00695D84"/>
    <w:rsid w:val="006A0AE2"/>
    <w:rsid w:val="006D5B06"/>
    <w:rsid w:val="006E5CAE"/>
    <w:rsid w:val="006F01BE"/>
    <w:rsid w:val="00722EDE"/>
    <w:rsid w:val="007270FC"/>
    <w:rsid w:val="00731225"/>
    <w:rsid w:val="007507FE"/>
    <w:rsid w:val="00762AAD"/>
    <w:rsid w:val="007B54D6"/>
    <w:rsid w:val="007C53D1"/>
    <w:rsid w:val="0082214E"/>
    <w:rsid w:val="0084425D"/>
    <w:rsid w:val="00871571"/>
    <w:rsid w:val="00881C36"/>
    <w:rsid w:val="008978CE"/>
    <w:rsid w:val="00906B59"/>
    <w:rsid w:val="00934FC5"/>
    <w:rsid w:val="00942596"/>
    <w:rsid w:val="00943C2F"/>
    <w:rsid w:val="00950C30"/>
    <w:rsid w:val="009627F9"/>
    <w:rsid w:val="009A2266"/>
    <w:rsid w:val="00A01970"/>
    <w:rsid w:val="00A37C46"/>
    <w:rsid w:val="00A43867"/>
    <w:rsid w:val="00A53659"/>
    <w:rsid w:val="00A6273B"/>
    <w:rsid w:val="00AA0B64"/>
    <w:rsid w:val="00AB1BE1"/>
    <w:rsid w:val="00AB206D"/>
    <w:rsid w:val="00AB40B0"/>
    <w:rsid w:val="00AD29B9"/>
    <w:rsid w:val="00AD7745"/>
    <w:rsid w:val="00AE1120"/>
    <w:rsid w:val="00B13FAF"/>
    <w:rsid w:val="00B74285"/>
    <w:rsid w:val="00B837ED"/>
    <w:rsid w:val="00B96E3A"/>
    <w:rsid w:val="00BA7885"/>
    <w:rsid w:val="00C47E23"/>
    <w:rsid w:val="00C51D2A"/>
    <w:rsid w:val="00C56E21"/>
    <w:rsid w:val="00C863B2"/>
    <w:rsid w:val="00C86B20"/>
    <w:rsid w:val="00CD3D29"/>
    <w:rsid w:val="00CD5CC3"/>
    <w:rsid w:val="00D27A4B"/>
    <w:rsid w:val="00D3302B"/>
    <w:rsid w:val="00DC5B1A"/>
    <w:rsid w:val="00DC5BCF"/>
    <w:rsid w:val="00DD1C98"/>
    <w:rsid w:val="00DD7139"/>
    <w:rsid w:val="00DE422F"/>
    <w:rsid w:val="00E40940"/>
    <w:rsid w:val="00E60357"/>
    <w:rsid w:val="00EB35B5"/>
    <w:rsid w:val="00EC1FC8"/>
    <w:rsid w:val="00EE6618"/>
    <w:rsid w:val="00F03E1A"/>
    <w:rsid w:val="00F63596"/>
    <w:rsid w:val="00F80056"/>
    <w:rsid w:val="00F80631"/>
    <w:rsid w:val="00FB2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55AD1"/>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2B28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37C46"/>
    <w:rPr>
      <w:color w:val="605E5C"/>
      <w:shd w:val="clear" w:color="auto" w:fill="E1DFDD"/>
    </w:rPr>
  </w:style>
  <w:style w:type="paragraph" w:styleId="BodyText">
    <w:name w:val="Body Text"/>
    <w:basedOn w:val="Normal"/>
    <w:link w:val="BodyTextChar"/>
    <w:uiPriority w:val="1"/>
    <w:qFormat/>
    <w:rsid w:val="00B74285"/>
    <w:pPr>
      <w:widowControl w:val="0"/>
      <w:autoSpaceDE w:val="0"/>
      <w:autoSpaceDN w:val="0"/>
      <w:spacing w:before="0" w:after="0" w:line="240" w:lineRule="auto"/>
      <w:ind w:left="308"/>
    </w:pPr>
    <w:rPr>
      <w:rFonts w:cs="Times New Roman"/>
      <w:sz w:val="24"/>
      <w:szCs w:val="24"/>
    </w:rPr>
  </w:style>
  <w:style w:type="character" w:customStyle="1" w:styleId="BodyTextChar">
    <w:name w:val="Body Text Char"/>
    <w:basedOn w:val="DefaultParagraphFont"/>
    <w:link w:val="BodyText"/>
    <w:uiPriority w:val="1"/>
    <w:rsid w:val="00B742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69594x.2019.15719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10734-017-02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16</Pages>
  <Words>4385</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Nguyễn Thị Thanh Thảo</cp:lastModifiedBy>
  <cp:revision>1</cp:revision>
  <dcterms:created xsi:type="dcterms:W3CDTF">2020-07-23T03:39:00Z</dcterms:created>
  <dcterms:modified xsi:type="dcterms:W3CDTF">2026-06-11T07:13:00Z</dcterms:modified>
</cp:coreProperties>
</file>