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E7A42" w14:textId="77777777" w:rsidR="0017074D" w:rsidRDefault="0017074D" w:rsidP="00722EDE">
      <w:pPr>
        <w:pStyle w:val="RALs-Title"/>
        <w:rPr>
          <w:rFonts w:asciiTheme="majorBidi" w:hAnsiTheme="majorBidi" w:cstheme="majorBidi"/>
          <w:lang w:val="en-US"/>
        </w:rPr>
      </w:pPr>
      <w:r w:rsidRPr="0017074D">
        <w:rPr>
          <w:rFonts w:asciiTheme="majorBidi" w:hAnsiTheme="majorBidi" w:cstheme="majorBidi"/>
          <w:lang w:val="en-US"/>
        </w:rPr>
        <w:t xml:space="preserve">English-major Students’ Readiness for Real World English Use in an </w:t>
      </w:r>
    </w:p>
    <w:p w14:paraId="05B16244" w14:textId="2B5BDAF9" w:rsidR="00722EDE" w:rsidRPr="00E40940" w:rsidRDefault="0017074D" w:rsidP="00722EDE">
      <w:pPr>
        <w:pStyle w:val="RALs-Title"/>
        <w:rPr>
          <w:rFonts w:asciiTheme="majorBidi" w:hAnsiTheme="majorBidi" w:cstheme="majorBidi"/>
          <w:rtl/>
          <w:lang w:val="en-US"/>
        </w:rPr>
      </w:pPr>
      <w:r w:rsidRPr="0017074D">
        <w:rPr>
          <w:rFonts w:asciiTheme="majorBidi" w:hAnsiTheme="majorBidi" w:cstheme="majorBidi"/>
          <w:lang w:val="en-US"/>
        </w:rPr>
        <w:t>ESL-Oriented Context: A Case Study at HUFLIT</w:t>
      </w:r>
    </w:p>
    <w:p w14:paraId="01138779" w14:textId="14E1B9FC" w:rsidR="00722EDE" w:rsidRPr="00E40940" w:rsidRDefault="0017074D" w:rsidP="00722EDE">
      <w:pPr>
        <w:pStyle w:val="RALs-Authors"/>
        <w:rPr>
          <w:rFonts w:asciiTheme="majorBidi" w:hAnsiTheme="majorBidi" w:cstheme="majorBidi"/>
        </w:rPr>
      </w:pPr>
      <w:r>
        <w:rPr>
          <w:rFonts w:asciiTheme="majorBidi" w:hAnsiTheme="majorBidi" w:cstheme="majorBidi"/>
        </w:rPr>
        <w:t>Loan Nguyen Thi Thanh</w:t>
      </w:r>
      <w:r w:rsidR="00722EDE" w:rsidRPr="00E40940">
        <w:rPr>
          <w:rStyle w:val="FootnoteReference"/>
          <w:rFonts w:asciiTheme="majorBidi" w:hAnsiTheme="majorBidi" w:cstheme="majorBidi"/>
        </w:rPr>
        <w:footnoteReference w:id="1"/>
      </w:r>
    </w:p>
    <w:p w14:paraId="6540EC58" w14:textId="77777777" w:rsidR="00316775" w:rsidRDefault="00316775" w:rsidP="00722EDE">
      <w:pPr>
        <w:pStyle w:val="RALs-HeadingsNoIndent"/>
        <w:rPr>
          <w:rFonts w:asciiTheme="majorBidi" w:hAnsiTheme="majorBidi" w:cstheme="majorBidi"/>
          <w:sz w:val="24"/>
          <w:szCs w:val="24"/>
        </w:rPr>
      </w:pPr>
    </w:p>
    <w:p w14:paraId="06B7DF70" w14:textId="77777777" w:rsidR="00722EDE" w:rsidRPr="00E40940" w:rsidRDefault="00722EDE" w:rsidP="00722EDE">
      <w:pPr>
        <w:pStyle w:val="RALs-HeadingsNoIndent"/>
        <w:rPr>
          <w:rFonts w:asciiTheme="majorBidi" w:hAnsiTheme="majorBidi" w:cstheme="majorBidi"/>
          <w:sz w:val="24"/>
          <w:szCs w:val="24"/>
        </w:rPr>
      </w:pPr>
      <w:r w:rsidRPr="00E40940">
        <w:rPr>
          <w:rFonts w:asciiTheme="majorBidi" w:hAnsiTheme="majorBidi" w:cstheme="majorBidi"/>
          <w:sz w:val="24"/>
          <w:szCs w:val="24"/>
        </w:rPr>
        <w:t>Abstract</w:t>
      </w:r>
    </w:p>
    <w:p w14:paraId="5703871B" w14:textId="57B3DAEC" w:rsidR="00E40940" w:rsidRPr="00F80631" w:rsidRDefault="0017074D" w:rsidP="00E40940">
      <w:pPr>
        <w:shd w:val="clear" w:color="auto" w:fill="FFFFFF"/>
        <w:spacing w:before="0" w:after="0" w:line="240" w:lineRule="auto"/>
        <w:ind w:firstLine="0"/>
        <w:rPr>
          <w:rFonts w:asciiTheme="majorBidi" w:hAnsiTheme="majorBidi" w:cstheme="majorBidi"/>
          <w:color w:val="333333"/>
          <w:sz w:val="24"/>
          <w:szCs w:val="24"/>
        </w:rPr>
      </w:pPr>
      <w:r w:rsidRPr="0017074D">
        <w:rPr>
          <w:rFonts w:asciiTheme="majorBidi" w:hAnsiTheme="majorBidi" w:cstheme="majorBidi"/>
          <w:sz w:val="24"/>
          <w:szCs w:val="24"/>
        </w:rPr>
        <w:t xml:space="preserve">This study aims to investigate English-major students’ readiness for real-world English use in an ESL-oriented context at HUFLIT University, focusing on three dimensions:  communicative competence, willingness to communicate, and L2 self-confidence. Data were collected from 160 English-major students using a questionnaire. Descriptive statistics were employed to examine learners’ overall readiness and their distribution across the three dimensions. In addition, one-way ANOVA was conducted to explore differences in readiness across academic year and self-rated English proficiency, while Pearson correlation analysis was used to examine the relationships among the three dimensions. </w:t>
      </w:r>
      <w:r w:rsidRPr="00953A31">
        <w:rPr>
          <w:rFonts w:asciiTheme="majorBidi" w:hAnsiTheme="majorBidi" w:cstheme="majorBidi"/>
          <w:sz w:val="24"/>
          <w:szCs w:val="24"/>
          <w:highlight w:val="yellow"/>
        </w:rPr>
        <w:t xml:space="preserve">The findings revealed that </w:t>
      </w:r>
      <w:r w:rsidR="00953A31" w:rsidRPr="00953A31">
        <w:rPr>
          <w:rFonts w:asciiTheme="majorBidi" w:hAnsiTheme="majorBidi" w:cstheme="majorBidi"/>
          <w:sz w:val="24"/>
          <w:szCs w:val="24"/>
          <w:highlight w:val="yellow"/>
        </w:rPr>
        <w:t xml:space="preserve">students reported a high level of perceived readiness </w:t>
      </w:r>
      <w:r w:rsidRPr="00953A31">
        <w:rPr>
          <w:rFonts w:asciiTheme="majorBidi" w:hAnsiTheme="majorBidi" w:cstheme="majorBidi"/>
          <w:sz w:val="24"/>
          <w:szCs w:val="24"/>
          <w:highlight w:val="yellow"/>
        </w:rPr>
        <w:t>toward ESL orientation</w:t>
      </w:r>
      <w:r w:rsidRPr="0017074D">
        <w:rPr>
          <w:rFonts w:asciiTheme="majorBidi" w:hAnsiTheme="majorBidi" w:cstheme="majorBidi"/>
          <w:sz w:val="24"/>
          <w:szCs w:val="24"/>
        </w:rPr>
        <w:t>. While no significant differences were found across academic years, the level of readiness varied significantly according to English proficiency levels. Furthermore, strong positive correlations were identified among the three dimensions. These findings suggest that enhancing learners’ readiness to use English as a second language requires not only the development of language competence but also the fostering of confidence and a supportive environment that encourages active communication.</w:t>
      </w:r>
      <w:r w:rsidR="00953A31" w:rsidRPr="00953A31">
        <w:t xml:space="preserve"> </w:t>
      </w:r>
      <w:r w:rsidR="00953A31" w:rsidRPr="00953A31">
        <w:rPr>
          <w:rFonts w:asciiTheme="majorBidi" w:hAnsiTheme="majorBidi" w:cstheme="majorBidi"/>
          <w:sz w:val="24"/>
          <w:szCs w:val="24"/>
          <w:highlight w:val="yellow"/>
        </w:rPr>
        <w:t>The study examines perceived readiness rather than actual real-world English performance.</w:t>
      </w:r>
    </w:p>
    <w:p w14:paraId="69CEBCE9" w14:textId="540E9AC4" w:rsidR="00722EDE" w:rsidRDefault="00722EDE" w:rsidP="002835DB">
      <w:pPr>
        <w:spacing w:before="240"/>
        <w:ind w:firstLine="284"/>
        <w:rPr>
          <w:rFonts w:asciiTheme="majorBidi" w:hAnsiTheme="majorBidi" w:cstheme="majorBidi"/>
          <w:sz w:val="24"/>
          <w:szCs w:val="24"/>
        </w:rPr>
      </w:pPr>
      <w:r w:rsidRPr="00F80631">
        <w:rPr>
          <w:rFonts w:asciiTheme="majorBidi" w:hAnsiTheme="majorBidi" w:cstheme="majorBidi"/>
          <w:b/>
          <w:bCs/>
          <w:i/>
          <w:iCs/>
          <w:sz w:val="24"/>
          <w:szCs w:val="24"/>
        </w:rPr>
        <w:t>Keywords</w:t>
      </w:r>
      <w:r w:rsidRPr="00F80631">
        <w:rPr>
          <w:rFonts w:asciiTheme="majorBidi" w:hAnsiTheme="majorBidi" w:cstheme="majorBidi"/>
          <w:b/>
          <w:bCs/>
          <w:sz w:val="24"/>
          <w:szCs w:val="24"/>
        </w:rPr>
        <w:t xml:space="preserve">: </w:t>
      </w:r>
      <w:r w:rsidR="0017074D">
        <w:rPr>
          <w:rFonts w:asciiTheme="majorBidi" w:hAnsiTheme="majorBidi" w:cstheme="majorBidi"/>
          <w:sz w:val="24"/>
          <w:szCs w:val="24"/>
        </w:rPr>
        <w:t>l</w:t>
      </w:r>
      <w:r w:rsidR="0017074D" w:rsidRPr="0017074D">
        <w:rPr>
          <w:rFonts w:asciiTheme="majorBidi" w:hAnsiTheme="majorBidi" w:cstheme="majorBidi"/>
          <w:sz w:val="24"/>
          <w:szCs w:val="24"/>
        </w:rPr>
        <w:t>earner readiness</w:t>
      </w:r>
      <w:r w:rsidR="0017074D">
        <w:rPr>
          <w:rFonts w:asciiTheme="majorBidi" w:hAnsiTheme="majorBidi" w:cstheme="majorBidi"/>
          <w:sz w:val="24"/>
          <w:szCs w:val="24"/>
        </w:rPr>
        <w:t>,</w:t>
      </w:r>
      <w:r w:rsidR="0017074D" w:rsidRPr="0017074D">
        <w:rPr>
          <w:rFonts w:asciiTheme="majorBidi" w:hAnsiTheme="majorBidi" w:cstheme="majorBidi"/>
          <w:sz w:val="24"/>
          <w:szCs w:val="24"/>
        </w:rPr>
        <w:t xml:space="preserve"> ESL-oriented context</w:t>
      </w:r>
      <w:r w:rsidR="0017074D">
        <w:rPr>
          <w:rFonts w:asciiTheme="majorBidi" w:hAnsiTheme="majorBidi" w:cstheme="majorBidi"/>
          <w:sz w:val="24"/>
          <w:szCs w:val="24"/>
        </w:rPr>
        <w:t>,</w:t>
      </w:r>
      <w:r w:rsidR="0017074D" w:rsidRPr="0017074D">
        <w:rPr>
          <w:rFonts w:asciiTheme="majorBidi" w:hAnsiTheme="majorBidi" w:cstheme="majorBidi"/>
          <w:sz w:val="24"/>
          <w:szCs w:val="24"/>
        </w:rPr>
        <w:t xml:space="preserve"> willingness to communicate</w:t>
      </w:r>
      <w:r w:rsidR="0017074D">
        <w:rPr>
          <w:rFonts w:asciiTheme="majorBidi" w:hAnsiTheme="majorBidi" w:cstheme="majorBidi"/>
          <w:sz w:val="24"/>
          <w:szCs w:val="24"/>
        </w:rPr>
        <w:t>,</w:t>
      </w:r>
      <w:r w:rsidR="0017074D" w:rsidRPr="0017074D">
        <w:rPr>
          <w:rFonts w:asciiTheme="majorBidi" w:hAnsiTheme="majorBidi" w:cstheme="majorBidi"/>
          <w:sz w:val="24"/>
          <w:szCs w:val="24"/>
        </w:rPr>
        <w:t xml:space="preserve"> L2 self-confidence</w:t>
      </w:r>
      <w:r w:rsidRPr="00F80631">
        <w:rPr>
          <w:rFonts w:asciiTheme="majorBidi" w:hAnsiTheme="majorBidi" w:cstheme="majorBidi"/>
          <w:sz w:val="24"/>
          <w:szCs w:val="24"/>
        </w:rPr>
        <w:t xml:space="preserve"> </w:t>
      </w:r>
    </w:p>
    <w:p w14:paraId="3B32331A" w14:textId="77777777" w:rsidR="00316775" w:rsidRPr="00F80631" w:rsidRDefault="00316775" w:rsidP="00722EDE">
      <w:pPr>
        <w:spacing w:before="240"/>
        <w:ind w:left="993" w:hanging="993"/>
        <w:rPr>
          <w:rFonts w:asciiTheme="majorBidi" w:hAnsiTheme="majorBidi" w:cstheme="majorBidi"/>
          <w:b/>
          <w:bCs/>
          <w:sz w:val="24"/>
          <w:szCs w:val="24"/>
        </w:rPr>
      </w:pPr>
    </w:p>
    <w:p w14:paraId="0FDF3AF9" w14:textId="77777777" w:rsidR="00722EDE" w:rsidRPr="00E40940" w:rsidRDefault="00722EDE" w:rsidP="00722EDE">
      <w:pPr>
        <w:pStyle w:val="RALs-Heading1"/>
        <w:rPr>
          <w:rFonts w:asciiTheme="majorBidi" w:hAnsiTheme="majorBidi" w:cstheme="majorBidi"/>
          <w:b w:val="0"/>
          <w:bCs w:val="0"/>
          <w:sz w:val="24"/>
          <w:szCs w:val="24"/>
        </w:rPr>
      </w:pPr>
      <w:r w:rsidRPr="00E40940">
        <w:rPr>
          <w:rFonts w:asciiTheme="majorBidi" w:hAnsiTheme="majorBidi" w:cstheme="majorBidi"/>
          <w:sz w:val="24"/>
          <w:szCs w:val="24"/>
        </w:rPr>
        <w:t>1. Introduction</w:t>
      </w:r>
    </w:p>
    <w:p w14:paraId="08F74680" w14:textId="491DB776" w:rsidR="0017074D" w:rsidRPr="0017074D" w:rsidRDefault="0017074D" w:rsidP="0017074D">
      <w:pPr>
        <w:autoSpaceDE w:val="0"/>
        <w:autoSpaceDN w:val="0"/>
        <w:adjustRightInd w:val="0"/>
        <w:spacing w:before="0" w:after="0" w:line="480" w:lineRule="auto"/>
        <w:rPr>
          <w:rFonts w:asciiTheme="majorBidi" w:eastAsiaTheme="minorHAnsi" w:hAnsiTheme="majorBidi" w:cstheme="majorBidi"/>
          <w:sz w:val="24"/>
          <w:szCs w:val="24"/>
        </w:rPr>
      </w:pPr>
      <w:r w:rsidRPr="0017074D">
        <w:rPr>
          <w:rFonts w:asciiTheme="majorBidi" w:eastAsiaTheme="minorHAnsi" w:hAnsiTheme="majorBidi" w:cstheme="majorBidi"/>
          <w:sz w:val="24"/>
          <w:szCs w:val="24"/>
        </w:rPr>
        <w:t xml:space="preserve">English has increasingly become a global means of communication, particularly in academic, professional, and international contexts. In response, language education has gradually shifted from a focus on grammatical knowledge toward the ability to use English for real-world communication. In Vietnam, English has traditionally been taught as a foreign language within the Expanding Circle (Kachru, 1985). However, recent policy developments indicate a shift toward a context in which English is expected to function as a second language across a wide range of educational system (Decision No. 2371/QĐ-TTg, 2025). Despite this orientation, English language education in Vietnam remains largely exam-oriented, with </w:t>
      </w:r>
      <w:r w:rsidRPr="0017074D">
        <w:rPr>
          <w:rFonts w:asciiTheme="majorBidi" w:eastAsiaTheme="minorHAnsi" w:hAnsiTheme="majorBidi" w:cstheme="majorBidi"/>
          <w:sz w:val="24"/>
          <w:szCs w:val="24"/>
        </w:rPr>
        <w:lastRenderedPageBreak/>
        <w:t xml:space="preserve">limited opportunities for authentic communication (Nguyen et al., 2017). As a result, learners may not be sufficiently prepared to use English in real-life contexts. </w:t>
      </w:r>
    </w:p>
    <w:p w14:paraId="11583F32" w14:textId="77777777" w:rsidR="0017074D" w:rsidRPr="0017074D" w:rsidRDefault="0017074D" w:rsidP="0017074D">
      <w:pPr>
        <w:autoSpaceDE w:val="0"/>
        <w:autoSpaceDN w:val="0"/>
        <w:adjustRightInd w:val="0"/>
        <w:spacing w:before="0" w:after="0" w:line="480" w:lineRule="auto"/>
        <w:rPr>
          <w:rFonts w:asciiTheme="majorBidi" w:eastAsiaTheme="minorHAnsi" w:hAnsiTheme="majorBidi" w:cstheme="majorBidi"/>
          <w:sz w:val="24"/>
          <w:szCs w:val="24"/>
        </w:rPr>
      </w:pPr>
      <w:r w:rsidRPr="0017074D">
        <w:rPr>
          <w:rFonts w:asciiTheme="majorBidi" w:eastAsiaTheme="minorHAnsi" w:hAnsiTheme="majorBidi" w:cstheme="majorBidi"/>
          <w:sz w:val="24"/>
          <w:szCs w:val="24"/>
        </w:rPr>
        <w:t>The concern of using English as second language is especially relevant in higher education, where English-major students are expected to become future users. English language instruction in Vietnamese universities is typically divided into English-major and non-English-major programs, with the former placing English as the central focus of study (To, 2010). In order to apply English in various working areas including translation, teaching, and business, English major students are educated not only language skills but also knowledge in linguistic, culture and literature. However, despite this intensive training, persistent limitations remain. Studies indicate that only a small proportion of graduates achieve sufficient proficiency for professional use (Pham, 2004), while others continue to face difficulties in speaking, reading, and writing (Vo et al., 2018; Tran &amp; Nguyen, 2023; Dang et al., 2021).</w:t>
      </w:r>
    </w:p>
    <w:p w14:paraId="017D1877" w14:textId="608BD19D" w:rsidR="0017074D" w:rsidRPr="0017074D" w:rsidRDefault="0017074D" w:rsidP="0017074D">
      <w:pPr>
        <w:autoSpaceDE w:val="0"/>
        <w:autoSpaceDN w:val="0"/>
        <w:adjustRightInd w:val="0"/>
        <w:spacing w:before="0" w:after="0" w:line="480" w:lineRule="auto"/>
        <w:rPr>
          <w:rFonts w:asciiTheme="majorBidi" w:eastAsiaTheme="minorHAnsi" w:hAnsiTheme="majorBidi" w:cstheme="majorBidi"/>
          <w:sz w:val="24"/>
          <w:szCs w:val="24"/>
        </w:rPr>
      </w:pPr>
      <w:r w:rsidRPr="0017074D">
        <w:rPr>
          <w:rFonts w:asciiTheme="majorBidi" w:eastAsiaTheme="minorHAnsi" w:hAnsiTheme="majorBidi" w:cstheme="majorBidi"/>
          <w:sz w:val="24"/>
          <w:szCs w:val="24"/>
        </w:rPr>
        <w:t xml:space="preserve">While previous studies have largely focused on language proficiency and learning outcomes, limited attention has been paid to learners’ readiness to use English in real-world contexts. </w:t>
      </w:r>
      <w:r w:rsidR="00953A31" w:rsidRPr="00953A31">
        <w:rPr>
          <w:rFonts w:asciiTheme="majorBidi" w:eastAsiaTheme="minorHAnsi" w:hAnsiTheme="majorBidi" w:cstheme="majorBidi"/>
          <w:sz w:val="24"/>
          <w:szCs w:val="24"/>
          <w:highlight w:val="yellow"/>
        </w:rPr>
        <w:t>In other words, existing studies in this field have mainly examined what English-major students can do linguistically, while this study examines whether they feel ready to use English beyond the classroom in an ESL-oriented context</w:t>
      </w:r>
      <w:r w:rsidR="00953A31">
        <w:rPr>
          <w:rFonts w:asciiTheme="majorBidi" w:eastAsiaTheme="minorHAnsi" w:hAnsiTheme="majorBidi" w:cstheme="majorBidi"/>
          <w:sz w:val="24"/>
          <w:szCs w:val="24"/>
        </w:rPr>
        <w:t xml:space="preserve">. </w:t>
      </w:r>
      <w:r w:rsidRPr="0017074D">
        <w:rPr>
          <w:rFonts w:asciiTheme="majorBidi" w:eastAsiaTheme="minorHAnsi" w:hAnsiTheme="majorBidi" w:cstheme="majorBidi"/>
          <w:sz w:val="24"/>
          <w:szCs w:val="24"/>
        </w:rPr>
        <w:t xml:space="preserve">Moreover, little is known about whether English-major students, who are expected to function as future users of English, are adequately prepared for this shift. Therefore, this study aims to investigate English-major students’ readiness for real-world English use in an ESL-oriented context. </w:t>
      </w:r>
    </w:p>
    <w:p w14:paraId="372042A8" w14:textId="77777777" w:rsidR="0017074D" w:rsidRPr="0017074D" w:rsidRDefault="0017074D" w:rsidP="0017074D">
      <w:pPr>
        <w:autoSpaceDE w:val="0"/>
        <w:autoSpaceDN w:val="0"/>
        <w:adjustRightInd w:val="0"/>
        <w:spacing w:before="0" w:after="0" w:line="480" w:lineRule="auto"/>
        <w:rPr>
          <w:rFonts w:asciiTheme="majorBidi" w:eastAsiaTheme="minorHAnsi" w:hAnsiTheme="majorBidi" w:cstheme="majorBidi"/>
          <w:sz w:val="24"/>
          <w:szCs w:val="24"/>
        </w:rPr>
      </w:pPr>
      <w:r w:rsidRPr="0017074D">
        <w:rPr>
          <w:rFonts w:asciiTheme="majorBidi" w:eastAsiaTheme="minorHAnsi" w:hAnsiTheme="majorBidi" w:cstheme="majorBidi"/>
          <w:sz w:val="24"/>
          <w:szCs w:val="24"/>
        </w:rPr>
        <w:t xml:space="preserve">The current study draws on three research questions: </w:t>
      </w:r>
    </w:p>
    <w:p w14:paraId="6BA9EE10" w14:textId="77777777" w:rsidR="0017074D" w:rsidRPr="00845DA3" w:rsidRDefault="0017074D" w:rsidP="0017074D">
      <w:pPr>
        <w:autoSpaceDE w:val="0"/>
        <w:autoSpaceDN w:val="0"/>
        <w:adjustRightInd w:val="0"/>
        <w:spacing w:before="0" w:after="0" w:line="480" w:lineRule="auto"/>
        <w:rPr>
          <w:rFonts w:asciiTheme="majorBidi" w:eastAsiaTheme="minorHAnsi" w:hAnsiTheme="majorBidi" w:cstheme="majorBidi"/>
          <w:i/>
          <w:iCs/>
          <w:sz w:val="24"/>
          <w:szCs w:val="24"/>
        </w:rPr>
      </w:pPr>
      <w:r w:rsidRPr="00845DA3">
        <w:rPr>
          <w:rFonts w:asciiTheme="majorBidi" w:eastAsiaTheme="minorHAnsi" w:hAnsiTheme="majorBidi" w:cstheme="majorBidi"/>
          <w:i/>
          <w:iCs/>
          <w:sz w:val="24"/>
          <w:szCs w:val="24"/>
        </w:rPr>
        <w:t>1.</w:t>
      </w:r>
      <w:r w:rsidRPr="00845DA3">
        <w:rPr>
          <w:rFonts w:asciiTheme="majorBidi" w:eastAsiaTheme="minorHAnsi" w:hAnsiTheme="majorBidi" w:cstheme="majorBidi"/>
          <w:i/>
          <w:iCs/>
          <w:sz w:val="24"/>
          <w:szCs w:val="24"/>
        </w:rPr>
        <w:tab/>
        <w:t>To what extent are English-major students ready for real-world English use in an ESL-oriented context?</w:t>
      </w:r>
    </w:p>
    <w:p w14:paraId="711EC89B" w14:textId="77777777" w:rsidR="0017074D" w:rsidRPr="00845DA3" w:rsidRDefault="0017074D" w:rsidP="0017074D">
      <w:pPr>
        <w:autoSpaceDE w:val="0"/>
        <w:autoSpaceDN w:val="0"/>
        <w:adjustRightInd w:val="0"/>
        <w:spacing w:before="0" w:after="0" w:line="480" w:lineRule="auto"/>
        <w:rPr>
          <w:rFonts w:asciiTheme="majorBidi" w:eastAsiaTheme="minorHAnsi" w:hAnsiTheme="majorBidi" w:cstheme="majorBidi"/>
          <w:i/>
          <w:iCs/>
          <w:sz w:val="24"/>
          <w:szCs w:val="24"/>
        </w:rPr>
      </w:pPr>
      <w:r w:rsidRPr="00845DA3">
        <w:rPr>
          <w:rFonts w:asciiTheme="majorBidi" w:eastAsiaTheme="minorHAnsi" w:hAnsiTheme="majorBidi" w:cstheme="majorBidi"/>
          <w:i/>
          <w:iCs/>
          <w:sz w:val="24"/>
          <w:szCs w:val="24"/>
        </w:rPr>
        <w:t>2.</w:t>
      </w:r>
      <w:r w:rsidRPr="00845DA3">
        <w:rPr>
          <w:rFonts w:asciiTheme="majorBidi" w:eastAsiaTheme="minorHAnsi" w:hAnsiTheme="majorBidi" w:cstheme="majorBidi"/>
          <w:i/>
          <w:iCs/>
          <w:sz w:val="24"/>
          <w:szCs w:val="24"/>
        </w:rPr>
        <w:tab/>
        <w:t>To what extent does learners’ readiness differ across academic year, and self-rated English proficiency?</w:t>
      </w:r>
    </w:p>
    <w:p w14:paraId="01E623B9" w14:textId="4502D89F" w:rsidR="006F01BE" w:rsidRPr="00845DA3" w:rsidRDefault="0017074D" w:rsidP="0017074D">
      <w:pPr>
        <w:autoSpaceDE w:val="0"/>
        <w:autoSpaceDN w:val="0"/>
        <w:adjustRightInd w:val="0"/>
        <w:spacing w:before="0" w:after="0" w:line="480" w:lineRule="auto"/>
        <w:rPr>
          <w:rFonts w:asciiTheme="majorBidi" w:eastAsiaTheme="minorHAnsi" w:hAnsiTheme="majorBidi" w:cstheme="majorBidi"/>
          <w:i/>
          <w:iCs/>
          <w:sz w:val="24"/>
          <w:szCs w:val="24"/>
        </w:rPr>
      </w:pPr>
      <w:r w:rsidRPr="00845DA3">
        <w:rPr>
          <w:rFonts w:asciiTheme="majorBidi" w:eastAsiaTheme="minorHAnsi" w:hAnsiTheme="majorBidi" w:cstheme="majorBidi"/>
          <w:i/>
          <w:iCs/>
          <w:sz w:val="24"/>
          <w:szCs w:val="24"/>
        </w:rPr>
        <w:lastRenderedPageBreak/>
        <w:t>3.</w:t>
      </w:r>
      <w:r w:rsidRPr="00845DA3">
        <w:rPr>
          <w:rFonts w:asciiTheme="majorBidi" w:eastAsiaTheme="minorHAnsi" w:hAnsiTheme="majorBidi" w:cstheme="majorBidi"/>
          <w:i/>
          <w:iCs/>
          <w:sz w:val="24"/>
          <w:szCs w:val="24"/>
        </w:rPr>
        <w:tab/>
        <w:t>What are the relationships between communicative competence, willingness to communicate, and L2 self-confidence in shaping learners’ readiness?</w:t>
      </w:r>
    </w:p>
    <w:p w14:paraId="74F52BB2"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2. Literature Review</w:t>
      </w:r>
    </w:p>
    <w:p w14:paraId="7FFD1124" w14:textId="7C764C02" w:rsidR="00B13FAF" w:rsidRPr="00E40940" w:rsidRDefault="00B13FAF" w:rsidP="00B13FAF">
      <w:pPr>
        <w:pStyle w:val="RALs-Heading2"/>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 xml:space="preserve">.1. </w:t>
      </w:r>
      <w:r w:rsidR="0017074D" w:rsidRPr="0017074D">
        <w:rPr>
          <w:rFonts w:asciiTheme="majorBidi" w:hAnsiTheme="majorBidi" w:cstheme="majorBidi"/>
          <w:sz w:val="24"/>
          <w:szCs w:val="24"/>
        </w:rPr>
        <w:t>From EFL to ESL in Language Education</w:t>
      </w:r>
    </w:p>
    <w:p w14:paraId="1ACCF091" w14:textId="17F3F05F" w:rsidR="0017074D" w:rsidRPr="0017074D" w:rsidRDefault="0017074D" w:rsidP="003F209F">
      <w:pPr>
        <w:spacing w:line="480" w:lineRule="auto"/>
        <w:rPr>
          <w:rFonts w:asciiTheme="majorBidi" w:hAnsiTheme="majorBidi" w:cstheme="majorBidi"/>
          <w:sz w:val="24"/>
          <w:szCs w:val="24"/>
        </w:rPr>
      </w:pPr>
      <w:r>
        <w:rPr>
          <w:rFonts w:asciiTheme="majorBidi" w:hAnsiTheme="majorBidi" w:cstheme="majorBidi"/>
          <w:sz w:val="24"/>
          <w:szCs w:val="24"/>
        </w:rPr>
        <w:t>Global Context</w:t>
      </w:r>
      <w:r w:rsidR="003F209F">
        <w:rPr>
          <w:rFonts w:asciiTheme="majorBidi" w:hAnsiTheme="majorBidi" w:cstheme="majorBidi"/>
          <w:sz w:val="24"/>
          <w:szCs w:val="24"/>
        </w:rPr>
        <w:t>:</w:t>
      </w:r>
      <w:r w:rsidR="00202487">
        <w:rPr>
          <w:rFonts w:asciiTheme="majorBidi" w:hAnsiTheme="majorBidi" w:cstheme="majorBidi"/>
          <w:sz w:val="24"/>
          <w:szCs w:val="24"/>
        </w:rPr>
        <w:t xml:space="preserve"> </w:t>
      </w:r>
      <w:r w:rsidRPr="0017074D">
        <w:rPr>
          <w:rFonts w:asciiTheme="majorBidi" w:hAnsiTheme="majorBidi" w:cstheme="majorBidi"/>
          <w:sz w:val="24"/>
          <w:szCs w:val="24"/>
        </w:rPr>
        <w:t>Early efforts to classify varieties of English in Second Language Acquisition (SLA) research are often associated with Kachru’s (1985, 1992) Three Circles model, which categorizes English use into the Inner, Outer, and Expanding Circles, broadly aligning with English as a Native Language (ENL), English as a Second Language (ESL), and English as a Foreign Language (EFL). According to Schneider (2003, 2007), in Outer Circle countries where English functions as a second language, it has been historically institutionalized and is used across various domains of daily life. In contrast, in Expanding Circle contexts, English is typically learned as a foreign language and is mainly confined to formal education, although it may also serve as a lingua franca in international communication. Furthermore, in SLA, a foreign language is introduced as “the learning of a nonnative language in the environment of one’s native language”, while a second language refers to “the learning of nonnative language in the environment in which that language is spoken” (Gass &amp; Selinker, 2001, p. 5).</w:t>
      </w:r>
    </w:p>
    <w:p w14:paraId="4335B109" w14:textId="77777777" w:rsidR="0017074D" w:rsidRPr="0017074D" w:rsidRDefault="0017074D" w:rsidP="003F209F">
      <w:pPr>
        <w:spacing w:line="480" w:lineRule="auto"/>
        <w:rPr>
          <w:rFonts w:asciiTheme="majorBidi" w:hAnsiTheme="majorBidi" w:cstheme="majorBidi"/>
          <w:sz w:val="24"/>
          <w:szCs w:val="24"/>
        </w:rPr>
      </w:pPr>
      <w:r w:rsidRPr="0017074D">
        <w:rPr>
          <w:rFonts w:asciiTheme="majorBidi" w:hAnsiTheme="majorBidi" w:cstheme="majorBidi"/>
          <w:sz w:val="24"/>
          <w:szCs w:val="24"/>
        </w:rPr>
        <w:t xml:space="preserve">However, the distinction between EFL and ESL is fluid and context dependent. A study of International Corpus of Learner English (Gilquin &amp; Granger, 2011) reveals that learners, who are traditionally categorized as EFL users, sometimes experience learning conditions closer to ESL contexts. The blurring is contributed by several factors including academic years, teaching methods, EMI use, teacher input quality, the exposure to English outside the classroom, and English language media access. Therefore, EFL and ESL are better understood as points along a continuum rather than as clear separations. </w:t>
      </w:r>
    </w:p>
    <w:p w14:paraId="2A879B6C" w14:textId="4D886C13" w:rsidR="00B13FAF" w:rsidRDefault="0017074D" w:rsidP="003F209F">
      <w:pPr>
        <w:spacing w:line="480" w:lineRule="auto"/>
        <w:rPr>
          <w:rFonts w:asciiTheme="majorBidi" w:hAnsiTheme="majorBidi" w:cstheme="majorBidi"/>
          <w:sz w:val="24"/>
          <w:szCs w:val="24"/>
        </w:rPr>
      </w:pPr>
      <w:r w:rsidRPr="0017074D">
        <w:rPr>
          <w:rFonts w:asciiTheme="majorBidi" w:hAnsiTheme="majorBidi" w:cstheme="majorBidi"/>
          <w:sz w:val="24"/>
          <w:szCs w:val="24"/>
        </w:rPr>
        <w:lastRenderedPageBreak/>
        <w:t>Local Context</w:t>
      </w:r>
      <w:r w:rsidR="003F209F">
        <w:rPr>
          <w:rFonts w:asciiTheme="majorBidi" w:hAnsiTheme="majorBidi" w:cstheme="majorBidi"/>
          <w:sz w:val="24"/>
          <w:szCs w:val="24"/>
        </w:rPr>
        <w:t xml:space="preserve">: </w:t>
      </w:r>
      <w:r w:rsidRPr="0017074D">
        <w:rPr>
          <w:rFonts w:asciiTheme="majorBidi" w:hAnsiTheme="majorBidi" w:cstheme="majorBidi"/>
          <w:sz w:val="24"/>
          <w:szCs w:val="24"/>
        </w:rPr>
        <w:t xml:space="preserve">Traditionally, Vietnam has been categorized in the Expanding Circle, where English has been taught in school as formal subjects (Kachru, 1985). After the 1986 Economic Reforms, the country increased integration into the global economy, considering English as a tool for economic development and international engagement (Do, 1995). Later, the National Foreign Language Project 2020 has further promoted English instruction through standardized proficiency benchmarks, and alignment with international frameworks (Nguyen et al., 2017). More recently, a noticeable shift in policy orientation has emerged, the Decision No. 2371/QĐ-TTg, formally introduces ESL within the educational system. According to this direction, English is expected to function as a second language, supporting communication in various domains. This change should be viewed as part of a continuum-based development. However, a key question regarding learners’ readiness toward using English beyond the classroom still has been underdetermined. </w:t>
      </w:r>
      <w:r w:rsidR="00AA0B64">
        <w:rPr>
          <w:rFonts w:asciiTheme="majorBidi" w:hAnsiTheme="majorBidi" w:cstheme="majorBidi"/>
          <w:sz w:val="24"/>
          <w:szCs w:val="24"/>
        </w:rPr>
        <w:t xml:space="preserve"> </w:t>
      </w:r>
    </w:p>
    <w:p w14:paraId="2A3AD4F2" w14:textId="4DDBCF00" w:rsidR="0017074D" w:rsidRPr="0017074D" w:rsidRDefault="0017074D" w:rsidP="0017074D">
      <w:pPr>
        <w:pStyle w:val="RALs-Heading2"/>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Pr>
          <w:rFonts w:asciiTheme="majorBidi" w:hAnsiTheme="majorBidi" w:cstheme="majorBidi"/>
          <w:sz w:val="24"/>
          <w:szCs w:val="24"/>
        </w:rPr>
        <w:t>2</w:t>
      </w:r>
      <w:r w:rsidRPr="00E40940">
        <w:rPr>
          <w:rFonts w:asciiTheme="majorBidi" w:hAnsiTheme="majorBidi" w:cstheme="majorBidi"/>
          <w:sz w:val="24"/>
          <w:szCs w:val="24"/>
        </w:rPr>
        <w:t xml:space="preserve">. </w:t>
      </w:r>
      <w:r w:rsidRPr="0017074D">
        <w:rPr>
          <w:rFonts w:asciiTheme="majorBidi" w:hAnsiTheme="majorBidi" w:cstheme="majorBidi"/>
          <w:sz w:val="24"/>
          <w:szCs w:val="24"/>
        </w:rPr>
        <w:t>English-major Students as Future English Users</w:t>
      </w:r>
    </w:p>
    <w:p w14:paraId="5C0F12D8" w14:textId="47B4C1DE" w:rsidR="0017074D" w:rsidRPr="0017074D" w:rsidRDefault="0017074D" w:rsidP="003F209F">
      <w:pPr>
        <w:spacing w:line="480" w:lineRule="auto"/>
        <w:rPr>
          <w:rFonts w:asciiTheme="majorBidi" w:hAnsiTheme="majorBidi" w:cstheme="majorBidi"/>
          <w:sz w:val="24"/>
          <w:szCs w:val="24"/>
        </w:rPr>
      </w:pPr>
      <w:r w:rsidRPr="0017074D">
        <w:rPr>
          <w:rFonts w:asciiTheme="majorBidi" w:hAnsiTheme="majorBidi" w:cstheme="majorBidi"/>
          <w:sz w:val="24"/>
          <w:szCs w:val="24"/>
        </w:rPr>
        <w:t>In Vietnamese higher education, English language studies are commonly divided into English- major and non-English major programs. While non-English major program is designed for students in different majors using English as a support, English- major students undertake English as the core component of their studies (To, 2010). This program emphasizes the practical application of English in various professional contexts such as translation, education, administration, media, tourism, and international business. Therefore, these students are expected to achieve strong communicative competence across a range of situations, including cross-cultural and international workplaces. During four academic years, they are trained to integrate language skills with many soft skills in respond to the demand of globalization. In fact, they are considered as future English users who English as a tool for international communication and collaboration.</w:t>
      </w:r>
    </w:p>
    <w:p w14:paraId="0213D4EA" w14:textId="4952BDA9" w:rsidR="0017074D" w:rsidRDefault="0017074D" w:rsidP="003F209F">
      <w:pPr>
        <w:spacing w:line="480" w:lineRule="auto"/>
        <w:rPr>
          <w:rFonts w:asciiTheme="majorBidi" w:hAnsiTheme="majorBidi" w:cstheme="majorBidi"/>
          <w:sz w:val="24"/>
          <w:szCs w:val="24"/>
        </w:rPr>
      </w:pPr>
      <w:r w:rsidRPr="0017074D">
        <w:rPr>
          <w:rFonts w:asciiTheme="majorBidi" w:hAnsiTheme="majorBidi" w:cstheme="majorBidi"/>
          <w:sz w:val="24"/>
          <w:szCs w:val="24"/>
        </w:rPr>
        <w:lastRenderedPageBreak/>
        <w:t xml:space="preserve">However, only a small number of English- major graduates reach a level sufficient for professional use (Pham, 2004). Particularly, students find difficulties with speaking because of limited exposure to authentic communicative environments (Vo et al., 2018). They also have struggle with reading comprehension due to the lack of vocabulary, background knowledge, and motivation (Tran &amp; Nguyen, 2023). In addition, current studies indicate such English- major students’ challenges in linguistic competence in their overall communicative ability (Dang et al., 2021; Tran et al., 2020). These limitations can be explained by the remains of exam-oriented, grammatical accuracy and test performance emphasis (Nguyen et al, 2017). The lack of real-life English environments further constrains their ability to use the language confidently and effectively as a second language. These current conditions raise a controversial question: While there is an increasing effort on ESL-oriented use of English in Vietnamese educational system, whether English- major students are fully prepared for the demands of ESL-oriented context? </w:t>
      </w:r>
      <w:r>
        <w:rPr>
          <w:rFonts w:asciiTheme="majorBidi" w:hAnsiTheme="majorBidi" w:cstheme="majorBidi"/>
          <w:sz w:val="24"/>
          <w:szCs w:val="24"/>
        </w:rPr>
        <w:t xml:space="preserve"> </w:t>
      </w:r>
    </w:p>
    <w:p w14:paraId="2535996E" w14:textId="26E29EB8" w:rsidR="003F209F" w:rsidRPr="003F209F" w:rsidRDefault="003F209F" w:rsidP="003F209F">
      <w:pPr>
        <w:pStyle w:val="RALs-Heading2"/>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Pr>
          <w:rFonts w:asciiTheme="majorBidi" w:hAnsiTheme="majorBidi" w:cstheme="majorBidi"/>
          <w:sz w:val="24"/>
          <w:szCs w:val="24"/>
        </w:rPr>
        <w:t>3</w:t>
      </w:r>
      <w:r w:rsidRPr="00E40940">
        <w:rPr>
          <w:rFonts w:asciiTheme="majorBidi" w:hAnsiTheme="majorBidi" w:cstheme="majorBidi"/>
          <w:sz w:val="24"/>
          <w:szCs w:val="24"/>
        </w:rPr>
        <w:t xml:space="preserve">. </w:t>
      </w:r>
      <w:r w:rsidRPr="003F209F">
        <w:rPr>
          <w:rFonts w:asciiTheme="majorBidi" w:hAnsiTheme="majorBidi" w:cstheme="majorBidi"/>
          <w:sz w:val="24"/>
          <w:szCs w:val="24"/>
        </w:rPr>
        <w:t>Learner Readiness for Real-world English Use</w:t>
      </w:r>
    </w:p>
    <w:p w14:paraId="40FD8E9D" w14:textId="6108B383" w:rsidR="003F209F" w:rsidRPr="003F209F" w:rsidRDefault="003F209F" w:rsidP="003F209F">
      <w:pPr>
        <w:spacing w:line="480" w:lineRule="auto"/>
        <w:rPr>
          <w:rFonts w:asciiTheme="majorBidi" w:hAnsiTheme="majorBidi" w:cstheme="majorBidi"/>
          <w:sz w:val="24"/>
          <w:szCs w:val="24"/>
        </w:rPr>
      </w:pPr>
      <w:r w:rsidRPr="003F209F">
        <w:rPr>
          <w:rFonts w:asciiTheme="majorBidi" w:hAnsiTheme="majorBidi" w:cstheme="majorBidi"/>
          <w:sz w:val="24"/>
          <w:szCs w:val="24"/>
        </w:rPr>
        <w:t xml:space="preserve">Learner readiness is commonly defined as learners’ ability to acquire knowledge and initiate behavioral changes that lead to effective learning outcomes (Chorrojprasert, 2020). Conceptually, learner readiness is a multidimensional construct encompassing both psychological–educational and developmental dimensions (Spada &amp; Lightbown, 1999). The former involves learners’ cognitive abilities, motivation, attitudes, and self-regulation, while the latter refers to their stage-based capacity to process and acquire linguistic features in sequence. </w:t>
      </w:r>
    </w:p>
    <w:p w14:paraId="32F335E6" w14:textId="3AB559DF" w:rsidR="00202487" w:rsidRDefault="003F209F" w:rsidP="00845DA3">
      <w:pPr>
        <w:spacing w:line="480" w:lineRule="auto"/>
        <w:rPr>
          <w:rFonts w:asciiTheme="majorBidi" w:hAnsiTheme="majorBidi" w:cstheme="majorBidi"/>
          <w:sz w:val="24"/>
          <w:szCs w:val="24"/>
        </w:rPr>
      </w:pPr>
      <w:r w:rsidRPr="003F209F">
        <w:rPr>
          <w:rFonts w:asciiTheme="majorBidi" w:hAnsiTheme="majorBidi" w:cstheme="majorBidi"/>
          <w:sz w:val="24"/>
          <w:szCs w:val="24"/>
        </w:rPr>
        <w:t xml:space="preserve">Building on this perspective, this study adopts a conceptual framework in which learner readiness toward an ESL-oriented paradigm is conceptualized as the integration of communicative competence, willingness to communicate, and self-confidence use of English in real world communication. </w:t>
      </w:r>
    </w:p>
    <w:p w14:paraId="6F925841" w14:textId="0B5E7E17" w:rsidR="00E0508B" w:rsidRPr="00E0508B" w:rsidRDefault="00E0508B" w:rsidP="00E0508B">
      <w:pPr>
        <w:spacing w:line="240" w:lineRule="auto"/>
        <w:rPr>
          <w:rFonts w:asciiTheme="majorBidi" w:hAnsiTheme="majorBidi" w:cstheme="majorBidi"/>
          <w:b/>
          <w:bCs/>
          <w:sz w:val="24"/>
          <w:szCs w:val="24"/>
        </w:rPr>
      </w:pPr>
      <w:r w:rsidRPr="00E0508B">
        <w:rPr>
          <w:rFonts w:asciiTheme="majorBidi" w:hAnsiTheme="majorBidi" w:cstheme="majorBidi"/>
          <w:b/>
          <w:bCs/>
          <w:sz w:val="24"/>
          <w:szCs w:val="24"/>
        </w:rPr>
        <w:lastRenderedPageBreak/>
        <w:t>Figure 1</w:t>
      </w:r>
    </w:p>
    <w:p w14:paraId="2067B3B8" w14:textId="6486BEBF" w:rsidR="00E0508B" w:rsidRPr="00202487" w:rsidRDefault="00E0508B" w:rsidP="00202487">
      <w:pPr>
        <w:spacing w:line="240" w:lineRule="auto"/>
        <w:rPr>
          <w:rFonts w:asciiTheme="majorBidi" w:hAnsiTheme="majorBidi" w:cstheme="majorBidi"/>
          <w:i/>
          <w:iCs/>
          <w:sz w:val="24"/>
          <w:szCs w:val="24"/>
        </w:rPr>
      </w:pPr>
      <w:r w:rsidRPr="00E0508B">
        <w:rPr>
          <w:rFonts w:asciiTheme="majorBidi" w:hAnsiTheme="majorBidi" w:cstheme="majorBidi"/>
          <w:i/>
          <w:iCs/>
          <w:sz w:val="24"/>
          <w:szCs w:val="24"/>
        </w:rPr>
        <w:t>Conceptual framework of learner readiness for ESL-oriented English use.</w:t>
      </w:r>
    </w:p>
    <w:p w14:paraId="09266BE4" w14:textId="77777777" w:rsidR="00E0508B" w:rsidRDefault="00E0508B" w:rsidP="003F209F">
      <w:pPr>
        <w:spacing w:line="480" w:lineRule="auto"/>
        <w:rPr>
          <w:rFonts w:asciiTheme="majorBidi" w:hAnsiTheme="majorBidi" w:cstheme="majorBidi"/>
          <w:sz w:val="24"/>
          <w:szCs w:val="24"/>
        </w:rPr>
      </w:pPr>
    </w:p>
    <w:p w14:paraId="0A9AE983" w14:textId="6C393B9F" w:rsidR="003F209F" w:rsidRPr="003F209F" w:rsidRDefault="003F209F" w:rsidP="00E0508B">
      <w:pPr>
        <w:spacing w:line="480" w:lineRule="auto"/>
        <w:ind w:firstLine="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42BA540" wp14:editId="05F3921E">
            <wp:extent cx="4464050" cy="1817097"/>
            <wp:effectExtent l="0" t="0" r="0" b="0"/>
            <wp:docPr id="1810596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1371" cy="1828218"/>
                    </a:xfrm>
                    <a:prstGeom prst="rect">
                      <a:avLst/>
                    </a:prstGeom>
                    <a:noFill/>
                  </pic:spPr>
                </pic:pic>
              </a:graphicData>
            </a:graphic>
          </wp:inline>
        </w:drawing>
      </w:r>
    </w:p>
    <w:p w14:paraId="4D9612E1" w14:textId="7AF3BA91" w:rsidR="003F209F" w:rsidRPr="003F209F" w:rsidRDefault="007C7BDC" w:rsidP="003F209F">
      <w:pPr>
        <w:spacing w:line="480" w:lineRule="auto"/>
        <w:rPr>
          <w:rFonts w:asciiTheme="majorBidi" w:hAnsiTheme="majorBidi" w:cstheme="majorBidi"/>
          <w:sz w:val="24"/>
          <w:szCs w:val="24"/>
        </w:rPr>
      </w:pPr>
      <w:r w:rsidRPr="007C7BDC">
        <w:rPr>
          <w:rFonts w:asciiTheme="majorBidi" w:hAnsiTheme="majorBidi" w:cstheme="majorBidi"/>
          <w:sz w:val="24"/>
          <w:szCs w:val="24"/>
          <w:highlight w:val="yellow"/>
        </w:rPr>
        <w:t>The three dimensions are not independent constructs but dynamically interact to shape learners’ readiness for real-world English use. Communicative competence provides the linguistic and sociocultural resources necessary for effective communication. However, possessing competence alone does not guarantee actual language use. Learners must also perceive themselves as capable of communicating successfully. In this sense, communicative competence can foster L2 self-confidence because learners who believe they have adequate language ability are more likely to feel secure in engaging in interaction. Higher levels of self-confidence, in turn, tend to increase learners’ willingness to communicate, as confident learners experience less anxiety and are more prepared to initiate and sustain conversations. Willingness to communicate then serves as the immediate antecedent of actual language use by activating learners’ linguistic resources in authentic situations. Therefore, learner readiness in an ESL-oriented context should be understood as the result of a dynamic interplay among competence, confidence, and willingness to communicate rather than the product of any single dimension.</w:t>
      </w:r>
    </w:p>
    <w:p w14:paraId="084A5319" w14:textId="77777777" w:rsidR="003F209F" w:rsidRPr="003F209F" w:rsidRDefault="003F209F" w:rsidP="003F209F">
      <w:pPr>
        <w:spacing w:line="480" w:lineRule="auto"/>
        <w:rPr>
          <w:rFonts w:asciiTheme="majorBidi" w:hAnsiTheme="majorBidi" w:cstheme="majorBidi"/>
          <w:sz w:val="24"/>
          <w:szCs w:val="24"/>
        </w:rPr>
      </w:pPr>
      <w:r w:rsidRPr="003F209F">
        <w:rPr>
          <w:rFonts w:asciiTheme="majorBidi" w:hAnsiTheme="majorBidi" w:cstheme="majorBidi"/>
          <w:sz w:val="24"/>
          <w:szCs w:val="24"/>
        </w:rPr>
        <w:t xml:space="preserve">Communicative competence refers to the ability to use English in real life situations successfully. According to Savignon (2018), language proficiency should be evaluated based on learners’ ability to communicate in meaningful contexts rather than grammatical or lexical tests. This ability varies depending on communicative purposes and practical contexts. </w:t>
      </w:r>
      <w:r w:rsidRPr="003F209F">
        <w:rPr>
          <w:rFonts w:asciiTheme="majorBidi" w:hAnsiTheme="majorBidi" w:cstheme="majorBidi"/>
          <w:sz w:val="24"/>
          <w:szCs w:val="24"/>
        </w:rPr>
        <w:lastRenderedPageBreak/>
        <w:t>Therefore, it requires learners to initiate interaction and respond appropriately in authentic situation (McGroarty, 1984). Although communicative competence includes sociocultural norms and patterns of interaction within the target language community, without supporting factors, having such ability does not ensure that learners will use language effectively (Clément, 1980).</w:t>
      </w:r>
    </w:p>
    <w:p w14:paraId="2ED51E31" w14:textId="77777777" w:rsidR="003F209F" w:rsidRPr="003F209F" w:rsidRDefault="003F209F" w:rsidP="003F209F">
      <w:pPr>
        <w:spacing w:line="480" w:lineRule="auto"/>
        <w:rPr>
          <w:rFonts w:asciiTheme="majorBidi" w:hAnsiTheme="majorBidi" w:cstheme="majorBidi"/>
          <w:sz w:val="24"/>
          <w:szCs w:val="24"/>
        </w:rPr>
      </w:pPr>
      <w:r w:rsidRPr="003F209F">
        <w:rPr>
          <w:rFonts w:asciiTheme="majorBidi" w:hAnsiTheme="majorBidi" w:cstheme="majorBidi"/>
          <w:sz w:val="24"/>
          <w:szCs w:val="24"/>
        </w:rPr>
        <w:t xml:space="preserve">The second dimension of learner readiness in an ESL-oriented context is willingness to communicate, which is considered as one of the most predictors of actual L2 use.  Learners who are willing to communicate tend to join in interaction and practice the target language actively (MacIntyre et al., 1998). Therefore, this factor has been positioned as a primary goal of ESL education because the aim of this orientation is to encourage learners to use English for meaningful situations. In this case, willingness to communicate is a bridge between communicative competence and performance. Although communicative competence encompasses linguistics, learners must have willingness to communicate to activate these competencies in real interaction (Scarcella et al., 1990). </w:t>
      </w:r>
    </w:p>
    <w:p w14:paraId="2A4EAA29" w14:textId="6EDFC463" w:rsidR="003F209F" w:rsidRDefault="003F209F" w:rsidP="003F209F">
      <w:pPr>
        <w:spacing w:line="480" w:lineRule="auto"/>
        <w:rPr>
          <w:rFonts w:asciiTheme="majorBidi" w:hAnsiTheme="majorBidi" w:cstheme="majorBidi"/>
          <w:sz w:val="24"/>
          <w:szCs w:val="24"/>
        </w:rPr>
      </w:pPr>
      <w:r w:rsidRPr="003F209F">
        <w:rPr>
          <w:rFonts w:asciiTheme="majorBidi" w:hAnsiTheme="majorBidi" w:cstheme="majorBidi"/>
          <w:sz w:val="24"/>
          <w:szCs w:val="24"/>
        </w:rPr>
        <w:t>Although willingness to communicate is significant, it strongly depends on learners’ level of L2 self-confidence, which can be understood as learners’ perception of their own competence and ability to successfully use the target language (Tunçel, 2015). Self-confidence reflects both self-assurance and cognitive evaluation of one’s communicative capability. Learners who perceive themselves as good communicative competence tend to engage in interaction because self-confidence has been identified as a key predictor of willingness to communicate (Bensalem &amp; Thompson, 2021).  In ESL-oriented contexts, self-confidence becomes more crucial because without such confidence, learners’ ability to translate linguistic knowledge into meaningful communication may be constrained.</w:t>
      </w:r>
      <w:r w:rsidRPr="0017074D">
        <w:rPr>
          <w:rFonts w:asciiTheme="majorBidi" w:hAnsiTheme="majorBidi" w:cstheme="majorBidi"/>
          <w:sz w:val="24"/>
          <w:szCs w:val="24"/>
        </w:rPr>
        <w:t xml:space="preserve"> </w:t>
      </w:r>
      <w:r>
        <w:rPr>
          <w:rFonts w:asciiTheme="majorBidi" w:hAnsiTheme="majorBidi" w:cstheme="majorBidi"/>
          <w:sz w:val="24"/>
          <w:szCs w:val="24"/>
        </w:rPr>
        <w:t xml:space="preserve"> </w:t>
      </w:r>
    </w:p>
    <w:p w14:paraId="3DD0A6B3"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lastRenderedPageBreak/>
        <w:t>3. Methodology</w:t>
      </w:r>
    </w:p>
    <w:p w14:paraId="5499DCE0" w14:textId="5F5AF27F" w:rsidR="00202487" w:rsidRPr="003F209F" w:rsidRDefault="007C7BDC" w:rsidP="0011440B">
      <w:pPr>
        <w:spacing w:line="480" w:lineRule="auto"/>
        <w:rPr>
          <w:rFonts w:asciiTheme="majorBidi" w:hAnsiTheme="majorBidi" w:cstheme="majorBidi"/>
          <w:sz w:val="24"/>
          <w:szCs w:val="24"/>
        </w:rPr>
      </w:pPr>
      <w:r w:rsidRPr="007C7BDC">
        <w:rPr>
          <w:rFonts w:asciiTheme="majorBidi" w:hAnsiTheme="majorBidi" w:cstheme="majorBidi"/>
          <w:sz w:val="24"/>
          <w:szCs w:val="24"/>
          <w:highlight w:val="yellow"/>
        </w:rPr>
        <w:t>To capture the general pattern of learner readiness, this study adopted a quantitative research design. A quantitative approach was considered appropriate because the study aimed to measure students' perceived readiness across three predefined dimensions and to examine differences and relationships among variables in a systematic and objective manner. The use of a survey enabled the collection of standardized and quantifiable data from a relatively large number of participants, thereby facilitating statistical comparisons across groups and identifying relationships among communicative competence, willingness to communicate, and L2 self-confidence.</w:t>
      </w:r>
    </w:p>
    <w:p w14:paraId="0D4E1E39" w14:textId="77777777" w:rsidR="003F209F" w:rsidRPr="003F209F" w:rsidRDefault="003F209F" w:rsidP="003F209F">
      <w:pPr>
        <w:spacing w:line="480" w:lineRule="auto"/>
        <w:rPr>
          <w:rFonts w:asciiTheme="majorBidi" w:hAnsiTheme="majorBidi" w:cstheme="majorBidi"/>
          <w:b/>
          <w:bCs/>
          <w:sz w:val="24"/>
          <w:szCs w:val="24"/>
        </w:rPr>
      </w:pPr>
      <w:r w:rsidRPr="003F209F">
        <w:rPr>
          <w:rFonts w:asciiTheme="majorBidi" w:hAnsiTheme="majorBidi" w:cstheme="majorBidi"/>
          <w:b/>
          <w:bCs/>
          <w:sz w:val="24"/>
          <w:szCs w:val="24"/>
        </w:rPr>
        <w:t xml:space="preserve">Participants </w:t>
      </w:r>
    </w:p>
    <w:p w14:paraId="08EA1B32" w14:textId="77376DFD" w:rsidR="003F209F" w:rsidRPr="003F209F" w:rsidRDefault="0035249D" w:rsidP="003F209F">
      <w:pPr>
        <w:spacing w:line="480" w:lineRule="auto"/>
        <w:rPr>
          <w:rFonts w:asciiTheme="majorBidi" w:hAnsiTheme="majorBidi" w:cstheme="majorBidi"/>
          <w:sz w:val="24"/>
          <w:szCs w:val="24"/>
        </w:rPr>
      </w:pPr>
      <w:r w:rsidRPr="0035249D">
        <w:rPr>
          <w:rFonts w:asciiTheme="majorBidi" w:hAnsiTheme="majorBidi" w:cstheme="majorBidi"/>
          <w:sz w:val="24"/>
          <w:szCs w:val="24"/>
        </w:rPr>
        <w:t>The participants of this study were 160 English-major students at HUFLIT, regardless of gender, academic year, or self-rated English proficiency. A convenience sampling approach was employed because it enabled access to available participants within the institutional context and facilitated data collection from a relatively large number of students. However, because participation depended on accessibility and willingness to participate, the sample cannot be considered fully representative of all English-major students at HUFLIT or of Vietnamese English-major students in general. Therefore, the findings should be interpreted within the specific context of the present study.</w:t>
      </w:r>
    </w:p>
    <w:p w14:paraId="18220045" w14:textId="77777777" w:rsidR="003F209F" w:rsidRPr="003F209F" w:rsidRDefault="003F209F" w:rsidP="003F209F">
      <w:pPr>
        <w:spacing w:line="480" w:lineRule="auto"/>
        <w:rPr>
          <w:rFonts w:asciiTheme="majorBidi" w:hAnsiTheme="majorBidi" w:cstheme="majorBidi"/>
          <w:b/>
          <w:bCs/>
          <w:sz w:val="24"/>
          <w:szCs w:val="24"/>
        </w:rPr>
      </w:pPr>
      <w:r w:rsidRPr="003F209F">
        <w:rPr>
          <w:rFonts w:asciiTheme="majorBidi" w:hAnsiTheme="majorBidi" w:cstheme="majorBidi"/>
          <w:b/>
          <w:bCs/>
          <w:sz w:val="24"/>
          <w:szCs w:val="24"/>
        </w:rPr>
        <w:t xml:space="preserve">Instrument </w:t>
      </w:r>
    </w:p>
    <w:p w14:paraId="6B7105E5" w14:textId="77777777" w:rsidR="003F209F" w:rsidRPr="003F209F" w:rsidRDefault="003F209F" w:rsidP="003F209F">
      <w:pPr>
        <w:spacing w:line="480" w:lineRule="auto"/>
        <w:rPr>
          <w:rFonts w:asciiTheme="majorBidi" w:hAnsiTheme="majorBidi" w:cstheme="majorBidi"/>
          <w:sz w:val="24"/>
          <w:szCs w:val="24"/>
        </w:rPr>
      </w:pPr>
      <w:r w:rsidRPr="003F209F">
        <w:rPr>
          <w:rFonts w:asciiTheme="majorBidi" w:hAnsiTheme="majorBidi" w:cstheme="majorBidi"/>
          <w:sz w:val="24"/>
          <w:szCs w:val="24"/>
        </w:rPr>
        <w:t xml:space="preserve">This study used a bilingual survey presented in both English and Vietnamese to ensure clarity and facilitate participants’ comprehension. There were two main sections, in which section two included three sub dimensions. Initially, there were 21 items in the survey. However, after piloting and cleaning, the final number of included items was 17. </w:t>
      </w:r>
    </w:p>
    <w:p w14:paraId="73795538" w14:textId="77777777" w:rsidR="003F209F" w:rsidRDefault="003F209F" w:rsidP="003F209F">
      <w:pPr>
        <w:spacing w:line="240" w:lineRule="auto"/>
        <w:rPr>
          <w:rFonts w:asciiTheme="majorBidi" w:hAnsiTheme="majorBidi" w:cstheme="majorBidi"/>
          <w:sz w:val="24"/>
          <w:szCs w:val="24"/>
        </w:rPr>
      </w:pPr>
      <w:r w:rsidRPr="003F209F">
        <w:rPr>
          <w:rFonts w:asciiTheme="majorBidi" w:hAnsiTheme="majorBidi" w:cstheme="majorBidi"/>
          <w:b/>
          <w:bCs/>
          <w:sz w:val="24"/>
          <w:szCs w:val="24"/>
        </w:rPr>
        <w:t>Table 1</w:t>
      </w:r>
      <w:r w:rsidRPr="003F209F">
        <w:rPr>
          <w:rFonts w:asciiTheme="majorBidi" w:hAnsiTheme="majorBidi" w:cstheme="majorBidi"/>
          <w:sz w:val="24"/>
          <w:szCs w:val="24"/>
        </w:rPr>
        <w:t xml:space="preserve">. </w:t>
      </w:r>
    </w:p>
    <w:p w14:paraId="69FC102F" w14:textId="5D1B181F" w:rsidR="003F209F" w:rsidRPr="003F209F" w:rsidRDefault="003F209F" w:rsidP="003F209F">
      <w:pPr>
        <w:spacing w:line="240" w:lineRule="auto"/>
        <w:rPr>
          <w:rFonts w:asciiTheme="majorBidi" w:hAnsiTheme="majorBidi" w:cstheme="majorBidi"/>
          <w:i/>
          <w:iCs/>
          <w:sz w:val="24"/>
          <w:szCs w:val="24"/>
        </w:rPr>
      </w:pPr>
      <w:r w:rsidRPr="003F209F">
        <w:rPr>
          <w:rFonts w:asciiTheme="majorBidi" w:hAnsiTheme="majorBidi" w:cstheme="majorBidi"/>
          <w:i/>
          <w:iCs/>
          <w:sz w:val="24"/>
          <w:szCs w:val="24"/>
        </w:rPr>
        <w:t>Structure of Survey After Pilot</w:t>
      </w:r>
    </w:p>
    <w:tbl>
      <w:tblPr>
        <w:tblStyle w:val="TableGrid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95"/>
        <w:gridCol w:w="1381"/>
        <w:gridCol w:w="1431"/>
        <w:gridCol w:w="1816"/>
        <w:gridCol w:w="1652"/>
        <w:gridCol w:w="1451"/>
      </w:tblGrid>
      <w:tr w:rsidR="003F209F" w:rsidRPr="003F209F" w14:paraId="14DB991A" w14:textId="77777777" w:rsidTr="00E0508B">
        <w:tc>
          <w:tcPr>
            <w:tcW w:w="9350" w:type="dxa"/>
            <w:gridSpan w:val="6"/>
          </w:tcPr>
          <w:p w14:paraId="6C585C58"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lastRenderedPageBreak/>
              <w:t>Survey (17 items in total)</w:t>
            </w:r>
          </w:p>
        </w:tc>
      </w:tr>
      <w:tr w:rsidR="003F209F" w:rsidRPr="003F209F" w14:paraId="6E11A3ED" w14:textId="77777777" w:rsidTr="00E0508B">
        <w:tc>
          <w:tcPr>
            <w:tcW w:w="4283" w:type="dxa"/>
            <w:gridSpan w:val="3"/>
          </w:tcPr>
          <w:p w14:paraId="478D3B1C"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Demographic Information (3 items)</w:t>
            </w:r>
          </w:p>
        </w:tc>
        <w:tc>
          <w:tcPr>
            <w:tcW w:w="5067" w:type="dxa"/>
            <w:gridSpan w:val="3"/>
          </w:tcPr>
          <w:p w14:paraId="102171A6"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Learner Readiness (14 items)</w:t>
            </w:r>
          </w:p>
        </w:tc>
      </w:tr>
      <w:tr w:rsidR="003F209F" w:rsidRPr="003F209F" w14:paraId="1AA8AF21" w14:textId="77777777" w:rsidTr="00E0508B">
        <w:tc>
          <w:tcPr>
            <w:tcW w:w="1370" w:type="dxa"/>
            <w:vMerge w:val="restart"/>
          </w:tcPr>
          <w:p w14:paraId="35CAA4E6"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 xml:space="preserve">Gender </w:t>
            </w:r>
          </w:p>
          <w:p w14:paraId="3A24D150"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(1 item)</w:t>
            </w:r>
          </w:p>
        </w:tc>
        <w:tc>
          <w:tcPr>
            <w:tcW w:w="1436" w:type="dxa"/>
            <w:vMerge w:val="restart"/>
          </w:tcPr>
          <w:p w14:paraId="317EC806"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 xml:space="preserve">Academic Year </w:t>
            </w:r>
          </w:p>
          <w:p w14:paraId="67CC5F7A"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(1 item)</w:t>
            </w:r>
          </w:p>
        </w:tc>
        <w:tc>
          <w:tcPr>
            <w:tcW w:w="1477" w:type="dxa"/>
            <w:vMerge w:val="restart"/>
          </w:tcPr>
          <w:p w14:paraId="2677A83C"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Self-rated English Proficiency (1 item)</w:t>
            </w:r>
          </w:p>
        </w:tc>
        <w:tc>
          <w:tcPr>
            <w:tcW w:w="1866" w:type="dxa"/>
          </w:tcPr>
          <w:p w14:paraId="577DC243"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 xml:space="preserve">Communicative Competence </w:t>
            </w:r>
          </w:p>
          <w:p w14:paraId="0E927496"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(4 items)</w:t>
            </w:r>
          </w:p>
        </w:tc>
        <w:tc>
          <w:tcPr>
            <w:tcW w:w="1701" w:type="dxa"/>
          </w:tcPr>
          <w:p w14:paraId="6BA58227" w14:textId="77777777" w:rsid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 xml:space="preserve">Willingness to Communicate </w:t>
            </w:r>
          </w:p>
          <w:p w14:paraId="238F55B7" w14:textId="427A5F44"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(5 items)</w:t>
            </w:r>
          </w:p>
        </w:tc>
        <w:tc>
          <w:tcPr>
            <w:tcW w:w="1500" w:type="dxa"/>
          </w:tcPr>
          <w:p w14:paraId="6C366EC7" w14:textId="77777777" w:rsid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 xml:space="preserve">L2 Self-Confidence </w:t>
            </w:r>
          </w:p>
          <w:p w14:paraId="4CD8224D" w14:textId="477EF2D3"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(5 items)</w:t>
            </w:r>
          </w:p>
        </w:tc>
      </w:tr>
      <w:tr w:rsidR="003F209F" w:rsidRPr="003F209F" w14:paraId="5C5A8A8A" w14:textId="77777777" w:rsidTr="00E0508B">
        <w:tc>
          <w:tcPr>
            <w:tcW w:w="1370" w:type="dxa"/>
            <w:vMerge/>
          </w:tcPr>
          <w:p w14:paraId="54533F95" w14:textId="77777777" w:rsidR="003F209F" w:rsidRPr="003F209F" w:rsidRDefault="003F209F" w:rsidP="003F209F">
            <w:pPr>
              <w:spacing w:before="0" w:after="160" w:line="480" w:lineRule="auto"/>
              <w:ind w:firstLine="0"/>
              <w:rPr>
                <w:rFonts w:eastAsia="Aptos" w:cs="Times New Roman"/>
                <w:szCs w:val="20"/>
              </w:rPr>
            </w:pPr>
          </w:p>
        </w:tc>
        <w:tc>
          <w:tcPr>
            <w:tcW w:w="1436" w:type="dxa"/>
            <w:vMerge/>
          </w:tcPr>
          <w:p w14:paraId="18BB129E" w14:textId="77777777" w:rsidR="003F209F" w:rsidRPr="003F209F" w:rsidRDefault="003F209F" w:rsidP="003F209F">
            <w:pPr>
              <w:spacing w:before="0" w:after="160" w:line="480" w:lineRule="auto"/>
              <w:ind w:firstLine="0"/>
              <w:rPr>
                <w:rFonts w:eastAsia="Aptos" w:cs="Times New Roman"/>
                <w:szCs w:val="20"/>
              </w:rPr>
            </w:pPr>
          </w:p>
        </w:tc>
        <w:tc>
          <w:tcPr>
            <w:tcW w:w="1477" w:type="dxa"/>
            <w:vMerge/>
          </w:tcPr>
          <w:p w14:paraId="5BC608EB" w14:textId="77777777" w:rsidR="003F209F" w:rsidRPr="003F209F" w:rsidRDefault="003F209F" w:rsidP="003F209F">
            <w:pPr>
              <w:spacing w:before="0" w:after="160" w:line="480" w:lineRule="auto"/>
              <w:ind w:firstLine="0"/>
              <w:rPr>
                <w:rFonts w:eastAsia="Aptos" w:cs="Times New Roman"/>
                <w:szCs w:val="20"/>
              </w:rPr>
            </w:pPr>
          </w:p>
        </w:tc>
        <w:tc>
          <w:tcPr>
            <w:tcW w:w="1866" w:type="dxa"/>
          </w:tcPr>
          <w:p w14:paraId="57511130"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Cronbach’s alpha = .732</w:t>
            </w:r>
          </w:p>
        </w:tc>
        <w:tc>
          <w:tcPr>
            <w:tcW w:w="1701" w:type="dxa"/>
          </w:tcPr>
          <w:p w14:paraId="5C0D34E7"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Cronbach’s alpha = .924</w:t>
            </w:r>
          </w:p>
        </w:tc>
        <w:tc>
          <w:tcPr>
            <w:tcW w:w="1500" w:type="dxa"/>
          </w:tcPr>
          <w:p w14:paraId="01B3734A" w14:textId="77777777" w:rsidR="003F209F" w:rsidRPr="003F209F" w:rsidRDefault="003F209F" w:rsidP="003F209F">
            <w:pPr>
              <w:spacing w:before="0" w:after="160" w:line="480" w:lineRule="auto"/>
              <w:ind w:firstLine="0"/>
              <w:jc w:val="center"/>
              <w:rPr>
                <w:rFonts w:eastAsia="Aptos" w:cs="Times New Roman"/>
                <w:szCs w:val="20"/>
              </w:rPr>
            </w:pPr>
            <w:r w:rsidRPr="003F209F">
              <w:rPr>
                <w:rFonts w:eastAsia="Aptos" w:cs="Times New Roman"/>
                <w:szCs w:val="20"/>
              </w:rPr>
              <w:t>Cronbach’s alpha =.895</w:t>
            </w:r>
          </w:p>
        </w:tc>
      </w:tr>
    </w:tbl>
    <w:p w14:paraId="62963CD0" w14:textId="77777777" w:rsidR="003F209F" w:rsidRPr="003F209F" w:rsidRDefault="003F209F" w:rsidP="00E0508B">
      <w:pPr>
        <w:spacing w:line="480" w:lineRule="auto"/>
        <w:ind w:firstLine="0"/>
        <w:rPr>
          <w:rFonts w:asciiTheme="majorBidi" w:hAnsiTheme="majorBidi" w:cstheme="majorBidi"/>
          <w:sz w:val="24"/>
          <w:szCs w:val="24"/>
        </w:rPr>
      </w:pPr>
    </w:p>
    <w:p w14:paraId="38A7D466" w14:textId="77777777" w:rsidR="003F209F" w:rsidRPr="003F209F" w:rsidRDefault="003F209F" w:rsidP="003F209F">
      <w:pPr>
        <w:spacing w:line="480" w:lineRule="auto"/>
        <w:rPr>
          <w:rFonts w:asciiTheme="majorBidi" w:hAnsiTheme="majorBidi" w:cstheme="majorBidi"/>
          <w:sz w:val="24"/>
          <w:szCs w:val="24"/>
        </w:rPr>
      </w:pPr>
      <w:r w:rsidRPr="003F209F">
        <w:rPr>
          <w:rFonts w:asciiTheme="majorBidi" w:hAnsiTheme="majorBidi" w:cstheme="majorBidi"/>
          <w:sz w:val="24"/>
          <w:szCs w:val="24"/>
        </w:rPr>
        <w:t xml:space="preserve">The first sections included 3 items. These items were used to collect demographic information, including gender, academic year, and self-rated English proficiency. Reponses from these items provided background information about the participants and supporting the description of the sample. </w:t>
      </w:r>
    </w:p>
    <w:p w14:paraId="198C28EB" w14:textId="77777777" w:rsidR="003F209F" w:rsidRPr="003F209F" w:rsidRDefault="003F209F" w:rsidP="003F209F">
      <w:pPr>
        <w:spacing w:line="480" w:lineRule="auto"/>
        <w:rPr>
          <w:rFonts w:asciiTheme="majorBidi" w:hAnsiTheme="majorBidi" w:cstheme="majorBidi"/>
          <w:sz w:val="24"/>
          <w:szCs w:val="24"/>
        </w:rPr>
      </w:pPr>
      <w:r w:rsidRPr="003F209F">
        <w:rPr>
          <w:rFonts w:asciiTheme="majorBidi" w:hAnsiTheme="majorBidi" w:cstheme="majorBidi"/>
          <w:sz w:val="24"/>
          <w:szCs w:val="24"/>
        </w:rPr>
        <w:t xml:space="preserve">The second section of the questionnaire focused on measuring learners’ readiness for real-world English use. This section employed a 5-point Likert scale ranging from strongly disagreement to strongly agree. The survey items were developed based on the study’s conceptual framework, and were organized into three dimensions: Communicative competence, willingness to communicate, and L2 self-confidence. Initially, this section consisted of 18 items, with 6 items for each dimension. Then, a pilot study was conducted to evaluate the clarity and comprehensibility of the items, as well as the reliability of the scale. Based on the pilot results, 3 items were removed to ensure that the Cronbach’s alpha for each dimension exceeded 0.70 and that no corrected item–total correlation fell below 0.30. </w:t>
      </w:r>
    </w:p>
    <w:p w14:paraId="310A8D5F" w14:textId="77777777" w:rsidR="003F209F" w:rsidRPr="003F209F" w:rsidRDefault="003F209F" w:rsidP="003F209F">
      <w:pPr>
        <w:spacing w:line="480" w:lineRule="auto"/>
        <w:rPr>
          <w:rFonts w:asciiTheme="majorBidi" w:hAnsiTheme="majorBidi" w:cstheme="majorBidi"/>
          <w:b/>
          <w:bCs/>
          <w:sz w:val="24"/>
          <w:szCs w:val="24"/>
        </w:rPr>
      </w:pPr>
      <w:r w:rsidRPr="003F209F">
        <w:rPr>
          <w:rFonts w:asciiTheme="majorBidi" w:hAnsiTheme="majorBidi" w:cstheme="majorBidi"/>
          <w:b/>
          <w:bCs/>
          <w:sz w:val="24"/>
          <w:szCs w:val="24"/>
        </w:rPr>
        <w:t xml:space="preserve">Data Analysis Process </w:t>
      </w:r>
    </w:p>
    <w:p w14:paraId="7CDE52B8" w14:textId="77777777" w:rsidR="003F209F" w:rsidRPr="003F209F" w:rsidRDefault="003F209F" w:rsidP="003F209F">
      <w:pPr>
        <w:spacing w:line="480" w:lineRule="auto"/>
        <w:rPr>
          <w:rFonts w:asciiTheme="majorBidi" w:hAnsiTheme="majorBidi" w:cstheme="majorBidi"/>
          <w:sz w:val="24"/>
          <w:szCs w:val="24"/>
        </w:rPr>
      </w:pPr>
      <w:r w:rsidRPr="003F209F">
        <w:rPr>
          <w:rFonts w:asciiTheme="majorBidi" w:hAnsiTheme="majorBidi" w:cstheme="majorBidi"/>
          <w:sz w:val="24"/>
          <w:szCs w:val="24"/>
        </w:rPr>
        <w:lastRenderedPageBreak/>
        <w:t xml:space="preserve">Firstly, the data collected were analyzed using IBM SPSS Statistics version 27. First, the internal consistency of the survey was re-examined using Cronbach’s alpha, with all scales demonstrating acceptable reliability (Cronbach’s alpha &gt;.7). </w:t>
      </w:r>
    </w:p>
    <w:p w14:paraId="78185B8B" w14:textId="77777777" w:rsidR="003F209F" w:rsidRPr="003F209F" w:rsidRDefault="003F209F" w:rsidP="003F209F">
      <w:pPr>
        <w:spacing w:line="480" w:lineRule="auto"/>
        <w:rPr>
          <w:rFonts w:asciiTheme="majorBidi" w:hAnsiTheme="majorBidi" w:cstheme="majorBidi"/>
          <w:sz w:val="24"/>
          <w:szCs w:val="24"/>
        </w:rPr>
      </w:pPr>
      <w:r w:rsidRPr="003F209F">
        <w:rPr>
          <w:rFonts w:asciiTheme="majorBidi" w:hAnsiTheme="majorBidi" w:cstheme="majorBidi"/>
          <w:sz w:val="24"/>
          <w:szCs w:val="24"/>
        </w:rPr>
        <w:t xml:space="preserve">Secondly, descriptive statistics, including mean scores and standard deviations, were calculated to determine the overall level of learners’ readiness for real-world English use. The analysis was then extended to compare mean scores across the three dimensions to identify the most and least developed aspects of readiness. </w:t>
      </w:r>
    </w:p>
    <w:p w14:paraId="597CE9B1" w14:textId="77777777" w:rsidR="003F209F" w:rsidRPr="003F209F" w:rsidRDefault="003F209F" w:rsidP="003F209F">
      <w:pPr>
        <w:spacing w:line="480" w:lineRule="auto"/>
        <w:rPr>
          <w:rFonts w:asciiTheme="majorBidi" w:hAnsiTheme="majorBidi" w:cstheme="majorBidi"/>
          <w:sz w:val="24"/>
          <w:szCs w:val="24"/>
        </w:rPr>
      </w:pPr>
      <w:r w:rsidRPr="003F209F">
        <w:rPr>
          <w:rFonts w:asciiTheme="majorBidi" w:hAnsiTheme="majorBidi" w:cstheme="majorBidi"/>
          <w:sz w:val="24"/>
          <w:szCs w:val="24"/>
        </w:rPr>
        <w:t>Thirdly, a one-way ANOVA was conducted to examine whether there were statistically significant differences in learners’ readiness across different groups including academic years and English self- rated proficiency level.</w:t>
      </w:r>
    </w:p>
    <w:p w14:paraId="499CA707" w14:textId="4965AFEE" w:rsidR="006A0AE2" w:rsidRPr="00E40940" w:rsidRDefault="003F209F" w:rsidP="003F209F">
      <w:pPr>
        <w:spacing w:line="480" w:lineRule="auto"/>
        <w:rPr>
          <w:rFonts w:asciiTheme="majorBidi" w:hAnsiTheme="majorBidi" w:cstheme="majorBidi"/>
          <w:sz w:val="24"/>
          <w:szCs w:val="24"/>
        </w:rPr>
      </w:pPr>
      <w:r w:rsidRPr="003F209F">
        <w:rPr>
          <w:rFonts w:asciiTheme="majorBidi" w:hAnsiTheme="majorBidi" w:cstheme="majorBidi"/>
          <w:sz w:val="24"/>
          <w:szCs w:val="24"/>
        </w:rPr>
        <w:t>Finally, correlation analysis was employed to explore the relationships among communicative competence, willingness to communicate, and L2 self-confidence of learners’ readiness.</w:t>
      </w:r>
    </w:p>
    <w:p w14:paraId="19C08E16" w14:textId="77777777" w:rsidR="00722EDE" w:rsidRPr="00E40940" w:rsidRDefault="00934FC5" w:rsidP="00934FC5">
      <w:pPr>
        <w:pStyle w:val="RALs-Heading1"/>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60356B">
        <w:rPr>
          <w:rFonts w:asciiTheme="majorBidi" w:hAnsiTheme="majorBidi" w:cstheme="majorBidi"/>
          <w:sz w:val="24"/>
          <w:szCs w:val="24"/>
        </w:rPr>
        <w:t xml:space="preserve"> </w:t>
      </w:r>
      <w:r w:rsidR="00722EDE" w:rsidRPr="00E40940">
        <w:rPr>
          <w:rFonts w:asciiTheme="majorBidi" w:hAnsiTheme="majorBidi" w:cstheme="majorBidi"/>
          <w:sz w:val="24"/>
          <w:szCs w:val="24"/>
        </w:rPr>
        <w:t>4. Results</w:t>
      </w:r>
    </w:p>
    <w:p w14:paraId="6DA56175" w14:textId="77777777" w:rsidR="00E0508B" w:rsidRPr="00E0508B" w:rsidRDefault="00E0508B" w:rsidP="00202487">
      <w:pPr>
        <w:pStyle w:val="NormalWeb"/>
        <w:shd w:val="clear" w:color="auto" w:fill="FFFFFF"/>
        <w:spacing w:before="0" w:after="120" w:line="480" w:lineRule="auto"/>
        <w:ind w:firstLine="720"/>
        <w:textAlignment w:val="baseline"/>
        <w:rPr>
          <w:rFonts w:asciiTheme="majorBidi" w:hAnsiTheme="majorBidi" w:cstheme="majorBidi"/>
          <w:b/>
          <w:bCs/>
          <w:color w:val="333333"/>
          <w:shd w:val="clear" w:color="auto" w:fill="FFFFFF"/>
        </w:rPr>
      </w:pPr>
      <w:r w:rsidRPr="00E0508B">
        <w:rPr>
          <w:rFonts w:asciiTheme="majorBidi" w:hAnsiTheme="majorBidi" w:cstheme="majorBidi"/>
          <w:b/>
          <w:bCs/>
          <w:color w:val="333333"/>
          <w:shd w:val="clear" w:color="auto" w:fill="FFFFFF"/>
        </w:rPr>
        <w:t xml:space="preserve">Reliability Check </w:t>
      </w:r>
    </w:p>
    <w:p w14:paraId="5F3695DB" w14:textId="6940951D" w:rsidR="00E0508B" w:rsidRPr="00E0508B" w:rsidRDefault="00E0508B" w:rsidP="00202487">
      <w:pPr>
        <w:pStyle w:val="NormalWeb"/>
        <w:shd w:val="clear" w:color="auto" w:fill="FFFFFF"/>
        <w:spacing w:line="480" w:lineRule="auto"/>
        <w:ind w:firstLine="720"/>
        <w:jc w:val="both"/>
        <w:textAlignment w:val="baseline"/>
        <w:rPr>
          <w:rFonts w:asciiTheme="majorBidi" w:hAnsiTheme="majorBidi" w:cstheme="majorBidi"/>
          <w:color w:val="333333"/>
          <w:shd w:val="clear" w:color="auto" w:fill="FFFFFF"/>
        </w:rPr>
      </w:pPr>
      <w:r w:rsidRPr="00E0508B">
        <w:rPr>
          <w:rFonts w:asciiTheme="majorBidi" w:hAnsiTheme="majorBidi" w:cstheme="majorBidi"/>
          <w:color w:val="333333"/>
          <w:shd w:val="clear" w:color="auto" w:fill="FFFFFF"/>
        </w:rPr>
        <w:t>The internal consistency of the three dimensions was examined using Cronbach’s alpha. The results showed that all constructs demonstrated high levels of reliability, with alpha coefficients exceeding the recommended threshold of 0.70, ranging from .833 to .906. In addition, all items across the three dimensions reported Corrected Item–total Correlations above 0.30, indicating that each item contributed meaningfully to its respective construct. Overall, these findings confirm that the instrument is reliable and appropriate for further statistical analysis.</w:t>
      </w:r>
    </w:p>
    <w:p w14:paraId="4C1FE460" w14:textId="514DC9F3" w:rsidR="00E0508B" w:rsidRPr="00E0508B" w:rsidRDefault="00E0508B" w:rsidP="00202487">
      <w:pPr>
        <w:pStyle w:val="NormalWeb"/>
        <w:shd w:val="clear" w:color="auto" w:fill="FFFFFF"/>
        <w:spacing w:before="0" w:after="120" w:line="480" w:lineRule="auto"/>
        <w:ind w:firstLine="720"/>
        <w:textAlignment w:val="baseline"/>
        <w:rPr>
          <w:rFonts w:asciiTheme="majorBidi" w:hAnsiTheme="majorBidi" w:cstheme="majorBidi"/>
          <w:b/>
          <w:bCs/>
          <w:color w:val="333333"/>
          <w:shd w:val="clear" w:color="auto" w:fill="FFFFFF"/>
        </w:rPr>
      </w:pPr>
      <w:r w:rsidRPr="00E0508B">
        <w:rPr>
          <w:rFonts w:asciiTheme="majorBidi" w:hAnsiTheme="majorBidi" w:cstheme="majorBidi"/>
          <w:b/>
          <w:bCs/>
          <w:color w:val="333333"/>
          <w:shd w:val="clear" w:color="auto" w:fill="FFFFFF"/>
        </w:rPr>
        <w:t xml:space="preserve">Descriptive Analysis </w:t>
      </w:r>
    </w:p>
    <w:p w14:paraId="7E890D57" w14:textId="77777777" w:rsidR="00E0508B" w:rsidRPr="00E0508B" w:rsidRDefault="00E0508B" w:rsidP="00202487">
      <w:pPr>
        <w:pStyle w:val="NormalWeb"/>
        <w:shd w:val="clear" w:color="auto" w:fill="FFFFFF"/>
        <w:spacing w:line="480" w:lineRule="auto"/>
        <w:ind w:firstLine="720"/>
        <w:jc w:val="both"/>
        <w:textAlignment w:val="baseline"/>
        <w:rPr>
          <w:rFonts w:asciiTheme="majorBidi" w:hAnsiTheme="majorBidi" w:cstheme="majorBidi"/>
          <w:color w:val="333333"/>
          <w:shd w:val="clear" w:color="auto" w:fill="FFFFFF"/>
        </w:rPr>
      </w:pPr>
      <w:r w:rsidRPr="00E0508B">
        <w:rPr>
          <w:rFonts w:asciiTheme="majorBidi" w:hAnsiTheme="majorBidi" w:cstheme="majorBidi"/>
          <w:color w:val="333333"/>
          <w:shd w:val="clear" w:color="auto" w:fill="FFFFFF"/>
        </w:rPr>
        <w:lastRenderedPageBreak/>
        <w:t>The overall mean score of students’ readiness for real-world English use was 3.73 (SD = 0.70), indicating a high level of readiness. However, the standard deviation suggests a certain degree of variation, which showed that not all learners demonstrate the same readiness level.</w:t>
      </w:r>
    </w:p>
    <w:p w14:paraId="52AD6F20" w14:textId="77777777" w:rsidR="00E0508B" w:rsidRPr="00E0508B" w:rsidRDefault="00E0508B" w:rsidP="00E0508B">
      <w:pPr>
        <w:pStyle w:val="NormalWeb"/>
        <w:shd w:val="clear" w:color="auto" w:fill="FFFFFF"/>
        <w:textAlignment w:val="baseline"/>
        <w:rPr>
          <w:rFonts w:asciiTheme="majorBidi" w:hAnsiTheme="majorBidi" w:cstheme="majorBidi"/>
          <w:b/>
          <w:bCs/>
          <w:color w:val="333333"/>
          <w:shd w:val="clear" w:color="auto" w:fill="FFFFFF"/>
        </w:rPr>
      </w:pPr>
      <w:r w:rsidRPr="00E0508B">
        <w:rPr>
          <w:rFonts w:asciiTheme="majorBidi" w:hAnsiTheme="majorBidi" w:cstheme="majorBidi"/>
          <w:b/>
          <w:bCs/>
          <w:color w:val="333333"/>
          <w:shd w:val="clear" w:color="auto" w:fill="FFFFFF"/>
        </w:rPr>
        <w:t>Table 2</w:t>
      </w:r>
    </w:p>
    <w:p w14:paraId="6AD1B3F8" w14:textId="6EFBF330" w:rsidR="00E0508B" w:rsidRPr="00E0508B" w:rsidRDefault="00E0508B" w:rsidP="00E0508B">
      <w:pPr>
        <w:pStyle w:val="NormalWeb"/>
        <w:shd w:val="clear" w:color="auto" w:fill="FFFFFF"/>
        <w:textAlignment w:val="baseline"/>
        <w:rPr>
          <w:rFonts w:asciiTheme="majorBidi" w:hAnsiTheme="majorBidi" w:cstheme="majorBidi"/>
          <w:i/>
          <w:iCs/>
          <w:color w:val="333333"/>
          <w:shd w:val="clear" w:color="auto" w:fill="FFFFFF"/>
        </w:rPr>
      </w:pPr>
      <w:r w:rsidRPr="00E0508B">
        <w:rPr>
          <w:rFonts w:asciiTheme="majorBidi" w:hAnsiTheme="majorBidi" w:cstheme="majorBidi"/>
          <w:i/>
          <w:iCs/>
          <w:color w:val="333333"/>
          <w:shd w:val="clear" w:color="auto" w:fill="FFFFFF"/>
        </w:rPr>
        <w:t>General Learner Readiness for Real-World English Use</w:t>
      </w:r>
    </w:p>
    <w:tbl>
      <w:tblPr>
        <w:tblStyle w:val="TableGrid2"/>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80"/>
        <w:gridCol w:w="1124"/>
        <w:gridCol w:w="1046"/>
        <w:gridCol w:w="1048"/>
        <w:gridCol w:w="1113"/>
        <w:gridCol w:w="915"/>
      </w:tblGrid>
      <w:tr w:rsidR="00E0508B" w:rsidRPr="00E0508B" w14:paraId="05FEFF47" w14:textId="77777777" w:rsidTr="00E0508B">
        <w:tc>
          <w:tcPr>
            <w:tcW w:w="3955" w:type="dxa"/>
          </w:tcPr>
          <w:p w14:paraId="77655A98"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Dimensions of Learner Readiness</w:t>
            </w:r>
          </w:p>
        </w:tc>
        <w:tc>
          <w:tcPr>
            <w:tcW w:w="1170" w:type="dxa"/>
            <w:hideMark/>
          </w:tcPr>
          <w:p w14:paraId="06516DD0"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N</w:t>
            </w:r>
          </w:p>
        </w:tc>
        <w:tc>
          <w:tcPr>
            <w:tcW w:w="1080" w:type="dxa"/>
            <w:hideMark/>
          </w:tcPr>
          <w:p w14:paraId="7CEE69F3"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Min.</w:t>
            </w:r>
          </w:p>
        </w:tc>
        <w:tc>
          <w:tcPr>
            <w:tcW w:w="1080" w:type="dxa"/>
            <w:hideMark/>
          </w:tcPr>
          <w:p w14:paraId="6163819E"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Max.</w:t>
            </w:r>
          </w:p>
        </w:tc>
        <w:tc>
          <w:tcPr>
            <w:tcW w:w="1139" w:type="dxa"/>
            <w:hideMark/>
          </w:tcPr>
          <w:p w14:paraId="41706B6E"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Mean</w:t>
            </w:r>
          </w:p>
        </w:tc>
        <w:tc>
          <w:tcPr>
            <w:tcW w:w="926" w:type="dxa"/>
            <w:hideMark/>
          </w:tcPr>
          <w:p w14:paraId="10D63D6B"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SD</w:t>
            </w:r>
          </w:p>
        </w:tc>
      </w:tr>
      <w:tr w:rsidR="00E0508B" w:rsidRPr="00E0508B" w14:paraId="614F2C2C" w14:textId="77777777" w:rsidTr="00E0508B">
        <w:tc>
          <w:tcPr>
            <w:tcW w:w="3955" w:type="dxa"/>
            <w:hideMark/>
          </w:tcPr>
          <w:p w14:paraId="2293EC42" w14:textId="77777777" w:rsidR="00E0508B" w:rsidRPr="00E0508B" w:rsidRDefault="00E0508B" w:rsidP="00E0508B">
            <w:pPr>
              <w:spacing w:before="0" w:after="160" w:line="278" w:lineRule="auto"/>
              <w:ind w:firstLine="0"/>
              <w:jc w:val="left"/>
              <w:rPr>
                <w:rFonts w:eastAsia="Aptos" w:cs="Times New Roman"/>
                <w:szCs w:val="20"/>
              </w:rPr>
            </w:pPr>
            <w:r w:rsidRPr="00E0508B">
              <w:rPr>
                <w:rFonts w:eastAsia="Aptos" w:cs="Times New Roman"/>
                <w:szCs w:val="20"/>
              </w:rPr>
              <w:t>Communicative Competence</w:t>
            </w:r>
          </w:p>
        </w:tc>
        <w:tc>
          <w:tcPr>
            <w:tcW w:w="1170" w:type="dxa"/>
            <w:hideMark/>
          </w:tcPr>
          <w:p w14:paraId="1FDB72ED"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160</w:t>
            </w:r>
          </w:p>
        </w:tc>
        <w:tc>
          <w:tcPr>
            <w:tcW w:w="1080" w:type="dxa"/>
            <w:hideMark/>
          </w:tcPr>
          <w:p w14:paraId="40D4A47F"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2.00</w:t>
            </w:r>
          </w:p>
        </w:tc>
        <w:tc>
          <w:tcPr>
            <w:tcW w:w="1080" w:type="dxa"/>
            <w:hideMark/>
          </w:tcPr>
          <w:p w14:paraId="38B77108"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5.00</w:t>
            </w:r>
          </w:p>
        </w:tc>
        <w:tc>
          <w:tcPr>
            <w:tcW w:w="1139" w:type="dxa"/>
            <w:hideMark/>
          </w:tcPr>
          <w:p w14:paraId="70781206"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3.7188</w:t>
            </w:r>
          </w:p>
        </w:tc>
        <w:tc>
          <w:tcPr>
            <w:tcW w:w="926" w:type="dxa"/>
            <w:hideMark/>
          </w:tcPr>
          <w:p w14:paraId="49587361"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.68322</w:t>
            </w:r>
          </w:p>
        </w:tc>
      </w:tr>
      <w:tr w:rsidR="00E0508B" w:rsidRPr="00E0508B" w14:paraId="3721B6E5" w14:textId="77777777" w:rsidTr="00E0508B">
        <w:tc>
          <w:tcPr>
            <w:tcW w:w="3955" w:type="dxa"/>
            <w:hideMark/>
          </w:tcPr>
          <w:p w14:paraId="355E8F51" w14:textId="77777777" w:rsidR="00E0508B" w:rsidRPr="00E0508B" w:rsidRDefault="00E0508B" w:rsidP="00E0508B">
            <w:pPr>
              <w:spacing w:before="0" w:after="160" w:line="278" w:lineRule="auto"/>
              <w:ind w:firstLine="0"/>
              <w:jc w:val="left"/>
              <w:rPr>
                <w:rFonts w:eastAsia="Aptos" w:cs="Times New Roman"/>
                <w:szCs w:val="20"/>
              </w:rPr>
            </w:pPr>
            <w:r w:rsidRPr="00E0508B">
              <w:rPr>
                <w:rFonts w:eastAsia="Aptos" w:cs="Times New Roman"/>
                <w:szCs w:val="20"/>
              </w:rPr>
              <w:t>Willingness to Communicate</w:t>
            </w:r>
          </w:p>
        </w:tc>
        <w:tc>
          <w:tcPr>
            <w:tcW w:w="1170" w:type="dxa"/>
            <w:hideMark/>
          </w:tcPr>
          <w:p w14:paraId="07ACEF85"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160</w:t>
            </w:r>
          </w:p>
        </w:tc>
        <w:tc>
          <w:tcPr>
            <w:tcW w:w="1080" w:type="dxa"/>
            <w:hideMark/>
          </w:tcPr>
          <w:p w14:paraId="106D73AC"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1.6</w:t>
            </w:r>
          </w:p>
        </w:tc>
        <w:tc>
          <w:tcPr>
            <w:tcW w:w="1080" w:type="dxa"/>
            <w:hideMark/>
          </w:tcPr>
          <w:p w14:paraId="51FB435B"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5.00</w:t>
            </w:r>
          </w:p>
        </w:tc>
        <w:tc>
          <w:tcPr>
            <w:tcW w:w="1139" w:type="dxa"/>
            <w:hideMark/>
          </w:tcPr>
          <w:p w14:paraId="2F53EAE7"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3.8925</w:t>
            </w:r>
          </w:p>
        </w:tc>
        <w:tc>
          <w:tcPr>
            <w:tcW w:w="926" w:type="dxa"/>
            <w:hideMark/>
          </w:tcPr>
          <w:p w14:paraId="41676886"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.75565</w:t>
            </w:r>
          </w:p>
        </w:tc>
      </w:tr>
      <w:tr w:rsidR="00E0508B" w:rsidRPr="00E0508B" w14:paraId="3F684C06" w14:textId="77777777" w:rsidTr="00E0508B">
        <w:tc>
          <w:tcPr>
            <w:tcW w:w="3955" w:type="dxa"/>
            <w:hideMark/>
          </w:tcPr>
          <w:p w14:paraId="23723D58" w14:textId="77777777" w:rsidR="00E0508B" w:rsidRPr="00E0508B" w:rsidRDefault="00E0508B" w:rsidP="00E0508B">
            <w:pPr>
              <w:spacing w:before="0" w:after="160" w:line="278" w:lineRule="auto"/>
              <w:ind w:firstLine="0"/>
              <w:jc w:val="left"/>
              <w:rPr>
                <w:rFonts w:eastAsia="Aptos" w:cs="Times New Roman"/>
                <w:szCs w:val="20"/>
              </w:rPr>
            </w:pPr>
            <w:r w:rsidRPr="00E0508B">
              <w:rPr>
                <w:rFonts w:eastAsia="Aptos" w:cs="Times New Roman"/>
                <w:szCs w:val="20"/>
              </w:rPr>
              <w:t>L2 Self-Confidence</w:t>
            </w:r>
          </w:p>
        </w:tc>
        <w:tc>
          <w:tcPr>
            <w:tcW w:w="1170" w:type="dxa"/>
            <w:hideMark/>
          </w:tcPr>
          <w:p w14:paraId="70A81DC0"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160</w:t>
            </w:r>
          </w:p>
        </w:tc>
        <w:tc>
          <w:tcPr>
            <w:tcW w:w="1080" w:type="dxa"/>
            <w:hideMark/>
          </w:tcPr>
          <w:p w14:paraId="7C8A4535"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1.4</w:t>
            </w:r>
          </w:p>
        </w:tc>
        <w:tc>
          <w:tcPr>
            <w:tcW w:w="1080" w:type="dxa"/>
            <w:hideMark/>
          </w:tcPr>
          <w:p w14:paraId="5F8E0933"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5.00</w:t>
            </w:r>
          </w:p>
        </w:tc>
        <w:tc>
          <w:tcPr>
            <w:tcW w:w="1139" w:type="dxa"/>
            <w:hideMark/>
          </w:tcPr>
          <w:p w14:paraId="6703C89C"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3.5662</w:t>
            </w:r>
          </w:p>
        </w:tc>
        <w:tc>
          <w:tcPr>
            <w:tcW w:w="926" w:type="dxa"/>
            <w:hideMark/>
          </w:tcPr>
          <w:p w14:paraId="1733F5C5"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.85773</w:t>
            </w:r>
          </w:p>
        </w:tc>
      </w:tr>
      <w:tr w:rsidR="00E0508B" w:rsidRPr="00E0508B" w14:paraId="4CDEDCBE" w14:textId="77777777" w:rsidTr="00E0508B">
        <w:tc>
          <w:tcPr>
            <w:tcW w:w="3955" w:type="dxa"/>
            <w:hideMark/>
          </w:tcPr>
          <w:p w14:paraId="1F396AA2" w14:textId="77777777" w:rsidR="00E0508B" w:rsidRPr="00E0508B" w:rsidRDefault="00E0508B" w:rsidP="00E0508B">
            <w:pPr>
              <w:spacing w:before="0" w:after="160" w:line="278" w:lineRule="auto"/>
              <w:ind w:firstLine="0"/>
              <w:jc w:val="left"/>
              <w:rPr>
                <w:rFonts w:eastAsia="Aptos" w:cs="Times New Roman"/>
                <w:szCs w:val="20"/>
              </w:rPr>
            </w:pPr>
            <w:r w:rsidRPr="00E0508B">
              <w:rPr>
                <w:rFonts w:eastAsia="Aptos" w:cs="Times New Roman"/>
                <w:szCs w:val="20"/>
              </w:rPr>
              <w:t>Overall</w:t>
            </w:r>
          </w:p>
        </w:tc>
        <w:tc>
          <w:tcPr>
            <w:tcW w:w="1170" w:type="dxa"/>
            <w:hideMark/>
          </w:tcPr>
          <w:p w14:paraId="78BC8444"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160</w:t>
            </w:r>
          </w:p>
        </w:tc>
        <w:tc>
          <w:tcPr>
            <w:tcW w:w="1080" w:type="dxa"/>
            <w:hideMark/>
          </w:tcPr>
          <w:p w14:paraId="732B267A"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2.17</w:t>
            </w:r>
          </w:p>
        </w:tc>
        <w:tc>
          <w:tcPr>
            <w:tcW w:w="1080" w:type="dxa"/>
            <w:hideMark/>
          </w:tcPr>
          <w:p w14:paraId="5970073C"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5.00</w:t>
            </w:r>
          </w:p>
        </w:tc>
        <w:tc>
          <w:tcPr>
            <w:tcW w:w="1139" w:type="dxa"/>
            <w:hideMark/>
          </w:tcPr>
          <w:p w14:paraId="39D27ECF"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3.7258</w:t>
            </w:r>
          </w:p>
        </w:tc>
        <w:tc>
          <w:tcPr>
            <w:tcW w:w="926" w:type="dxa"/>
            <w:hideMark/>
          </w:tcPr>
          <w:p w14:paraId="5B57A842"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.70058</w:t>
            </w:r>
          </w:p>
        </w:tc>
      </w:tr>
    </w:tbl>
    <w:p w14:paraId="4F1F9A06" w14:textId="463B2E2A" w:rsidR="00E0508B" w:rsidRPr="00E0508B" w:rsidRDefault="00E0508B" w:rsidP="0011440B">
      <w:pPr>
        <w:pStyle w:val="NormalWeb"/>
        <w:shd w:val="clear" w:color="auto" w:fill="FFFFFF"/>
        <w:spacing w:before="0" w:after="120" w:line="480" w:lineRule="auto"/>
        <w:ind w:firstLine="720"/>
        <w:jc w:val="both"/>
        <w:textAlignment w:val="baseline"/>
        <w:rPr>
          <w:rFonts w:asciiTheme="majorBidi" w:hAnsiTheme="majorBidi" w:cstheme="majorBidi"/>
          <w:color w:val="333333"/>
          <w:shd w:val="clear" w:color="auto" w:fill="FFFFFF"/>
        </w:rPr>
      </w:pPr>
      <w:r w:rsidRPr="00E0508B">
        <w:rPr>
          <w:rFonts w:asciiTheme="majorBidi" w:hAnsiTheme="majorBidi" w:cstheme="majorBidi"/>
          <w:color w:val="333333"/>
          <w:shd w:val="clear" w:color="auto" w:fill="FFFFFF"/>
        </w:rPr>
        <w:t xml:space="preserve">As shown in Table 2, learner readiness varies across three dimensions. While willingness to communicate has the highest mean score (M = 3.89, SD = .76) and followed by communicative competence dimension (M=3.72, SD=.683), L2-self-confidence positions at the bottom of the rank (M = 3.57, SD = .86). This pattern suggests that although learners are generally willing to engage in communication, they still lack confidence of using English in real world context. The result highlights the role of psychological factors in shaping English using behavior. </w:t>
      </w:r>
    </w:p>
    <w:p w14:paraId="0A64B791" w14:textId="042901B4" w:rsidR="00E0508B" w:rsidRPr="00E0508B" w:rsidRDefault="00E0508B" w:rsidP="00202487">
      <w:pPr>
        <w:pStyle w:val="NormalWeb"/>
        <w:shd w:val="clear" w:color="auto" w:fill="FFFFFF"/>
        <w:spacing w:before="0" w:after="120" w:line="480" w:lineRule="auto"/>
        <w:ind w:firstLine="720"/>
        <w:textAlignment w:val="baseline"/>
        <w:rPr>
          <w:rFonts w:asciiTheme="majorBidi" w:hAnsiTheme="majorBidi" w:cstheme="majorBidi"/>
          <w:b/>
          <w:bCs/>
          <w:color w:val="333333"/>
          <w:shd w:val="clear" w:color="auto" w:fill="FFFFFF"/>
        </w:rPr>
      </w:pPr>
      <w:r w:rsidRPr="00E0508B">
        <w:rPr>
          <w:rFonts w:asciiTheme="majorBidi" w:hAnsiTheme="majorBidi" w:cstheme="majorBidi"/>
          <w:b/>
          <w:bCs/>
          <w:color w:val="333333"/>
          <w:shd w:val="clear" w:color="auto" w:fill="FFFFFF"/>
        </w:rPr>
        <w:t>One-way ANOVA Analysis</w:t>
      </w:r>
    </w:p>
    <w:p w14:paraId="54E2F1EB" w14:textId="77777777" w:rsidR="00E0508B" w:rsidRPr="00E0508B" w:rsidRDefault="00E0508B" w:rsidP="00202487">
      <w:pPr>
        <w:pStyle w:val="NormalWeb"/>
        <w:shd w:val="clear" w:color="auto" w:fill="FFFFFF"/>
        <w:spacing w:before="0" w:after="120" w:line="480" w:lineRule="auto"/>
        <w:ind w:firstLine="720"/>
        <w:jc w:val="both"/>
        <w:textAlignment w:val="baseline"/>
        <w:rPr>
          <w:rFonts w:asciiTheme="majorBidi" w:hAnsiTheme="majorBidi" w:cstheme="majorBidi"/>
          <w:color w:val="333333"/>
          <w:shd w:val="clear" w:color="auto" w:fill="FFFFFF"/>
        </w:rPr>
      </w:pPr>
      <w:r w:rsidRPr="00E0508B">
        <w:rPr>
          <w:rFonts w:asciiTheme="majorBidi" w:hAnsiTheme="majorBidi" w:cstheme="majorBidi"/>
          <w:color w:val="333333"/>
          <w:shd w:val="clear" w:color="auto" w:fill="FFFFFF"/>
        </w:rPr>
        <w:t xml:space="preserve">Regarding academic year, Levene’s test confirmed that the assumption of homogeneity of variances was met (p = .817). The one-way ANOVA showed no statistically significant difference in overall readiness among students from different academic years (F (3, 156) = 1.54, p = .206). </w:t>
      </w:r>
    </w:p>
    <w:p w14:paraId="21679FB6" w14:textId="77777777" w:rsidR="00E0508B" w:rsidRPr="00E0508B" w:rsidRDefault="00E0508B" w:rsidP="00202487">
      <w:pPr>
        <w:pStyle w:val="NormalWeb"/>
        <w:shd w:val="clear" w:color="auto" w:fill="FFFFFF"/>
        <w:spacing w:before="0" w:after="120" w:line="480" w:lineRule="auto"/>
        <w:ind w:firstLine="720"/>
        <w:jc w:val="both"/>
        <w:textAlignment w:val="baseline"/>
        <w:rPr>
          <w:rFonts w:asciiTheme="majorBidi" w:hAnsiTheme="majorBidi" w:cstheme="majorBidi"/>
          <w:color w:val="333333"/>
          <w:shd w:val="clear" w:color="auto" w:fill="FFFFFF"/>
        </w:rPr>
      </w:pPr>
      <w:r w:rsidRPr="00E0508B">
        <w:rPr>
          <w:rFonts w:asciiTheme="majorBidi" w:hAnsiTheme="majorBidi" w:cstheme="majorBidi"/>
          <w:color w:val="333333"/>
          <w:shd w:val="clear" w:color="auto" w:fill="FFFFFF"/>
        </w:rPr>
        <w:lastRenderedPageBreak/>
        <w:t>Post-hoc analysis using Tukey’s HSD test also revealed no significant differences between any pairs of groups (all p &gt; .05), suggesting that students’ readiness remains relatively consistent across academic years.</w:t>
      </w:r>
    </w:p>
    <w:p w14:paraId="0064B941" w14:textId="77777777" w:rsidR="00E0508B" w:rsidRPr="00E0508B" w:rsidRDefault="00E0508B" w:rsidP="00E0508B">
      <w:pPr>
        <w:pStyle w:val="NormalWeb"/>
        <w:shd w:val="clear" w:color="auto" w:fill="FFFFFF"/>
        <w:textAlignment w:val="baseline"/>
        <w:rPr>
          <w:rFonts w:asciiTheme="majorBidi" w:hAnsiTheme="majorBidi" w:cstheme="majorBidi"/>
          <w:b/>
          <w:bCs/>
          <w:color w:val="333333"/>
          <w:shd w:val="clear" w:color="auto" w:fill="FFFFFF"/>
        </w:rPr>
      </w:pPr>
      <w:r w:rsidRPr="00E0508B">
        <w:rPr>
          <w:rFonts w:asciiTheme="majorBidi" w:hAnsiTheme="majorBidi" w:cstheme="majorBidi"/>
          <w:b/>
          <w:bCs/>
          <w:color w:val="333333"/>
          <w:shd w:val="clear" w:color="auto" w:fill="FFFFFF"/>
        </w:rPr>
        <w:t>Table 3</w:t>
      </w:r>
    </w:p>
    <w:p w14:paraId="1F66CCB4" w14:textId="6269656C" w:rsidR="00E0508B" w:rsidRPr="00E0508B" w:rsidRDefault="00E0508B" w:rsidP="00E0508B">
      <w:pPr>
        <w:pStyle w:val="NormalWeb"/>
        <w:shd w:val="clear" w:color="auto" w:fill="FFFFFF"/>
        <w:textAlignment w:val="baseline"/>
        <w:rPr>
          <w:rFonts w:asciiTheme="majorBidi" w:hAnsiTheme="majorBidi" w:cstheme="majorBidi"/>
          <w:i/>
          <w:iCs/>
          <w:color w:val="333333"/>
          <w:shd w:val="clear" w:color="auto" w:fill="FFFFFF"/>
        </w:rPr>
      </w:pPr>
      <w:r w:rsidRPr="00E0508B">
        <w:rPr>
          <w:rFonts w:asciiTheme="majorBidi" w:hAnsiTheme="majorBidi" w:cstheme="majorBidi"/>
          <w:i/>
          <w:iCs/>
          <w:color w:val="333333"/>
          <w:shd w:val="clear" w:color="auto" w:fill="FFFFFF"/>
        </w:rPr>
        <w:t>One-way ANOVA by English Proficiency Level</w:t>
      </w:r>
    </w:p>
    <w:tbl>
      <w:tblPr>
        <w:tblStyle w:val="TableGrid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76"/>
        <w:gridCol w:w="2238"/>
        <w:gridCol w:w="2259"/>
        <w:gridCol w:w="2253"/>
      </w:tblGrid>
      <w:tr w:rsidR="00E0508B" w:rsidRPr="00E0508B" w14:paraId="46F4636B" w14:textId="77777777" w:rsidTr="00E0508B">
        <w:tc>
          <w:tcPr>
            <w:tcW w:w="2337" w:type="dxa"/>
            <w:hideMark/>
          </w:tcPr>
          <w:p w14:paraId="164409DD"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Proficiency Level</w:t>
            </w:r>
          </w:p>
        </w:tc>
        <w:tc>
          <w:tcPr>
            <w:tcW w:w="2337" w:type="dxa"/>
            <w:hideMark/>
          </w:tcPr>
          <w:p w14:paraId="4B3B21DA"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N</w:t>
            </w:r>
          </w:p>
        </w:tc>
        <w:tc>
          <w:tcPr>
            <w:tcW w:w="2338" w:type="dxa"/>
            <w:hideMark/>
          </w:tcPr>
          <w:p w14:paraId="368E755F"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Mean</w:t>
            </w:r>
          </w:p>
        </w:tc>
        <w:tc>
          <w:tcPr>
            <w:tcW w:w="2338" w:type="dxa"/>
            <w:hideMark/>
          </w:tcPr>
          <w:p w14:paraId="12399ACD"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SD</w:t>
            </w:r>
          </w:p>
        </w:tc>
      </w:tr>
      <w:tr w:rsidR="00E0508B" w:rsidRPr="00E0508B" w14:paraId="35E87724" w14:textId="77777777" w:rsidTr="00E0508B">
        <w:tc>
          <w:tcPr>
            <w:tcW w:w="2337" w:type="dxa"/>
            <w:hideMark/>
          </w:tcPr>
          <w:p w14:paraId="2896DB83" w14:textId="77777777" w:rsidR="00E0508B" w:rsidRPr="00E0508B" w:rsidRDefault="00E0508B" w:rsidP="00E0508B">
            <w:pPr>
              <w:spacing w:before="0" w:after="160" w:line="278" w:lineRule="auto"/>
              <w:ind w:firstLine="0"/>
              <w:jc w:val="left"/>
              <w:rPr>
                <w:rFonts w:eastAsia="Aptos" w:cs="Times New Roman"/>
                <w:szCs w:val="20"/>
              </w:rPr>
            </w:pPr>
            <w:r w:rsidRPr="00E0508B">
              <w:rPr>
                <w:rFonts w:eastAsia="Aptos" w:cs="Times New Roman"/>
                <w:szCs w:val="20"/>
              </w:rPr>
              <w:t>Beginner</w:t>
            </w:r>
          </w:p>
        </w:tc>
        <w:tc>
          <w:tcPr>
            <w:tcW w:w="2337" w:type="dxa"/>
            <w:hideMark/>
          </w:tcPr>
          <w:p w14:paraId="3E6FE9B0"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6</w:t>
            </w:r>
          </w:p>
        </w:tc>
        <w:tc>
          <w:tcPr>
            <w:tcW w:w="2338" w:type="dxa"/>
            <w:hideMark/>
          </w:tcPr>
          <w:p w14:paraId="6664C825"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3.6667</w:t>
            </w:r>
          </w:p>
        </w:tc>
        <w:tc>
          <w:tcPr>
            <w:tcW w:w="2338" w:type="dxa"/>
            <w:hideMark/>
          </w:tcPr>
          <w:p w14:paraId="435F3105"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1.044</w:t>
            </w:r>
          </w:p>
        </w:tc>
      </w:tr>
      <w:tr w:rsidR="00E0508B" w:rsidRPr="00E0508B" w14:paraId="16F7DDF5" w14:textId="77777777" w:rsidTr="00E0508B">
        <w:tc>
          <w:tcPr>
            <w:tcW w:w="2337" w:type="dxa"/>
            <w:hideMark/>
          </w:tcPr>
          <w:p w14:paraId="322F7041" w14:textId="77777777" w:rsidR="00E0508B" w:rsidRPr="00E0508B" w:rsidRDefault="00E0508B" w:rsidP="00E0508B">
            <w:pPr>
              <w:spacing w:before="0" w:after="160" w:line="278" w:lineRule="auto"/>
              <w:ind w:firstLine="0"/>
              <w:jc w:val="left"/>
              <w:rPr>
                <w:rFonts w:eastAsia="Aptos" w:cs="Times New Roman"/>
                <w:szCs w:val="20"/>
              </w:rPr>
            </w:pPr>
            <w:r w:rsidRPr="00E0508B">
              <w:rPr>
                <w:rFonts w:eastAsia="Aptos" w:cs="Times New Roman"/>
                <w:szCs w:val="20"/>
              </w:rPr>
              <w:t>Intermediate</w:t>
            </w:r>
          </w:p>
        </w:tc>
        <w:tc>
          <w:tcPr>
            <w:tcW w:w="2337" w:type="dxa"/>
            <w:hideMark/>
          </w:tcPr>
          <w:p w14:paraId="60F22EB9"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88</w:t>
            </w:r>
          </w:p>
        </w:tc>
        <w:tc>
          <w:tcPr>
            <w:tcW w:w="2338" w:type="dxa"/>
            <w:hideMark/>
          </w:tcPr>
          <w:p w14:paraId="45F7697D"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3.5617</w:t>
            </w:r>
          </w:p>
        </w:tc>
        <w:tc>
          <w:tcPr>
            <w:tcW w:w="2338" w:type="dxa"/>
            <w:hideMark/>
          </w:tcPr>
          <w:p w14:paraId="3F96CB09"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.6841</w:t>
            </w:r>
          </w:p>
        </w:tc>
      </w:tr>
      <w:tr w:rsidR="00E0508B" w:rsidRPr="00E0508B" w14:paraId="4E475B18" w14:textId="77777777" w:rsidTr="00E0508B">
        <w:tc>
          <w:tcPr>
            <w:tcW w:w="2337" w:type="dxa"/>
            <w:hideMark/>
          </w:tcPr>
          <w:p w14:paraId="3E0AB0A2" w14:textId="77777777" w:rsidR="00E0508B" w:rsidRPr="00E0508B" w:rsidRDefault="00E0508B" w:rsidP="00E0508B">
            <w:pPr>
              <w:spacing w:before="0" w:after="160" w:line="278" w:lineRule="auto"/>
              <w:ind w:firstLine="0"/>
              <w:jc w:val="left"/>
              <w:rPr>
                <w:rFonts w:eastAsia="Aptos" w:cs="Times New Roman"/>
                <w:szCs w:val="20"/>
              </w:rPr>
            </w:pPr>
            <w:r w:rsidRPr="00E0508B">
              <w:rPr>
                <w:rFonts w:eastAsia="Aptos" w:cs="Times New Roman"/>
                <w:szCs w:val="20"/>
              </w:rPr>
              <w:t>Upper-intermediate</w:t>
            </w:r>
          </w:p>
        </w:tc>
        <w:tc>
          <w:tcPr>
            <w:tcW w:w="2337" w:type="dxa"/>
            <w:hideMark/>
          </w:tcPr>
          <w:p w14:paraId="3B270C45"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61</w:t>
            </w:r>
          </w:p>
        </w:tc>
        <w:tc>
          <w:tcPr>
            <w:tcW w:w="2338" w:type="dxa"/>
            <w:hideMark/>
          </w:tcPr>
          <w:p w14:paraId="640E8F9A"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3.8973</w:t>
            </w:r>
          </w:p>
        </w:tc>
        <w:tc>
          <w:tcPr>
            <w:tcW w:w="2338" w:type="dxa"/>
            <w:hideMark/>
          </w:tcPr>
          <w:p w14:paraId="1DA7ED4D"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.6123</w:t>
            </w:r>
          </w:p>
        </w:tc>
      </w:tr>
      <w:tr w:rsidR="00E0508B" w:rsidRPr="00E0508B" w14:paraId="36D1A5AB" w14:textId="77777777" w:rsidTr="00E0508B">
        <w:tc>
          <w:tcPr>
            <w:tcW w:w="2337" w:type="dxa"/>
            <w:hideMark/>
          </w:tcPr>
          <w:p w14:paraId="227E836F" w14:textId="77777777" w:rsidR="00E0508B" w:rsidRPr="00E0508B" w:rsidRDefault="00E0508B" w:rsidP="00E0508B">
            <w:pPr>
              <w:spacing w:before="0" w:after="160" w:line="278" w:lineRule="auto"/>
              <w:ind w:firstLine="0"/>
              <w:jc w:val="left"/>
              <w:rPr>
                <w:rFonts w:eastAsia="Aptos" w:cs="Times New Roman"/>
                <w:szCs w:val="20"/>
              </w:rPr>
            </w:pPr>
            <w:r w:rsidRPr="00E0508B">
              <w:rPr>
                <w:rFonts w:eastAsia="Aptos" w:cs="Times New Roman"/>
                <w:szCs w:val="20"/>
              </w:rPr>
              <w:t>Advanced</w:t>
            </w:r>
          </w:p>
        </w:tc>
        <w:tc>
          <w:tcPr>
            <w:tcW w:w="2337" w:type="dxa"/>
            <w:hideMark/>
          </w:tcPr>
          <w:p w14:paraId="6A84F963"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5</w:t>
            </w:r>
          </w:p>
        </w:tc>
        <w:tc>
          <w:tcPr>
            <w:tcW w:w="2338" w:type="dxa"/>
            <w:hideMark/>
          </w:tcPr>
          <w:p w14:paraId="0A60306C"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4.5933</w:t>
            </w:r>
          </w:p>
        </w:tc>
        <w:tc>
          <w:tcPr>
            <w:tcW w:w="2338" w:type="dxa"/>
            <w:hideMark/>
          </w:tcPr>
          <w:p w14:paraId="272E5077"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.5648</w:t>
            </w:r>
          </w:p>
        </w:tc>
      </w:tr>
      <w:tr w:rsidR="00E0508B" w:rsidRPr="00E0508B" w14:paraId="36AC7763" w14:textId="77777777" w:rsidTr="00E0508B">
        <w:tc>
          <w:tcPr>
            <w:tcW w:w="2337" w:type="dxa"/>
            <w:hideMark/>
          </w:tcPr>
          <w:p w14:paraId="23CD730E" w14:textId="77777777" w:rsidR="00E0508B" w:rsidRPr="00E0508B" w:rsidRDefault="00E0508B" w:rsidP="00E0508B">
            <w:pPr>
              <w:spacing w:before="0" w:after="160" w:line="278" w:lineRule="auto"/>
              <w:ind w:firstLine="0"/>
              <w:jc w:val="left"/>
              <w:rPr>
                <w:rFonts w:eastAsia="Aptos" w:cs="Times New Roman"/>
                <w:szCs w:val="20"/>
              </w:rPr>
            </w:pPr>
            <w:r w:rsidRPr="00E0508B">
              <w:rPr>
                <w:rFonts w:eastAsia="Aptos" w:cs="Times New Roman"/>
                <w:szCs w:val="20"/>
              </w:rPr>
              <w:t>Total</w:t>
            </w:r>
          </w:p>
        </w:tc>
        <w:tc>
          <w:tcPr>
            <w:tcW w:w="2337" w:type="dxa"/>
            <w:hideMark/>
          </w:tcPr>
          <w:p w14:paraId="1BC3A313"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160</w:t>
            </w:r>
          </w:p>
        </w:tc>
        <w:tc>
          <w:tcPr>
            <w:tcW w:w="2338" w:type="dxa"/>
            <w:hideMark/>
          </w:tcPr>
          <w:p w14:paraId="3B53D237"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3.7258</w:t>
            </w:r>
          </w:p>
        </w:tc>
        <w:tc>
          <w:tcPr>
            <w:tcW w:w="2338" w:type="dxa"/>
            <w:hideMark/>
          </w:tcPr>
          <w:p w14:paraId="19B4584E"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.7006</w:t>
            </w:r>
          </w:p>
        </w:tc>
      </w:tr>
      <w:tr w:rsidR="00E0508B" w:rsidRPr="00E0508B" w14:paraId="05318B4E" w14:textId="77777777" w:rsidTr="00E0508B">
        <w:tc>
          <w:tcPr>
            <w:tcW w:w="4674" w:type="dxa"/>
            <w:gridSpan w:val="2"/>
            <w:hideMark/>
          </w:tcPr>
          <w:p w14:paraId="116CDCA5"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One-way Anova</w:t>
            </w:r>
          </w:p>
        </w:tc>
        <w:tc>
          <w:tcPr>
            <w:tcW w:w="2338" w:type="dxa"/>
            <w:hideMark/>
          </w:tcPr>
          <w:p w14:paraId="18596AF4"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F=5.895</w:t>
            </w:r>
          </w:p>
        </w:tc>
        <w:tc>
          <w:tcPr>
            <w:tcW w:w="2338" w:type="dxa"/>
            <w:hideMark/>
          </w:tcPr>
          <w:p w14:paraId="3968D148" w14:textId="77777777" w:rsidR="00E0508B" w:rsidRPr="00E0508B" w:rsidRDefault="00E0508B" w:rsidP="00E0508B">
            <w:pPr>
              <w:spacing w:before="0" w:after="160" w:line="278" w:lineRule="auto"/>
              <w:ind w:firstLine="0"/>
              <w:jc w:val="center"/>
              <w:rPr>
                <w:rFonts w:eastAsia="Aptos" w:cs="Times New Roman"/>
                <w:szCs w:val="20"/>
              </w:rPr>
            </w:pPr>
            <w:r w:rsidRPr="00E0508B">
              <w:rPr>
                <w:rFonts w:eastAsia="Aptos" w:cs="Times New Roman"/>
                <w:szCs w:val="20"/>
              </w:rPr>
              <w:t>p&lt;.001</w:t>
            </w:r>
          </w:p>
        </w:tc>
      </w:tr>
    </w:tbl>
    <w:p w14:paraId="4BA49E8D" w14:textId="3F040676" w:rsidR="00E0508B" w:rsidRPr="00E0508B" w:rsidRDefault="00E0508B" w:rsidP="0011440B">
      <w:pPr>
        <w:pStyle w:val="NormalWeb"/>
        <w:shd w:val="clear" w:color="auto" w:fill="FFFFFF"/>
        <w:spacing w:before="0" w:after="120" w:line="480" w:lineRule="auto"/>
        <w:ind w:firstLine="720"/>
        <w:jc w:val="both"/>
        <w:textAlignment w:val="baseline"/>
        <w:rPr>
          <w:rFonts w:asciiTheme="majorBidi" w:hAnsiTheme="majorBidi" w:cstheme="majorBidi"/>
          <w:color w:val="333333"/>
          <w:shd w:val="clear" w:color="auto" w:fill="FFFFFF"/>
        </w:rPr>
      </w:pPr>
      <w:r w:rsidRPr="00E0508B">
        <w:rPr>
          <w:rFonts w:asciiTheme="majorBidi" w:hAnsiTheme="majorBidi" w:cstheme="majorBidi"/>
          <w:color w:val="333333"/>
          <w:shd w:val="clear" w:color="auto" w:fill="FFFFFF"/>
        </w:rPr>
        <w:t xml:space="preserve">In contrast, a significant difference was found across levels of self-rated English proficiency. Levene’s test indicated that the assumption of homogeneity of variances was satisfied (p = .094). The ANOVA results revealed a statistically significant difference among the groups (F (3, 156) = 5.90, p &lt; .001), indicating that learners’ readiness varies according to their English proficiency levels. </w:t>
      </w:r>
    </w:p>
    <w:p w14:paraId="0563651D" w14:textId="77777777" w:rsidR="00E0508B" w:rsidRPr="00E0508B" w:rsidRDefault="00E0508B" w:rsidP="00202487">
      <w:pPr>
        <w:pStyle w:val="NormalWeb"/>
        <w:shd w:val="clear" w:color="auto" w:fill="FFFFFF"/>
        <w:spacing w:before="0" w:after="120" w:line="480" w:lineRule="auto"/>
        <w:ind w:firstLine="720"/>
        <w:textAlignment w:val="baseline"/>
        <w:rPr>
          <w:rFonts w:asciiTheme="majorBidi" w:hAnsiTheme="majorBidi" w:cstheme="majorBidi"/>
          <w:color w:val="333333"/>
          <w:shd w:val="clear" w:color="auto" w:fill="FFFFFF"/>
        </w:rPr>
      </w:pPr>
      <w:r w:rsidRPr="00E0508B">
        <w:rPr>
          <w:rFonts w:asciiTheme="majorBidi" w:hAnsiTheme="majorBidi" w:cstheme="majorBidi"/>
          <w:color w:val="333333"/>
          <w:shd w:val="clear" w:color="auto" w:fill="FFFFFF"/>
        </w:rPr>
        <w:t xml:space="preserve">Post-hoc analysis using Tukey’s HSD test showed that students at the intermediate level reported significantly lower readiness compared to those at the upper-intermediate (p = .016) and advanced levels (p = .006), while no significant differences were found among the remaining groups. </w:t>
      </w:r>
    </w:p>
    <w:p w14:paraId="512AAD80" w14:textId="4CC36FF2" w:rsidR="00E0508B" w:rsidRPr="00202487" w:rsidRDefault="00E0508B" w:rsidP="00202487">
      <w:pPr>
        <w:pStyle w:val="NormalWeb"/>
        <w:shd w:val="clear" w:color="auto" w:fill="FFFFFF"/>
        <w:spacing w:before="0" w:after="120" w:line="480" w:lineRule="auto"/>
        <w:ind w:firstLine="720"/>
        <w:textAlignment w:val="baseline"/>
        <w:rPr>
          <w:rFonts w:asciiTheme="majorBidi" w:hAnsiTheme="majorBidi" w:cstheme="majorBidi"/>
          <w:b/>
          <w:bCs/>
          <w:color w:val="333333"/>
          <w:shd w:val="clear" w:color="auto" w:fill="FFFFFF"/>
        </w:rPr>
      </w:pPr>
      <w:r w:rsidRPr="00202487">
        <w:rPr>
          <w:rFonts w:asciiTheme="majorBidi" w:hAnsiTheme="majorBidi" w:cstheme="majorBidi"/>
          <w:b/>
          <w:bCs/>
          <w:color w:val="333333"/>
          <w:shd w:val="clear" w:color="auto" w:fill="FFFFFF"/>
        </w:rPr>
        <w:t xml:space="preserve">Correlation Analysis </w:t>
      </w:r>
    </w:p>
    <w:p w14:paraId="24C2F8A7" w14:textId="67A0F1D6" w:rsidR="00202487" w:rsidRPr="00202487" w:rsidRDefault="00E0508B" w:rsidP="00202487">
      <w:pPr>
        <w:pStyle w:val="NormalWeb"/>
        <w:shd w:val="clear" w:color="auto" w:fill="FFFFFF"/>
        <w:textAlignment w:val="baseline"/>
        <w:rPr>
          <w:rFonts w:asciiTheme="majorBidi" w:hAnsiTheme="majorBidi" w:cstheme="majorBidi"/>
          <w:b/>
          <w:bCs/>
          <w:color w:val="333333"/>
          <w:shd w:val="clear" w:color="auto" w:fill="FFFFFF"/>
        </w:rPr>
      </w:pPr>
      <w:r w:rsidRPr="00202487">
        <w:rPr>
          <w:rFonts w:asciiTheme="majorBidi" w:hAnsiTheme="majorBidi" w:cstheme="majorBidi"/>
          <w:b/>
          <w:bCs/>
          <w:color w:val="333333"/>
          <w:shd w:val="clear" w:color="auto" w:fill="FFFFFF"/>
        </w:rPr>
        <w:t>Table 4</w:t>
      </w:r>
    </w:p>
    <w:p w14:paraId="6D4EE888" w14:textId="00AA6A77" w:rsidR="00E0508B" w:rsidRPr="00202487" w:rsidRDefault="00E0508B" w:rsidP="00202487">
      <w:pPr>
        <w:pStyle w:val="NormalWeb"/>
        <w:shd w:val="clear" w:color="auto" w:fill="FFFFFF"/>
        <w:textAlignment w:val="baseline"/>
        <w:rPr>
          <w:rFonts w:asciiTheme="majorBidi" w:hAnsiTheme="majorBidi" w:cstheme="majorBidi"/>
          <w:i/>
          <w:iCs/>
          <w:color w:val="333333"/>
          <w:shd w:val="clear" w:color="auto" w:fill="FFFFFF"/>
        </w:rPr>
      </w:pPr>
      <w:r w:rsidRPr="00202487">
        <w:rPr>
          <w:rFonts w:asciiTheme="majorBidi" w:hAnsiTheme="majorBidi" w:cstheme="majorBidi"/>
          <w:i/>
          <w:iCs/>
          <w:color w:val="333333"/>
          <w:shd w:val="clear" w:color="auto" w:fill="FFFFFF"/>
        </w:rPr>
        <w:t>Pearson Correlations among Learner Readiness Dimensions</w:t>
      </w:r>
    </w:p>
    <w:tbl>
      <w:tblPr>
        <w:tblStyle w:val="TableGrid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94"/>
        <w:gridCol w:w="2575"/>
        <w:gridCol w:w="1494"/>
        <w:gridCol w:w="1338"/>
        <w:gridCol w:w="1350"/>
      </w:tblGrid>
      <w:tr w:rsidR="00202487" w:rsidRPr="00202487" w14:paraId="2500D2DE" w14:textId="77777777" w:rsidTr="00202487">
        <w:tc>
          <w:tcPr>
            <w:tcW w:w="1165" w:type="dxa"/>
          </w:tcPr>
          <w:p w14:paraId="4E0BC42B" w14:textId="77777777" w:rsidR="00202487" w:rsidRPr="00202487" w:rsidRDefault="00202487" w:rsidP="00202487">
            <w:pPr>
              <w:spacing w:before="0" w:after="160" w:line="278" w:lineRule="auto"/>
              <w:ind w:firstLine="0"/>
              <w:rPr>
                <w:rFonts w:eastAsia="Aptos" w:cs="Times New Roman"/>
                <w:szCs w:val="20"/>
              </w:rPr>
            </w:pPr>
          </w:p>
        </w:tc>
        <w:tc>
          <w:tcPr>
            <w:tcW w:w="2575" w:type="dxa"/>
          </w:tcPr>
          <w:p w14:paraId="347184B5" w14:textId="77777777" w:rsidR="00202487" w:rsidRPr="00202487" w:rsidRDefault="00202487" w:rsidP="00202487">
            <w:pPr>
              <w:spacing w:before="0" w:after="160" w:line="278" w:lineRule="auto"/>
              <w:ind w:firstLine="0"/>
              <w:rPr>
                <w:rFonts w:eastAsia="Aptos" w:cs="Times New Roman"/>
                <w:szCs w:val="20"/>
              </w:rPr>
            </w:pPr>
          </w:p>
        </w:tc>
        <w:tc>
          <w:tcPr>
            <w:tcW w:w="1115" w:type="dxa"/>
            <w:hideMark/>
          </w:tcPr>
          <w:p w14:paraId="01FCDA7E"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Communicative Competence</w:t>
            </w:r>
          </w:p>
        </w:tc>
        <w:tc>
          <w:tcPr>
            <w:tcW w:w="1260" w:type="dxa"/>
            <w:hideMark/>
          </w:tcPr>
          <w:p w14:paraId="5C56B2DE"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Willingness to Communicate</w:t>
            </w:r>
          </w:p>
        </w:tc>
        <w:tc>
          <w:tcPr>
            <w:tcW w:w="1350" w:type="dxa"/>
            <w:hideMark/>
          </w:tcPr>
          <w:p w14:paraId="0518D71B"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L2 Self-Confidence</w:t>
            </w:r>
          </w:p>
        </w:tc>
      </w:tr>
      <w:tr w:rsidR="00202487" w:rsidRPr="00202487" w14:paraId="752A5A15" w14:textId="77777777" w:rsidTr="00202487">
        <w:tc>
          <w:tcPr>
            <w:tcW w:w="1165" w:type="dxa"/>
            <w:vMerge w:val="restart"/>
            <w:hideMark/>
          </w:tcPr>
          <w:p w14:paraId="2BA660FF" w14:textId="77777777" w:rsidR="00202487" w:rsidRPr="00202487" w:rsidRDefault="00202487" w:rsidP="00202487">
            <w:pPr>
              <w:spacing w:before="0" w:after="160" w:line="278" w:lineRule="auto"/>
              <w:ind w:firstLine="0"/>
              <w:rPr>
                <w:rFonts w:eastAsia="Aptos" w:cs="Times New Roman"/>
                <w:szCs w:val="20"/>
              </w:rPr>
            </w:pPr>
            <w:r w:rsidRPr="00202487">
              <w:rPr>
                <w:rFonts w:eastAsia="Aptos" w:cs="Times New Roman"/>
                <w:szCs w:val="20"/>
              </w:rPr>
              <w:t>Communicative Competence</w:t>
            </w:r>
          </w:p>
        </w:tc>
        <w:tc>
          <w:tcPr>
            <w:tcW w:w="2575" w:type="dxa"/>
            <w:hideMark/>
          </w:tcPr>
          <w:p w14:paraId="28E3E204" w14:textId="77777777" w:rsidR="00202487" w:rsidRPr="00202487" w:rsidRDefault="00202487" w:rsidP="00202487">
            <w:pPr>
              <w:spacing w:before="0" w:after="160" w:line="278" w:lineRule="auto"/>
              <w:ind w:firstLine="0"/>
              <w:rPr>
                <w:rFonts w:eastAsia="Aptos" w:cs="Times New Roman"/>
                <w:szCs w:val="20"/>
              </w:rPr>
            </w:pPr>
            <w:r w:rsidRPr="00202487">
              <w:rPr>
                <w:rFonts w:eastAsia="Aptos" w:cs="Times New Roman"/>
                <w:szCs w:val="20"/>
              </w:rPr>
              <w:t>Pearson Correlation</w:t>
            </w:r>
          </w:p>
        </w:tc>
        <w:tc>
          <w:tcPr>
            <w:tcW w:w="1115" w:type="dxa"/>
            <w:hideMark/>
          </w:tcPr>
          <w:p w14:paraId="496282F4"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1</w:t>
            </w:r>
          </w:p>
        </w:tc>
        <w:tc>
          <w:tcPr>
            <w:tcW w:w="1260" w:type="dxa"/>
            <w:hideMark/>
          </w:tcPr>
          <w:p w14:paraId="634699C3"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.721**</w:t>
            </w:r>
          </w:p>
        </w:tc>
        <w:tc>
          <w:tcPr>
            <w:tcW w:w="1350" w:type="dxa"/>
            <w:hideMark/>
          </w:tcPr>
          <w:p w14:paraId="2685C6DA"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.781**</w:t>
            </w:r>
          </w:p>
        </w:tc>
      </w:tr>
      <w:tr w:rsidR="00202487" w:rsidRPr="00202487" w14:paraId="7A0BC842" w14:textId="77777777" w:rsidTr="00202487">
        <w:tc>
          <w:tcPr>
            <w:tcW w:w="0" w:type="auto"/>
            <w:vMerge/>
            <w:vAlign w:val="center"/>
            <w:hideMark/>
          </w:tcPr>
          <w:p w14:paraId="74CEBD01" w14:textId="77777777" w:rsidR="00202487" w:rsidRPr="00202487" w:rsidRDefault="00202487" w:rsidP="00202487">
            <w:pPr>
              <w:spacing w:before="0" w:after="160" w:line="278" w:lineRule="auto"/>
              <w:ind w:firstLine="0"/>
              <w:rPr>
                <w:rFonts w:eastAsia="Aptos" w:cs="Times New Roman"/>
                <w:szCs w:val="20"/>
              </w:rPr>
            </w:pPr>
          </w:p>
        </w:tc>
        <w:tc>
          <w:tcPr>
            <w:tcW w:w="2575" w:type="dxa"/>
            <w:hideMark/>
          </w:tcPr>
          <w:p w14:paraId="3A35C66D" w14:textId="77777777" w:rsidR="00202487" w:rsidRPr="00202487" w:rsidRDefault="00202487" w:rsidP="00202487">
            <w:pPr>
              <w:spacing w:before="0" w:after="160" w:line="278" w:lineRule="auto"/>
              <w:ind w:firstLine="0"/>
              <w:rPr>
                <w:rFonts w:eastAsia="Aptos" w:cs="Times New Roman"/>
                <w:szCs w:val="20"/>
              </w:rPr>
            </w:pPr>
            <w:r w:rsidRPr="00202487">
              <w:rPr>
                <w:rFonts w:eastAsia="Aptos" w:cs="Times New Roman"/>
                <w:szCs w:val="20"/>
              </w:rPr>
              <w:t>Sig. (2-tailed)</w:t>
            </w:r>
          </w:p>
        </w:tc>
        <w:tc>
          <w:tcPr>
            <w:tcW w:w="1115" w:type="dxa"/>
          </w:tcPr>
          <w:p w14:paraId="3C0A0F33" w14:textId="77777777" w:rsidR="00202487" w:rsidRPr="00202487" w:rsidRDefault="00202487" w:rsidP="00202487">
            <w:pPr>
              <w:spacing w:before="0" w:after="160" w:line="278" w:lineRule="auto"/>
              <w:ind w:firstLine="0"/>
              <w:jc w:val="center"/>
              <w:rPr>
                <w:rFonts w:eastAsia="Aptos" w:cs="Times New Roman"/>
                <w:szCs w:val="20"/>
              </w:rPr>
            </w:pPr>
          </w:p>
        </w:tc>
        <w:tc>
          <w:tcPr>
            <w:tcW w:w="1260" w:type="dxa"/>
            <w:hideMark/>
          </w:tcPr>
          <w:p w14:paraId="68F5FBEE"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.000</w:t>
            </w:r>
          </w:p>
        </w:tc>
        <w:tc>
          <w:tcPr>
            <w:tcW w:w="1350" w:type="dxa"/>
            <w:hideMark/>
          </w:tcPr>
          <w:p w14:paraId="3FCEC296"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.000</w:t>
            </w:r>
          </w:p>
        </w:tc>
      </w:tr>
      <w:tr w:rsidR="00202487" w:rsidRPr="00202487" w14:paraId="31DB2947" w14:textId="77777777" w:rsidTr="00202487">
        <w:tc>
          <w:tcPr>
            <w:tcW w:w="1165" w:type="dxa"/>
            <w:vMerge w:val="restart"/>
            <w:hideMark/>
          </w:tcPr>
          <w:p w14:paraId="310E8F07" w14:textId="77777777" w:rsidR="00202487" w:rsidRPr="00202487" w:rsidRDefault="00202487" w:rsidP="00202487">
            <w:pPr>
              <w:spacing w:before="0" w:after="160" w:line="278" w:lineRule="auto"/>
              <w:ind w:firstLine="0"/>
              <w:rPr>
                <w:rFonts w:eastAsia="Aptos" w:cs="Times New Roman"/>
                <w:szCs w:val="20"/>
              </w:rPr>
            </w:pPr>
            <w:r w:rsidRPr="00202487">
              <w:rPr>
                <w:rFonts w:eastAsia="Aptos" w:cs="Times New Roman"/>
                <w:szCs w:val="20"/>
              </w:rPr>
              <w:t>Willingness to Communicate</w:t>
            </w:r>
          </w:p>
        </w:tc>
        <w:tc>
          <w:tcPr>
            <w:tcW w:w="2575" w:type="dxa"/>
            <w:hideMark/>
          </w:tcPr>
          <w:p w14:paraId="1691CD8C" w14:textId="77777777" w:rsidR="00202487" w:rsidRPr="00202487" w:rsidRDefault="00202487" w:rsidP="00202487">
            <w:pPr>
              <w:spacing w:before="0" w:after="160" w:line="278" w:lineRule="auto"/>
              <w:ind w:firstLine="0"/>
              <w:rPr>
                <w:rFonts w:eastAsia="Aptos" w:cs="Times New Roman"/>
                <w:szCs w:val="20"/>
              </w:rPr>
            </w:pPr>
            <w:r w:rsidRPr="00202487">
              <w:rPr>
                <w:rFonts w:eastAsia="Aptos" w:cs="Times New Roman"/>
                <w:szCs w:val="20"/>
              </w:rPr>
              <w:t>Pearson Correlation</w:t>
            </w:r>
          </w:p>
        </w:tc>
        <w:tc>
          <w:tcPr>
            <w:tcW w:w="1115" w:type="dxa"/>
            <w:hideMark/>
          </w:tcPr>
          <w:p w14:paraId="72872AB4"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.721 **</w:t>
            </w:r>
          </w:p>
        </w:tc>
        <w:tc>
          <w:tcPr>
            <w:tcW w:w="1260" w:type="dxa"/>
            <w:hideMark/>
          </w:tcPr>
          <w:p w14:paraId="467E3A18"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1</w:t>
            </w:r>
          </w:p>
        </w:tc>
        <w:tc>
          <w:tcPr>
            <w:tcW w:w="1350" w:type="dxa"/>
            <w:hideMark/>
          </w:tcPr>
          <w:p w14:paraId="73878A8D"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.756**</w:t>
            </w:r>
          </w:p>
        </w:tc>
      </w:tr>
      <w:tr w:rsidR="00202487" w:rsidRPr="00202487" w14:paraId="486F27B0" w14:textId="77777777" w:rsidTr="00202487">
        <w:tc>
          <w:tcPr>
            <w:tcW w:w="0" w:type="auto"/>
            <w:vMerge/>
            <w:vAlign w:val="center"/>
            <w:hideMark/>
          </w:tcPr>
          <w:p w14:paraId="3FCB4B8E" w14:textId="77777777" w:rsidR="00202487" w:rsidRPr="00202487" w:rsidRDefault="00202487" w:rsidP="00202487">
            <w:pPr>
              <w:spacing w:before="0" w:after="160" w:line="278" w:lineRule="auto"/>
              <w:ind w:firstLine="0"/>
              <w:rPr>
                <w:rFonts w:eastAsia="Aptos" w:cs="Times New Roman"/>
                <w:szCs w:val="20"/>
              </w:rPr>
            </w:pPr>
          </w:p>
        </w:tc>
        <w:tc>
          <w:tcPr>
            <w:tcW w:w="2575" w:type="dxa"/>
            <w:hideMark/>
          </w:tcPr>
          <w:p w14:paraId="751E5A5A" w14:textId="77777777" w:rsidR="00202487" w:rsidRPr="00202487" w:rsidRDefault="00202487" w:rsidP="00202487">
            <w:pPr>
              <w:spacing w:before="0" w:after="160" w:line="278" w:lineRule="auto"/>
              <w:ind w:firstLine="0"/>
              <w:rPr>
                <w:rFonts w:eastAsia="Aptos" w:cs="Times New Roman"/>
                <w:szCs w:val="20"/>
              </w:rPr>
            </w:pPr>
            <w:r w:rsidRPr="00202487">
              <w:rPr>
                <w:rFonts w:eastAsia="Aptos" w:cs="Times New Roman"/>
                <w:szCs w:val="20"/>
              </w:rPr>
              <w:t>Sig. (2-tailed)</w:t>
            </w:r>
          </w:p>
        </w:tc>
        <w:tc>
          <w:tcPr>
            <w:tcW w:w="1115" w:type="dxa"/>
            <w:hideMark/>
          </w:tcPr>
          <w:p w14:paraId="287D31BF"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.000</w:t>
            </w:r>
          </w:p>
        </w:tc>
        <w:tc>
          <w:tcPr>
            <w:tcW w:w="1260" w:type="dxa"/>
          </w:tcPr>
          <w:p w14:paraId="65EA3A63" w14:textId="77777777" w:rsidR="00202487" w:rsidRPr="00202487" w:rsidRDefault="00202487" w:rsidP="00202487">
            <w:pPr>
              <w:spacing w:before="0" w:after="160" w:line="278" w:lineRule="auto"/>
              <w:ind w:firstLine="0"/>
              <w:jc w:val="center"/>
              <w:rPr>
                <w:rFonts w:eastAsia="Aptos" w:cs="Times New Roman"/>
                <w:szCs w:val="20"/>
              </w:rPr>
            </w:pPr>
          </w:p>
        </w:tc>
        <w:tc>
          <w:tcPr>
            <w:tcW w:w="1350" w:type="dxa"/>
            <w:hideMark/>
          </w:tcPr>
          <w:p w14:paraId="65CEC52C"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.000</w:t>
            </w:r>
          </w:p>
        </w:tc>
      </w:tr>
      <w:tr w:rsidR="00202487" w:rsidRPr="00202487" w14:paraId="1BC25B0D" w14:textId="77777777" w:rsidTr="00202487">
        <w:tc>
          <w:tcPr>
            <w:tcW w:w="1165" w:type="dxa"/>
            <w:vMerge w:val="restart"/>
            <w:hideMark/>
          </w:tcPr>
          <w:p w14:paraId="6B526AB2" w14:textId="77777777" w:rsidR="00202487" w:rsidRPr="00202487" w:rsidRDefault="00202487" w:rsidP="00202487">
            <w:pPr>
              <w:spacing w:before="0" w:after="160" w:line="278" w:lineRule="auto"/>
              <w:ind w:firstLine="0"/>
              <w:rPr>
                <w:rFonts w:eastAsia="Aptos" w:cs="Times New Roman"/>
                <w:szCs w:val="20"/>
              </w:rPr>
            </w:pPr>
            <w:r w:rsidRPr="00202487">
              <w:rPr>
                <w:rFonts w:eastAsia="Aptos" w:cs="Times New Roman"/>
                <w:szCs w:val="20"/>
              </w:rPr>
              <w:t>L2 Self-Confidence</w:t>
            </w:r>
          </w:p>
        </w:tc>
        <w:tc>
          <w:tcPr>
            <w:tcW w:w="2575" w:type="dxa"/>
            <w:hideMark/>
          </w:tcPr>
          <w:p w14:paraId="53D40DBF" w14:textId="77777777" w:rsidR="00202487" w:rsidRPr="00202487" w:rsidRDefault="00202487" w:rsidP="00202487">
            <w:pPr>
              <w:spacing w:before="0" w:after="160" w:line="278" w:lineRule="auto"/>
              <w:ind w:firstLine="0"/>
              <w:rPr>
                <w:rFonts w:eastAsia="Aptos" w:cs="Times New Roman"/>
                <w:szCs w:val="20"/>
              </w:rPr>
            </w:pPr>
            <w:r w:rsidRPr="00202487">
              <w:rPr>
                <w:rFonts w:eastAsia="Aptos" w:cs="Times New Roman"/>
                <w:szCs w:val="20"/>
              </w:rPr>
              <w:t>Pearson Correlation</w:t>
            </w:r>
          </w:p>
        </w:tc>
        <w:tc>
          <w:tcPr>
            <w:tcW w:w="1115" w:type="dxa"/>
            <w:hideMark/>
          </w:tcPr>
          <w:p w14:paraId="09204590" w14:textId="20FF856F"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.78</w:t>
            </w:r>
            <w:r w:rsidR="00AC70E0">
              <w:rPr>
                <w:rFonts w:eastAsia="Aptos" w:cs="Times New Roman"/>
                <w:szCs w:val="20"/>
              </w:rPr>
              <w:t>1</w:t>
            </w:r>
            <w:r w:rsidRPr="00202487">
              <w:rPr>
                <w:rFonts w:eastAsia="Aptos" w:cs="Times New Roman"/>
                <w:szCs w:val="20"/>
              </w:rPr>
              <w:t>**</w:t>
            </w:r>
          </w:p>
        </w:tc>
        <w:tc>
          <w:tcPr>
            <w:tcW w:w="1260" w:type="dxa"/>
            <w:hideMark/>
          </w:tcPr>
          <w:p w14:paraId="36194B61"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.756**</w:t>
            </w:r>
          </w:p>
        </w:tc>
        <w:tc>
          <w:tcPr>
            <w:tcW w:w="1350" w:type="dxa"/>
            <w:hideMark/>
          </w:tcPr>
          <w:p w14:paraId="036D8635"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1</w:t>
            </w:r>
          </w:p>
        </w:tc>
      </w:tr>
      <w:tr w:rsidR="00202487" w:rsidRPr="00202487" w14:paraId="222B5DA7" w14:textId="77777777" w:rsidTr="00202487">
        <w:tc>
          <w:tcPr>
            <w:tcW w:w="0" w:type="auto"/>
            <w:vMerge/>
            <w:vAlign w:val="center"/>
            <w:hideMark/>
          </w:tcPr>
          <w:p w14:paraId="0A2BB341" w14:textId="77777777" w:rsidR="00202487" w:rsidRPr="00202487" w:rsidRDefault="00202487" w:rsidP="00202487">
            <w:pPr>
              <w:spacing w:before="0" w:after="160" w:line="278" w:lineRule="auto"/>
              <w:ind w:firstLine="0"/>
              <w:rPr>
                <w:rFonts w:eastAsia="Aptos" w:cs="Times New Roman"/>
                <w:szCs w:val="20"/>
              </w:rPr>
            </w:pPr>
          </w:p>
        </w:tc>
        <w:tc>
          <w:tcPr>
            <w:tcW w:w="2575" w:type="dxa"/>
            <w:hideMark/>
          </w:tcPr>
          <w:p w14:paraId="49887A90" w14:textId="77777777" w:rsidR="00202487" w:rsidRPr="00202487" w:rsidRDefault="00202487" w:rsidP="00202487">
            <w:pPr>
              <w:spacing w:before="0" w:after="160" w:line="278" w:lineRule="auto"/>
              <w:ind w:firstLine="0"/>
              <w:rPr>
                <w:rFonts w:eastAsia="Aptos" w:cs="Times New Roman"/>
                <w:szCs w:val="20"/>
              </w:rPr>
            </w:pPr>
            <w:r w:rsidRPr="00202487">
              <w:rPr>
                <w:rFonts w:eastAsia="Aptos" w:cs="Times New Roman"/>
                <w:szCs w:val="20"/>
              </w:rPr>
              <w:t>Sig. (2-tailed)</w:t>
            </w:r>
          </w:p>
        </w:tc>
        <w:tc>
          <w:tcPr>
            <w:tcW w:w="1115" w:type="dxa"/>
            <w:hideMark/>
          </w:tcPr>
          <w:p w14:paraId="13D2B7C3"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.000</w:t>
            </w:r>
          </w:p>
        </w:tc>
        <w:tc>
          <w:tcPr>
            <w:tcW w:w="1260" w:type="dxa"/>
            <w:hideMark/>
          </w:tcPr>
          <w:p w14:paraId="15E07854" w14:textId="77777777" w:rsidR="00202487" w:rsidRPr="00202487" w:rsidRDefault="00202487" w:rsidP="00202487">
            <w:pPr>
              <w:spacing w:before="0" w:after="160" w:line="278" w:lineRule="auto"/>
              <w:ind w:firstLine="0"/>
              <w:jc w:val="center"/>
              <w:rPr>
                <w:rFonts w:eastAsia="Aptos" w:cs="Times New Roman"/>
                <w:szCs w:val="20"/>
              </w:rPr>
            </w:pPr>
            <w:r w:rsidRPr="00202487">
              <w:rPr>
                <w:rFonts w:eastAsia="Aptos" w:cs="Times New Roman"/>
                <w:szCs w:val="20"/>
              </w:rPr>
              <w:t>.000</w:t>
            </w:r>
          </w:p>
        </w:tc>
        <w:tc>
          <w:tcPr>
            <w:tcW w:w="1350" w:type="dxa"/>
          </w:tcPr>
          <w:p w14:paraId="5F74E2BD" w14:textId="77777777" w:rsidR="00202487" w:rsidRPr="00202487" w:rsidRDefault="00202487" w:rsidP="00202487">
            <w:pPr>
              <w:spacing w:before="0" w:after="160" w:line="278" w:lineRule="auto"/>
              <w:ind w:firstLine="0"/>
              <w:jc w:val="center"/>
              <w:rPr>
                <w:rFonts w:eastAsia="Aptos" w:cs="Times New Roman"/>
                <w:szCs w:val="20"/>
              </w:rPr>
            </w:pPr>
          </w:p>
        </w:tc>
      </w:tr>
    </w:tbl>
    <w:p w14:paraId="3406910A" w14:textId="77777777" w:rsidR="00E0508B" w:rsidRPr="00202487" w:rsidRDefault="00E0508B" w:rsidP="00E0508B">
      <w:pPr>
        <w:pStyle w:val="NormalWeb"/>
        <w:shd w:val="clear" w:color="auto" w:fill="FFFFFF"/>
        <w:spacing w:before="0" w:after="120" w:line="480" w:lineRule="auto"/>
        <w:textAlignment w:val="baseline"/>
        <w:rPr>
          <w:rFonts w:asciiTheme="majorBidi" w:hAnsiTheme="majorBidi" w:cstheme="majorBidi"/>
          <w:color w:val="333333"/>
          <w:sz w:val="20"/>
          <w:szCs w:val="20"/>
          <w:shd w:val="clear" w:color="auto" w:fill="FFFFFF"/>
        </w:rPr>
      </w:pPr>
      <w:r w:rsidRPr="00E0508B">
        <w:rPr>
          <w:rFonts w:asciiTheme="majorBidi" w:hAnsiTheme="majorBidi" w:cstheme="majorBidi"/>
          <w:color w:val="333333"/>
          <w:shd w:val="clear" w:color="auto" w:fill="FFFFFF"/>
        </w:rPr>
        <w:t xml:space="preserve">**. </w:t>
      </w:r>
      <w:r w:rsidRPr="00202487">
        <w:rPr>
          <w:rFonts w:asciiTheme="majorBidi" w:hAnsiTheme="majorBidi" w:cstheme="majorBidi"/>
          <w:color w:val="333333"/>
          <w:sz w:val="20"/>
          <w:szCs w:val="20"/>
          <w:shd w:val="clear" w:color="auto" w:fill="FFFFFF"/>
        </w:rPr>
        <w:t>Correlation is significant at the 0.01 level (2-tailed).</w:t>
      </w:r>
    </w:p>
    <w:p w14:paraId="7AF70BB7" w14:textId="1CA8A574" w:rsidR="00E0508B" w:rsidRPr="00E0508B" w:rsidRDefault="00E0508B" w:rsidP="0011440B">
      <w:pPr>
        <w:pStyle w:val="NormalWeb"/>
        <w:shd w:val="clear" w:color="auto" w:fill="FFFFFF"/>
        <w:spacing w:before="0" w:after="120" w:line="480" w:lineRule="auto"/>
        <w:ind w:firstLine="720"/>
        <w:jc w:val="both"/>
        <w:textAlignment w:val="baseline"/>
        <w:rPr>
          <w:rFonts w:asciiTheme="majorBidi" w:hAnsiTheme="majorBidi" w:cstheme="majorBidi"/>
          <w:color w:val="333333"/>
          <w:shd w:val="clear" w:color="auto" w:fill="FFFFFF"/>
        </w:rPr>
      </w:pPr>
      <w:r w:rsidRPr="00E0508B">
        <w:rPr>
          <w:rFonts w:asciiTheme="majorBidi" w:hAnsiTheme="majorBidi" w:cstheme="majorBidi"/>
          <w:color w:val="333333"/>
          <w:shd w:val="clear" w:color="auto" w:fill="FFFFFF"/>
        </w:rPr>
        <w:t>Pearson correlation analysis was conducted to examine the relationships among the three dimensions of learner readiness. The results revealed significant positive correlations among all variables (p &lt; .001). Specifically, communicative competence was strongly correlated with willingness to communicate (r = .721, p &lt; .001) and self-confidence (r = .78</w:t>
      </w:r>
      <w:r w:rsidR="00AC70E0">
        <w:rPr>
          <w:rFonts w:asciiTheme="majorBidi" w:hAnsiTheme="majorBidi" w:cstheme="majorBidi"/>
          <w:color w:val="333333"/>
          <w:shd w:val="clear" w:color="auto" w:fill="FFFFFF"/>
        </w:rPr>
        <w:t>1</w:t>
      </w:r>
      <w:r w:rsidRPr="00E0508B">
        <w:rPr>
          <w:rFonts w:asciiTheme="majorBidi" w:hAnsiTheme="majorBidi" w:cstheme="majorBidi"/>
          <w:color w:val="333333"/>
          <w:shd w:val="clear" w:color="auto" w:fill="FFFFFF"/>
        </w:rPr>
        <w:t>, p &lt; .001). In addition, willingness to communicate was also strongly associated with self-confidence (r = .756, p &lt; .001).</w:t>
      </w:r>
    </w:p>
    <w:p w14:paraId="606F04D9" w14:textId="3F8BBD1C" w:rsidR="002334D9" w:rsidRPr="00202487" w:rsidRDefault="00E0508B" w:rsidP="0011440B">
      <w:pPr>
        <w:pStyle w:val="NormalWeb"/>
        <w:shd w:val="clear" w:color="auto" w:fill="FFFFFF"/>
        <w:spacing w:before="0" w:beforeAutospacing="0" w:after="120" w:afterAutospacing="0" w:line="480" w:lineRule="auto"/>
        <w:ind w:firstLine="720"/>
        <w:jc w:val="both"/>
        <w:textAlignment w:val="baseline"/>
        <w:rPr>
          <w:rFonts w:asciiTheme="majorBidi" w:hAnsiTheme="majorBidi" w:cstheme="majorBidi"/>
          <w:color w:val="333333"/>
          <w:shd w:val="clear" w:color="auto" w:fill="FFFFFF"/>
        </w:rPr>
      </w:pPr>
      <w:r w:rsidRPr="00E0508B">
        <w:rPr>
          <w:rFonts w:asciiTheme="majorBidi" w:hAnsiTheme="majorBidi" w:cstheme="majorBidi"/>
          <w:color w:val="333333"/>
          <w:shd w:val="clear" w:color="auto" w:fill="FFFFFF"/>
        </w:rPr>
        <w:t xml:space="preserve">The three dimensions are interconnected closely and the relationship among them is positive, which demonstrates the study’s conceptual framework. Based on this finding, learner readiness is a multidimensional construct where communicative competence, willingness to communicate, and L2 self-confidence influence each other.  </w:t>
      </w:r>
      <w:r w:rsidR="00486E01" w:rsidRPr="00486E01">
        <w:rPr>
          <w:rFonts w:asciiTheme="majorBidi" w:hAnsiTheme="majorBidi" w:cstheme="majorBidi"/>
          <w:color w:val="333333"/>
          <w:shd w:val="clear" w:color="auto" w:fill="FFFFFF"/>
        </w:rPr>
        <w:t xml:space="preserve"> </w:t>
      </w:r>
    </w:p>
    <w:p w14:paraId="10E0808D"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 xml:space="preserve">5. Discussion </w:t>
      </w:r>
    </w:p>
    <w:p w14:paraId="08511556" w14:textId="769EB5AF" w:rsidR="00202487" w:rsidRPr="00202487" w:rsidRDefault="00202487" w:rsidP="00202487">
      <w:pPr>
        <w:spacing w:line="480" w:lineRule="auto"/>
        <w:rPr>
          <w:rFonts w:asciiTheme="majorBidi" w:hAnsiTheme="majorBidi" w:cstheme="majorBidi"/>
          <w:b/>
          <w:bCs/>
          <w:sz w:val="24"/>
          <w:szCs w:val="24"/>
        </w:rPr>
      </w:pPr>
      <w:r w:rsidRPr="00202487">
        <w:rPr>
          <w:rFonts w:asciiTheme="majorBidi" w:hAnsiTheme="majorBidi" w:cstheme="majorBidi"/>
          <w:b/>
          <w:bCs/>
          <w:sz w:val="24"/>
          <w:szCs w:val="24"/>
        </w:rPr>
        <w:t>RQ1: English-major students’ readiness for real-world English use</w:t>
      </w:r>
    </w:p>
    <w:p w14:paraId="0DB3CBA8" w14:textId="77777777" w:rsidR="0090368E" w:rsidRDefault="0035249D" w:rsidP="00202487">
      <w:pPr>
        <w:spacing w:line="480" w:lineRule="auto"/>
        <w:rPr>
          <w:rFonts w:asciiTheme="majorBidi" w:hAnsiTheme="majorBidi" w:cstheme="majorBidi"/>
          <w:sz w:val="24"/>
          <w:szCs w:val="24"/>
        </w:rPr>
      </w:pPr>
      <w:r w:rsidRPr="0035249D">
        <w:rPr>
          <w:rFonts w:asciiTheme="majorBidi" w:hAnsiTheme="majorBidi" w:cstheme="majorBidi"/>
          <w:sz w:val="24"/>
          <w:szCs w:val="24"/>
          <w:highlight w:val="yellow"/>
        </w:rPr>
        <w:t>The findings suggest that English-major students at HUFLIT generally perceived themselves as being ready for real-world English use</w:t>
      </w:r>
      <w:r>
        <w:rPr>
          <w:rFonts w:asciiTheme="majorBidi" w:hAnsiTheme="majorBidi" w:cstheme="majorBidi"/>
          <w:sz w:val="24"/>
          <w:szCs w:val="24"/>
          <w:highlight w:val="yellow"/>
        </w:rPr>
        <w:t xml:space="preserve">. </w:t>
      </w:r>
      <w:r w:rsidR="00AC70E0" w:rsidRPr="00AC70E0">
        <w:rPr>
          <w:rFonts w:asciiTheme="majorBidi" w:hAnsiTheme="majorBidi" w:cstheme="majorBidi"/>
          <w:sz w:val="24"/>
          <w:szCs w:val="24"/>
          <w:highlight w:val="yellow"/>
        </w:rPr>
        <w:t>The relatively high level of perceived readiness may reflect students' positive learning experiences and their exposure to communicative activities during their studies.</w:t>
      </w:r>
      <w:r w:rsidR="00AC70E0" w:rsidRPr="00AC70E0">
        <w:rPr>
          <w:rFonts w:asciiTheme="majorBidi" w:hAnsiTheme="majorBidi" w:cstheme="majorBidi"/>
          <w:sz w:val="24"/>
          <w:szCs w:val="24"/>
        </w:rPr>
        <w:t xml:space="preserve"> Therefore, these explanations should be </w:t>
      </w:r>
      <w:r w:rsidR="00AC70E0" w:rsidRPr="00AC70E0">
        <w:rPr>
          <w:rFonts w:asciiTheme="majorBidi" w:hAnsiTheme="majorBidi" w:cstheme="majorBidi"/>
          <w:sz w:val="24"/>
          <w:szCs w:val="24"/>
        </w:rPr>
        <w:lastRenderedPageBreak/>
        <w:t>considered tentative rather than definitive conclusions.</w:t>
      </w:r>
      <w:r w:rsidR="00AC70E0">
        <w:rPr>
          <w:rFonts w:asciiTheme="majorBidi" w:hAnsiTheme="majorBidi" w:cstheme="majorBidi"/>
          <w:sz w:val="24"/>
          <w:szCs w:val="24"/>
        </w:rPr>
        <w:t xml:space="preserve"> </w:t>
      </w:r>
      <w:r w:rsidR="00202487" w:rsidRPr="00202487">
        <w:rPr>
          <w:rFonts w:asciiTheme="majorBidi" w:hAnsiTheme="majorBidi" w:cstheme="majorBidi"/>
          <w:sz w:val="24"/>
          <w:szCs w:val="24"/>
        </w:rPr>
        <w:t xml:space="preserve">As Chorrojprasert (2020) explains in a similar study conducted in Thailand, rather than staying focuses on language knowledge, creating a real communicative environment and motivate learners to take part in is the core idea to push their readiness in practicing language. </w:t>
      </w:r>
    </w:p>
    <w:p w14:paraId="29AC3B2B" w14:textId="0B2E63B5" w:rsidR="00202487" w:rsidRPr="00202487" w:rsidRDefault="0090368E" w:rsidP="00202487">
      <w:pPr>
        <w:spacing w:line="480" w:lineRule="auto"/>
        <w:rPr>
          <w:rFonts w:asciiTheme="majorBidi" w:hAnsiTheme="majorBidi" w:cstheme="majorBidi"/>
          <w:sz w:val="24"/>
          <w:szCs w:val="24"/>
        </w:rPr>
      </w:pPr>
      <w:r w:rsidRPr="0090368E">
        <w:rPr>
          <w:rFonts w:asciiTheme="majorBidi" w:hAnsiTheme="majorBidi" w:cstheme="majorBidi"/>
          <w:sz w:val="24"/>
          <w:szCs w:val="24"/>
          <w:highlight w:val="yellow"/>
        </w:rPr>
        <w:t>The comparatively lower level of L2 self-confidence deserves particular attention. Although students reported a high willingness to communicate, limited confidence may prevent them from translating this willingness into actual language use. Learners may be psychologically prepared to engage in communication but still hesitate to participate in authentic interactions because they doubt their linguistic abilities. This finding suggests that willingness to communicate alone is insufficient to ensure real-world English use if learners do not perceive themselves as capable language users.</w:t>
      </w:r>
    </w:p>
    <w:p w14:paraId="4F669991" w14:textId="122C3FA6" w:rsidR="0011440B" w:rsidRDefault="00202487" w:rsidP="00202487">
      <w:pPr>
        <w:spacing w:line="480" w:lineRule="auto"/>
        <w:rPr>
          <w:rFonts w:asciiTheme="majorBidi" w:hAnsiTheme="majorBidi" w:cstheme="majorBidi"/>
          <w:sz w:val="24"/>
          <w:szCs w:val="24"/>
        </w:rPr>
      </w:pPr>
      <w:r w:rsidRPr="00202487">
        <w:rPr>
          <w:rFonts w:asciiTheme="majorBidi" w:hAnsiTheme="majorBidi" w:cstheme="majorBidi"/>
          <w:sz w:val="24"/>
          <w:szCs w:val="24"/>
        </w:rPr>
        <w:t xml:space="preserve">However, the variation among learner readiness indicates a uniform distribution. While large numbers of learners have well-prepared in English using, some of them still face challenges when shifting from English used in classroom, EFL, to a more authentic English beyond the classroom, ESL-oriented environment. Therefore, readiness for English real-world communication is a complex construct that combines not only linguistic competence but also psychological and contextual factors. </w:t>
      </w:r>
    </w:p>
    <w:p w14:paraId="46926C24" w14:textId="77777777" w:rsidR="0011440B" w:rsidRDefault="0011440B">
      <w:pPr>
        <w:spacing w:before="0" w:after="160" w:line="259" w:lineRule="auto"/>
        <w:ind w:firstLine="0"/>
        <w:jc w:val="left"/>
        <w:rPr>
          <w:rFonts w:asciiTheme="majorBidi" w:hAnsiTheme="majorBidi" w:cstheme="majorBidi"/>
          <w:sz w:val="24"/>
          <w:szCs w:val="24"/>
        </w:rPr>
      </w:pPr>
      <w:r>
        <w:rPr>
          <w:rFonts w:asciiTheme="majorBidi" w:hAnsiTheme="majorBidi" w:cstheme="majorBidi"/>
          <w:sz w:val="24"/>
          <w:szCs w:val="24"/>
        </w:rPr>
        <w:br w:type="page"/>
      </w:r>
    </w:p>
    <w:p w14:paraId="57953557" w14:textId="77777777" w:rsidR="00202487" w:rsidRPr="00202487" w:rsidRDefault="00202487" w:rsidP="00202487">
      <w:pPr>
        <w:spacing w:line="480" w:lineRule="auto"/>
        <w:rPr>
          <w:rFonts w:asciiTheme="majorBidi" w:hAnsiTheme="majorBidi" w:cstheme="majorBidi"/>
          <w:sz w:val="24"/>
          <w:szCs w:val="24"/>
        </w:rPr>
      </w:pPr>
    </w:p>
    <w:p w14:paraId="2E1E2B51" w14:textId="77777777" w:rsidR="00202487" w:rsidRPr="00202487" w:rsidRDefault="00202487" w:rsidP="00202487">
      <w:pPr>
        <w:spacing w:line="480" w:lineRule="auto"/>
        <w:rPr>
          <w:rFonts w:asciiTheme="majorBidi" w:hAnsiTheme="majorBidi" w:cstheme="majorBidi"/>
          <w:b/>
          <w:bCs/>
          <w:sz w:val="24"/>
          <w:szCs w:val="24"/>
        </w:rPr>
      </w:pPr>
      <w:r w:rsidRPr="00202487">
        <w:rPr>
          <w:rFonts w:asciiTheme="majorBidi" w:hAnsiTheme="majorBidi" w:cstheme="majorBidi"/>
          <w:b/>
          <w:bCs/>
          <w:sz w:val="24"/>
          <w:szCs w:val="24"/>
        </w:rPr>
        <w:t>RQ2: Learner readiness differs across academic years and English proficiency</w:t>
      </w:r>
    </w:p>
    <w:p w14:paraId="56707B85" w14:textId="77777777" w:rsidR="00202487" w:rsidRPr="00202487" w:rsidRDefault="00202487" w:rsidP="00202487">
      <w:pPr>
        <w:spacing w:line="480" w:lineRule="auto"/>
        <w:rPr>
          <w:rFonts w:asciiTheme="majorBidi" w:hAnsiTheme="majorBidi" w:cstheme="majorBidi"/>
          <w:sz w:val="24"/>
          <w:szCs w:val="24"/>
        </w:rPr>
      </w:pPr>
      <w:r w:rsidRPr="00202487">
        <w:rPr>
          <w:rFonts w:asciiTheme="majorBidi" w:hAnsiTheme="majorBidi" w:cstheme="majorBidi"/>
          <w:sz w:val="24"/>
          <w:szCs w:val="24"/>
        </w:rPr>
        <w:t xml:space="preserve">The level of leaner readiness toward using English in real-world context does not develop effectively in a linear manner because the findings show there is no significant differences within learners’ year of study. It demonstrates that even senior students might have less readiness than junior students if they remain a limitation of authentic communication opportunities. In other words, simply advancing through academic years within a training program does not automatically translate into greater preparedness for using English as a second language. </w:t>
      </w:r>
    </w:p>
    <w:p w14:paraId="343F86E4" w14:textId="77777777" w:rsidR="00202487" w:rsidRPr="00202487" w:rsidRDefault="00202487" w:rsidP="00202487">
      <w:pPr>
        <w:spacing w:line="480" w:lineRule="auto"/>
        <w:rPr>
          <w:rFonts w:asciiTheme="majorBidi" w:hAnsiTheme="majorBidi" w:cstheme="majorBidi"/>
          <w:sz w:val="24"/>
          <w:szCs w:val="24"/>
        </w:rPr>
      </w:pPr>
      <w:r w:rsidRPr="00202487">
        <w:rPr>
          <w:rFonts w:asciiTheme="majorBidi" w:hAnsiTheme="majorBidi" w:cstheme="majorBidi"/>
          <w:sz w:val="24"/>
          <w:szCs w:val="24"/>
        </w:rPr>
        <w:t xml:space="preserve">In contrast, there is a great difference across self-rated English proficiency levels which is noted as one of a critical factor in shaping learner readiness. Students, who determine themself at the beginner and intermediate level, report lower readiness compared to those, who refer themselves as upper-intermediate and advanced English user. This is because perception can shape decision making (Delgado, 2021). When learners believe that they have good control over their language, they are more likely to feel confident and engage in communication. In contrast, learners with lower proficiency evaluation may experience hesitation that might hinder their willingness to communicate. Rather than indicate the practical English proficiency of learners, the finding focuses on the way they self-evaluate their L2 capacity. Their real current English level might not as the same as they are self-rated, but it reflects their belief about their ability leading to their willingness to communicate. This finding aligns with MacIntyre’s (1994) Willingness to Communicate model, referring that when learners perceive their communicative competence, they tend to decrease the communication anxiety and increase communicative motivation, resulting in ready to raise their voices. </w:t>
      </w:r>
    </w:p>
    <w:p w14:paraId="0426B00C" w14:textId="77777777" w:rsidR="00202487" w:rsidRPr="00202487" w:rsidRDefault="00202487" w:rsidP="00202487">
      <w:pPr>
        <w:spacing w:line="480" w:lineRule="auto"/>
        <w:rPr>
          <w:rFonts w:asciiTheme="majorBidi" w:hAnsiTheme="majorBidi" w:cstheme="majorBidi"/>
          <w:sz w:val="24"/>
          <w:szCs w:val="24"/>
        </w:rPr>
      </w:pPr>
      <w:r w:rsidRPr="00202487">
        <w:rPr>
          <w:rFonts w:asciiTheme="majorBidi" w:hAnsiTheme="majorBidi" w:cstheme="majorBidi"/>
          <w:sz w:val="24"/>
          <w:szCs w:val="24"/>
        </w:rPr>
        <w:lastRenderedPageBreak/>
        <w:t xml:space="preserve">Overall, the significant factor to improve learner readiness here is the combination of language competence and learners’ awareness of their ability, rather than relying on academic progression. </w:t>
      </w:r>
    </w:p>
    <w:p w14:paraId="5B3C8051" w14:textId="77777777" w:rsidR="00202487" w:rsidRPr="00202487" w:rsidRDefault="00202487" w:rsidP="00202487">
      <w:pPr>
        <w:spacing w:line="480" w:lineRule="auto"/>
        <w:rPr>
          <w:rFonts w:asciiTheme="majorBidi" w:hAnsiTheme="majorBidi" w:cstheme="majorBidi"/>
          <w:b/>
          <w:bCs/>
          <w:sz w:val="24"/>
          <w:szCs w:val="24"/>
        </w:rPr>
      </w:pPr>
      <w:r w:rsidRPr="00202487">
        <w:rPr>
          <w:rFonts w:asciiTheme="majorBidi" w:hAnsiTheme="majorBidi" w:cstheme="majorBidi"/>
          <w:b/>
          <w:bCs/>
          <w:sz w:val="24"/>
          <w:szCs w:val="24"/>
        </w:rPr>
        <w:t>RQ3: The relationships between communicative competence, willingness to communicate, and L2 self-confidence in shaping learners’ readiness</w:t>
      </w:r>
    </w:p>
    <w:p w14:paraId="3B1399F7" w14:textId="77777777" w:rsidR="00202487" w:rsidRPr="00202487" w:rsidRDefault="00202487" w:rsidP="00202487">
      <w:pPr>
        <w:spacing w:line="480" w:lineRule="auto"/>
        <w:rPr>
          <w:rFonts w:asciiTheme="majorBidi" w:hAnsiTheme="majorBidi" w:cstheme="majorBidi"/>
          <w:sz w:val="24"/>
          <w:szCs w:val="24"/>
        </w:rPr>
      </w:pPr>
      <w:r w:rsidRPr="00202487">
        <w:rPr>
          <w:rFonts w:asciiTheme="majorBidi" w:hAnsiTheme="majorBidi" w:cstheme="majorBidi"/>
          <w:sz w:val="24"/>
          <w:szCs w:val="24"/>
        </w:rPr>
        <w:t xml:space="preserve">Learner readiness should not be considered as a single construct because there is a strong positive relationship among three dimensions. Particularly, communicative competence is a central dimension that leads to confident feeling and engagement in communication. For instance, when learners aware of their English competence, they belief that they can use English effectively. This motivation plays as a momentum that push learners to participant in real English communication context. The more they are willing to engage in such situations, the more readiness they are building. This interconnection supports the assumption that linguistic ability and perception set a foundation upon other behavioral factors are built. </w:t>
      </w:r>
    </w:p>
    <w:p w14:paraId="0FB050BB" w14:textId="114A21E1" w:rsidR="00722EDE" w:rsidRDefault="00202487" w:rsidP="0090368E">
      <w:pPr>
        <w:spacing w:line="480" w:lineRule="auto"/>
        <w:rPr>
          <w:rFonts w:asciiTheme="majorBidi" w:hAnsiTheme="majorBidi" w:cstheme="majorBidi"/>
          <w:sz w:val="24"/>
          <w:szCs w:val="24"/>
        </w:rPr>
      </w:pPr>
      <w:r w:rsidRPr="00202487">
        <w:rPr>
          <w:rFonts w:asciiTheme="majorBidi" w:hAnsiTheme="majorBidi" w:cstheme="majorBidi"/>
          <w:sz w:val="24"/>
          <w:szCs w:val="24"/>
        </w:rPr>
        <w:t xml:space="preserve">The strong association between self-confidence and willingness to communicate further highlights the importance of psychological factors in SLA. Even when learners have well-prepared linguistic knowledge, their confident feelings might heavily affect their communicative engagement. Based on the findings of this study, self-confidence acts like a facilitator that encourages learners to activate their language abilities into practical communicative behaviors. Therefore, enhancing learner readiness toward using English as second language requires not only language competence improvement but also supportive environment where learners can foster their confidence. </w:t>
      </w:r>
      <w:r w:rsidR="00722EDE" w:rsidRPr="00E40940">
        <w:rPr>
          <w:rFonts w:asciiTheme="majorBidi" w:hAnsiTheme="majorBidi" w:cstheme="majorBidi"/>
          <w:sz w:val="24"/>
          <w:szCs w:val="24"/>
        </w:rPr>
        <w:t xml:space="preserve"> </w:t>
      </w:r>
    </w:p>
    <w:p w14:paraId="640278D9" w14:textId="2B8829C5" w:rsidR="0090368E" w:rsidRDefault="0090368E" w:rsidP="0090368E">
      <w:pPr>
        <w:spacing w:line="480" w:lineRule="auto"/>
        <w:rPr>
          <w:rFonts w:asciiTheme="majorBidi" w:hAnsiTheme="majorBidi" w:cstheme="majorBidi"/>
          <w:sz w:val="24"/>
          <w:szCs w:val="24"/>
          <w:highlight w:val="yellow"/>
        </w:rPr>
      </w:pPr>
      <w:r w:rsidRPr="0090368E">
        <w:rPr>
          <w:rFonts w:asciiTheme="majorBidi" w:hAnsiTheme="majorBidi" w:cstheme="majorBidi"/>
          <w:sz w:val="24"/>
          <w:szCs w:val="24"/>
          <w:highlight w:val="yellow"/>
        </w:rPr>
        <w:t xml:space="preserve">Furthermore, it is important to note that proficiency in the present study was self-rated rather than objectively measured. Therefore, the significant differences across proficiency groups may reflect students' perceptions of their own language ability rather than their actual </w:t>
      </w:r>
      <w:r w:rsidRPr="0090368E">
        <w:rPr>
          <w:rFonts w:asciiTheme="majorBidi" w:hAnsiTheme="majorBidi" w:cstheme="majorBidi"/>
          <w:sz w:val="24"/>
          <w:szCs w:val="24"/>
          <w:highlight w:val="yellow"/>
        </w:rPr>
        <w:lastRenderedPageBreak/>
        <w:t>level of English proficiency. This interpretation strengthens the theoretical argument of the study because perceived competence is closely associated with L2 self-confidence and willingness to communicate. Learners who believe they are competent are more likely to feel confident and engage in communication, regardless of their objectively measured proficiency.</w:t>
      </w:r>
    </w:p>
    <w:p w14:paraId="21B72443" w14:textId="547B7FDD" w:rsidR="0090368E" w:rsidRPr="00E40940" w:rsidRDefault="0090368E" w:rsidP="0090368E">
      <w:pPr>
        <w:spacing w:line="480" w:lineRule="auto"/>
        <w:rPr>
          <w:rFonts w:asciiTheme="majorBidi" w:hAnsiTheme="majorBidi" w:cstheme="majorBidi"/>
          <w:sz w:val="24"/>
          <w:szCs w:val="24"/>
        </w:rPr>
      </w:pPr>
      <w:r w:rsidRPr="0090368E">
        <w:rPr>
          <w:rFonts w:asciiTheme="majorBidi" w:hAnsiTheme="majorBidi" w:cstheme="majorBidi"/>
          <w:sz w:val="24"/>
          <w:szCs w:val="24"/>
          <w:highlight w:val="yellow"/>
        </w:rPr>
        <w:t>The findings of this study provide several pedagogical implications for English language education in ESL-oriented contexts. First, language programs should move beyond an exclusive focus on linguistic competence and place greater emphasis on developing learners' confidence and willingness to communicate. Teachers should create supportive and low-anxiety environments where students can use English meaningfully without excessive concern about making mistakes. Second, because academic year was not significantly associated with readiness, English programs should integrate authentic communication opportunities across all years of study rather than assuming that readiness will develop naturally over time. Finally, since students with lower self-rated proficiency reported lower levels of readiness, additional support should be provided through scaffolded communicative activities, gradual exposure to real-world English use, and confidence-building strategies that encourage active participation in communication.</w:t>
      </w:r>
    </w:p>
    <w:p w14:paraId="7A15CF8D"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6. Conclusion</w:t>
      </w:r>
    </w:p>
    <w:p w14:paraId="11EEF9B4" w14:textId="23EB004C" w:rsidR="00202487" w:rsidRDefault="00AC70E0" w:rsidP="00202487">
      <w:pPr>
        <w:spacing w:line="480" w:lineRule="auto"/>
        <w:rPr>
          <w:rFonts w:asciiTheme="majorBidi" w:hAnsiTheme="majorBidi" w:cstheme="majorBidi"/>
          <w:sz w:val="24"/>
          <w:szCs w:val="24"/>
        </w:rPr>
      </w:pPr>
      <w:r w:rsidRPr="0090368E">
        <w:rPr>
          <w:rFonts w:asciiTheme="majorBidi" w:hAnsiTheme="majorBidi" w:cstheme="majorBidi"/>
          <w:sz w:val="24"/>
          <w:szCs w:val="24"/>
          <w:highlight w:val="yellow"/>
        </w:rPr>
        <w:t>The findings suggest that English-major students generally perceived themselves as being ready for real-world English use. However, the study does not provide direct evidence regarding the effectiveness of the curriculum or instructional practices that may contribute to such perceptions.</w:t>
      </w:r>
      <w:r w:rsidR="00202487" w:rsidRPr="00202487">
        <w:rPr>
          <w:rFonts w:asciiTheme="majorBidi" w:hAnsiTheme="majorBidi" w:cstheme="majorBidi"/>
          <w:sz w:val="24"/>
          <w:szCs w:val="24"/>
        </w:rPr>
        <w:t xml:space="preserve"> Within three dimensions, willingness to communicate emerged the most developed, suggesting that current pedagogical approach has included friendly environment where learners feel free to practice English. In addition, the difference across English proficiency levels highlights the need to pay attention to learners’ linguistic capacity improvement because it is also one of main factor that affect their level of readiness. Strong </w:t>
      </w:r>
      <w:r w:rsidR="00202487" w:rsidRPr="00202487">
        <w:rPr>
          <w:rFonts w:asciiTheme="majorBidi" w:hAnsiTheme="majorBidi" w:cstheme="majorBidi"/>
          <w:sz w:val="24"/>
          <w:szCs w:val="24"/>
        </w:rPr>
        <w:lastRenderedPageBreak/>
        <w:t xml:space="preserve">positive correlations among communicative competence, willingness to communicate, and L2-self-confidence further confirm that improving learner readiness needs a combined activation of cognition, affection, and behavior. </w:t>
      </w:r>
    </w:p>
    <w:p w14:paraId="17EE3281" w14:textId="3C95C8BA" w:rsidR="00202487" w:rsidRPr="00202487" w:rsidRDefault="00202487" w:rsidP="00202487">
      <w:pPr>
        <w:spacing w:line="480" w:lineRule="auto"/>
        <w:rPr>
          <w:rFonts w:asciiTheme="majorBidi" w:hAnsiTheme="majorBidi" w:cstheme="majorBidi"/>
          <w:sz w:val="24"/>
          <w:szCs w:val="24"/>
        </w:rPr>
      </w:pPr>
      <w:r w:rsidRPr="00202487">
        <w:rPr>
          <w:rFonts w:asciiTheme="majorBidi" w:hAnsiTheme="majorBidi" w:cstheme="majorBidi"/>
          <w:sz w:val="24"/>
          <w:szCs w:val="24"/>
        </w:rPr>
        <w:t xml:space="preserve">The study has </w:t>
      </w:r>
      <w:r w:rsidR="00AC70E0">
        <w:rPr>
          <w:rFonts w:asciiTheme="majorBidi" w:hAnsiTheme="majorBidi" w:cstheme="majorBidi"/>
          <w:sz w:val="24"/>
          <w:szCs w:val="24"/>
        </w:rPr>
        <w:t>three</w:t>
      </w:r>
      <w:r w:rsidRPr="00202487">
        <w:rPr>
          <w:rFonts w:asciiTheme="majorBidi" w:hAnsiTheme="majorBidi" w:cstheme="majorBidi"/>
          <w:sz w:val="24"/>
          <w:szCs w:val="24"/>
        </w:rPr>
        <w:t xml:space="preserve"> limitations. First, most of the participants employed in this study are students in year 3 and year 4, while students in year 1 and year 2 remain fewer amounts. This unequal distribution might influence the ANOVA results. Second, despite the effort to recruit as many participants as possible in such context, the study was conducted in a single institution, which limits the generalizability of the findings. Therefore, while the findings provide valuable insights into learner readiness in a specific context, they might not fully capture the diversity of experiences across different institutions or learner groups.</w:t>
      </w:r>
      <w:r w:rsidR="00AC70E0" w:rsidRPr="00AC70E0">
        <w:t xml:space="preserve"> </w:t>
      </w:r>
      <w:r w:rsidR="00AC70E0" w:rsidRPr="00AC70E0">
        <w:rPr>
          <w:rFonts w:asciiTheme="majorBidi" w:hAnsiTheme="majorBidi" w:cstheme="majorBidi"/>
          <w:sz w:val="24"/>
          <w:szCs w:val="24"/>
          <w:highlight w:val="yellow"/>
        </w:rPr>
        <w:t>Third, the significant differences across proficiency levels should be interpreted with caution because the beginner and advanced groups consisted of only six and five participants, respectively, which may have reduced the stability of the statistical estimates.</w:t>
      </w:r>
    </w:p>
    <w:p w14:paraId="165950CB" w14:textId="77777777" w:rsidR="0011440B" w:rsidRDefault="00202487" w:rsidP="0011440B">
      <w:pPr>
        <w:spacing w:line="480" w:lineRule="auto"/>
        <w:rPr>
          <w:rFonts w:asciiTheme="majorBidi" w:hAnsiTheme="majorBidi" w:cstheme="majorBidi"/>
          <w:sz w:val="24"/>
          <w:szCs w:val="24"/>
        </w:rPr>
      </w:pPr>
      <w:r w:rsidRPr="00202487">
        <w:rPr>
          <w:rFonts w:asciiTheme="majorBidi" w:hAnsiTheme="majorBidi" w:cstheme="majorBidi"/>
          <w:sz w:val="24"/>
          <w:szCs w:val="24"/>
        </w:rPr>
        <w:t>Improving from current limitation, future research should enlarge the numbers of participants in different institutions to provide a more comprehensive understanding of learners’ readiness toward English as second language using. In addition, a qualitative approach, such as interview or classroom observation, should be added to deeper exploration of learners’ experiences, perceptions, and challenges in using English in real-world contexts. By combining a mixed-method approach and a larger research scope, future studies can develop holistic understanding and suggest more practical pedagogical implications for supporting learners in ESL-oriented context.</w:t>
      </w:r>
    </w:p>
    <w:p w14:paraId="0BAC1957" w14:textId="77777777" w:rsidR="0011440B" w:rsidRDefault="0011440B">
      <w:pPr>
        <w:spacing w:before="0" w:after="160" w:line="259" w:lineRule="auto"/>
        <w:ind w:firstLine="0"/>
        <w:jc w:val="left"/>
        <w:rPr>
          <w:rFonts w:asciiTheme="majorBidi" w:hAnsiTheme="majorBidi" w:cstheme="majorBidi"/>
          <w:sz w:val="24"/>
          <w:szCs w:val="24"/>
        </w:rPr>
      </w:pPr>
      <w:r>
        <w:rPr>
          <w:rFonts w:asciiTheme="majorBidi" w:hAnsiTheme="majorBidi" w:cstheme="majorBidi"/>
          <w:sz w:val="24"/>
          <w:szCs w:val="24"/>
        </w:rPr>
        <w:br w:type="page"/>
      </w:r>
    </w:p>
    <w:p w14:paraId="2F33519F" w14:textId="7B7D2973" w:rsidR="00722EDE" w:rsidRPr="0011440B" w:rsidRDefault="00722EDE" w:rsidP="0011440B">
      <w:pPr>
        <w:spacing w:line="480" w:lineRule="auto"/>
        <w:rPr>
          <w:rFonts w:asciiTheme="majorBidi" w:hAnsiTheme="majorBidi" w:cstheme="majorBidi"/>
          <w:b/>
          <w:bCs/>
          <w:sz w:val="24"/>
          <w:szCs w:val="24"/>
        </w:rPr>
      </w:pPr>
      <w:r w:rsidRPr="0011440B">
        <w:rPr>
          <w:rFonts w:asciiTheme="majorBidi" w:hAnsiTheme="majorBidi" w:cstheme="majorBidi"/>
          <w:b/>
          <w:bCs/>
          <w:sz w:val="24"/>
          <w:szCs w:val="24"/>
        </w:rPr>
        <w:lastRenderedPageBreak/>
        <w:t>References</w:t>
      </w:r>
    </w:p>
    <w:p w14:paraId="2F59A120"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Bensalem, E., &amp; Thompson, A. S. (2021). Multilingualism, foreign language anxiety, and willingness to communicate in English: A study of Saudi university students. </w:t>
      </w:r>
      <w:r w:rsidRPr="0011440B">
        <w:rPr>
          <w:rFonts w:cs="Times New Roman"/>
          <w:i/>
          <w:iCs/>
          <w:sz w:val="24"/>
          <w:szCs w:val="24"/>
        </w:rPr>
        <w:t>International Journal of Bilingual Education and Bilingualism, 24</w:t>
      </w:r>
      <w:r w:rsidRPr="0011440B">
        <w:rPr>
          <w:rFonts w:cs="Times New Roman"/>
          <w:sz w:val="24"/>
          <w:szCs w:val="24"/>
        </w:rPr>
        <w:t>(3), 335–350.</w:t>
      </w:r>
    </w:p>
    <w:p w14:paraId="1C871521"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Chorrojprasert, L. (2020). Learner readiness in second language acquisition: A conceptual perspective. </w:t>
      </w:r>
      <w:r w:rsidRPr="0011440B">
        <w:rPr>
          <w:rFonts w:cs="Times New Roman"/>
          <w:i/>
          <w:iCs/>
          <w:sz w:val="24"/>
          <w:szCs w:val="24"/>
        </w:rPr>
        <w:t>Language Teaching Research Quarterly, 19</w:t>
      </w:r>
      <w:r w:rsidRPr="0011440B">
        <w:rPr>
          <w:rFonts w:cs="Times New Roman"/>
          <w:sz w:val="24"/>
          <w:szCs w:val="24"/>
        </w:rPr>
        <w:t>, 1–15.</w:t>
      </w:r>
    </w:p>
    <w:p w14:paraId="054257ED"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Clément, R. (1980). Ethnicity, contact and communicative competence in a second language. In H. Giles, W. P. Robinson, &amp; P. M. Smith (Eds.), </w:t>
      </w:r>
      <w:r w:rsidRPr="0011440B">
        <w:rPr>
          <w:rFonts w:cs="Times New Roman"/>
          <w:i/>
          <w:iCs/>
          <w:sz w:val="24"/>
          <w:szCs w:val="24"/>
        </w:rPr>
        <w:t>Language: Social psychological perspectives</w:t>
      </w:r>
      <w:r w:rsidRPr="0011440B">
        <w:rPr>
          <w:rFonts w:cs="Times New Roman"/>
          <w:sz w:val="24"/>
          <w:szCs w:val="24"/>
        </w:rPr>
        <w:t xml:space="preserve"> (pp. 147–154). Pergamon Press.</w:t>
      </w:r>
    </w:p>
    <w:p w14:paraId="5D33D6C5"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Dang, T. N. Y., Nguyen, H. T., &amp; Le, T. T. H. (2021). Difficulties in learning English linguistics among English-major students. </w:t>
      </w:r>
      <w:r w:rsidRPr="0011440B">
        <w:rPr>
          <w:rFonts w:cs="Times New Roman"/>
          <w:i/>
          <w:iCs/>
          <w:sz w:val="24"/>
          <w:szCs w:val="24"/>
        </w:rPr>
        <w:t>International Journal of TESOL &amp; Education, 1</w:t>
      </w:r>
      <w:r w:rsidRPr="0011440B">
        <w:rPr>
          <w:rFonts w:cs="Times New Roman"/>
          <w:sz w:val="24"/>
          <w:szCs w:val="24"/>
        </w:rPr>
        <w:t>(3), 40–55.</w:t>
      </w:r>
    </w:p>
    <w:p w14:paraId="28C31BD5"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Delgado, M. R. (2021). How perception of control shapes decision making Kainan S Wang, Yun-Yen Yang 3 and Mauricio R Delgado 3. </w:t>
      </w:r>
      <w:r w:rsidRPr="0011440B">
        <w:rPr>
          <w:rFonts w:cs="Times New Roman"/>
          <w:i/>
          <w:iCs/>
          <w:sz w:val="24"/>
          <w:szCs w:val="24"/>
        </w:rPr>
        <w:t>Current Opinion in Behavioral Sciences</w:t>
      </w:r>
      <w:r w:rsidRPr="0011440B">
        <w:rPr>
          <w:rFonts w:cs="Times New Roman"/>
          <w:sz w:val="24"/>
          <w:szCs w:val="24"/>
        </w:rPr>
        <w:t>, </w:t>
      </w:r>
      <w:r w:rsidRPr="0011440B">
        <w:rPr>
          <w:rFonts w:cs="Times New Roman"/>
          <w:i/>
          <w:iCs/>
          <w:sz w:val="24"/>
          <w:szCs w:val="24"/>
        </w:rPr>
        <w:t>41</w:t>
      </w:r>
      <w:r w:rsidRPr="0011440B">
        <w:rPr>
          <w:rFonts w:cs="Times New Roman"/>
          <w:sz w:val="24"/>
          <w:szCs w:val="24"/>
        </w:rPr>
        <w:t>, 85-91.</w:t>
      </w:r>
    </w:p>
    <w:p w14:paraId="600F932B"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Do, H. D. (1995). Foreign language policy in Vietnam: The emergence of English and its impact. </w:t>
      </w:r>
      <w:r w:rsidRPr="0011440B">
        <w:rPr>
          <w:rFonts w:cs="Times New Roman"/>
          <w:i/>
          <w:iCs/>
          <w:sz w:val="24"/>
          <w:szCs w:val="24"/>
        </w:rPr>
        <w:t>Language Policy Journal</w:t>
      </w:r>
      <w:r w:rsidRPr="0011440B">
        <w:rPr>
          <w:rFonts w:cs="Times New Roman"/>
          <w:sz w:val="24"/>
          <w:szCs w:val="24"/>
        </w:rPr>
        <w:t>, 4(2), 45–60.</w:t>
      </w:r>
    </w:p>
    <w:p w14:paraId="508DBBD3"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Gass, S. M., &amp; Selinker, L. (2001). </w:t>
      </w:r>
      <w:r w:rsidRPr="0011440B">
        <w:rPr>
          <w:rFonts w:cs="Times New Roman"/>
          <w:i/>
          <w:iCs/>
          <w:sz w:val="24"/>
          <w:szCs w:val="24"/>
        </w:rPr>
        <w:t>Second language acquisition: An introductory course</w:t>
      </w:r>
      <w:r w:rsidRPr="0011440B">
        <w:rPr>
          <w:rFonts w:cs="Times New Roman"/>
          <w:sz w:val="24"/>
          <w:szCs w:val="24"/>
        </w:rPr>
        <w:t xml:space="preserve"> (2nd ed.). Lawrence Erlbaum Associates.</w:t>
      </w:r>
    </w:p>
    <w:p w14:paraId="686B7A5F"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Gilquin, G., &amp; Granger, S. (2011). From EFL to ESL: Evidence from the International Corpus of Learner English. </w:t>
      </w:r>
      <w:r w:rsidRPr="0011440B">
        <w:rPr>
          <w:rFonts w:cs="Times New Roman"/>
          <w:i/>
          <w:iCs/>
          <w:sz w:val="24"/>
          <w:szCs w:val="24"/>
        </w:rPr>
        <w:t>English Text Construction, 4</w:t>
      </w:r>
      <w:r w:rsidRPr="0011440B">
        <w:rPr>
          <w:rFonts w:cs="Times New Roman"/>
          <w:sz w:val="24"/>
          <w:szCs w:val="24"/>
        </w:rPr>
        <w:t>(2), 233–256.</w:t>
      </w:r>
    </w:p>
    <w:p w14:paraId="7E427DDA"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Kachru, B. B. (1985). Standards, codification and sociolinguistic realism: The English language in the outer circle. In R. Quirk &amp; H. G. Widdowson (Eds.), </w:t>
      </w:r>
      <w:r w:rsidRPr="0011440B">
        <w:rPr>
          <w:rFonts w:cs="Times New Roman"/>
          <w:i/>
          <w:iCs/>
          <w:sz w:val="24"/>
          <w:szCs w:val="24"/>
        </w:rPr>
        <w:t>English in the world: Teaching and learning the language and literatures</w:t>
      </w:r>
      <w:r w:rsidRPr="0011440B">
        <w:rPr>
          <w:rFonts w:cs="Times New Roman"/>
          <w:sz w:val="24"/>
          <w:szCs w:val="24"/>
        </w:rPr>
        <w:t xml:space="preserve"> (pp. 11–30). Cambridge University Press.</w:t>
      </w:r>
    </w:p>
    <w:p w14:paraId="57E31140"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Kachru, B. B. (1992). Models for non-native Englishes. In B. B. Kachru (Ed.), </w:t>
      </w:r>
      <w:r w:rsidRPr="0011440B">
        <w:rPr>
          <w:rFonts w:cs="Times New Roman"/>
          <w:i/>
          <w:iCs/>
          <w:sz w:val="24"/>
          <w:szCs w:val="24"/>
        </w:rPr>
        <w:t>The other tongue: English across cultures</w:t>
      </w:r>
      <w:r w:rsidRPr="0011440B">
        <w:rPr>
          <w:rFonts w:cs="Times New Roman"/>
          <w:sz w:val="24"/>
          <w:szCs w:val="24"/>
        </w:rPr>
        <w:t xml:space="preserve"> (pp. 48–74). University of Illinois Press.</w:t>
      </w:r>
    </w:p>
    <w:p w14:paraId="3D19A43C"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MacIntyre, P. D., Clément, R., Dörnyei, Z., &amp; Noels, K. A. (1998). Conceptualizing willingness to communicate in a second language: A situational model of L2 confidence and affiliation. </w:t>
      </w:r>
      <w:r w:rsidRPr="0011440B">
        <w:rPr>
          <w:rFonts w:cs="Times New Roman"/>
          <w:i/>
          <w:iCs/>
          <w:sz w:val="24"/>
          <w:szCs w:val="24"/>
        </w:rPr>
        <w:t>The Modern Language Journal, 82</w:t>
      </w:r>
      <w:r w:rsidRPr="0011440B">
        <w:rPr>
          <w:rFonts w:cs="Times New Roman"/>
          <w:sz w:val="24"/>
          <w:szCs w:val="24"/>
        </w:rPr>
        <w:t>(4), 545–562.</w:t>
      </w:r>
    </w:p>
    <w:p w14:paraId="1BBE5F6D"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McGroarty, M. (1984). Some meanings of communicative competence for second language students. </w:t>
      </w:r>
      <w:r w:rsidRPr="0011440B">
        <w:rPr>
          <w:rFonts w:cs="Times New Roman"/>
          <w:i/>
          <w:iCs/>
          <w:sz w:val="24"/>
          <w:szCs w:val="24"/>
        </w:rPr>
        <w:t>TESOL Quarterly, 18</w:t>
      </w:r>
      <w:r w:rsidRPr="0011440B">
        <w:rPr>
          <w:rFonts w:cs="Times New Roman"/>
          <w:sz w:val="24"/>
          <w:szCs w:val="24"/>
        </w:rPr>
        <w:t>(2), 257–272.</w:t>
      </w:r>
    </w:p>
    <w:p w14:paraId="715F92F7"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Nguyen, H. T. M., Hamid, M. O., &amp; Renshaw, P. (2017). Policy and practice of English language education in Vietnam. </w:t>
      </w:r>
      <w:r w:rsidRPr="0011440B">
        <w:rPr>
          <w:rFonts w:cs="Times New Roman"/>
          <w:i/>
          <w:iCs/>
          <w:sz w:val="24"/>
          <w:szCs w:val="24"/>
        </w:rPr>
        <w:t>Language Policy, 16</w:t>
      </w:r>
      <w:r w:rsidRPr="0011440B">
        <w:rPr>
          <w:rFonts w:cs="Times New Roman"/>
          <w:sz w:val="24"/>
          <w:szCs w:val="24"/>
        </w:rPr>
        <w:t>(3), 317–342.</w:t>
      </w:r>
    </w:p>
    <w:p w14:paraId="7A95FAAC"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Pham, H. H. (2004). University English graduates’ proficiency and employability in Vietnam. </w:t>
      </w:r>
      <w:r w:rsidRPr="0011440B">
        <w:rPr>
          <w:rFonts w:cs="Times New Roman"/>
          <w:i/>
          <w:iCs/>
          <w:sz w:val="24"/>
          <w:szCs w:val="24"/>
        </w:rPr>
        <w:t>Journal of Language Teaching and Research</w:t>
      </w:r>
      <w:r w:rsidRPr="0011440B">
        <w:rPr>
          <w:rFonts w:cs="Times New Roman"/>
          <w:sz w:val="24"/>
          <w:szCs w:val="24"/>
        </w:rPr>
        <w:t>, 5(2), 120–130.</w:t>
      </w:r>
    </w:p>
    <w:p w14:paraId="66BE9CE1"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Prime Minister of Vietnam. (2025). </w:t>
      </w:r>
      <w:r w:rsidRPr="0011440B">
        <w:rPr>
          <w:rFonts w:cs="Times New Roman"/>
          <w:i/>
          <w:iCs/>
          <w:sz w:val="24"/>
          <w:szCs w:val="24"/>
        </w:rPr>
        <w:t>Decision No. 2371/QĐ-TTg dated October 27, 2025 on the approval of the project “Making English a second language in schools for the period 2025–2035, with a vision to 2045”</w:t>
      </w:r>
      <w:r w:rsidRPr="0011440B">
        <w:rPr>
          <w:rFonts w:cs="Times New Roman"/>
          <w:sz w:val="24"/>
          <w:szCs w:val="24"/>
        </w:rPr>
        <w:t xml:space="preserve">. Retrieved from </w:t>
      </w:r>
      <w:hyperlink r:id="rId9" w:tgtFrame="_new" w:history="1">
        <w:r w:rsidRPr="0011440B">
          <w:rPr>
            <w:rStyle w:val="Hyperlink"/>
            <w:rFonts w:cs="Times New Roman"/>
            <w:sz w:val="24"/>
            <w:szCs w:val="24"/>
          </w:rPr>
          <w:t>https://vanban.chinhphu.vn/?pageid=27160&amp;docid=215728</w:t>
        </w:r>
      </w:hyperlink>
    </w:p>
    <w:p w14:paraId="39956271"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Savignon, S. J. (2018). </w:t>
      </w:r>
      <w:r w:rsidRPr="0011440B">
        <w:rPr>
          <w:rFonts w:cs="Times New Roman"/>
          <w:i/>
          <w:iCs/>
          <w:sz w:val="24"/>
          <w:szCs w:val="24"/>
        </w:rPr>
        <w:t>Communicative competence</w:t>
      </w:r>
      <w:r w:rsidRPr="0011440B">
        <w:rPr>
          <w:rFonts w:cs="Times New Roman"/>
          <w:sz w:val="24"/>
          <w:szCs w:val="24"/>
        </w:rPr>
        <w:t xml:space="preserve">. In J. I. Liontas (Ed.), </w:t>
      </w:r>
      <w:r w:rsidRPr="0011440B">
        <w:rPr>
          <w:rFonts w:cs="Times New Roman"/>
          <w:i/>
          <w:iCs/>
          <w:sz w:val="24"/>
          <w:szCs w:val="24"/>
        </w:rPr>
        <w:t>The TESOL encyclopedia of English language teaching</w:t>
      </w:r>
      <w:r w:rsidRPr="0011440B">
        <w:rPr>
          <w:rFonts w:cs="Times New Roman"/>
          <w:sz w:val="24"/>
          <w:szCs w:val="24"/>
        </w:rPr>
        <w:t>. Wiley.</w:t>
      </w:r>
    </w:p>
    <w:p w14:paraId="32EE68CF"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lastRenderedPageBreak/>
        <w:t xml:space="preserve">Scarcella, R. C., Andersen, E. S., &amp; Krashen, S. D. (1990). </w:t>
      </w:r>
      <w:r w:rsidRPr="0011440B">
        <w:rPr>
          <w:rFonts w:cs="Times New Roman"/>
          <w:i/>
          <w:iCs/>
          <w:sz w:val="24"/>
          <w:szCs w:val="24"/>
        </w:rPr>
        <w:t>Developing communicative competence in a second language</w:t>
      </w:r>
      <w:r w:rsidRPr="0011440B">
        <w:rPr>
          <w:rFonts w:cs="Times New Roman"/>
          <w:sz w:val="24"/>
          <w:szCs w:val="24"/>
        </w:rPr>
        <w:t>. Heinle &amp; Heinle.</w:t>
      </w:r>
    </w:p>
    <w:p w14:paraId="7F37AC48"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Schneider, E. W. (2003). The dynamics of New Englishes: From identity construction to dialect birth. </w:t>
      </w:r>
      <w:r w:rsidRPr="0011440B">
        <w:rPr>
          <w:rFonts w:cs="Times New Roman"/>
          <w:i/>
          <w:iCs/>
          <w:sz w:val="24"/>
          <w:szCs w:val="24"/>
        </w:rPr>
        <w:t>Language, 79</w:t>
      </w:r>
      <w:r w:rsidRPr="0011440B">
        <w:rPr>
          <w:rFonts w:cs="Times New Roman"/>
          <w:sz w:val="24"/>
          <w:szCs w:val="24"/>
        </w:rPr>
        <w:t>(2), 233–281.</w:t>
      </w:r>
    </w:p>
    <w:p w14:paraId="15D93341"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Schneider, E. W. (2007). </w:t>
      </w:r>
      <w:r w:rsidRPr="0011440B">
        <w:rPr>
          <w:rFonts w:cs="Times New Roman"/>
          <w:i/>
          <w:iCs/>
          <w:sz w:val="24"/>
          <w:szCs w:val="24"/>
        </w:rPr>
        <w:t>Postcolonial English: Varieties around the world</w:t>
      </w:r>
      <w:r w:rsidRPr="0011440B">
        <w:rPr>
          <w:rFonts w:cs="Times New Roman"/>
          <w:sz w:val="24"/>
          <w:szCs w:val="24"/>
        </w:rPr>
        <w:t>. Cambridge University Press.</w:t>
      </w:r>
    </w:p>
    <w:p w14:paraId="48900A12"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Spada, N., &amp; Lightbown, P. M. (1999). </w:t>
      </w:r>
      <w:r w:rsidRPr="0011440B">
        <w:rPr>
          <w:rFonts w:cs="Times New Roman"/>
          <w:i/>
          <w:iCs/>
          <w:sz w:val="24"/>
          <w:szCs w:val="24"/>
        </w:rPr>
        <w:t>How languages are learned</w:t>
      </w:r>
      <w:r w:rsidRPr="0011440B">
        <w:rPr>
          <w:rFonts w:cs="Times New Roman"/>
          <w:sz w:val="24"/>
          <w:szCs w:val="24"/>
        </w:rPr>
        <w:t>. Oxford University Press.</w:t>
      </w:r>
    </w:p>
    <w:p w14:paraId="58DF3CFD"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To, V. (2010). English language education in Vietnam: Issues and challenges. </w:t>
      </w:r>
      <w:r w:rsidRPr="0011440B">
        <w:rPr>
          <w:rFonts w:cs="Times New Roman"/>
          <w:i/>
          <w:iCs/>
          <w:sz w:val="24"/>
          <w:szCs w:val="24"/>
        </w:rPr>
        <w:t>VNU Journal of Science: Foreign Languages, 26</w:t>
      </w:r>
      <w:r w:rsidRPr="0011440B">
        <w:rPr>
          <w:rFonts w:cs="Times New Roman"/>
          <w:sz w:val="24"/>
          <w:szCs w:val="24"/>
        </w:rPr>
        <w:t>(2), 123–132.</w:t>
      </w:r>
    </w:p>
    <w:p w14:paraId="073397B2"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Tran, T. T., &amp; Nguyen, H. T. (2023). Reading comprehension difficulties among English-majored students in Vietnam. </w:t>
      </w:r>
      <w:r w:rsidRPr="0011440B">
        <w:rPr>
          <w:rFonts w:cs="Times New Roman"/>
          <w:i/>
          <w:iCs/>
          <w:sz w:val="24"/>
          <w:szCs w:val="24"/>
        </w:rPr>
        <w:t>Journal of Language and Education, 9</w:t>
      </w:r>
      <w:r w:rsidRPr="0011440B">
        <w:rPr>
          <w:rFonts w:cs="Times New Roman"/>
          <w:sz w:val="24"/>
          <w:szCs w:val="24"/>
        </w:rPr>
        <w:t>(1), 45–60.</w:t>
      </w:r>
    </w:p>
    <w:p w14:paraId="614F3CB6"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Tran, T. T. H., Nguyen, T. T. H., &amp; Pham, M. T. (2020). Difficulties in writing argumentative essays among English-major students. </w:t>
      </w:r>
      <w:r w:rsidRPr="0011440B">
        <w:rPr>
          <w:rFonts w:cs="Times New Roman"/>
          <w:i/>
          <w:iCs/>
          <w:sz w:val="24"/>
          <w:szCs w:val="24"/>
        </w:rPr>
        <w:t>International Journal of Education and Practice, 8</w:t>
      </w:r>
      <w:r w:rsidRPr="0011440B">
        <w:rPr>
          <w:rFonts w:cs="Times New Roman"/>
          <w:sz w:val="24"/>
          <w:szCs w:val="24"/>
        </w:rPr>
        <w:t>(2), 250–265.</w:t>
      </w:r>
    </w:p>
    <w:p w14:paraId="37D90309" w14:textId="77777777"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Tunçel, H. (2015). The relationship between self-confidence and speaking skills in English language learning. </w:t>
      </w:r>
      <w:r w:rsidRPr="0011440B">
        <w:rPr>
          <w:rFonts w:cs="Times New Roman"/>
          <w:i/>
          <w:iCs/>
          <w:sz w:val="24"/>
          <w:szCs w:val="24"/>
        </w:rPr>
        <w:t>Procedia - Social and Behavioral Sciences, 199</w:t>
      </w:r>
      <w:r w:rsidRPr="0011440B">
        <w:rPr>
          <w:rFonts w:cs="Times New Roman"/>
          <w:sz w:val="24"/>
          <w:szCs w:val="24"/>
        </w:rPr>
        <w:t>, 257–262.</w:t>
      </w:r>
    </w:p>
    <w:p w14:paraId="1B563FD9" w14:textId="659C7B1B" w:rsidR="0011440B" w:rsidRPr="0011440B" w:rsidRDefault="0011440B" w:rsidP="0011440B">
      <w:pPr>
        <w:spacing w:line="240" w:lineRule="auto"/>
        <w:ind w:left="720" w:hanging="720"/>
        <w:rPr>
          <w:rFonts w:cs="Times New Roman"/>
          <w:sz w:val="24"/>
          <w:szCs w:val="24"/>
        </w:rPr>
      </w:pPr>
      <w:r w:rsidRPr="0011440B">
        <w:rPr>
          <w:rFonts w:cs="Times New Roman"/>
          <w:sz w:val="24"/>
          <w:szCs w:val="24"/>
        </w:rPr>
        <w:t xml:space="preserve">Vo, T. T. M., Nguyen, T. H., &amp; Pham, L. T. (2018). Challenges in speaking skills faced by English-majored freshmen. </w:t>
      </w:r>
      <w:r w:rsidRPr="0011440B">
        <w:rPr>
          <w:rFonts w:cs="Times New Roman"/>
          <w:i/>
          <w:iCs/>
          <w:sz w:val="24"/>
          <w:szCs w:val="24"/>
        </w:rPr>
        <w:t>European Journal of English Language Teaching, 3</w:t>
      </w:r>
      <w:r w:rsidRPr="0011440B">
        <w:rPr>
          <w:rFonts w:cs="Times New Roman"/>
          <w:sz w:val="24"/>
          <w:szCs w:val="24"/>
        </w:rPr>
        <w:t>(4), 45–60</w:t>
      </w:r>
      <w:r>
        <w:rPr>
          <w:rFonts w:cs="Times New Roman"/>
          <w:sz w:val="24"/>
          <w:szCs w:val="24"/>
        </w:rPr>
        <w:t>.</w:t>
      </w:r>
    </w:p>
    <w:p w14:paraId="0AAE686C" w14:textId="77777777" w:rsidR="0011440B" w:rsidRDefault="0011440B" w:rsidP="002334D9">
      <w:pPr>
        <w:pStyle w:val="RALs-ReferencesList"/>
        <w:ind w:left="0" w:firstLine="0"/>
        <w:rPr>
          <w:rFonts w:asciiTheme="majorBidi" w:eastAsiaTheme="minorHAnsi" w:hAnsiTheme="majorBidi" w:cstheme="majorBidi"/>
          <w:sz w:val="24"/>
          <w:szCs w:val="24"/>
          <w:rtl/>
        </w:rPr>
      </w:pPr>
    </w:p>
    <w:p w14:paraId="47B594B7" w14:textId="77777777" w:rsidR="002334D9" w:rsidRDefault="002334D9" w:rsidP="00374F3D">
      <w:pPr>
        <w:pStyle w:val="RALs-ReferencesList"/>
        <w:rPr>
          <w:rFonts w:asciiTheme="majorBidi" w:eastAsiaTheme="minorHAnsi" w:hAnsiTheme="majorBidi" w:cstheme="majorBidi"/>
          <w:b/>
          <w:bCs/>
          <w:sz w:val="24"/>
          <w:szCs w:val="24"/>
        </w:rPr>
      </w:pPr>
      <w:r w:rsidRPr="002334D9">
        <w:rPr>
          <w:rFonts w:asciiTheme="majorBidi" w:eastAsiaTheme="minorHAnsi" w:hAnsiTheme="majorBidi" w:cstheme="majorBidi"/>
          <w:b/>
          <w:bCs/>
          <w:sz w:val="24"/>
          <w:szCs w:val="24"/>
        </w:rPr>
        <w:t>Bionote</w:t>
      </w:r>
    </w:p>
    <w:p w14:paraId="1B73AF80" w14:textId="77777777" w:rsidR="004B7A44" w:rsidRPr="00E40940" w:rsidRDefault="004B7A44" w:rsidP="004B7A44">
      <w:pPr>
        <w:pStyle w:val="RALs-Normal-NoIndent"/>
        <w:rPr>
          <w:rFonts w:asciiTheme="majorBidi" w:hAnsiTheme="majorBidi" w:cstheme="majorBidi"/>
          <w:sz w:val="24"/>
          <w:szCs w:val="24"/>
        </w:rPr>
      </w:pPr>
      <w:r w:rsidRPr="002E02D2">
        <w:rPr>
          <w:rFonts w:asciiTheme="majorBidi" w:hAnsiTheme="majorBidi" w:cstheme="majorBidi"/>
          <w:sz w:val="24"/>
          <w:szCs w:val="24"/>
        </w:rPr>
        <w:t>Nguyen, Thi Thanh Loan is a full-time lecturer at the Faculty of Foreign Languages, HUFLIT University, Vietnam. She holds an MA in Education with a major in TESOL and has over 10 years of teaching experience. Her research interests include AI applications in language teaching and English as a Second Language (ESL). She has published in international conference proceedings on language research and teaching with AI. Her current work focuses on students’ readiness for real-world English use in ESL-oriented contexts.</w:t>
      </w:r>
    </w:p>
    <w:p w14:paraId="40208F81" w14:textId="77777777" w:rsidR="004B7A44" w:rsidRDefault="004B7A44" w:rsidP="004B7A44">
      <w:pPr>
        <w:ind w:firstLine="0"/>
        <w:rPr>
          <w:rFonts w:asciiTheme="majorBidi" w:hAnsiTheme="majorBidi" w:cstheme="majorBidi"/>
          <w:sz w:val="24"/>
          <w:szCs w:val="24"/>
        </w:rPr>
      </w:pPr>
    </w:p>
    <w:p w14:paraId="3C2E15B7" w14:textId="77777777" w:rsidR="004B7A44" w:rsidRPr="00A903C8" w:rsidRDefault="004B7A44" w:rsidP="004B7A44">
      <w:pPr>
        <w:ind w:firstLine="0"/>
        <w:rPr>
          <w:rFonts w:asciiTheme="majorBidi" w:hAnsiTheme="majorBidi" w:cstheme="majorBidi"/>
          <w:b/>
          <w:bCs/>
          <w:sz w:val="24"/>
          <w:szCs w:val="24"/>
        </w:rPr>
      </w:pPr>
      <w:r w:rsidRPr="00A903C8">
        <w:rPr>
          <w:rFonts w:asciiTheme="majorBidi" w:hAnsiTheme="majorBidi" w:cstheme="majorBidi"/>
          <w:b/>
          <w:bCs/>
          <w:sz w:val="24"/>
          <w:szCs w:val="24"/>
        </w:rPr>
        <w:t>Appendix</w:t>
      </w:r>
    </w:p>
    <w:p w14:paraId="4F03DCC1" w14:textId="77777777" w:rsidR="004B7A44" w:rsidRPr="00212392" w:rsidRDefault="004B7A44" w:rsidP="004B7A44">
      <w:pPr>
        <w:ind w:firstLine="0"/>
        <w:rPr>
          <w:rFonts w:asciiTheme="majorBidi" w:hAnsiTheme="majorBidi" w:cstheme="majorBidi"/>
          <w:sz w:val="24"/>
          <w:szCs w:val="24"/>
        </w:rPr>
      </w:pPr>
      <w:r w:rsidRPr="00212392">
        <w:rPr>
          <w:rFonts w:asciiTheme="majorBidi" w:hAnsiTheme="majorBidi" w:cstheme="majorBidi"/>
          <w:sz w:val="24"/>
          <w:szCs w:val="24"/>
        </w:rPr>
        <w:t>This survey is part of a research study investigating English-major students’ readiness for real-world English use in an ESL-oriented context. Your participation is voluntary, and all responses will be kept confidential and used for research purposes only. There are no right or wrong answers. Please answer the questions honestly based on your own experiences. Thank you very much for your time and participation.  </w:t>
      </w:r>
    </w:p>
    <w:p w14:paraId="6238B8B2" w14:textId="77777777" w:rsidR="004B7A44" w:rsidRPr="00212392" w:rsidRDefault="004B7A44" w:rsidP="004B7A44">
      <w:pPr>
        <w:ind w:firstLine="0"/>
        <w:rPr>
          <w:rFonts w:asciiTheme="majorBidi" w:hAnsiTheme="majorBidi" w:cstheme="majorBidi"/>
          <w:i/>
          <w:iCs/>
          <w:sz w:val="24"/>
          <w:szCs w:val="24"/>
        </w:rPr>
      </w:pPr>
      <w:r w:rsidRPr="00212392">
        <w:rPr>
          <w:rFonts w:asciiTheme="majorBidi" w:hAnsiTheme="majorBidi" w:cstheme="majorBidi"/>
          <w:i/>
          <w:iCs/>
          <w:sz w:val="24"/>
          <w:szCs w:val="24"/>
        </w:rPr>
        <w:t>Bảng khảo sát này là một phần của nghiên cứu nhằm tìm hiểu mức độ sẵn sàng của sinh viên chuyên ngành trong việc sử dụng tiếng Anh theo định hướng Tiếng Anh Là Ngôn Ngữ Thứ Hai. Việc tham gia khảo sát là hoàn toàn tự nguyện, và mọi thông tin thu thập được sẽ được bảo mật và chỉ phục vụ cho mục đích nghiên cứu. Không có câu trả lời đúng hay sai. Vui lòng trả lời một cách trung thực dựa trên trải nghiệm của bạn. Xin chân thành cảm ơn sự tham gia của bạn</w:t>
      </w:r>
    </w:p>
    <w:p w14:paraId="351263AD" w14:textId="77777777" w:rsidR="004B7A44" w:rsidRPr="00212392" w:rsidRDefault="004B7A44" w:rsidP="004B7A44">
      <w:pPr>
        <w:ind w:firstLine="0"/>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713"/>
        <w:gridCol w:w="8303"/>
      </w:tblGrid>
      <w:tr w:rsidR="004B7A44" w:rsidRPr="00212392" w14:paraId="7D0236F9" w14:textId="77777777" w:rsidTr="00DF1486">
        <w:tc>
          <w:tcPr>
            <w:tcW w:w="9350" w:type="dxa"/>
            <w:gridSpan w:val="2"/>
            <w:tcBorders>
              <w:top w:val="single" w:sz="4" w:space="0" w:color="auto"/>
              <w:left w:val="single" w:sz="4" w:space="0" w:color="auto"/>
              <w:bottom w:val="single" w:sz="4" w:space="0" w:color="auto"/>
              <w:right w:val="single" w:sz="4" w:space="0" w:color="auto"/>
            </w:tcBorders>
          </w:tcPr>
          <w:p w14:paraId="1D86A39D" w14:textId="77777777" w:rsidR="004B7A44" w:rsidRPr="00212392" w:rsidRDefault="004B7A44" w:rsidP="00DF1486">
            <w:pPr>
              <w:ind w:firstLine="0"/>
              <w:rPr>
                <w:rFonts w:asciiTheme="majorBidi" w:hAnsiTheme="majorBidi" w:cstheme="majorBidi"/>
                <w:b/>
                <w:bCs/>
                <w:sz w:val="24"/>
                <w:szCs w:val="24"/>
              </w:rPr>
            </w:pPr>
          </w:p>
          <w:p w14:paraId="513F879D" w14:textId="77777777" w:rsidR="004B7A44" w:rsidRPr="00212392" w:rsidRDefault="004B7A44" w:rsidP="00DF1486">
            <w:pPr>
              <w:ind w:firstLine="0"/>
              <w:rPr>
                <w:rFonts w:asciiTheme="majorBidi" w:hAnsiTheme="majorBidi" w:cstheme="majorBidi"/>
                <w:b/>
                <w:bCs/>
                <w:sz w:val="24"/>
                <w:szCs w:val="24"/>
              </w:rPr>
            </w:pPr>
            <w:r w:rsidRPr="00212392">
              <w:rPr>
                <w:rFonts w:asciiTheme="majorBidi" w:hAnsiTheme="majorBidi" w:cstheme="majorBidi"/>
                <w:b/>
                <w:bCs/>
                <w:sz w:val="24"/>
                <w:szCs w:val="24"/>
              </w:rPr>
              <w:t>SECTION A: DEMOGRAPHIC INFORMATION</w:t>
            </w:r>
          </w:p>
          <w:p w14:paraId="0D427A1D" w14:textId="77777777" w:rsidR="004B7A44" w:rsidRPr="00212392" w:rsidRDefault="004B7A44" w:rsidP="00DF1486">
            <w:pPr>
              <w:ind w:firstLine="0"/>
              <w:rPr>
                <w:rFonts w:asciiTheme="majorBidi" w:hAnsiTheme="majorBidi" w:cstheme="majorBidi"/>
                <w:b/>
                <w:bCs/>
                <w:i/>
                <w:iCs/>
                <w:sz w:val="24"/>
                <w:szCs w:val="24"/>
              </w:rPr>
            </w:pPr>
            <w:r w:rsidRPr="00212392">
              <w:rPr>
                <w:rFonts w:asciiTheme="majorBidi" w:hAnsiTheme="majorBidi" w:cstheme="majorBidi"/>
                <w:b/>
                <w:bCs/>
                <w:i/>
                <w:iCs/>
                <w:sz w:val="24"/>
                <w:szCs w:val="24"/>
              </w:rPr>
              <w:t>PHẦN A: THÔNG TIN CÁ NHÂN</w:t>
            </w:r>
          </w:p>
          <w:p w14:paraId="4A53697A" w14:textId="77777777" w:rsidR="004B7A44" w:rsidRPr="00212392" w:rsidRDefault="004B7A44" w:rsidP="00DF1486">
            <w:pPr>
              <w:ind w:firstLine="0"/>
              <w:rPr>
                <w:rFonts w:asciiTheme="majorBidi" w:hAnsiTheme="majorBidi" w:cstheme="majorBidi"/>
                <w:i/>
                <w:iCs/>
                <w:sz w:val="24"/>
                <w:szCs w:val="24"/>
              </w:rPr>
            </w:pPr>
          </w:p>
        </w:tc>
      </w:tr>
      <w:tr w:rsidR="004B7A44" w:rsidRPr="00212392" w14:paraId="593DBB58" w14:textId="77777777" w:rsidTr="00DF1486">
        <w:tc>
          <w:tcPr>
            <w:tcW w:w="9350" w:type="dxa"/>
            <w:gridSpan w:val="2"/>
            <w:tcBorders>
              <w:top w:val="single" w:sz="4" w:space="0" w:color="auto"/>
              <w:left w:val="single" w:sz="4" w:space="0" w:color="auto"/>
              <w:bottom w:val="single" w:sz="4" w:space="0" w:color="auto"/>
              <w:right w:val="single" w:sz="4" w:space="0" w:color="auto"/>
            </w:tcBorders>
            <w:hideMark/>
          </w:tcPr>
          <w:p w14:paraId="5903DD80"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Please provide the following information about yourself.</w:t>
            </w:r>
          </w:p>
          <w:p w14:paraId="045558D6"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Vui lòng cung cấp một số thông tin cá nhân của bạn.</w:t>
            </w:r>
          </w:p>
        </w:tc>
      </w:tr>
      <w:tr w:rsidR="004B7A44" w:rsidRPr="00212392" w14:paraId="63EFA8BE"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30490240"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A1</w:t>
            </w:r>
          </w:p>
        </w:tc>
        <w:tc>
          <w:tcPr>
            <w:tcW w:w="8635" w:type="dxa"/>
            <w:tcBorders>
              <w:top w:val="single" w:sz="4" w:space="0" w:color="auto"/>
              <w:left w:val="single" w:sz="4" w:space="0" w:color="auto"/>
              <w:bottom w:val="single" w:sz="4" w:space="0" w:color="auto"/>
              <w:right w:val="single" w:sz="4" w:space="0" w:color="auto"/>
            </w:tcBorders>
            <w:hideMark/>
          </w:tcPr>
          <w:p w14:paraId="7BE81E93"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 xml:space="preserve">Gender / </w:t>
            </w:r>
            <w:r w:rsidRPr="00212392">
              <w:rPr>
                <w:rFonts w:asciiTheme="majorBidi" w:hAnsiTheme="majorBidi" w:cstheme="majorBidi"/>
                <w:i/>
                <w:iCs/>
                <w:sz w:val="24"/>
                <w:szCs w:val="24"/>
              </w:rPr>
              <w:t>Giới tính</w:t>
            </w:r>
            <w:r w:rsidRPr="00212392">
              <w:rPr>
                <w:rFonts w:asciiTheme="majorBidi" w:hAnsiTheme="majorBidi" w:cstheme="majorBidi"/>
                <w:sz w:val="24"/>
                <w:szCs w:val="24"/>
              </w:rPr>
              <w:t xml:space="preserve"> </w:t>
            </w:r>
          </w:p>
          <w:p w14:paraId="12E9D8A1" w14:textId="77777777" w:rsidR="004B7A44" w:rsidRPr="00212392" w:rsidRDefault="004B7A44" w:rsidP="00DF1486">
            <w:pPr>
              <w:ind w:firstLine="0"/>
              <w:rPr>
                <w:rFonts w:asciiTheme="majorBidi" w:hAnsiTheme="majorBidi" w:cstheme="majorBidi"/>
                <w:sz w:val="24"/>
                <w:szCs w:val="24"/>
              </w:rPr>
            </w:pPr>
            <w:r w:rsidRPr="00212392">
              <w:rPr>
                <w:rFonts w:ascii="Segoe UI Symbol" w:hAnsi="Segoe UI Symbol" w:cs="Segoe UI Symbol"/>
                <w:sz w:val="24"/>
                <w:szCs w:val="24"/>
              </w:rPr>
              <w:t>☐</w:t>
            </w:r>
            <w:r w:rsidRPr="00212392">
              <w:rPr>
                <w:rFonts w:asciiTheme="majorBidi" w:hAnsiTheme="majorBidi" w:cstheme="majorBidi"/>
                <w:sz w:val="24"/>
                <w:szCs w:val="24"/>
              </w:rPr>
              <w:t>Male /</w:t>
            </w:r>
            <w:r w:rsidRPr="00212392">
              <w:rPr>
                <w:rFonts w:asciiTheme="majorBidi" w:hAnsiTheme="majorBidi" w:cstheme="majorBidi"/>
                <w:i/>
                <w:iCs/>
                <w:sz w:val="24"/>
                <w:szCs w:val="24"/>
              </w:rPr>
              <w:t xml:space="preserve"> Nam</w:t>
            </w:r>
            <w:r w:rsidRPr="00212392">
              <w:rPr>
                <w:rFonts w:asciiTheme="majorBidi" w:hAnsiTheme="majorBidi" w:cstheme="majorBidi"/>
                <w:sz w:val="24"/>
                <w:szCs w:val="24"/>
              </w:rPr>
              <w:t xml:space="preserve"> </w:t>
            </w:r>
          </w:p>
          <w:p w14:paraId="30284945" w14:textId="77777777" w:rsidR="004B7A44" w:rsidRPr="00212392" w:rsidRDefault="004B7A44" w:rsidP="00DF1486">
            <w:pPr>
              <w:ind w:firstLine="0"/>
              <w:rPr>
                <w:rFonts w:asciiTheme="majorBidi" w:hAnsiTheme="majorBidi" w:cstheme="majorBidi"/>
                <w:sz w:val="24"/>
                <w:szCs w:val="24"/>
              </w:rPr>
            </w:pPr>
            <w:r w:rsidRPr="00212392">
              <w:rPr>
                <w:rFonts w:ascii="Segoe UI Symbol" w:hAnsi="Segoe UI Symbol" w:cs="Segoe UI Symbol"/>
                <w:sz w:val="24"/>
                <w:szCs w:val="24"/>
              </w:rPr>
              <w:t>☐</w:t>
            </w:r>
            <w:r w:rsidRPr="00212392">
              <w:rPr>
                <w:rFonts w:asciiTheme="majorBidi" w:hAnsiTheme="majorBidi" w:cstheme="majorBidi"/>
                <w:sz w:val="24"/>
                <w:szCs w:val="24"/>
              </w:rPr>
              <w:t xml:space="preserve">Female / </w:t>
            </w:r>
            <w:r w:rsidRPr="00212392">
              <w:rPr>
                <w:rFonts w:asciiTheme="majorBidi" w:hAnsiTheme="majorBidi" w:cstheme="majorBidi"/>
                <w:i/>
                <w:iCs/>
                <w:sz w:val="24"/>
                <w:szCs w:val="24"/>
              </w:rPr>
              <w:t>Nữ</w:t>
            </w:r>
            <w:r w:rsidRPr="00212392">
              <w:rPr>
                <w:rFonts w:asciiTheme="majorBidi" w:hAnsiTheme="majorBidi" w:cstheme="majorBidi"/>
                <w:sz w:val="24"/>
                <w:szCs w:val="24"/>
              </w:rPr>
              <w:t xml:space="preserve"> </w:t>
            </w:r>
          </w:p>
          <w:p w14:paraId="148F9910" w14:textId="77777777" w:rsidR="004B7A44" w:rsidRPr="00212392" w:rsidRDefault="004B7A44" w:rsidP="00DF1486">
            <w:pPr>
              <w:ind w:firstLine="0"/>
              <w:rPr>
                <w:rFonts w:asciiTheme="majorBidi" w:hAnsiTheme="majorBidi" w:cstheme="majorBidi"/>
                <w:sz w:val="24"/>
                <w:szCs w:val="24"/>
              </w:rPr>
            </w:pPr>
            <w:r w:rsidRPr="00212392">
              <w:rPr>
                <w:rFonts w:ascii="Segoe UI Symbol" w:hAnsi="Segoe UI Symbol" w:cs="Segoe UI Symbol"/>
                <w:sz w:val="24"/>
                <w:szCs w:val="24"/>
              </w:rPr>
              <w:t>☐</w:t>
            </w:r>
            <w:r w:rsidRPr="00212392">
              <w:rPr>
                <w:rFonts w:asciiTheme="majorBidi" w:hAnsiTheme="majorBidi" w:cstheme="majorBidi"/>
                <w:sz w:val="24"/>
                <w:szCs w:val="24"/>
              </w:rPr>
              <w:t xml:space="preserve">Other / </w:t>
            </w:r>
            <w:r w:rsidRPr="00212392">
              <w:rPr>
                <w:rFonts w:asciiTheme="majorBidi" w:hAnsiTheme="majorBidi" w:cstheme="majorBidi"/>
                <w:i/>
                <w:iCs/>
                <w:sz w:val="24"/>
                <w:szCs w:val="24"/>
              </w:rPr>
              <w:t>Khác</w:t>
            </w:r>
          </w:p>
        </w:tc>
      </w:tr>
      <w:tr w:rsidR="004B7A44" w:rsidRPr="00212392" w14:paraId="567B2A89"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7C29681F"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A2</w:t>
            </w:r>
          </w:p>
        </w:tc>
        <w:tc>
          <w:tcPr>
            <w:tcW w:w="8635" w:type="dxa"/>
            <w:tcBorders>
              <w:top w:val="single" w:sz="4" w:space="0" w:color="auto"/>
              <w:left w:val="single" w:sz="4" w:space="0" w:color="auto"/>
              <w:bottom w:val="single" w:sz="4" w:space="0" w:color="auto"/>
              <w:right w:val="single" w:sz="4" w:space="0" w:color="auto"/>
            </w:tcBorders>
            <w:hideMark/>
          </w:tcPr>
          <w:p w14:paraId="5B8C6B11"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 xml:space="preserve">Year of study / </w:t>
            </w:r>
            <w:r w:rsidRPr="00212392">
              <w:rPr>
                <w:rFonts w:asciiTheme="majorBidi" w:hAnsiTheme="majorBidi" w:cstheme="majorBidi"/>
                <w:i/>
                <w:iCs/>
                <w:sz w:val="24"/>
                <w:szCs w:val="24"/>
              </w:rPr>
              <w:t>Năm học hiện tại</w:t>
            </w:r>
            <w:r w:rsidRPr="00212392">
              <w:rPr>
                <w:rFonts w:asciiTheme="majorBidi" w:hAnsiTheme="majorBidi" w:cstheme="majorBidi"/>
                <w:sz w:val="24"/>
                <w:szCs w:val="24"/>
              </w:rPr>
              <w:t xml:space="preserve"> </w:t>
            </w:r>
          </w:p>
          <w:p w14:paraId="34F4441E" w14:textId="77777777" w:rsidR="004B7A44" w:rsidRPr="00212392" w:rsidRDefault="004B7A44" w:rsidP="00DF1486">
            <w:pPr>
              <w:ind w:firstLine="0"/>
              <w:rPr>
                <w:rFonts w:asciiTheme="majorBidi" w:hAnsiTheme="majorBidi" w:cstheme="majorBidi"/>
                <w:sz w:val="24"/>
                <w:szCs w:val="24"/>
              </w:rPr>
            </w:pPr>
            <w:r w:rsidRPr="00212392">
              <w:rPr>
                <w:rFonts w:ascii="Segoe UI Symbol" w:hAnsi="Segoe UI Symbol" w:cs="Segoe UI Symbol"/>
                <w:sz w:val="24"/>
                <w:szCs w:val="24"/>
              </w:rPr>
              <w:t>☐</w:t>
            </w:r>
            <w:r w:rsidRPr="00212392">
              <w:rPr>
                <w:rFonts w:asciiTheme="majorBidi" w:hAnsiTheme="majorBidi" w:cstheme="majorBidi"/>
                <w:sz w:val="24"/>
                <w:szCs w:val="24"/>
              </w:rPr>
              <w:t xml:space="preserve">Year 1 / </w:t>
            </w:r>
            <w:r w:rsidRPr="00212392">
              <w:rPr>
                <w:rFonts w:asciiTheme="majorBidi" w:hAnsiTheme="majorBidi" w:cstheme="majorBidi"/>
                <w:i/>
                <w:iCs/>
                <w:sz w:val="24"/>
                <w:szCs w:val="24"/>
              </w:rPr>
              <w:t>Năm 1</w:t>
            </w:r>
            <w:r w:rsidRPr="00212392">
              <w:rPr>
                <w:rFonts w:asciiTheme="majorBidi" w:hAnsiTheme="majorBidi" w:cstheme="majorBidi"/>
                <w:sz w:val="24"/>
                <w:szCs w:val="24"/>
              </w:rPr>
              <w:t xml:space="preserve"> </w:t>
            </w:r>
          </w:p>
          <w:p w14:paraId="19E5FDAE" w14:textId="77777777" w:rsidR="004B7A44" w:rsidRPr="00212392" w:rsidRDefault="004B7A44" w:rsidP="00DF1486">
            <w:pPr>
              <w:ind w:firstLine="0"/>
              <w:rPr>
                <w:rFonts w:asciiTheme="majorBidi" w:hAnsiTheme="majorBidi" w:cstheme="majorBidi"/>
                <w:sz w:val="24"/>
                <w:szCs w:val="24"/>
              </w:rPr>
            </w:pPr>
            <w:r w:rsidRPr="00212392">
              <w:rPr>
                <w:rFonts w:ascii="Segoe UI Symbol" w:hAnsi="Segoe UI Symbol" w:cs="Segoe UI Symbol"/>
                <w:sz w:val="24"/>
                <w:szCs w:val="24"/>
              </w:rPr>
              <w:t>☐</w:t>
            </w:r>
            <w:r w:rsidRPr="00212392">
              <w:rPr>
                <w:rFonts w:asciiTheme="majorBidi" w:hAnsiTheme="majorBidi" w:cstheme="majorBidi"/>
                <w:sz w:val="24"/>
                <w:szCs w:val="24"/>
              </w:rPr>
              <w:t xml:space="preserve">Year 2 / </w:t>
            </w:r>
            <w:r w:rsidRPr="00212392">
              <w:rPr>
                <w:rFonts w:asciiTheme="majorBidi" w:hAnsiTheme="majorBidi" w:cstheme="majorBidi"/>
                <w:i/>
                <w:iCs/>
                <w:sz w:val="24"/>
                <w:szCs w:val="24"/>
              </w:rPr>
              <w:t>Năm 2</w:t>
            </w:r>
            <w:r w:rsidRPr="00212392">
              <w:rPr>
                <w:rFonts w:asciiTheme="majorBidi" w:hAnsiTheme="majorBidi" w:cstheme="majorBidi"/>
                <w:sz w:val="24"/>
                <w:szCs w:val="24"/>
              </w:rPr>
              <w:t xml:space="preserve"> </w:t>
            </w:r>
          </w:p>
          <w:p w14:paraId="2741BA54" w14:textId="77777777" w:rsidR="004B7A44" w:rsidRPr="00212392" w:rsidRDefault="004B7A44" w:rsidP="00DF1486">
            <w:pPr>
              <w:ind w:firstLine="0"/>
              <w:rPr>
                <w:rFonts w:asciiTheme="majorBidi" w:hAnsiTheme="majorBidi" w:cstheme="majorBidi"/>
                <w:sz w:val="24"/>
                <w:szCs w:val="24"/>
              </w:rPr>
            </w:pPr>
            <w:r w:rsidRPr="00212392">
              <w:rPr>
                <w:rFonts w:ascii="Segoe UI Symbol" w:hAnsi="Segoe UI Symbol" w:cs="Segoe UI Symbol"/>
                <w:sz w:val="24"/>
                <w:szCs w:val="24"/>
              </w:rPr>
              <w:t>☐</w:t>
            </w:r>
            <w:r w:rsidRPr="00212392">
              <w:rPr>
                <w:rFonts w:asciiTheme="majorBidi" w:hAnsiTheme="majorBidi" w:cstheme="majorBidi"/>
                <w:sz w:val="24"/>
                <w:szCs w:val="24"/>
              </w:rPr>
              <w:t xml:space="preserve">Year 3 / </w:t>
            </w:r>
            <w:r w:rsidRPr="00212392">
              <w:rPr>
                <w:rFonts w:asciiTheme="majorBidi" w:hAnsiTheme="majorBidi" w:cstheme="majorBidi"/>
                <w:i/>
                <w:iCs/>
                <w:sz w:val="24"/>
                <w:szCs w:val="24"/>
              </w:rPr>
              <w:t>Năm 3</w:t>
            </w:r>
            <w:r w:rsidRPr="00212392">
              <w:rPr>
                <w:rFonts w:asciiTheme="majorBidi" w:hAnsiTheme="majorBidi" w:cstheme="majorBidi"/>
                <w:sz w:val="24"/>
                <w:szCs w:val="24"/>
              </w:rPr>
              <w:t xml:space="preserve"> </w:t>
            </w:r>
          </w:p>
          <w:p w14:paraId="1F95F23F" w14:textId="77777777" w:rsidR="004B7A44" w:rsidRPr="00212392" w:rsidRDefault="004B7A44" w:rsidP="00DF1486">
            <w:pPr>
              <w:ind w:firstLine="0"/>
              <w:rPr>
                <w:rFonts w:asciiTheme="majorBidi" w:hAnsiTheme="majorBidi" w:cstheme="majorBidi"/>
                <w:sz w:val="24"/>
                <w:szCs w:val="24"/>
              </w:rPr>
            </w:pPr>
            <w:r w:rsidRPr="00212392">
              <w:rPr>
                <w:rFonts w:ascii="Segoe UI Symbol" w:hAnsi="Segoe UI Symbol" w:cs="Segoe UI Symbol"/>
                <w:sz w:val="24"/>
                <w:szCs w:val="24"/>
              </w:rPr>
              <w:t>☐</w:t>
            </w:r>
            <w:r w:rsidRPr="00212392">
              <w:rPr>
                <w:rFonts w:asciiTheme="majorBidi" w:hAnsiTheme="majorBidi" w:cstheme="majorBidi"/>
                <w:sz w:val="24"/>
                <w:szCs w:val="24"/>
              </w:rPr>
              <w:t xml:space="preserve">Year 4 / </w:t>
            </w:r>
            <w:r w:rsidRPr="00212392">
              <w:rPr>
                <w:rFonts w:asciiTheme="majorBidi" w:hAnsiTheme="majorBidi" w:cstheme="majorBidi"/>
                <w:i/>
                <w:iCs/>
                <w:sz w:val="24"/>
                <w:szCs w:val="24"/>
              </w:rPr>
              <w:t>Năm 4</w:t>
            </w:r>
            <w:r w:rsidRPr="00212392">
              <w:rPr>
                <w:rFonts w:asciiTheme="majorBidi" w:hAnsiTheme="majorBidi" w:cstheme="majorBidi"/>
                <w:sz w:val="24"/>
                <w:szCs w:val="24"/>
              </w:rPr>
              <w:t xml:space="preserve"> </w:t>
            </w:r>
          </w:p>
        </w:tc>
      </w:tr>
      <w:tr w:rsidR="004B7A44" w:rsidRPr="00212392" w14:paraId="3DFD0920"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4E1BA6D4"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A3</w:t>
            </w:r>
          </w:p>
        </w:tc>
        <w:tc>
          <w:tcPr>
            <w:tcW w:w="8635" w:type="dxa"/>
            <w:tcBorders>
              <w:top w:val="single" w:sz="4" w:space="0" w:color="auto"/>
              <w:left w:val="single" w:sz="4" w:space="0" w:color="auto"/>
              <w:bottom w:val="single" w:sz="4" w:space="0" w:color="auto"/>
              <w:right w:val="single" w:sz="4" w:space="0" w:color="auto"/>
            </w:tcBorders>
            <w:hideMark/>
          </w:tcPr>
          <w:p w14:paraId="15DC03C9"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 xml:space="preserve">Self-rated English proficiency / </w:t>
            </w:r>
            <w:r w:rsidRPr="00212392">
              <w:rPr>
                <w:rFonts w:asciiTheme="majorBidi" w:hAnsiTheme="majorBidi" w:cstheme="majorBidi"/>
                <w:i/>
                <w:iCs/>
                <w:sz w:val="24"/>
                <w:szCs w:val="24"/>
              </w:rPr>
              <w:t>Trình độ tiếng Anh tự đánh giá</w:t>
            </w:r>
            <w:r w:rsidRPr="00212392">
              <w:rPr>
                <w:rFonts w:asciiTheme="majorBidi" w:hAnsiTheme="majorBidi" w:cstheme="majorBidi"/>
                <w:sz w:val="24"/>
                <w:szCs w:val="24"/>
              </w:rPr>
              <w:t xml:space="preserve"> </w:t>
            </w:r>
          </w:p>
          <w:p w14:paraId="3489F7A8" w14:textId="77777777" w:rsidR="004B7A44" w:rsidRPr="00212392" w:rsidRDefault="004B7A44" w:rsidP="00DF1486">
            <w:pPr>
              <w:ind w:firstLine="0"/>
              <w:rPr>
                <w:rFonts w:asciiTheme="majorBidi" w:hAnsiTheme="majorBidi" w:cstheme="majorBidi"/>
                <w:sz w:val="24"/>
                <w:szCs w:val="24"/>
              </w:rPr>
            </w:pPr>
            <w:r w:rsidRPr="00212392">
              <w:rPr>
                <w:rFonts w:ascii="Segoe UI Symbol" w:hAnsi="Segoe UI Symbol" w:cs="Segoe UI Symbol"/>
                <w:sz w:val="24"/>
                <w:szCs w:val="24"/>
              </w:rPr>
              <w:t>☐</w:t>
            </w:r>
            <w:r w:rsidRPr="00212392">
              <w:rPr>
                <w:rFonts w:asciiTheme="majorBidi" w:hAnsiTheme="majorBidi" w:cstheme="majorBidi"/>
                <w:sz w:val="24"/>
                <w:szCs w:val="24"/>
              </w:rPr>
              <w:t xml:space="preserve">Beginner / </w:t>
            </w:r>
            <w:r w:rsidRPr="00212392">
              <w:rPr>
                <w:rFonts w:asciiTheme="majorBidi" w:hAnsiTheme="majorBidi" w:cstheme="majorBidi"/>
                <w:i/>
                <w:iCs/>
                <w:sz w:val="24"/>
                <w:szCs w:val="24"/>
              </w:rPr>
              <w:t>Sơ cấp</w:t>
            </w:r>
            <w:r w:rsidRPr="00212392">
              <w:rPr>
                <w:rFonts w:asciiTheme="majorBidi" w:hAnsiTheme="majorBidi" w:cstheme="majorBidi"/>
                <w:sz w:val="24"/>
                <w:szCs w:val="24"/>
              </w:rPr>
              <w:t xml:space="preserve"> </w:t>
            </w:r>
          </w:p>
          <w:p w14:paraId="2BEEC65E" w14:textId="77777777" w:rsidR="004B7A44" w:rsidRPr="00212392" w:rsidRDefault="004B7A44" w:rsidP="00DF1486">
            <w:pPr>
              <w:ind w:firstLine="0"/>
              <w:rPr>
                <w:rFonts w:asciiTheme="majorBidi" w:hAnsiTheme="majorBidi" w:cstheme="majorBidi"/>
                <w:sz w:val="24"/>
                <w:szCs w:val="24"/>
              </w:rPr>
            </w:pPr>
            <w:r w:rsidRPr="00212392">
              <w:rPr>
                <w:rFonts w:ascii="Segoe UI Symbol" w:hAnsi="Segoe UI Symbol" w:cs="Segoe UI Symbol"/>
                <w:sz w:val="24"/>
                <w:szCs w:val="24"/>
              </w:rPr>
              <w:t>☐</w:t>
            </w:r>
            <w:r w:rsidRPr="00212392">
              <w:rPr>
                <w:rFonts w:asciiTheme="majorBidi" w:hAnsiTheme="majorBidi" w:cstheme="majorBidi"/>
                <w:sz w:val="24"/>
                <w:szCs w:val="24"/>
              </w:rPr>
              <w:t xml:space="preserve">Intermediate / </w:t>
            </w:r>
            <w:r w:rsidRPr="00212392">
              <w:rPr>
                <w:rFonts w:asciiTheme="majorBidi" w:hAnsiTheme="majorBidi" w:cstheme="majorBidi"/>
                <w:i/>
                <w:iCs/>
                <w:sz w:val="24"/>
                <w:szCs w:val="24"/>
              </w:rPr>
              <w:t>Trung cấp</w:t>
            </w:r>
            <w:r w:rsidRPr="00212392">
              <w:rPr>
                <w:rFonts w:asciiTheme="majorBidi" w:hAnsiTheme="majorBidi" w:cstheme="majorBidi"/>
                <w:sz w:val="24"/>
                <w:szCs w:val="24"/>
              </w:rPr>
              <w:t xml:space="preserve"> </w:t>
            </w:r>
          </w:p>
          <w:p w14:paraId="023CD1EE" w14:textId="77777777" w:rsidR="004B7A44" w:rsidRPr="00212392" w:rsidRDefault="004B7A44" w:rsidP="00DF1486">
            <w:pPr>
              <w:ind w:firstLine="0"/>
              <w:rPr>
                <w:rFonts w:asciiTheme="majorBidi" w:hAnsiTheme="majorBidi" w:cstheme="majorBidi"/>
                <w:sz w:val="24"/>
                <w:szCs w:val="24"/>
              </w:rPr>
            </w:pPr>
            <w:r w:rsidRPr="00212392">
              <w:rPr>
                <w:rFonts w:ascii="Segoe UI Symbol" w:hAnsi="Segoe UI Symbol" w:cs="Segoe UI Symbol"/>
                <w:sz w:val="24"/>
                <w:szCs w:val="24"/>
              </w:rPr>
              <w:t>☐</w:t>
            </w:r>
            <w:r w:rsidRPr="00212392">
              <w:rPr>
                <w:rFonts w:asciiTheme="majorBidi" w:hAnsiTheme="majorBidi" w:cstheme="majorBidi"/>
                <w:sz w:val="24"/>
                <w:szCs w:val="24"/>
              </w:rPr>
              <w:t xml:space="preserve">Upper-intermediate / </w:t>
            </w:r>
            <w:r w:rsidRPr="00212392">
              <w:rPr>
                <w:rFonts w:asciiTheme="majorBidi" w:hAnsiTheme="majorBidi" w:cstheme="majorBidi"/>
                <w:i/>
                <w:iCs/>
                <w:sz w:val="24"/>
                <w:szCs w:val="24"/>
              </w:rPr>
              <w:t>Trung cấp cao</w:t>
            </w:r>
            <w:r w:rsidRPr="00212392">
              <w:rPr>
                <w:rFonts w:asciiTheme="majorBidi" w:hAnsiTheme="majorBidi" w:cstheme="majorBidi"/>
                <w:sz w:val="24"/>
                <w:szCs w:val="24"/>
              </w:rPr>
              <w:t xml:space="preserve"> </w:t>
            </w:r>
          </w:p>
          <w:p w14:paraId="724E3967" w14:textId="77777777" w:rsidR="004B7A44" w:rsidRPr="00212392" w:rsidRDefault="004B7A44" w:rsidP="00DF1486">
            <w:pPr>
              <w:ind w:firstLine="0"/>
              <w:rPr>
                <w:rFonts w:asciiTheme="majorBidi" w:hAnsiTheme="majorBidi" w:cstheme="majorBidi"/>
                <w:sz w:val="24"/>
                <w:szCs w:val="24"/>
              </w:rPr>
            </w:pPr>
            <w:r w:rsidRPr="00212392">
              <w:rPr>
                <w:rFonts w:ascii="Segoe UI Symbol" w:hAnsi="Segoe UI Symbol" w:cs="Segoe UI Symbol"/>
                <w:sz w:val="24"/>
                <w:szCs w:val="24"/>
              </w:rPr>
              <w:t>☐</w:t>
            </w:r>
            <w:r w:rsidRPr="00212392">
              <w:rPr>
                <w:rFonts w:asciiTheme="majorBidi" w:hAnsiTheme="majorBidi" w:cstheme="majorBidi"/>
                <w:sz w:val="24"/>
                <w:szCs w:val="24"/>
              </w:rPr>
              <w:t xml:space="preserve">Advanced / </w:t>
            </w:r>
            <w:r w:rsidRPr="00212392">
              <w:rPr>
                <w:rFonts w:asciiTheme="majorBidi" w:hAnsiTheme="majorBidi" w:cstheme="majorBidi"/>
                <w:i/>
                <w:iCs/>
                <w:sz w:val="24"/>
                <w:szCs w:val="24"/>
              </w:rPr>
              <w:t>Nâng cao</w:t>
            </w:r>
            <w:r w:rsidRPr="00212392">
              <w:rPr>
                <w:rFonts w:asciiTheme="majorBidi" w:hAnsiTheme="majorBidi" w:cstheme="majorBidi"/>
                <w:sz w:val="24"/>
                <w:szCs w:val="24"/>
              </w:rPr>
              <w:t xml:space="preserve"> </w:t>
            </w:r>
          </w:p>
        </w:tc>
      </w:tr>
      <w:tr w:rsidR="004B7A44" w:rsidRPr="00212392" w14:paraId="1996D332" w14:textId="77777777" w:rsidTr="00DF1486">
        <w:tc>
          <w:tcPr>
            <w:tcW w:w="9350" w:type="dxa"/>
            <w:gridSpan w:val="2"/>
            <w:tcBorders>
              <w:top w:val="single" w:sz="4" w:space="0" w:color="auto"/>
              <w:left w:val="single" w:sz="4" w:space="0" w:color="auto"/>
              <w:bottom w:val="single" w:sz="4" w:space="0" w:color="auto"/>
              <w:right w:val="single" w:sz="4" w:space="0" w:color="auto"/>
            </w:tcBorders>
          </w:tcPr>
          <w:p w14:paraId="2F53DFFA" w14:textId="77777777" w:rsidR="004B7A44" w:rsidRPr="00212392" w:rsidRDefault="004B7A44" w:rsidP="00DF1486">
            <w:pPr>
              <w:ind w:firstLine="0"/>
              <w:rPr>
                <w:rFonts w:asciiTheme="majorBidi" w:hAnsiTheme="majorBidi" w:cstheme="majorBidi"/>
                <w:b/>
                <w:bCs/>
                <w:sz w:val="24"/>
                <w:szCs w:val="24"/>
              </w:rPr>
            </w:pPr>
          </w:p>
          <w:p w14:paraId="3FC43B02" w14:textId="77777777" w:rsidR="004B7A44" w:rsidRPr="00212392" w:rsidRDefault="004B7A44" w:rsidP="00DF1486">
            <w:pPr>
              <w:ind w:firstLine="0"/>
              <w:rPr>
                <w:rFonts w:asciiTheme="majorBidi" w:hAnsiTheme="majorBidi" w:cstheme="majorBidi"/>
                <w:b/>
                <w:bCs/>
                <w:sz w:val="24"/>
                <w:szCs w:val="24"/>
              </w:rPr>
            </w:pPr>
            <w:r w:rsidRPr="00212392">
              <w:rPr>
                <w:rFonts w:asciiTheme="majorBidi" w:hAnsiTheme="majorBidi" w:cstheme="majorBidi"/>
                <w:b/>
                <w:bCs/>
                <w:sz w:val="24"/>
                <w:szCs w:val="24"/>
              </w:rPr>
              <w:t>SECTION B: LEARNER READINESS TOWARD ESL ORIENTATION</w:t>
            </w:r>
          </w:p>
          <w:p w14:paraId="6618969D" w14:textId="77777777" w:rsidR="004B7A44" w:rsidRPr="00212392" w:rsidRDefault="004B7A44" w:rsidP="00DF1486">
            <w:pPr>
              <w:ind w:firstLine="0"/>
              <w:rPr>
                <w:rFonts w:asciiTheme="majorBidi" w:hAnsiTheme="majorBidi" w:cstheme="majorBidi"/>
                <w:b/>
                <w:bCs/>
                <w:i/>
                <w:iCs/>
                <w:sz w:val="24"/>
                <w:szCs w:val="24"/>
              </w:rPr>
            </w:pPr>
            <w:r w:rsidRPr="00212392">
              <w:rPr>
                <w:rFonts w:asciiTheme="majorBidi" w:hAnsiTheme="majorBidi" w:cstheme="majorBidi"/>
                <w:b/>
                <w:bCs/>
                <w:i/>
                <w:iCs/>
                <w:sz w:val="24"/>
                <w:szCs w:val="24"/>
              </w:rPr>
              <w:t>PHẦN B: MỨC ĐỘ SẴN SÀNG SỬ DỤNG TIẾNG ANH NHƯ NGÔN NGỮ THỨ HAI</w:t>
            </w:r>
          </w:p>
          <w:p w14:paraId="5856EB89" w14:textId="77777777" w:rsidR="004B7A44" w:rsidRPr="00212392" w:rsidRDefault="004B7A44" w:rsidP="00DF1486">
            <w:pPr>
              <w:ind w:firstLine="0"/>
              <w:rPr>
                <w:rFonts w:asciiTheme="majorBidi" w:hAnsiTheme="majorBidi" w:cstheme="majorBidi"/>
                <w:b/>
                <w:bCs/>
                <w:i/>
                <w:iCs/>
                <w:sz w:val="24"/>
                <w:szCs w:val="24"/>
              </w:rPr>
            </w:pPr>
          </w:p>
        </w:tc>
      </w:tr>
      <w:tr w:rsidR="004B7A44" w:rsidRPr="00212392" w14:paraId="1936F592" w14:textId="77777777" w:rsidTr="00DF1486">
        <w:tc>
          <w:tcPr>
            <w:tcW w:w="9350" w:type="dxa"/>
            <w:gridSpan w:val="2"/>
            <w:tcBorders>
              <w:top w:val="single" w:sz="4" w:space="0" w:color="auto"/>
              <w:left w:val="single" w:sz="4" w:space="0" w:color="auto"/>
              <w:bottom w:val="single" w:sz="4" w:space="0" w:color="auto"/>
              <w:right w:val="single" w:sz="4" w:space="0" w:color="auto"/>
            </w:tcBorders>
          </w:tcPr>
          <w:p w14:paraId="4A30D245"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Please indicate your level of agreement (1=strongly disagree - 2=disagree - 3= neutral - 4=agree - 5=strongly agree) with the following statements.</w:t>
            </w:r>
          </w:p>
          <w:p w14:paraId="4DFF883E"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Vui lòng cho biết mức độ đồng ý của bạn (1=hoàn toàn không đồng ý - 2= không đồng ý - 3=không ý kiến - 4=đồng ý - 5=hoàn toàn đồng ý) với các phát biểu sau.</w:t>
            </w:r>
          </w:p>
          <w:p w14:paraId="5F1A90EE" w14:textId="77777777" w:rsidR="004B7A44" w:rsidRPr="00212392" w:rsidRDefault="004B7A44" w:rsidP="00DF1486">
            <w:pPr>
              <w:ind w:firstLine="0"/>
              <w:rPr>
                <w:rFonts w:asciiTheme="majorBidi" w:hAnsiTheme="majorBidi" w:cstheme="majorBidi"/>
                <w:sz w:val="24"/>
                <w:szCs w:val="24"/>
              </w:rPr>
            </w:pPr>
          </w:p>
        </w:tc>
      </w:tr>
      <w:tr w:rsidR="004B7A44" w:rsidRPr="00212392" w14:paraId="2C9B0444" w14:textId="77777777" w:rsidTr="00DF1486">
        <w:tc>
          <w:tcPr>
            <w:tcW w:w="9350" w:type="dxa"/>
            <w:gridSpan w:val="2"/>
            <w:tcBorders>
              <w:top w:val="single" w:sz="4" w:space="0" w:color="auto"/>
              <w:left w:val="single" w:sz="4" w:space="0" w:color="auto"/>
              <w:bottom w:val="single" w:sz="4" w:space="0" w:color="auto"/>
              <w:right w:val="single" w:sz="4" w:space="0" w:color="auto"/>
            </w:tcBorders>
          </w:tcPr>
          <w:p w14:paraId="6C77A639" w14:textId="77777777" w:rsidR="004B7A44" w:rsidRPr="00212392" w:rsidRDefault="004B7A44" w:rsidP="00DF1486">
            <w:pPr>
              <w:ind w:firstLine="0"/>
              <w:rPr>
                <w:rFonts w:asciiTheme="majorBidi" w:hAnsiTheme="majorBidi" w:cstheme="majorBidi"/>
                <w:b/>
                <w:bCs/>
                <w:sz w:val="24"/>
                <w:szCs w:val="24"/>
              </w:rPr>
            </w:pPr>
          </w:p>
          <w:p w14:paraId="4530BDC9" w14:textId="77777777" w:rsidR="004B7A44" w:rsidRPr="00212392" w:rsidRDefault="004B7A44" w:rsidP="00DF1486">
            <w:pPr>
              <w:ind w:firstLine="0"/>
              <w:rPr>
                <w:rFonts w:asciiTheme="majorBidi" w:hAnsiTheme="majorBidi" w:cstheme="majorBidi"/>
                <w:b/>
                <w:bCs/>
                <w:sz w:val="24"/>
                <w:szCs w:val="24"/>
              </w:rPr>
            </w:pPr>
            <w:r w:rsidRPr="00212392">
              <w:rPr>
                <w:rFonts w:asciiTheme="majorBidi" w:hAnsiTheme="majorBidi" w:cstheme="majorBidi"/>
                <w:b/>
                <w:bCs/>
                <w:sz w:val="24"/>
                <w:szCs w:val="24"/>
              </w:rPr>
              <w:t xml:space="preserve">Part 1: Communicative Competence </w:t>
            </w:r>
            <w:r w:rsidRPr="00212392">
              <w:rPr>
                <w:rFonts w:asciiTheme="majorBidi" w:hAnsiTheme="majorBidi" w:cstheme="majorBidi"/>
                <w:b/>
                <w:bCs/>
                <w:i/>
                <w:iCs/>
                <w:sz w:val="24"/>
                <w:szCs w:val="24"/>
              </w:rPr>
              <w:t>/ Năng lực giao tiếp</w:t>
            </w:r>
          </w:p>
          <w:p w14:paraId="79EDA334" w14:textId="77777777" w:rsidR="004B7A44" w:rsidRPr="00212392" w:rsidRDefault="004B7A44" w:rsidP="00DF1486">
            <w:pPr>
              <w:ind w:firstLine="0"/>
              <w:rPr>
                <w:rFonts w:asciiTheme="majorBidi" w:hAnsiTheme="majorBidi" w:cstheme="majorBidi"/>
                <w:sz w:val="24"/>
                <w:szCs w:val="24"/>
              </w:rPr>
            </w:pPr>
          </w:p>
        </w:tc>
      </w:tr>
      <w:tr w:rsidR="004B7A44" w:rsidRPr="00212392" w14:paraId="37F111FE"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51FF80A4"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B1.1</w:t>
            </w:r>
          </w:p>
        </w:tc>
        <w:tc>
          <w:tcPr>
            <w:tcW w:w="8635" w:type="dxa"/>
            <w:tcBorders>
              <w:top w:val="single" w:sz="4" w:space="0" w:color="auto"/>
              <w:left w:val="single" w:sz="4" w:space="0" w:color="auto"/>
              <w:bottom w:val="single" w:sz="4" w:space="0" w:color="auto"/>
              <w:right w:val="single" w:sz="4" w:space="0" w:color="auto"/>
            </w:tcBorders>
            <w:hideMark/>
          </w:tcPr>
          <w:p w14:paraId="51F6E88C"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can use English effectively in real-life communication.</w:t>
            </w:r>
          </w:p>
          <w:p w14:paraId="08441BF4"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Tôi có thể sử dụng tiếng Anh hiệu quả trong các giao tiếp hàng ngày.</w:t>
            </w:r>
          </w:p>
        </w:tc>
      </w:tr>
      <w:tr w:rsidR="004B7A44" w:rsidRPr="00212392" w14:paraId="2A295DA8"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364C1983"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B1.2</w:t>
            </w:r>
          </w:p>
        </w:tc>
        <w:tc>
          <w:tcPr>
            <w:tcW w:w="8635" w:type="dxa"/>
            <w:tcBorders>
              <w:top w:val="single" w:sz="4" w:space="0" w:color="auto"/>
              <w:left w:val="single" w:sz="4" w:space="0" w:color="auto"/>
              <w:bottom w:val="single" w:sz="4" w:space="0" w:color="auto"/>
              <w:right w:val="single" w:sz="4" w:space="0" w:color="auto"/>
            </w:tcBorders>
            <w:hideMark/>
          </w:tcPr>
          <w:p w14:paraId="207B8112"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am able to express my ideas clearly in English.</w:t>
            </w:r>
          </w:p>
          <w:p w14:paraId="3D135825"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Tôi có thể diễn đạt ý tưởng của mình rõ ràng bằng tiếng Anh khi giao tiếp.</w:t>
            </w:r>
          </w:p>
        </w:tc>
      </w:tr>
      <w:tr w:rsidR="004B7A44" w:rsidRPr="00212392" w14:paraId="5EC5A353"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0FFAC42F"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B1.3</w:t>
            </w:r>
          </w:p>
        </w:tc>
        <w:tc>
          <w:tcPr>
            <w:tcW w:w="8635" w:type="dxa"/>
            <w:tcBorders>
              <w:top w:val="single" w:sz="4" w:space="0" w:color="auto"/>
              <w:left w:val="single" w:sz="4" w:space="0" w:color="auto"/>
              <w:bottom w:val="single" w:sz="4" w:space="0" w:color="auto"/>
              <w:right w:val="single" w:sz="4" w:space="0" w:color="auto"/>
            </w:tcBorders>
            <w:hideMark/>
          </w:tcPr>
          <w:p w14:paraId="224503DC"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can understand spoken English in everyday conversations.</w:t>
            </w:r>
          </w:p>
          <w:p w14:paraId="4CB1DF05"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Tôi có thể hiểu tiếng Anh trong các cuộc hội thoại hằng ngày.</w:t>
            </w:r>
          </w:p>
        </w:tc>
      </w:tr>
      <w:tr w:rsidR="004B7A44" w:rsidRPr="00212392" w14:paraId="789BABB1"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5F177F31"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B1.4</w:t>
            </w:r>
          </w:p>
        </w:tc>
        <w:tc>
          <w:tcPr>
            <w:tcW w:w="8635" w:type="dxa"/>
            <w:tcBorders>
              <w:top w:val="single" w:sz="4" w:space="0" w:color="auto"/>
              <w:left w:val="single" w:sz="4" w:space="0" w:color="auto"/>
              <w:bottom w:val="single" w:sz="4" w:space="0" w:color="auto"/>
              <w:right w:val="single" w:sz="4" w:space="0" w:color="auto"/>
            </w:tcBorders>
            <w:hideMark/>
          </w:tcPr>
          <w:p w14:paraId="2377650D"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can adjust my English depending on different contexts.</w:t>
            </w:r>
          </w:p>
          <w:p w14:paraId="366C6CEE"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Tôi có thể điều chỉnh cách sử dụng tiếng Anh tùy theo tình huống khác nhau.</w:t>
            </w:r>
          </w:p>
        </w:tc>
      </w:tr>
      <w:tr w:rsidR="004B7A44" w:rsidRPr="00212392" w14:paraId="797A57FA"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07169F37"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B1.5</w:t>
            </w:r>
          </w:p>
        </w:tc>
        <w:tc>
          <w:tcPr>
            <w:tcW w:w="8635" w:type="dxa"/>
            <w:tcBorders>
              <w:top w:val="single" w:sz="4" w:space="0" w:color="auto"/>
              <w:left w:val="single" w:sz="4" w:space="0" w:color="auto"/>
              <w:bottom w:val="single" w:sz="4" w:space="0" w:color="auto"/>
              <w:right w:val="single" w:sz="4" w:space="0" w:color="auto"/>
            </w:tcBorders>
            <w:hideMark/>
          </w:tcPr>
          <w:p w14:paraId="09E6A27A"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find it difficult to express myself clearly in English.</w:t>
            </w:r>
          </w:p>
          <w:p w14:paraId="6FF3DD36"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Tôi gặp khó khăn khi diễn đạt bản thân rõ ràng bằng tiếng Anh.</w:t>
            </w:r>
          </w:p>
        </w:tc>
      </w:tr>
      <w:tr w:rsidR="004B7A44" w:rsidRPr="00212392" w14:paraId="20E14CB3" w14:textId="77777777" w:rsidTr="00DF1486">
        <w:tc>
          <w:tcPr>
            <w:tcW w:w="9350" w:type="dxa"/>
            <w:gridSpan w:val="2"/>
            <w:tcBorders>
              <w:top w:val="single" w:sz="4" w:space="0" w:color="auto"/>
              <w:left w:val="single" w:sz="4" w:space="0" w:color="auto"/>
              <w:bottom w:val="single" w:sz="4" w:space="0" w:color="auto"/>
              <w:right w:val="single" w:sz="4" w:space="0" w:color="auto"/>
            </w:tcBorders>
          </w:tcPr>
          <w:p w14:paraId="658DF94B" w14:textId="77777777" w:rsidR="004B7A44" w:rsidRPr="00212392" w:rsidRDefault="004B7A44" w:rsidP="00DF1486">
            <w:pPr>
              <w:ind w:firstLine="0"/>
              <w:rPr>
                <w:rFonts w:asciiTheme="majorBidi" w:hAnsiTheme="majorBidi" w:cstheme="majorBidi"/>
                <w:b/>
                <w:bCs/>
                <w:sz w:val="24"/>
                <w:szCs w:val="24"/>
              </w:rPr>
            </w:pPr>
          </w:p>
          <w:p w14:paraId="12A1AC9B" w14:textId="77777777" w:rsidR="004B7A44" w:rsidRPr="00212392" w:rsidRDefault="004B7A44" w:rsidP="00DF1486">
            <w:pPr>
              <w:ind w:firstLine="0"/>
              <w:rPr>
                <w:rFonts w:asciiTheme="majorBidi" w:hAnsiTheme="majorBidi" w:cstheme="majorBidi"/>
                <w:b/>
                <w:bCs/>
                <w:sz w:val="24"/>
                <w:szCs w:val="24"/>
              </w:rPr>
            </w:pPr>
            <w:r w:rsidRPr="00212392">
              <w:rPr>
                <w:rFonts w:asciiTheme="majorBidi" w:hAnsiTheme="majorBidi" w:cstheme="majorBidi"/>
                <w:b/>
                <w:bCs/>
                <w:sz w:val="24"/>
                <w:szCs w:val="24"/>
              </w:rPr>
              <w:t xml:space="preserve">Part 2: Willingness to Communicate/ </w:t>
            </w:r>
            <w:r w:rsidRPr="00212392">
              <w:rPr>
                <w:rFonts w:asciiTheme="majorBidi" w:hAnsiTheme="majorBidi" w:cstheme="majorBidi"/>
                <w:b/>
                <w:bCs/>
                <w:i/>
                <w:iCs/>
                <w:sz w:val="24"/>
                <w:szCs w:val="24"/>
              </w:rPr>
              <w:t>Sẵn sàng giao tiếp</w:t>
            </w:r>
          </w:p>
          <w:p w14:paraId="5F678189" w14:textId="77777777" w:rsidR="004B7A44" w:rsidRPr="00212392" w:rsidRDefault="004B7A44" w:rsidP="00DF1486">
            <w:pPr>
              <w:ind w:firstLine="0"/>
              <w:rPr>
                <w:rFonts w:asciiTheme="majorBidi" w:hAnsiTheme="majorBidi" w:cstheme="majorBidi"/>
                <w:b/>
                <w:bCs/>
                <w:sz w:val="24"/>
                <w:szCs w:val="24"/>
              </w:rPr>
            </w:pPr>
          </w:p>
        </w:tc>
      </w:tr>
      <w:tr w:rsidR="004B7A44" w:rsidRPr="00212392" w14:paraId="380A394D"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7E482007"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B2.1</w:t>
            </w:r>
          </w:p>
        </w:tc>
        <w:tc>
          <w:tcPr>
            <w:tcW w:w="8635" w:type="dxa"/>
            <w:tcBorders>
              <w:top w:val="single" w:sz="4" w:space="0" w:color="auto"/>
              <w:left w:val="single" w:sz="4" w:space="0" w:color="auto"/>
              <w:bottom w:val="single" w:sz="4" w:space="0" w:color="auto"/>
              <w:right w:val="single" w:sz="4" w:space="0" w:color="auto"/>
            </w:tcBorders>
            <w:hideMark/>
          </w:tcPr>
          <w:p w14:paraId="3001A4CE"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am willing to speak English when given the opportunity.</w:t>
            </w:r>
          </w:p>
          <w:p w14:paraId="4A1C3AD7"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Tôi sẵn sàng nói tiếng Anh khi có cơ hội.</w:t>
            </w:r>
          </w:p>
        </w:tc>
      </w:tr>
      <w:tr w:rsidR="004B7A44" w:rsidRPr="00212392" w14:paraId="7D67892B"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7B4507BA"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B2.2</w:t>
            </w:r>
          </w:p>
        </w:tc>
        <w:tc>
          <w:tcPr>
            <w:tcW w:w="8635" w:type="dxa"/>
            <w:tcBorders>
              <w:top w:val="single" w:sz="4" w:space="0" w:color="auto"/>
              <w:left w:val="single" w:sz="4" w:space="0" w:color="auto"/>
              <w:bottom w:val="single" w:sz="4" w:space="0" w:color="auto"/>
              <w:right w:val="single" w:sz="4" w:space="0" w:color="auto"/>
            </w:tcBorders>
            <w:hideMark/>
          </w:tcPr>
          <w:p w14:paraId="224652B9"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am ready to use English outside the classroom.</w:t>
            </w:r>
          </w:p>
          <w:p w14:paraId="7EE04943"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Tôi sẵn sàng sử dụng tiếng Anh ngoài lớp học.</w:t>
            </w:r>
          </w:p>
        </w:tc>
      </w:tr>
      <w:tr w:rsidR="004B7A44" w:rsidRPr="00212392" w14:paraId="2CF8F443"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08064450"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B2.3</w:t>
            </w:r>
          </w:p>
        </w:tc>
        <w:tc>
          <w:tcPr>
            <w:tcW w:w="8635" w:type="dxa"/>
            <w:tcBorders>
              <w:top w:val="single" w:sz="4" w:space="0" w:color="auto"/>
              <w:left w:val="single" w:sz="4" w:space="0" w:color="auto"/>
              <w:bottom w:val="single" w:sz="4" w:space="0" w:color="auto"/>
              <w:right w:val="single" w:sz="4" w:space="0" w:color="auto"/>
            </w:tcBorders>
            <w:hideMark/>
          </w:tcPr>
          <w:p w14:paraId="7377771E"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am willing to communicate in English with strangers.</w:t>
            </w:r>
          </w:p>
          <w:p w14:paraId="4921B3BB"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Tôi sẵn sàng giao tiếp bằng tiếng Anh với người lạ.</w:t>
            </w:r>
          </w:p>
        </w:tc>
      </w:tr>
      <w:tr w:rsidR="004B7A44" w:rsidRPr="00212392" w14:paraId="7139CEC3"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65BF7452"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B2.4</w:t>
            </w:r>
          </w:p>
        </w:tc>
        <w:tc>
          <w:tcPr>
            <w:tcW w:w="8635" w:type="dxa"/>
            <w:tcBorders>
              <w:top w:val="single" w:sz="4" w:space="0" w:color="auto"/>
              <w:left w:val="single" w:sz="4" w:space="0" w:color="auto"/>
              <w:bottom w:val="single" w:sz="4" w:space="0" w:color="auto"/>
              <w:right w:val="single" w:sz="4" w:space="0" w:color="auto"/>
            </w:tcBorders>
            <w:hideMark/>
          </w:tcPr>
          <w:p w14:paraId="7CDE60A7"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am willing to express my opinions in English even if I make mistakes.</w:t>
            </w:r>
          </w:p>
          <w:p w14:paraId="7A2ED1F6"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Tôi sẵn sàng bày tỏ ý kiến bằng tiếng Anh ngay cả khi có thể mắc lỗi.</w:t>
            </w:r>
          </w:p>
        </w:tc>
      </w:tr>
      <w:tr w:rsidR="004B7A44" w:rsidRPr="00212392" w14:paraId="010544A8"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51BE0D8B"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B2.5</w:t>
            </w:r>
          </w:p>
        </w:tc>
        <w:tc>
          <w:tcPr>
            <w:tcW w:w="8635" w:type="dxa"/>
            <w:tcBorders>
              <w:top w:val="single" w:sz="4" w:space="0" w:color="auto"/>
              <w:left w:val="single" w:sz="4" w:space="0" w:color="auto"/>
              <w:bottom w:val="single" w:sz="4" w:space="0" w:color="auto"/>
              <w:right w:val="single" w:sz="4" w:space="0" w:color="auto"/>
            </w:tcBorders>
            <w:hideMark/>
          </w:tcPr>
          <w:p w14:paraId="031A6D55"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am willing to start a conversation in English.</w:t>
            </w:r>
          </w:p>
          <w:p w14:paraId="27E11592"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Tôi sẵn sàng bắt đầu một cuộc hội thoại bằng tiếng Anh.</w:t>
            </w:r>
          </w:p>
        </w:tc>
      </w:tr>
      <w:tr w:rsidR="004B7A44" w:rsidRPr="00212392" w14:paraId="11C30677" w14:textId="77777777" w:rsidTr="00DF1486">
        <w:tc>
          <w:tcPr>
            <w:tcW w:w="9350" w:type="dxa"/>
            <w:gridSpan w:val="2"/>
            <w:tcBorders>
              <w:top w:val="single" w:sz="4" w:space="0" w:color="auto"/>
              <w:left w:val="single" w:sz="4" w:space="0" w:color="auto"/>
              <w:bottom w:val="single" w:sz="4" w:space="0" w:color="auto"/>
              <w:right w:val="single" w:sz="4" w:space="0" w:color="auto"/>
            </w:tcBorders>
          </w:tcPr>
          <w:p w14:paraId="42279781" w14:textId="77777777" w:rsidR="004B7A44" w:rsidRPr="00212392" w:rsidRDefault="004B7A44" w:rsidP="00DF1486">
            <w:pPr>
              <w:ind w:firstLine="0"/>
              <w:rPr>
                <w:rFonts w:asciiTheme="majorBidi" w:hAnsiTheme="majorBidi" w:cstheme="majorBidi"/>
                <w:b/>
                <w:bCs/>
                <w:sz w:val="24"/>
                <w:szCs w:val="24"/>
              </w:rPr>
            </w:pPr>
          </w:p>
          <w:p w14:paraId="03EC0BBB" w14:textId="77777777" w:rsidR="004B7A44" w:rsidRPr="00212392" w:rsidRDefault="004B7A44" w:rsidP="00DF1486">
            <w:pPr>
              <w:ind w:firstLine="0"/>
              <w:rPr>
                <w:rFonts w:asciiTheme="majorBidi" w:hAnsiTheme="majorBidi" w:cstheme="majorBidi"/>
                <w:b/>
                <w:bCs/>
                <w:sz w:val="24"/>
                <w:szCs w:val="24"/>
              </w:rPr>
            </w:pPr>
            <w:r w:rsidRPr="00212392">
              <w:rPr>
                <w:rFonts w:asciiTheme="majorBidi" w:hAnsiTheme="majorBidi" w:cstheme="majorBidi"/>
                <w:b/>
                <w:bCs/>
                <w:sz w:val="24"/>
                <w:szCs w:val="24"/>
              </w:rPr>
              <w:t xml:space="preserve">Part 3: L2 Self-Confidence / </w:t>
            </w:r>
            <w:r w:rsidRPr="00212392">
              <w:rPr>
                <w:rFonts w:asciiTheme="majorBidi" w:hAnsiTheme="majorBidi" w:cstheme="majorBidi"/>
                <w:b/>
                <w:bCs/>
                <w:i/>
                <w:iCs/>
                <w:sz w:val="24"/>
                <w:szCs w:val="24"/>
              </w:rPr>
              <w:t>Sự tự tin khi sử dụng tiếng Anh</w:t>
            </w:r>
          </w:p>
          <w:p w14:paraId="118AB80A" w14:textId="77777777" w:rsidR="004B7A44" w:rsidRPr="00212392" w:rsidRDefault="004B7A44" w:rsidP="00DF1486">
            <w:pPr>
              <w:ind w:firstLine="0"/>
              <w:rPr>
                <w:rFonts w:asciiTheme="majorBidi" w:hAnsiTheme="majorBidi" w:cstheme="majorBidi"/>
                <w:b/>
                <w:bCs/>
                <w:sz w:val="24"/>
                <w:szCs w:val="24"/>
              </w:rPr>
            </w:pPr>
          </w:p>
        </w:tc>
      </w:tr>
      <w:tr w:rsidR="004B7A44" w:rsidRPr="00212392" w14:paraId="109492B0"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01DBCADE"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lastRenderedPageBreak/>
              <w:t>B3.1</w:t>
            </w:r>
          </w:p>
        </w:tc>
        <w:tc>
          <w:tcPr>
            <w:tcW w:w="8635" w:type="dxa"/>
            <w:tcBorders>
              <w:top w:val="single" w:sz="4" w:space="0" w:color="auto"/>
              <w:left w:val="single" w:sz="4" w:space="0" w:color="auto"/>
              <w:bottom w:val="single" w:sz="4" w:space="0" w:color="auto"/>
              <w:right w:val="single" w:sz="4" w:space="0" w:color="auto"/>
            </w:tcBorders>
            <w:hideMark/>
          </w:tcPr>
          <w:p w14:paraId="68024CA3"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feel confident when speaking English.</w:t>
            </w:r>
          </w:p>
          <w:p w14:paraId="3B42E694" w14:textId="77777777" w:rsidR="004B7A44" w:rsidRPr="00212392" w:rsidRDefault="004B7A44" w:rsidP="00DF1486">
            <w:pPr>
              <w:ind w:firstLine="0"/>
              <w:rPr>
                <w:rFonts w:asciiTheme="majorBidi" w:hAnsiTheme="majorBidi" w:cstheme="majorBidi"/>
                <w:b/>
                <w:bCs/>
                <w:i/>
                <w:iCs/>
                <w:sz w:val="24"/>
                <w:szCs w:val="24"/>
              </w:rPr>
            </w:pPr>
            <w:r w:rsidRPr="00212392">
              <w:rPr>
                <w:rFonts w:asciiTheme="majorBidi" w:hAnsiTheme="majorBidi" w:cstheme="majorBidi"/>
                <w:i/>
                <w:iCs/>
                <w:sz w:val="24"/>
                <w:szCs w:val="24"/>
              </w:rPr>
              <w:t xml:space="preserve">Tôi cảm thấy tự tin khi nói tiếng Anh. </w:t>
            </w:r>
          </w:p>
        </w:tc>
      </w:tr>
      <w:tr w:rsidR="004B7A44" w:rsidRPr="00212392" w14:paraId="7832FFD9"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2ECC1207"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B3.2</w:t>
            </w:r>
          </w:p>
        </w:tc>
        <w:tc>
          <w:tcPr>
            <w:tcW w:w="8635" w:type="dxa"/>
            <w:tcBorders>
              <w:top w:val="single" w:sz="4" w:space="0" w:color="auto"/>
              <w:left w:val="single" w:sz="4" w:space="0" w:color="auto"/>
              <w:bottom w:val="single" w:sz="4" w:space="0" w:color="auto"/>
              <w:right w:val="single" w:sz="4" w:space="0" w:color="auto"/>
            </w:tcBorders>
            <w:hideMark/>
          </w:tcPr>
          <w:p w14:paraId="65DC50D6"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believe I can communicate effectively in English.</w:t>
            </w:r>
          </w:p>
          <w:p w14:paraId="501607B8" w14:textId="77777777" w:rsidR="004B7A44" w:rsidRPr="00212392" w:rsidRDefault="004B7A44" w:rsidP="00DF1486">
            <w:pPr>
              <w:ind w:firstLine="0"/>
              <w:rPr>
                <w:rFonts w:asciiTheme="majorBidi" w:hAnsiTheme="majorBidi" w:cstheme="majorBidi"/>
                <w:b/>
                <w:bCs/>
                <w:i/>
                <w:iCs/>
                <w:sz w:val="24"/>
                <w:szCs w:val="24"/>
              </w:rPr>
            </w:pPr>
            <w:r w:rsidRPr="00212392">
              <w:rPr>
                <w:rFonts w:asciiTheme="majorBidi" w:hAnsiTheme="majorBidi" w:cstheme="majorBidi"/>
                <w:i/>
                <w:iCs/>
                <w:sz w:val="24"/>
                <w:szCs w:val="24"/>
              </w:rPr>
              <w:t xml:space="preserve">Tôi tin rằng mình có thể giao tiếp hiệu quả bằng tiếng Anh. </w:t>
            </w:r>
          </w:p>
        </w:tc>
      </w:tr>
      <w:tr w:rsidR="004B7A44" w:rsidRPr="00212392" w14:paraId="39BA0AAF"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578E1826"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B3.3</w:t>
            </w:r>
          </w:p>
        </w:tc>
        <w:tc>
          <w:tcPr>
            <w:tcW w:w="8635" w:type="dxa"/>
            <w:tcBorders>
              <w:top w:val="single" w:sz="4" w:space="0" w:color="auto"/>
              <w:left w:val="single" w:sz="4" w:space="0" w:color="auto"/>
              <w:bottom w:val="single" w:sz="4" w:space="0" w:color="auto"/>
              <w:right w:val="single" w:sz="4" w:space="0" w:color="auto"/>
            </w:tcBorders>
            <w:hideMark/>
          </w:tcPr>
          <w:p w14:paraId="01414E70"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feel comfortable using English in real-life situations.</w:t>
            </w:r>
          </w:p>
          <w:p w14:paraId="416ACFFE" w14:textId="77777777" w:rsidR="004B7A44" w:rsidRPr="00212392" w:rsidRDefault="004B7A44" w:rsidP="00DF1486">
            <w:pPr>
              <w:ind w:firstLine="0"/>
              <w:rPr>
                <w:rFonts w:asciiTheme="majorBidi" w:hAnsiTheme="majorBidi" w:cstheme="majorBidi"/>
                <w:b/>
                <w:bCs/>
                <w:i/>
                <w:iCs/>
                <w:sz w:val="24"/>
                <w:szCs w:val="24"/>
              </w:rPr>
            </w:pPr>
            <w:r w:rsidRPr="00212392">
              <w:rPr>
                <w:rFonts w:asciiTheme="majorBidi" w:hAnsiTheme="majorBidi" w:cstheme="majorBidi"/>
                <w:i/>
                <w:iCs/>
                <w:sz w:val="24"/>
                <w:szCs w:val="24"/>
              </w:rPr>
              <w:t xml:space="preserve">Tôi cảm thấy thoải mái khi sử dụng tiếng Anh trong các tình huống thực tế. </w:t>
            </w:r>
          </w:p>
        </w:tc>
      </w:tr>
      <w:tr w:rsidR="004B7A44" w:rsidRPr="00212392" w14:paraId="2729B8A0"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31389E7D"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B3.4</w:t>
            </w:r>
          </w:p>
        </w:tc>
        <w:tc>
          <w:tcPr>
            <w:tcW w:w="8635" w:type="dxa"/>
            <w:tcBorders>
              <w:top w:val="single" w:sz="4" w:space="0" w:color="auto"/>
              <w:left w:val="single" w:sz="4" w:space="0" w:color="auto"/>
              <w:bottom w:val="single" w:sz="4" w:space="0" w:color="auto"/>
              <w:right w:val="single" w:sz="4" w:space="0" w:color="auto"/>
            </w:tcBorders>
            <w:hideMark/>
          </w:tcPr>
          <w:p w14:paraId="6424DCC0"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am confident in my ability to express my thoughts in English.</w:t>
            </w:r>
          </w:p>
          <w:p w14:paraId="7535AC8E" w14:textId="77777777" w:rsidR="004B7A44" w:rsidRPr="00212392" w:rsidRDefault="004B7A44" w:rsidP="00DF1486">
            <w:pPr>
              <w:ind w:firstLine="0"/>
              <w:rPr>
                <w:rFonts w:asciiTheme="majorBidi" w:hAnsiTheme="majorBidi" w:cstheme="majorBidi"/>
                <w:i/>
                <w:iCs/>
                <w:sz w:val="24"/>
                <w:szCs w:val="24"/>
              </w:rPr>
            </w:pPr>
            <w:r w:rsidRPr="00212392">
              <w:rPr>
                <w:rFonts w:asciiTheme="majorBidi" w:hAnsiTheme="majorBidi" w:cstheme="majorBidi"/>
                <w:i/>
                <w:iCs/>
                <w:sz w:val="24"/>
                <w:szCs w:val="24"/>
              </w:rPr>
              <w:t xml:space="preserve">Tôi tự tin vào khả năng diễn đạt suy nghĩ của mình bằng tiếng Anh. </w:t>
            </w:r>
          </w:p>
        </w:tc>
      </w:tr>
      <w:tr w:rsidR="004B7A44" w:rsidRPr="00212392" w14:paraId="606EB309" w14:textId="77777777" w:rsidTr="00DF1486">
        <w:tc>
          <w:tcPr>
            <w:tcW w:w="715" w:type="dxa"/>
            <w:tcBorders>
              <w:top w:val="single" w:sz="4" w:space="0" w:color="auto"/>
              <w:left w:val="single" w:sz="4" w:space="0" w:color="auto"/>
              <w:bottom w:val="single" w:sz="4" w:space="0" w:color="auto"/>
              <w:right w:val="single" w:sz="4" w:space="0" w:color="auto"/>
            </w:tcBorders>
            <w:hideMark/>
          </w:tcPr>
          <w:p w14:paraId="069CA17A"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B3.5</w:t>
            </w:r>
          </w:p>
        </w:tc>
        <w:tc>
          <w:tcPr>
            <w:tcW w:w="8635" w:type="dxa"/>
            <w:tcBorders>
              <w:top w:val="single" w:sz="4" w:space="0" w:color="auto"/>
              <w:left w:val="single" w:sz="4" w:space="0" w:color="auto"/>
              <w:bottom w:val="single" w:sz="4" w:space="0" w:color="auto"/>
              <w:right w:val="single" w:sz="4" w:space="0" w:color="auto"/>
            </w:tcBorders>
            <w:hideMark/>
          </w:tcPr>
          <w:p w14:paraId="41EB8682" w14:textId="77777777" w:rsidR="004B7A44" w:rsidRPr="00212392" w:rsidRDefault="004B7A44" w:rsidP="00DF1486">
            <w:pPr>
              <w:ind w:firstLine="0"/>
              <w:rPr>
                <w:rFonts w:asciiTheme="majorBidi" w:hAnsiTheme="majorBidi" w:cstheme="majorBidi"/>
                <w:sz w:val="24"/>
                <w:szCs w:val="24"/>
              </w:rPr>
            </w:pPr>
            <w:r w:rsidRPr="00212392">
              <w:rPr>
                <w:rFonts w:asciiTheme="majorBidi" w:hAnsiTheme="majorBidi" w:cstheme="majorBidi"/>
                <w:sz w:val="24"/>
                <w:szCs w:val="24"/>
              </w:rPr>
              <w:t>I am confident in my ability to express my thoughts in English.</w:t>
            </w:r>
          </w:p>
          <w:p w14:paraId="0394041E" w14:textId="77777777" w:rsidR="004B7A44" w:rsidRPr="00212392" w:rsidRDefault="004B7A44" w:rsidP="00DF1486">
            <w:pPr>
              <w:ind w:firstLine="0"/>
              <w:rPr>
                <w:rFonts w:asciiTheme="majorBidi" w:hAnsiTheme="majorBidi" w:cstheme="majorBidi"/>
                <w:b/>
                <w:bCs/>
                <w:i/>
                <w:iCs/>
                <w:sz w:val="24"/>
                <w:szCs w:val="24"/>
              </w:rPr>
            </w:pPr>
            <w:r w:rsidRPr="00212392">
              <w:rPr>
                <w:rFonts w:asciiTheme="majorBidi" w:hAnsiTheme="majorBidi" w:cstheme="majorBidi"/>
                <w:i/>
                <w:iCs/>
                <w:sz w:val="24"/>
                <w:szCs w:val="24"/>
              </w:rPr>
              <w:t>Tôi tự tin vào khả năng diễn đạt suy nghĩ của mình bằng tiếng Anh.</w:t>
            </w:r>
          </w:p>
        </w:tc>
      </w:tr>
    </w:tbl>
    <w:p w14:paraId="4EF90AE7" w14:textId="77777777" w:rsidR="00722EDE" w:rsidRPr="00E40940" w:rsidRDefault="00722EDE" w:rsidP="00722EDE">
      <w:pPr>
        <w:pStyle w:val="RALs-Normal-NoIndent"/>
        <w:rPr>
          <w:rFonts w:asciiTheme="majorBidi" w:hAnsiTheme="majorBidi" w:cstheme="majorBidi"/>
          <w:sz w:val="24"/>
          <w:szCs w:val="24"/>
        </w:rPr>
      </w:pPr>
    </w:p>
    <w:p w14:paraId="4324279E" w14:textId="77777777" w:rsidR="00BA7885" w:rsidRPr="00E40940" w:rsidRDefault="00BA7885">
      <w:pPr>
        <w:rPr>
          <w:rFonts w:asciiTheme="majorBidi" w:hAnsiTheme="majorBidi" w:cstheme="majorBidi"/>
          <w:sz w:val="24"/>
          <w:szCs w:val="24"/>
        </w:rPr>
      </w:pPr>
    </w:p>
    <w:sectPr w:rsidR="00BA7885" w:rsidRPr="00E40940"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6405E" w14:textId="77777777" w:rsidR="00C21F31" w:rsidRDefault="00C21F31" w:rsidP="00722EDE">
      <w:pPr>
        <w:spacing w:before="0" w:after="0" w:line="240" w:lineRule="auto"/>
      </w:pPr>
      <w:r>
        <w:separator/>
      </w:r>
    </w:p>
  </w:endnote>
  <w:endnote w:type="continuationSeparator" w:id="0">
    <w:p w14:paraId="2CFA3645" w14:textId="77777777" w:rsidR="00C21F31" w:rsidRDefault="00C21F31"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44761" w14:textId="77777777" w:rsidR="00C21F31" w:rsidRDefault="00C21F31" w:rsidP="00722EDE">
      <w:pPr>
        <w:spacing w:before="0" w:after="0" w:line="240" w:lineRule="auto"/>
      </w:pPr>
      <w:r>
        <w:separator/>
      </w:r>
    </w:p>
  </w:footnote>
  <w:footnote w:type="continuationSeparator" w:id="0">
    <w:p w14:paraId="2E6487F9" w14:textId="77777777" w:rsidR="00C21F31" w:rsidRDefault="00C21F31" w:rsidP="00722EDE">
      <w:pPr>
        <w:spacing w:before="0" w:after="0" w:line="240" w:lineRule="auto"/>
      </w:pPr>
      <w:r>
        <w:continuationSeparator/>
      </w:r>
    </w:p>
  </w:footnote>
  <w:footnote w:id="1">
    <w:p w14:paraId="744E265C" w14:textId="509A7E46" w:rsidR="00722EDE" w:rsidRPr="00D00215" w:rsidRDefault="00845DA3" w:rsidP="00AD7745">
      <w:pPr>
        <w:pStyle w:val="FootnoteText"/>
        <w:rPr>
          <w:rFonts w:cs="Times New Roman"/>
        </w:rPr>
      </w:pPr>
      <w:r w:rsidRPr="00201E9B">
        <w:rPr>
          <w:rStyle w:val="FootnoteReference"/>
          <w:rFonts w:cs="Times New Roman"/>
        </w:rPr>
        <w:footnoteRef/>
      </w:r>
      <w:r w:rsidRPr="00201E9B">
        <w:rPr>
          <w:rFonts w:cs="Times New Roman"/>
        </w:rPr>
        <w:t xml:space="preserve"> </w:t>
      </w:r>
      <w:r w:rsidRPr="00201E9B">
        <w:rPr>
          <w:rFonts w:cs="Times New Roman"/>
          <w:spacing w:val="-2"/>
        </w:rPr>
        <w:t>Nguyen, Thi Thanh Loan</w:t>
      </w:r>
      <w:r>
        <w:rPr>
          <w:rFonts w:cs="Times New Roman"/>
          <w:spacing w:val="-2"/>
        </w:rPr>
        <w:t xml:space="preserve"> </w:t>
      </w:r>
      <w:r w:rsidRPr="00347772">
        <w:rPr>
          <w:rFonts w:cs="Times New Roman"/>
          <w:spacing w:val="-2"/>
        </w:rPr>
        <w:t>(Corresponding author)</w:t>
      </w:r>
      <w:r w:rsidRPr="00201E9B">
        <w:rPr>
          <w:rFonts w:cs="Times New Roman"/>
          <w:spacing w:val="-2"/>
        </w:rPr>
        <w:t xml:space="preserve">, </w:t>
      </w:r>
      <w:r w:rsidRPr="00201E9B">
        <w:rPr>
          <w:rFonts w:cs="Times New Roman"/>
        </w:rPr>
        <w:t>Lecturer</w:t>
      </w:r>
      <w:r w:rsidRPr="00201E9B">
        <w:rPr>
          <w:rFonts w:cs="Times New Roman"/>
          <w:spacing w:val="-2"/>
        </w:rPr>
        <w:t xml:space="preserve">, </w:t>
      </w:r>
      <w:r>
        <w:rPr>
          <w:rFonts w:cs="Times New Roman"/>
          <w:spacing w:val="-2"/>
        </w:rPr>
        <w:t xml:space="preserve">Department of English Language Studies, </w:t>
      </w:r>
      <w:r w:rsidRPr="00201E9B">
        <w:rPr>
          <w:rFonts w:cs="Times New Roman"/>
          <w:spacing w:val="-2"/>
        </w:rPr>
        <w:t xml:space="preserve">Faculty of Foreign Languages, HUFLIT, Ho Chi Minh City, Vietnam; </w:t>
      </w:r>
      <w:r w:rsidRPr="00201E9B">
        <w:rPr>
          <w:rFonts w:cs="Times New Roman"/>
          <w:i/>
          <w:iCs/>
          <w:spacing w:val="-2"/>
        </w:rPr>
        <w:t>Email:</w:t>
      </w:r>
      <w:r w:rsidRPr="00201E9B">
        <w:rPr>
          <w:rFonts w:cs="Times New Roman"/>
          <w:i/>
          <w:iCs/>
        </w:rPr>
        <w:t xml:space="preserve"> loanntt@huflit.edu.vn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7941858">
    <w:abstractNumId w:val="0"/>
  </w:num>
  <w:num w:numId="2" w16cid:durableId="402069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255FB"/>
    <w:rsid w:val="000452F9"/>
    <w:rsid w:val="0008495B"/>
    <w:rsid w:val="00097731"/>
    <w:rsid w:val="000B5EB1"/>
    <w:rsid w:val="000D02DA"/>
    <w:rsid w:val="00100186"/>
    <w:rsid w:val="00105F23"/>
    <w:rsid w:val="0011440B"/>
    <w:rsid w:val="0017074D"/>
    <w:rsid w:val="001D1F3F"/>
    <w:rsid w:val="00202487"/>
    <w:rsid w:val="00230B4C"/>
    <w:rsid w:val="002334D9"/>
    <w:rsid w:val="0024049F"/>
    <w:rsid w:val="002639BD"/>
    <w:rsid w:val="00263F22"/>
    <w:rsid w:val="002835DB"/>
    <w:rsid w:val="00291EBB"/>
    <w:rsid w:val="002E660C"/>
    <w:rsid w:val="00316775"/>
    <w:rsid w:val="00352213"/>
    <w:rsid w:val="0035249D"/>
    <w:rsid w:val="00352D49"/>
    <w:rsid w:val="00374F3D"/>
    <w:rsid w:val="00385D90"/>
    <w:rsid w:val="003943D0"/>
    <w:rsid w:val="003C1DED"/>
    <w:rsid w:val="003E053B"/>
    <w:rsid w:val="003E395E"/>
    <w:rsid w:val="003E7F04"/>
    <w:rsid w:val="003F209F"/>
    <w:rsid w:val="00486E01"/>
    <w:rsid w:val="00492B4B"/>
    <w:rsid w:val="004B7A44"/>
    <w:rsid w:val="00531702"/>
    <w:rsid w:val="00534412"/>
    <w:rsid w:val="0055247B"/>
    <w:rsid w:val="0055635B"/>
    <w:rsid w:val="005D200D"/>
    <w:rsid w:val="005E6521"/>
    <w:rsid w:val="005F4AE4"/>
    <w:rsid w:val="0060356B"/>
    <w:rsid w:val="00622A07"/>
    <w:rsid w:val="006505BE"/>
    <w:rsid w:val="00660CAB"/>
    <w:rsid w:val="006A0AE2"/>
    <w:rsid w:val="006D5B06"/>
    <w:rsid w:val="006F01BE"/>
    <w:rsid w:val="00722EDE"/>
    <w:rsid w:val="007270FC"/>
    <w:rsid w:val="00731225"/>
    <w:rsid w:val="007507FE"/>
    <w:rsid w:val="00762AAD"/>
    <w:rsid w:val="007B54D6"/>
    <w:rsid w:val="007C0822"/>
    <w:rsid w:val="007C7BDC"/>
    <w:rsid w:val="0084425D"/>
    <w:rsid w:val="00845DA3"/>
    <w:rsid w:val="00871571"/>
    <w:rsid w:val="00881C36"/>
    <w:rsid w:val="008A7F9A"/>
    <w:rsid w:val="0090368E"/>
    <w:rsid w:val="00906B59"/>
    <w:rsid w:val="00934FC5"/>
    <w:rsid w:val="00942596"/>
    <w:rsid w:val="00943C2F"/>
    <w:rsid w:val="00950C30"/>
    <w:rsid w:val="00953A31"/>
    <w:rsid w:val="009627F9"/>
    <w:rsid w:val="009A2266"/>
    <w:rsid w:val="00A01970"/>
    <w:rsid w:val="00A43867"/>
    <w:rsid w:val="00A6273B"/>
    <w:rsid w:val="00AA0B64"/>
    <w:rsid w:val="00AB1BE1"/>
    <w:rsid w:val="00AB40B0"/>
    <w:rsid w:val="00AC70E0"/>
    <w:rsid w:val="00AD29B9"/>
    <w:rsid w:val="00AD7745"/>
    <w:rsid w:val="00AE1120"/>
    <w:rsid w:val="00B13FAF"/>
    <w:rsid w:val="00B22143"/>
    <w:rsid w:val="00BA7885"/>
    <w:rsid w:val="00C21F31"/>
    <w:rsid w:val="00C47E23"/>
    <w:rsid w:val="00C51D2A"/>
    <w:rsid w:val="00C863B2"/>
    <w:rsid w:val="00C86B20"/>
    <w:rsid w:val="00CD3D29"/>
    <w:rsid w:val="00CD5CC3"/>
    <w:rsid w:val="00D16C51"/>
    <w:rsid w:val="00D27A4B"/>
    <w:rsid w:val="00D3302B"/>
    <w:rsid w:val="00DC5B1A"/>
    <w:rsid w:val="00DC5BCF"/>
    <w:rsid w:val="00DD1C98"/>
    <w:rsid w:val="00DD7139"/>
    <w:rsid w:val="00DE422F"/>
    <w:rsid w:val="00E0508B"/>
    <w:rsid w:val="00E40940"/>
    <w:rsid w:val="00E60357"/>
    <w:rsid w:val="00EB35B5"/>
    <w:rsid w:val="00EC1FC8"/>
    <w:rsid w:val="00EE6618"/>
    <w:rsid w:val="00F03E1A"/>
    <w:rsid w:val="00F63596"/>
    <w:rsid w:val="00F80056"/>
    <w:rsid w:val="00F80631"/>
    <w:rsid w:val="00FB2B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90F74"/>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39"/>
    <w:rsid w:val="003F209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F2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508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0508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0248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89743">
      <w:bodyDiv w:val="1"/>
      <w:marLeft w:val="0"/>
      <w:marRight w:val="0"/>
      <w:marTop w:val="0"/>
      <w:marBottom w:val="0"/>
      <w:divBdr>
        <w:top w:val="none" w:sz="0" w:space="0" w:color="auto"/>
        <w:left w:val="none" w:sz="0" w:space="0" w:color="auto"/>
        <w:bottom w:val="none" w:sz="0" w:space="0" w:color="auto"/>
        <w:right w:val="none" w:sz="0" w:space="0" w:color="auto"/>
      </w:divBdr>
    </w:div>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anban.chinhphu.vn/?pageid=27160&amp;docid=2157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D38E7-B5A1-4E20-B9C9-EA5613745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6113</Words>
  <Characters>34849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Nguyễn Thị Thanh Loan</cp:lastModifiedBy>
  <cp:revision>4</cp:revision>
  <dcterms:created xsi:type="dcterms:W3CDTF">2026-06-22T03:56:00Z</dcterms:created>
  <dcterms:modified xsi:type="dcterms:W3CDTF">2026-07-08T09:09:00Z</dcterms:modified>
</cp:coreProperties>
</file>