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014C4" w14:textId="77777777" w:rsidR="009E12A3" w:rsidRPr="009E12A3" w:rsidRDefault="009E12A3" w:rsidP="006F7D8F">
      <w:pPr>
        <w:spacing w:after="0" w:line="360" w:lineRule="auto"/>
        <w:jc w:val="center"/>
        <w:rPr>
          <w:rFonts w:eastAsia="Aptos" w:cs="Times New Roman"/>
          <w:sz w:val="24"/>
          <w:szCs w:val="24"/>
        </w:rPr>
      </w:pPr>
      <w:bookmarkStart w:id="0" w:name="english_pharmaceutical_terminolog_1ddada"/>
      <w:r w:rsidRPr="009E12A3">
        <w:rPr>
          <w:rFonts w:eastAsia="source serif 4" w:cs="Times New Roman"/>
          <w:b/>
          <w:color w:val="000000"/>
          <w:sz w:val="24"/>
          <w:szCs w:val="24"/>
        </w:rPr>
        <w:t>English Pharmaceutical Terminology at LHU Faculty of Pharmacy: Current Usage, Learning Difficulties, and Pedagogical Implications</w:t>
      </w:r>
      <w:bookmarkEnd w:id="0"/>
    </w:p>
    <w:p w14:paraId="7F2AAFB5" w14:textId="77777777" w:rsidR="006F7D8F" w:rsidRDefault="006F7D8F" w:rsidP="009E12A3">
      <w:pPr>
        <w:spacing w:after="0" w:line="360" w:lineRule="auto"/>
        <w:rPr>
          <w:rFonts w:eastAsia="source serif 4" w:cs="Times New Roman"/>
          <w:i/>
          <w:iCs/>
          <w:color w:val="000000"/>
          <w:sz w:val="24"/>
          <w:szCs w:val="24"/>
        </w:rPr>
      </w:pPr>
    </w:p>
    <w:p w14:paraId="5B398489" w14:textId="3D6C4F4A" w:rsidR="009E12A3" w:rsidRPr="009E12A3" w:rsidRDefault="009E12A3" w:rsidP="009E12A3">
      <w:pPr>
        <w:spacing w:after="0" w:line="360" w:lineRule="auto"/>
        <w:rPr>
          <w:rFonts w:eastAsia="Aptos" w:cs="Times New Roman"/>
          <w:i/>
          <w:iCs/>
          <w:sz w:val="24"/>
          <w:szCs w:val="24"/>
        </w:rPr>
      </w:pPr>
      <w:r w:rsidRPr="009E12A3">
        <w:rPr>
          <w:rFonts w:eastAsia="source serif 4" w:cs="Times New Roman"/>
          <w:i/>
          <w:iCs/>
          <w:color w:val="000000"/>
          <w:sz w:val="24"/>
          <w:szCs w:val="24"/>
        </w:rPr>
        <w:t>Nguyen Huu Thinh, Lac Hong University</w:t>
      </w:r>
      <w:r w:rsidRPr="009E12A3">
        <w:rPr>
          <w:rFonts w:eastAsia="source serif 4" w:cs="Times New Roman"/>
          <w:i/>
          <w:iCs/>
          <w:color w:val="000000"/>
          <w:sz w:val="24"/>
          <w:szCs w:val="24"/>
        </w:rPr>
        <w:br/>
        <w:t>Pham Huu Duc, School of Languages, International University -- VNU HCMC</w:t>
      </w:r>
    </w:p>
    <w:p w14:paraId="489E53BC" w14:textId="77777777" w:rsidR="009E12A3" w:rsidRPr="009E12A3" w:rsidRDefault="009E12A3" w:rsidP="009E12A3">
      <w:pPr>
        <w:spacing w:after="0" w:line="360" w:lineRule="auto"/>
        <w:rPr>
          <w:rFonts w:eastAsia="source serif 4" w:cs="Times New Roman"/>
          <w:b/>
          <w:color w:val="000000"/>
          <w:sz w:val="24"/>
          <w:szCs w:val="24"/>
        </w:rPr>
      </w:pPr>
      <w:bookmarkStart w:id="1" w:name="abstract"/>
    </w:p>
    <w:p w14:paraId="7CFF3693" w14:textId="77777777" w:rsidR="009E12A3" w:rsidRPr="009E12A3" w:rsidRDefault="009E12A3" w:rsidP="009E12A3">
      <w:pPr>
        <w:spacing w:after="0" w:line="360" w:lineRule="auto"/>
        <w:rPr>
          <w:rFonts w:eastAsia="Aptos" w:cs="Times New Roman"/>
          <w:sz w:val="24"/>
          <w:szCs w:val="24"/>
        </w:rPr>
      </w:pPr>
      <w:r w:rsidRPr="009E12A3">
        <w:rPr>
          <w:rFonts w:eastAsia="source serif 4" w:cs="Times New Roman"/>
          <w:b/>
          <w:color w:val="000000"/>
          <w:sz w:val="24"/>
          <w:szCs w:val="24"/>
        </w:rPr>
        <w:t>Abstract</w:t>
      </w:r>
      <w:bookmarkEnd w:id="1"/>
    </w:p>
    <w:p w14:paraId="65DD9917" w14:textId="5C209654" w:rsidR="009E12A3" w:rsidRPr="009E12A3" w:rsidRDefault="009E12A3" w:rsidP="009E12A3">
      <w:pPr>
        <w:spacing w:after="0" w:line="360" w:lineRule="auto"/>
        <w:jc w:val="both"/>
        <w:rPr>
          <w:rFonts w:eastAsia="source serif 4" w:cs="Times New Roman"/>
          <w:color w:val="000000"/>
          <w:sz w:val="24"/>
          <w:szCs w:val="24"/>
        </w:rPr>
      </w:pPr>
      <w:r w:rsidRPr="009E12A3">
        <w:rPr>
          <w:rFonts w:eastAsia="source serif 4" w:cs="Times New Roman"/>
          <w:color w:val="000000"/>
          <w:sz w:val="24"/>
          <w:szCs w:val="24"/>
        </w:rPr>
        <w:t xml:space="preserve">English pharmacology terms become increasingly significant as a means of preparing pharmacy students for both academic study and professional communication in modern health care environments. This research explores the way students at Lac Hong University (LHU) are exposed to and learn English pharmaceutical terms, their problems and difficulties and the methods of teaching which can help to overcome these difficulties. The research is based on a mixed-method approach with questionnaires being filled in by 80 students and semi-structured interviews being conducted with 10 participants (Babar, 2015). The quantitative analysis was based on such factors as exposure and usage of the language, knowledge level, difficulties in studying and difference between academic years, while qualitative analysis was applied to detect certain themes in the respondents' experiences. As for the survey findings, </w:t>
      </w:r>
      <w:r w:rsidR="00806178" w:rsidRPr="009E12A3">
        <w:rPr>
          <w:rFonts w:eastAsia="source serif 4" w:cs="Times New Roman"/>
          <w:color w:val="000000"/>
          <w:sz w:val="24"/>
          <w:szCs w:val="24"/>
        </w:rPr>
        <w:t>the</w:t>
      </w:r>
      <w:r w:rsidRPr="009E12A3">
        <w:rPr>
          <w:rFonts w:eastAsia="source serif 4" w:cs="Times New Roman"/>
          <w:color w:val="000000"/>
          <w:sz w:val="24"/>
          <w:szCs w:val="24"/>
        </w:rPr>
        <w:t xml:space="preserve"> exposure and usage level is moderate (M = 3.97), while knowledge and confidence are only average (M = 3.03). Learning difficulties are high (M = 4.25). In terms of exposure, the highest was found in the internships or professional observations (M = 4.55, SD = 0.50). On the other hand, from interviews, limited opportunities for practicing, continued dependence on translation, and more contextual teaching were highlighted. For academic years, there is no significant difference in competence in terms of exposure to pharmacy terminology, F (2, 77) = 0.903, p = .410, </w:t>
      </w:r>
      <w:proofErr w:type="gramStart"/>
      <w:r w:rsidRPr="009E12A3">
        <w:rPr>
          <w:rFonts w:eastAsia="source serif 4" w:cs="Times New Roman"/>
          <w:color w:val="000000"/>
          <w:sz w:val="24"/>
          <w:szCs w:val="24"/>
        </w:rPr>
        <w:t>eta</w:t>
      </w:r>
      <w:proofErr w:type="gramEnd"/>
      <w:r w:rsidRPr="009E12A3">
        <w:rPr>
          <w:rFonts w:eastAsia="source serif 4" w:cs="Times New Roman"/>
          <w:color w:val="000000"/>
          <w:sz w:val="24"/>
          <w:szCs w:val="24"/>
        </w:rPr>
        <w:t xml:space="preserve"> squared = .023. In addition, it is proposed that the teaching of pharmacy terminology should not remain at the level of theoretical exposure but proceed to the stage of practice in professional situations. Pedagogical implications include CLIL-based approach, case-based learning, pronunciation help, scaffolding of ESP module lessons, and appropriate assessments.</w:t>
      </w:r>
    </w:p>
    <w:p w14:paraId="0146F295" w14:textId="77777777" w:rsidR="009E12A3" w:rsidRPr="009E12A3" w:rsidRDefault="009E12A3" w:rsidP="009E12A3">
      <w:pPr>
        <w:spacing w:after="0" w:line="360" w:lineRule="auto"/>
        <w:jc w:val="both"/>
        <w:rPr>
          <w:rFonts w:eastAsia="Aptos" w:cs="Times New Roman"/>
          <w:i/>
          <w:iCs/>
          <w:sz w:val="24"/>
          <w:szCs w:val="24"/>
        </w:rPr>
      </w:pPr>
      <w:r w:rsidRPr="009E12A3">
        <w:rPr>
          <w:rFonts w:eastAsia="source serif 4" w:cs="Times New Roman"/>
          <w:b/>
          <w:color w:val="000000"/>
          <w:sz w:val="24"/>
          <w:szCs w:val="24"/>
        </w:rPr>
        <w:t>Keywords:</w:t>
      </w:r>
      <w:r w:rsidRPr="009E12A3">
        <w:rPr>
          <w:rFonts w:eastAsia="source serif 4" w:cs="Times New Roman"/>
          <w:color w:val="000000"/>
          <w:sz w:val="24"/>
          <w:szCs w:val="24"/>
        </w:rPr>
        <w:t xml:space="preserve"> </w:t>
      </w:r>
      <w:r w:rsidRPr="009E12A3">
        <w:rPr>
          <w:rFonts w:eastAsia="source serif 4" w:cs="Times New Roman"/>
          <w:i/>
          <w:iCs/>
          <w:color w:val="000000"/>
          <w:sz w:val="24"/>
          <w:szCs w:val="24"/>
        </w:rPr>
        <w:t>English pharmaceutical terminology, ESP, CLIL, pharmacy education, learning difficulties, mixed-methods research</w:t>
      </w:r>
    </w:p>
    <w:p w14:paraId="19D4EED6" w14:textId="77777777" w:rsidR="009E12A3" w:rsidRPr="009E12A3" w:rsidRDefault="009E12A3" w:rsidP="009E12A3">
      <w:pPr>
        <w:spacing w:after="0" w:line="360" w:lineRule="auto"/>
        <w:jc w:val="both"/>
        <w:rPr>
          <w:rFonts w:eastAsia="source serif 4" w:cs="Times New Roman"/>
          <w:b/>
          <w:color w:val="000000"/>
          <w:sz w:val="24"/>
          <w:szCs w:val="24"/>
        </w:rPr>
      </w:pPr>
      <w:bookmarkStart w:id="2" w:name="bm_1_introduction"/>
    </w:p>
    <w:p w14:paraId="18DB3DC5" w14:textId="77777777" w:rsidR="009E12A3" w:rsidRPr="009E12A3" w:rsidRDefault="009E12A3" w:rsidP="009E12A3">
      <w:pPr>
        <w:spacing w:after="0" w:line="360" w:lineRule="auto"/>
        <w:jc w:val="both"/>
        <w:rPr>
          <w:rFonts w:eastAsia="source serif 4" w:cs="Times New Roman"/>
          <w:b/>
          <w:color w:val="000000"/>
          <w:sz w:val="24"/>
          <w:szCs w:val="24"/>
        </w:rPr>
      </w:pPr>
    </w:p>
    <w:p w14:paraId="2DDD6C1F" w14:textId="77777777" w:rsidR="009E12A3" w:rsidRPr="009E12A3" w:rsidRDefault="009E12A3" w:rsidP="009E12A3">
      <w:pPr>
        <w:spacing w:after="0" w:line="360" w:lineRule="auto"/>
        <w:jc w:val="both"/>
        <w:rPr>
          <w:rFonts w:eastAsia="source serif 4" w:cs="Times New Roman"/>
          <w:b/>
          <w:color w:val="000000"/>
          <w:sz w:val="24"/>
          <w:szCs w:val="24"/>
        </w:rPr>
      </w:pPr>
    </w:p>
    <w:p w14:paraId="2289B047" w14:textId="77777777" w:rsidR="009E12A3" w:rsidRPr="009E12A3" w:rsidRDefault="009E12A3" w:rsidP="009E12A3">
      <w:pPr>
        <w:spacing w:after="0" w:line="360" w:lineRule="auto"/>
        <w:jc w:val="both"/>
        <w:rPr>
          <w:rFonts w:eastAsia="source serif 4" w:cs="Times New Roman"/>
          <w:b/>
          <w:color w:val="000000"/>
          <w:sz w:val="24"/>
          <w:szCs w:val="24"/>
        </w:rPr>
      </w:pPr>
    </w:p>
    <w:p w14:paraId="173C48CF"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b/>
          <w:color w:val="000000"/>
          <w:sz w:val="24"/>
          <w:szCs w:val="24"/>
        </w:rPr>
        <w:t>1. Introduction</w:t>
      </w:r>
      <w:bookmarkEnd w:id="2"/>
    </w:p>
    <w:p w14:paraId="7EC1E115" w14:textId="6A9B665D" w:rsidR="009E12A3" w:rsidRPr="009E12A3" w:rsidRDefault="009E12A3" w:rsidP="00C724DC">
      <w:pPr>
        <w:spacing w:after="0" w:line="360" w:lineRule="auto"/>
        <w:jc w:val="both"/>
        <w:rPr>
          <w:rFonts w:eastAsia="source serif 4" w:cs="Times New Roman"/>
          <w:color w:val="000000"/>
          <w:sz w:val="24"/>
          <w:szCs w:val="24"/>
        </w:rPr>
      </w:pPr>
      <w:r w:rsidRPr="009E12A3">
        <w:rPr>
          <w:rFonts w:eastAsia="source serif 4" w:cs="Times New Roman"/>
          <w:color w:val="000000"/>
          <w:sz w:val="24"/>
          <w:szCs w:val="24"/>
        </w:rPr>
        <w:t xml:space="preserve">English is one of the principal languages used for science, medicine, and pharmacy purposes. Nowadays, pharmacy students find it necessary to study English textbooks and articles, to obtain drug information and guidelines in English (Aulton &amp; Taylor, 2022; </w:t>
      </w:r>
      <w:proofErr w:type="spellStart"/>
      <w:r w:rsidRPr="009E12A3">
        <w:rPr>
          <w:rFonts w:eastAsia="source serif 4" w:cs="Times New Roman"/>
          <w:color w:val="000000"/>
          <w:sz w:val="24"/>
          <w:szCs w:val="24"/>
        </w:rPr>
        <w:t>DiPiro</w:t>
      </w:r>
      <w:proofErr w:type="spellEnd"/>
      <w:r w:rsidRPr="009E12A3">
        <w:rPr>
          <w:rFonts w:eastAsia="source serif 4" w:cs="Times New Roman"/>
          <w:color w:val="000000"/>
          <w:sz w:val="24"/>
          <w:szCs w:val="24"/>
        </w:rPr>
        <w:t xml:space="preserve"> et al., 2020</w:t>
      </w:r>
      <w:r w:rsidR="00806178">
        <w:rPr>
          <w:rFonts w:eastAsia="source serif 4" w:cs="Times New Roman"/>
          <w:color w:val="000000"/>
          <w:sz w:val="24"/>
          <w:szCs w:val="24"/>
        </w:rPr>
        <w:t>;</w:t>
      </w:r>
      <w:r w:rsidRPr="009E12A3">
        <w:rPr>
          <w:rFonts w:eastAsia="source serif 4" w:cs="Times New Roman"/>
          <w:color w:val="000000"/>
          <w:sz w:val="24"/>
          <w:szCs w:val="24"/>
        </w:rPr>
        <w:t xml:space="preserve"> </w:t>
      </w:r>
      <w:r w:rsidR="00806178" w:rsidRPr="009E12A3">
        <w:rPr>
          <w:rFonts w:eastAsia="source serif 4" w:cs="Times New Roman"/>
          <w:color w:val="000000"/>
          <w:sz w:val="24"/>
          <w:szCs w:val="24"/>
        </w:rPr>
        <w:t>Murphy, 2022</w:t>
      </w:r>
      <w:r w:rsidRPr="009E12A3">
        <w:rPr>
          <w:rFonts w:eastAsia="source serif 4" w:cs="Times New Roman"/>
          <w:color w:val="000000"/>
          <w:sz w:val="24"/>
          <w:szCs w:val="24"/>
        </w:rPr>
        <w:t>). Hence, it is not any more a choice of advantage to be proficient in the terminology of English pharmacy; it becomes essential to succeed at the academic level and prepare for work. Terminology plays an important role in such fields as reading, reporting, prescriptions, advising patients, and communicating with colleagues from other health care specialties. Mistakes in the use of technical terms may cause a lack of understanding, inaccurate communication, and even patient safety issues (Beardsley et al., 2020). The matter becomes more complicated for Vietnamese students in connection with the growing internationalization of health care education.</w:t>
      </w:r>
    </w:p>
    <w:p w14:paraId="6EE4EDCE" w14:textId="5782AC10" w:rsidR="009E12A3" w:rsidRPr="009E12A3" w:rsidRDefault="009E12A3" w:rsidP="009E12A3">
      <w:pPr>
        <w:spacing w:after="0" w:line="360" w:lineRule="auto"/>
        <w:ind w:firstLine="720"/>
        <w:jc w:val="both"/>
        <w:rPr>
          <w:rFonts w:eastAsia="source serif 4" w:cs="Times New Roman"/>
          <w:color w:val="000000"/>
          <w:sz w:val="24"/>
          <w:szCs w:val="24"/>
        </w:rPr>
      </w:pPr>
      <w:bookmarkStart w:id="3" w:name="bm_1_1_problem_statement"/>
      <w:r w:rsidRPr="009E12A3">
        <w:rPr>
          <w:rFonts w:eastAsia="source serif 4" w:cs="Times New Roman"/>
          <w:color w:val="000000"/>
          <w:sz w:val="24"/>
          <w:szCs w:val="24"/>
        </w:rPr>
        <w:t xml:space="preserve">In the case of Lac Hong University (LHU), pharmacy students come into contact with the English terminology via courses in the discipline, reference books, and internship assignments, facilitated by a context of program in which there is provision for professional training facilities (Faculty of Pharmacy, Lac Hong University, 2020). Nevertheless, being in contact with the terms does not mean that they will use them confidently and correctly. Quite </w:t>
      </w:r>
      <w:proofErr w:type="gramStart"/>
      <w:r w:rsidRPr="009E12A3">
        <w:rPr>
          <w:rFonts w:eastAsia="source serif 4" w:cs="Times New Roman"/>
          <w:color w:val="000000"/>
          <w:sz w:val="24"/>
          <w:szCs w:val="24"/>
        </w:rPr>
        <w:t>a number of</w:t>
      </w:r>
      <w:proofErr w:type="gramEnd"/>
      <w:r w:rsidRPr="009E12A3">
        <w:rPr>
          <w:rFonts w:eastAsia="source serif 4" w:cs="Times New Roman"/>
          <w:color w:val="000000"/>
          <w:sz w:val="24"/>
          <w:szCs w:val="24"/>
        </w:rPr>
        <w:t xml:space="preserve"> students have problems with comprehending, memorizing, pronouncing and using the terms properly.</w:t>
      </w:r>
    </w:p>
    <w:p w14:paraId="5F83F424" w14:textId="391711C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b/>
          <w:color w:val="000000"/>
          <w:sz w:val="24"/>
          <w:szCs w:val="24"/>
        </w:rPr>
        <w:t xml:space="preserve">1.1 Problem </w:t>
      </w:r>
      <w:r w:rsidR="00C724DC">
        <w:rPr>
          <w:rFonts w:eastAsia="source serif 4" w:cs="Times New Roman"/>
          <w:b/>
          <w:color w:val="000000"/>
          <w:sz w:val="24"/>
          <w:szCs w:val="24"/>
        </w:rPr>
        <w:t>s</w:t>
      </w:r>
      <w:r w:rsidRPr="009E12A3">
        <w:rPr>
          <w:rFonts w:eastAsia="source serif 4" w:cs="Times New Roman"/>
          <w:b/>
          <w:color w:val="000000"/>
          <w:sz w:val="24"/>
          <w:szCs w:val="24"/>
        </w:rPr>
        <w:t>tatement</w:t>
      </w:r>
      <w:bookmarkEnd w:id="3"/>
    </w:p>
    <w:p w14:paraId="6439F01A"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t xml:space="preserve">While LHU pharmacists’ students learn pharmaceutical English vocabulary in the classroom setting, they still have difficulty applying it in a consistent manner in various learning and practice contexts. The acquisition process seems to promote recognition of vocabulary items rather than their context-based use, particularly when the context involves dealing with patients and communicating with colleagues. The pedagogical challenge here is that students learn the vocabulary passively without building communicative skills required for using it in a professional setting (Beardsley et al., 2020; Rutter, 2021). </w:t>
      </w:r>
    </w:p>
    <w:p w14:paraId="1DBD0C49" w14:textId="5A02D0AB" w:rsidR="009E12A3" w:rsidRPr="009E12A3" w:rsidRDefault="009E12A3" w:rsidP="009E12A3">
      <w:pPr>
        <w:numPr>
          <w:ilvl w:val="1"/>
          <w:numId w:val="3"/>
        </w:numPr>
        <w:spacing w:after="0" w:line="360" w:lineRule="auto"/>
        <w:contextualSpacing/>
        <w:jc w:val="both"/>
        <w:rPr>
          <w:rFonts w:eastAsia="Aptos" w:cs="Times New Roman"/>
          <w:sz w:val="24"/>
          <w:szCs w:val="24"/>
        </w:rPr>
      </w:pPr>
      <w:bookmarkStart w:id="4" w:name="bm_1_2_research_objectives"/>
      <w:r w:rsidRPr="009E12A3">
        <w:rPr>
          <w:rFonts w:eastAsia="source serif 4" w:cs="Times New Roman"/>
          <w:b/>
          <w:color w:val="000000"/>
          <w:sz w:val="24"/>
          <w:szCs w:val="24"/>
        </w:rPr>
        <w:t xml:space="preserve">Research </w:t>
      </w:r>
      <w:r w:rsidR="00C724DC">
        <w:rPr>
          <w:rFonts w:eastAsia="source serif 4" w:cs="Times New Roman"/>
          <w:b/>
          <w:color w:val="000000"/>
          <w:sz w:val="24"/>
          <w:szCs w:val="24"/>
        </w:rPr>
        <w:t>o</w:t>
      </w:r>
      <w:r w:rsidRPr="009E12A3">
        <w:rPr>
          <w:rFonts w:eastAsia="source serif 4" w:cs="Times New Roman"/>
          <w:b/>
          <w:color w:val="000000"/>
          <w:sz w:val="24"/>
          <w:szCs w:val="24"/>
        </w:rPr>
        <w:t>bjectives</w:t>
      </w:r>
      <w:bookmarkEnd w:id="4"/>
    </w:p>
    <w:p w14:paraId="788D0324" w14:textId="77777777" w:rsidR="009E12A3" w:rsidRPr="009E12A3" w:rsidRDefault="009E12A3" w:rsidP="009E12A3">
      <w:pPr>
        <w:spacing w:after="0" w:line="360" w:lineRule="auto"/>
        <w:jc w:val="both"/>
        <w:rPr>
          <w:rFonts w:eastAsia="source serif 4" w:cs="Times New Roman"/>
          <w:color w:val="000000"/>
          <w:sz w:val="24"/>
          <w:szCs w:val="24"/>
        </w:rPr>
      </w:pPr>
      <w:bookmarkStart w:id="5" w:name="bm_1_3_research_questions"/>
      <w:r w:rsidRPr="009E12A3">
        <w:rPr>
          <w:rFonts w:eastAsia="source serif 4" w:cs="Times New Roman"/>
          <w:color w:val="000000"/>
          <w:sz w:val="24"/>
          <w:szCs w:val="24"/>
        </w:rPr>
        <w:t>The research was carried out in order to investigate the use of pharmaceutical terminology in English by pharmacy students at LHU, to determine the problems associated with acquisition and use of pharmaceutical terminology by the students, to examine the students’ perceptions of their acquisition and use of pharmaceutical terminology, and to make some pedagogical suggestions.</w:t>
      </w:r>
    </w:p>
    <w:p w14:paraId="54BE65E0" w14:textId="1E45CFC6"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b/>
          <w:color w:val="000000"/>
          <w:sz w:val="24"/>
          <w:szCs w:val="24"/>
        </w:rPr>
        <w:t xml:space="preserve">1.3 Research </w:t>
      </w:r>
      <w:r w:rsidR="00C724DC">
        <w:rPr>
          <w:rFonts w:eastAsia="source serif 4" w:cs="Times New Roman"/>
          <w:b/>
          <w:color w:val="000000"/>
          <w:sz w:val="24"/>
          <w:szCs w:val="24"/>
        </w:rPr>
        <w:t>q</w:t>
      </w:r>
      <w:r w:rsidRPr="009E12A3">
        <w:rPr>
          <w:rFonts w:eastAsia="source serif 4" w:cs="Times New Roman"/>
          <w:b/>
          <w:color w:val="000000"/>
          <w:sz w:val="24"/>
          <w:szCs w:val="24"/>
        </w:rPr>
        <w:t>uestions</w:t>
      </w:r>
      <w:bookmarkEnd w:id="5"/>
    </w:p>
    <w:p w14:paraId="27572E80"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lastRenderedPageBreak/>
        <w:t>The study addressed the following questions:</w:t>
      </w:r>
    </w:p>
    <w:p w14:paraId="569F9C19" w14:textId="77777777" w:rsidR="009E12A3" w:rsidRPr="009E12A3" w:rsidRDefault="009E12A3" w:rsidP="009E12A3">
      <w:pPr>
        <w:numPr>
          <w:ilvl w:val="0"/>
          <w:numId w:val="1"/>
        </w:numPr>
        <w:spacing w:after="0" w:line="360" w:lineRule="auto"/>
        <w:contextualSpacing/>
        <w:jc w:val="both"/>
        <w:rPr>
          <w:rFonts w:eastAsia="Aptos" w:cs="Times New Roman"/>
          <w:sz w:val="24"/>
          <w:szCs w:val="24"/>
        </w:rPr>
      </w:pPr>
      <w:r w:rsidRPr="009E12A3">
        <w:rPr>
          <w:rFonts w:eastAsia="source serif 4" w:cs="Times New Roman"/>
          <w:color w:val="000000"/>
          <w:sz w:val="24"/>
          <w:szCs w:val="24"/>
        </w:rPr>
        <w:t>What difficulties do students encounter in learning and using pharmaceutical terminology in academic and practicum settings?</w:t>
      </w:r>
    </w:p>
    <w:p w14:paraId="44343C61" w14:textId="77777777" w:rsidR="009E12A3" w:rsidRPr="009E12A3" w:rsidRDefault="009E12A3" w:rsidP="009E12A3">
      <w:pPr>
        <w:numPr>
          <w:ilvl w:val="0"/>
          <w:numId w:val="1"/>
        </w:numPr>
        <w:spacing w:after="0" w:line="360" w:lineRule="auto"/>
        <w:contextualSpacing/>
        <w:jc w:val="both"/>
        <w:rPr>
          <w:rFonts w:eastAsia="Aptos" w:cs="Times New Roman"/>
          <w:sz w:val="24"/>
          <w:szCs w:val="24"/>
        </w:rPr>
      </w:pPr>
      <w:r w:rsidRPr="009E12A3">
        <w:rPr>
          <w:rFonts w:eastAsia="source serif 4" w:cs="Times New Roman"/>
          <w:color w:val="000000"/>
          <w:sz w:val="24"/>
          <w:szCs w:val="24"/>
        </w:rPr>
        <w:t>What are students’ perceptions of learning and using English pharmaceutical terminology?</w:t>
      </w:r>
    </w:p>
    <w:p w14:paraId="22FD3227"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b/>
          <w:color w:val="000000"/>
          <w:sz w:val="24"/>
          <w:szCs w:val="24"/>
        </w:rPr>
        <w:t xml:space="preserve">1.5 Delimitations </w:t>
      </w:r>
    </w:p>
    <w:p w14:paraId="6679BEA2" w14:textId="77777777" w:rsidR="009E12A3" w:rsidRPr="009E12A3" w:rsidRDefault="009E12A3" w:rsidP="009E12A3">
      <w:pPr>
        <w:spacing w:after="0" w:line="360" w:lineRule="auto"/>
        <w:jc w:val="both"/>
        <w:rPr>
          <w:rFonts w:eastAsia="source serif 4" w:cs="Times New Roman"/>
          <w:color w:val="000000"/>
          <w:sz w:val="24"/>
          <w:szCs w:val="24"/>
        </w:rPr>
      </w:pPr>
      <w:bookmarkStart w:id="6" w:name="bm_2_literature_review"/>
      <w:r w:rsidRPr="009E12A3">
        <w:rPr>
          <w:rFonts w:eastAsia="source serif 4" w:cs="Times New Roman"/>
          <w:color w:val="000000"/>
          <w:sz w:val="24"/>
          <w:szCs w:val="24"/>
        </w:rPr>
        <w:t>The research is limited to pharmacy students in the Faculty of Pharmacy at Lac Hong University. The research examined the use, comprehension, and difficulties in learning English pharmaceutical terminology. The results of the quantitative data collection were gathered from questionnaires while the results of the qualitative data collection were from interviews. Hence, the research is not meant to measure the level of competence in terminology or generalize across all pharmacy students in Vietnam.</w:t>
      </w:r>
    </w:p>
    <w:p w14:paraId="67933D18" w14:textId="05C9F41A"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b/>
          <w:color w:val="000000"/>
          <w:sz w:val="24"/>
          <w:szCs w:val="24"/>
        </w:rPr>
        <w:t xml:space="preserve">2. Literature </w:t>
      </w:r>
      <w:r w:rsidR="00C724DC">
        <w:rPr>
          <w:rFonts w:eastAsia="source serif 4" w:cs="Times New Roman"/>
          <w:b/>
          <w:color w:val="000000"/>
          <w:sz w:val="24"/>
          <w:szCs w:val="24"/>
        </w:rPr>
        <w:t>r</w:t>
      </w:r>
      <w:r w:rsidRPr="009E12A3">
        <w:rPr>
          <w:rFonts w:eastAsia="source serif 4" w:cs="Times New Roman"/>
          <w:b/>
          <w:color w:val="000000"/>
          <w:sz w:val="24"/>
          <w:szCs w:val="24"/>
        </w:rPr>
        <w:t>eview</w:t>
      </w:r>
      <w:bookmarkEnd w:id="6"/>
    </w:p>
    <w:p w14:paraId="169B9F4F" w14:textId="15375588" w:rsidR="009E12A3" w:rsidRPr="009E12A3" w:rsidRDefault="009E12A3" w:rsidP="009E12A3">
      <w:pPr>
        <w:spacing w:after="0" w:line="360" w:lineRule="auto"/>
        <w:jc w:val="both"/>
        <w:rPr>
          <w:rFonts w:eastAsia="Aptos" w:cs="Times New Roman"/>
          <w:sz w:val="24"/>
          <w:szCs w:val="24"/>
        </w:rPr>
      </w:pPr>
      <w:bookmarkStart w:id="7" w:name="bm_2_1_pharmaceutical_terminology"/>
      <w:r w:rsidRPr="009E12A3">
        <w:rPr>
          <w:rFonts w:eastAsia="source serif 4" w:cs="Times New Roman"/>
          <w:b/>
          <w:color w:val="000000"/>
          <w:sz w:val="24"/>
          <w:szCs w:val="24"/>
        </w:rPr>
        <w:t xml:space="preserve">2.1 Pharmaceutical </w:t>
      </w:r>
      <w:r w:rsidR="00C724DC">
        <w:rPr>
          <w:rFonts w:eastAsia="source serif 4" w:cs="Times New Roman"/>
          <w:b/>
          <w:color w:val="000000"/>
          <w:sz w:val="24"/>
          <w:szCs w:val="24"/>
        </w:rPr>
        <w:t>t</w:t>
      </w:r>
      <w:r w:rsidRPr="009E12A3">
        <w:rPr>
          <w:rFonts w:eastAsia="source serif 4" w:cs="Times New Roman"/>
          <w:b/>
          <w:color w:val="000000"/>
          <w:sz w:val="24"/>
          <w:szCs w:val="24"/>
        </w:rPr>
        <w:t>erminology</w:t>
      </w:r>
      <w:bookmarkEnd w:id="7"/>
    </w:p>
    <w:p w14:paraId="6B3B4827" w14:textId="77777777" w:rsidR="009E12A3" w:rsidRPr="009E12A3" w:rsidRDefault="009E12A3" w:rsidP="00806178">
      <w:pPr>
        <w:spacing w:after="0" w:line="360" w:lineRule="auto"/>
        <w:jc w:val="both"/>
        <w:rPr>
          <w:rFonts w:eastAsia="source serif 4" w:cs="Times New Roman"/>
          <w:color w:val="000000"/>
          <w:sz w:val="24"/>
          <w:szCs w:val="24"/>
        </w:rPr>
      </w:pPr>
      <w:r w:rsidRPr="009E12A3">
        <w:rPr>
          <w:rFonts w:eastAsia="source serif 4" w:cs="Times New Roman"/>
          <w:color w:val="000000"/>
          <w:sz w:val="24"/>
          <w:szCs w:val="24"/>
        </w:rPr>
        <w:t>Pharmaceutical terminology means the specific linguistic framework employed in describing drugs, dosage forms, mode of action, methods of manufacture, pharmacokinetics, and applications of drugs in treatment (Aulton &amp; Taylor, 2022; Arnold, 2020). Pharmaceutical terminology is normally characterized by precision, systematicity, and international use, but at the same time, it is challenging for students since it is characterized by complex vocabulary, which has its origins in the Latin and Greek languages (</w:t>
      </w:r>
      <w:proofErr w:type="spellStart"/>
      <w:r w:rsidRPr="009E12A3">
        <w:rPr>
          <w:rFonts w:eastAsia="source serif 4" w:cs="Times New Roman"/>
          <w:color w:val="000000"/>
          <w:sz w:val="24"/>
          <w:szCs w:val="24"/>
        </w:rPr>
        <w:t>Chabner</w:t>
      </w:r>
      <w:proofErr w:type="spellEnd"/>
      <w:r w:rsidRPr="009E12A3">
        <w:rPr>
          <w:rFonts w:eastAsia="source serif 4" w:cs="Times New Roman"/>
          <w:color w:val="000000"/>
          <w:sz w:val="24"/>
          <w:szCs w:val="24"/>
        </w:rPr>
        <w:t xml:space="preserve">, 2023; Duy, 2025). Besides, most of the pharmaceutical terms are not only used as labels, but they also convey vital conceptual distinctions (Allen &amp; McPherson, 2023; </w:t>
      </w:r>
      <w:proofErr w:type="spellStart"/>
      <w:r w:rsidRPr="009E12A3">
        <w:rPr>
          <w:rFonts w:eastAsia="source serif 4" w:cs="Times New Roman"/>
          <w:color w:val="000000"/>
          <w:sz w:val="24"/>
          <w:szCs w:val="24"/>
        </w:rPr>
        <w:t>DiPiro</w:t>
      </w:r>
      <w:proofErr w:type="spellEnd"/>
      <w:r w:rsidRPr="009E12A3">
        <w:rPr>
          <w:rFonts w:eastAsia="source serif 4" w:cs="Times New Roman"/>
          <w:color w:val="000000"/>
          <w:sz w:val="24"/>
          <w:szCs w:val="24"/>
        </w:rPr>
        <w:t xml:space="preserve"> et al., 2020).</w:t>
      </w:r>
    </w:p>
    <w:p w14:paraId="5C4BF1AF" w14:textId="4F4D98E0" w:rsidR="009E12A3" w:rsidRPr="009E12A3" w:rsidRDefault="009E12A3" w:rsidP="00806178">
      <w:pPr>
        <w:spacing w:after="0" w:line="360" w:lineRule="auto"/>
        <w:ind w:firstLine="720"/>
        <w:jc w:val="both"/>
        <w:rPr>
          <w:rFonts w:eastAsia="source serif 4" w:cs="Times New Roman"/>
          <w:color w:val="000000"/>
          <w:sz w:val="24"/>
          <w:szCs w:val="24"/>
        </w:rPr>
      </w:pPr>
      <w:bookmarkStart w:id="8" w:name="bm_2_2_esp_and_terminology_learning"/>
      <w:r w:rsidRPr="009E12A3">
        <w:rPr>
          <w:rFonts w:eastAsia="source serif 4" w:cs="Times New Roman"/>
          <w:color w:val="000000"/>
          <w:sz w:val="24"/>
          <w:szCs w:val="24"/>
        </w:rPr>
        <w:t>Another problem is the complexity and accuracy of professional language. In pharmacy, even slight discrepancies in the use of terms can point to significant discrepancies in the route of administration, drug formulation, contraindications, or interactions (Preston, 2019; Aulton &amp; Taylor, 2022). For international students who use English as their second language, the problem is intensified by the requirement to comprehend all these factors at once.</w:t>
      </w:r>
    </w:p>
    <w:p w14:paraId="6883A79B" w14:textId="23B28A0F"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b/>
          <w:color w:val="000000"/>
          <w:sz w:val="24"/>
          <w:szCs w:val="24"/>
        </w:rPr>
        <w:t xml:space="preserve">2.2 ESP and </w:t>
      </w:r>
      <w:r w:rsidR="00C724DC" w:rsidRPr="009E12A3">
        <w:rPr>
          <w:rFonts w:eastAsia="source serif 4" w:cs="Times New Roman"/>
          <w:b/>
          <w:color w:val="000000"/>
          <w:sz w:val="24"/>
          <w:szCs w:val="24"/>
        </w:rPr>
        <w:t>terminology learning</w:t>
      </w:r>
      <w:bookmarkEnd w:id="8"/>
    </w:p>
    <w:p w14:paraId="1DC1C7C4" w14:textId="497FF646" w:rsidR="009E12A3" w:rsidRPr="009E12A3" w:rsidRDefault="009E12A3" w:rsidP="009E12A3">
      <w:pPr>
        <w:spacing w:after="0" w:line="360" w:lineRule="auto"/>
        <w:jc w:val="both"/>
        <w:rPr>
          <w:rFonts w:eastAsia="source serif 4" w:cs="Times New Roman"/>
          <w:color w:val="000000"/>
          <w:sz w:val="24"/>
          <w:szCs w:val="24"/>
        </w:rPr>
      </w:pPr>
      <w:bookmarkStart w:id="9" w:name="bm_2_3_clil_and_pharmacy_education"/>
      <w:r w:rsidRPr="009E12A3">
        <w:rPr>
          <w:rFonts w:eastAsia="source serif 4" w:cs="Times New Roman"/>
          <w:color w:val="000000"/>
          <w:sz w:val="24"/>
          <w:szCs w:val="24"/>
        </w:rPr>
        <w:t xml:space="preserve">The English for Specific Purposes </w:t>
      </w:r>
      <w:r w:rsidR="004916FC">
        <w:rPr>
          <w:rFonts w:eastAsia="source serif 4" w:cs="Times New Roman"/>
          <w:color w:val="000000"/>
          <w:sz w:val="24"/>
          <w:szCs w:val="24"/>
        </w:rPr>
        <w:t xml:space="preserve">(ESP) </w:t>
      </w:r>
      <w:r w:rsidRPr="009E12A3">
        <w:rPr>
          <w:rFonts w:eastAsia="source serif 4" w:cs="Times New Roman"/>
          <w:color w:val="000000"/>
          <w:sz w:val="24"/>
          <w:szCs w:val="24"/>
        </w:rPr>
        <w:t>focuses on the learning process in terms of its direct relation to the needs of learners both in academic and professional spheres. For pharmacy studies, ESP could assist in teaching technical language, not through mere memorizing wordlists, but through its application in real practices of reading, discussion, report writing, and other actions typical for pharmacists</w:t>
      </w:r>
      <w:r w:rsidR="004916FC">
        <w:rPr>
          <w:rFonts w:eastAsia="source serif 4" w:cs="Times New Roman"/>
          <w:color w:val="000000"/>
          <w:sz w:val="24"/>
          <w:szCs w:val="24"/>
        </w:rPr>
        <w:t>’</w:t>
      </w:r>
      <w:r w:rsidRPr="009E12A3">
        <w:rPr>
          <w:rFonts w:eastAsia="source serif 4" w:cs="Times New Roman"/>
          <w:color w:val="000000"/>
          <w:sz w:val="24"/>
          <w:szCs w:val="24"/>
        </w:rPr>
        <w:t xml:space="preserve"> profession (Babar, 2015; Beardsley et al., 2020). Also, an approach to </w:t>
      </w:r>
      <w:r w:rsidRPr="009E12A3">
        <w:rPr>
          <w:rFonts w:eastAsia="source serif 4" w:cs="Times New Roman"/>
          <w:color w:val="000000"/>
          <w:sz w:val="24"/>
          <w:szCs w:val="24"/>
        </w:rPr>
        <w:lastRenderedPageBreak/>
        <w:t>learning through ESP pays much attention to the needs analysis, task authenticity, and communication purposes. For the case of pharmacy students, the target language domain would be specific for the discipline rather than everyday conversation (Babar, 2015). Thus, good ESP assistance would bridge the gap between lexical competence and actual language use through the practical application of the terminology.</w:t>
      </w:r>
    </w:p>
    <w:p w14:paraId="2E19779B" w14:textId="17DF32BC" w:rsidR="009E12A3" w:rsidRPr="009E12A3" w:rsidRDefault="009E12A3" w:rsidP="009E12A3">
      <w:pPr>
        <w:spacing w:after="0" w:line="360" w:lineRule="auto"/>
        <w:jc w:val="both"/>
        <w:rPr>
          <w:rFonts w:eastAsia="source serif 4" w:cs="Times New Roman"/>
          <w:color w:val="000000"/>
          <w:sz w:val="24"/>
          <w:szCs w:val="24"/>
        </w:rPr>
      </w:pPr>
      <w:r w:rsidRPr="009E12A3">
        <w:rPr>
          <w:rFonts w:eastAsia="source serif 4" w:cs="Times New Roman"/>
          <w:b/>
          <w:color w:val="000000"/>
          <w:sz w:val="24"/>
          <w:szCs w:val="24"/>
        </w:rPr>
        <w:t xml:space="preserve">2.3 CLIL and </w:t>
      </w:r>
      <w:r w:rsidR="00C724DC" w:rsidRPr="009E12A3">
        <w:rPr>
          <w:rFonts w:eastAsia="source serif 4" w:cs="Times New Roman"/>
          <w:b/>
          <w:color w:val="000000"/>
          <w:sz w:val="24"/>
          <w:szCs w:val="24"/>
        </w:rPr>
        <w:t>pharmacy education</w:t>
      </w:r>
      <w:bookmarkEnd w:id="9"/>
    </w:p>
    <w:p w14:paraId="220E4123" w14:textId="77777777" w:rsidR="009E12A3" w:rsidRPr="009E12A3" w:rsidRDefault="009E12A3" w:rsidP="009E12A3">
      <w:pPr>
        <w:spacing w:after="0" w:line="360" w:lineRule="auto"/>
        <w:jc w:val="both"/>
        <w:rPr>
          <w:rFonts w:eastAsia="source serif 4" w:cs="Times New Roman"/>
          <w:color w:val="000000"/>
          <w:sz w:val="24"/>
          <w:szCs w:val="24"/>
        </w:rPr>
      </w:pPr>
      <w:bookmarkStart w:id="10" w:name="bm_2_4_related_studies"/>
      <w:r w:rsidRPr="009E12A3">
        <w:rPr>
          <w:rFonts w:eastAsia="source serif 4" w:cs="Times New Roman"/>
          <w:color w:val="000000"/>
          <w:sz w:val="24"/>
          <w:szCs w:val="24"/>
        </w:rPr>
        <w:t>CLIL is another effective approach that can be considered as it combines content and language learning. In pharmacy education, CLIL may comprise using English materials, bilingual teaching, or performing certain tasks which require processing and conveying of disciplinary content in English (Allen &amp; McPherson, 2023; Mahato &amp; Narang, 2018). It is quite appropriate for such situations when professional knowledge becomes available through international resources. CLIL is an effective pedagogical approach as it does not perceive language learning as a separate activity from content learning. On the contrary, it stimulates learners to acquire content and language at the same time. In case of pharmacy education, such an approach can help to promote more in-depth involvement in learning terminology as it will allow placing terms into the context of problem-solving and analysis (Allen &amp; McPherson, 2023; Mahato &amp; Narang, 2018).</w:t>
      </w:r>
    </w:p>
    <w:p w14:paraId="17E5AEAA" w14:textId="5D5A0D34"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b/>
          <w:color w:val="000000"/>
          <w:sz w:val="24"/>
          <w:szCs w:val="24"/>
        </w:rPr>
        <w:t xml:space="preserve">2.4 Related </w:t>
      </w:r>
      <w:r w:rsidR="00C724DC">
        <w:rPr>
          <w:rFonts w:eastAsia="source serif 4" w:cs="Times New Roman"/>
          <w:b/>
          <w:color w:val="000000"/>
          <w:sz w:val="24"/>
          <w:szCs w:val="24"/>
        </w:rPr>
        <w:t>s</w:t>
      </w:r>
      <w:r w:rsidRPr="009E12A3">
        <w:rPr>
          <w:rFonts w:eastAsia="source serif 4" w:cs="Times New Roman"/>
          <w:b/>
          <w:color w:val="000000"/>
          <w:sz w:val="24"/>
          <w:szCs w:val="24"/>
        </w:rPr>
        <w:t>tudies</w:t>
      </w:r>
      <w:bookmarkEnd w:id="10"/>
    </w:p>
    <w:p w14:paraId="616A6627" w14:textId="6A055FE0" w:rsidR="009E12A3" w:rsidRPr="009E12A3" w:rsidRDefault="009E12A3" w:rsidP="009E12A3">
      <w:pPr>
        <w:spacing w:after="0" w:line="360" w:lineRule="auto"/>
        <w:jc w:val="both"/>
        <w:rPr>
          <w:rFonts w:eastAsia="source serif 4" w:cs="Times New Roman"/>
          <w:color w:val="000000"/>
          <w:sz w:val="24"/>
          <w:szCs w:val="24"/>
        </w:rPr>
      </w:pPr>
      <w:bookmarkStart w:id="11" w:name="bm_3_methodology"/>
      <w:r w:rsidRPr="009E12A3">
        <w:rPr>
          <w:rFonts w:eastAsia="source serif 4" w:cs="Times New Roman"/>
          <w:color w:val="000000"/>
          <w:sz w:val="24"/>
          <w:szCs w:val="24"/>
        </w:rPr>
        <w:t xml:space="preserve">Research and professional literature </w:t>
      </w:r>
      <w:r w:rsidR="00806178" w:rsidRPr="009E12A3">
        <w:rPr>
          <w:rFonts w:eastAsia="source serif 4" w:cs="Times New Roman"/>
          <w:color w:val="000000"/>
          <w:sz w:val="24"/>
          <w:szCs w:val="24"/>
        </w:rPr>
        <w:t>have</w:t>
      </w:r>
      <w:r w:rsidRPr="009E12A3">
        <w:rPr>
          <w:rFonts w:eastAsia="source serif 4" w:cs="Times New Roman"/>
          <w:color w:val="000000"/>
          <w:sz w:val="24"/>
          <w:szCs w:val="24"/>
        </w:rPr>
        <w:t xml:space="preserve"> found that terms in the medical and pharmaceutical field tend to be challenging due to their length, morphology, pronunciation challenges, and contextual understanding (</w:t>
      </w:r>
      <w:proofErr w:type="spellStart"/>
      <w:r w:rsidRPr="009E12A3">
        <w:rPr>
          <w:rFonts w:eastAsia="source serif 4" w:cs="Times New Roman"/>
          <w:color w:val="000000"/>
          <w:sz w:val="24"/>
          <w:szCs w:val="24"/>
        </w:rPr>
        <w:t>Chabner</w:t>
      </w:r>
      <w:proofErr w:type="spellEnd"/>
      <w:r w:rsidRPr="009E12A3">
        <w:rPr>
          <w:rFonts w:eastAsia="source serif 4" w:cs="Times New Roman"/>
          <w:color w:val="000000"/>
          <w:sz w:val="24"/>
          <w:szCs w:val="24"/>
        </w:rPr>
        <w:t>, 2023; Bonsell, 2024). In addition, they have pointed out that a theory-driven approach does not ensure that students will be adequately prepared for professional communication when it comes to terminology (Beardsley et al., 2020; Rutter, 2021). This means that the existing research highlights the common dichotomy between terminology recognition and use as an important challenge. Furthermore, it indicates that terminology acquisition is not only an issue of learning vocabulary but also a larger educational challenge that includes curriculum design, exposure, and practice opportunities (Babar, 2015; Beardsley et al., 2020). This approach is critical for the current study as it provides an understanding of students' challenges from different perspectives.</w:t>
      </w:r>
    </w:p>
    <w:p w14:paraId="49DDE16D"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b/>
          <w:color w:val="000000"/>
          <w:sz w:val="24"/>
          <w:szCs w:val="24"/>
        </w:rPr>
        <w:t>3. Methodology</w:t>
      </w:r>
      <w:bookmarkEnd w:id="11"/>
    </w:p>
    <w:p w14:paraId="601DE4B8" w14:textId="00E26BD8" w:rsidR="009E12A3" w:rsidRPr="009E12A3" w:rsidRDefault="009E12A3" w:rsidP="009E12A3">
      <w:pPr>
        <w:spacing w:after="0" w:line="360" w:lineRule="auto"/>
        <w:jc w:val="both"/>
        <w:rPr>
          <w:rFonts w:eastAsia="Aptos" w:cs="Times New Roman"/>
          <w:sz w:val="24"/>
          <w:szCs w:val="24"/>
        </w:rPr>
      </w:pPr>
      <w:bookmarkStart w:id="12" w:name="bm_3_1_research_design"/>
      <w:r w:rsidRPr="009E12A3">
        <w:rPr>
          <w:rFonts w:eastAsia="source serif 4" w:cs="Times New Roman"/>
          <w:b/>
          <w:color w:val="000000"/>
          <w:sz w:val="24"/>
          <w:szCs w:val="24"/>
        </w:rPr>
        <w:t xml:space="preserve">3.1 Research </w:t>
      </w:r>
      <w:r w:rsidR="00C724DC">
        <w:rPr>
          <w:rFonts w:eastAsia="source serif 4" w:cs="Times New Roman"/>
          <w:b/>
          <w:color w:val="000000"/>
          <w:sz w:val="24"/>
          <w:szCs w:val="24"/>
        </w:rPr>
        <w:t>d</w:t>
      </w:r>
      <w:r w:rsidRPr="009E12A3">
        <w:rPr>
          <w:rFonts w:eastAsia="source serif 4" w:cs="Times New Roman"/>
          <w:b/>
          <w:color w:val="000000"/>
          <w:sz w:val="24"/>
          <w:szCs w:val="24"/>
        </w:rPr>
        <w:t>esign</w:t>
      </w:r>
      <w:bookmarkEnd w:id="12"/>
    </w:p>
    <w:p w14:paraId="75DC43AD" w14:textId="77777777" w:rsidR="009E12A3" w:rsidRPr="009E12A3" w:rsidRDefault="009E12A3" w:rsidP="009E12A3">
      <w:pPr>
        <w:spacing w:after="0" w:line="360" w:lineRule="auto"/>
        <w:jc w:val="both"/>
        <w:rPr>
          <w:rFonts w:eastAsia="source serif 4" w:cs="Times New Roman"/>
          <w:color w:val="000000"/>
          <w:sz w:val="24"/>
          <w:szCs w:val="24"/>
        </w:rPr>
      </w:pPr>
      <w:bookmarkStart w:id="13" w:name="bm_3_2_participants"/>
      <w:r w:rsidRPr="009E12A3">
        <w:rPr>
          <w:rFonts w:eastAsia="source serif 4" w:cs="Times New Roman"/>
          <w:color w:val="000000"/>
          <w:sz w:val="24"/>
          <w:szCs w:val="24"/>
        </w:rPr>
        <w:t xml:space="preserve">This study used a mixed methods approach that involved the collection of both quantitative and qualitative data (Babar, 2015). The quantitative method was used for identifying trends in the usage </w:t>
      </w:r>
      <w:r w:rsidRPr="009E12A3">
        <w:rPr>
          <w:rFonts w:eastAsia="source serif 4" w:cs="Times New Roman"/>
          <w:color w:val="000000"/>
          <w:sz w:val="24"/>
          <w:szCs w:val="24"/>
        </w:rPr>
        <w:lastRenderedPageBreak/>
        <w:t>of terminologies, their understanding, and their level of difficulty, while the qualitative method was used to probe into the experiences of the learners and their explanations.</w:t>
      </w:r>
    </w:p>
    <w:p w14:paraId="1E1D4613"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b/>
          <w:color w:val="000000"/>
          <w:sz w:val="24"/>
          <w:szCs w:val="24"/>
        </w:rPr>
        <w:t>3.2 Participants</w:t>
      </w:r>
      <w:bookmarkEnd w:id="13"/>
    </w:p>
    <w:p w14:paraId="6416150D"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t>A total of 80 pharmacy students from the Faculty of Pharmacy, LHU were interviewed. Among them, 52 students were females and 28 were males. According to the academic year, 6 students belonged to Year 2, 53 students were from Year 3, and 21 students were from Year 4. Also, 10 interviewees were responsible for the interview data. Based on the interview file, one may assume that those people had some experience related to pharmacists and pharmacological language.</w:t>
      </w:r>
    </w:p>
    <w:p w14:paraId="3E327EDF" w14:textId="12FE2CAF" w:rsidR="009E12A3" w:rsidRPr="009E12A3" w:rsidRDefault="00C724DC" w:rsidP="009E12A3">
      <w:pPr>
        <w:numPr>
          <w:ilvl w:val="1"/>
          <w:numId w:val="4"/>
        </w:numPr>
        <w:spacing w:after="0" w:line="360" w:lineRule="auto"/>
        <w:contextualSpacing/>
        <w:jc w:val="both"/>
        <w:rPr>
          <w:rFonts w:eastAsia="Aptos" w:cs="Times New Roman"/>
          <w:sz w:val="24"/>
          <w:szCs w:val="24"/>
        </w:rPr>
      </w:pPr>
      <w:bookmarkStart w:id="14" w:name="bm_3_3_instruments"/>
      <w:r>
        <w:rPr>
          <w:rFonts w:eastAsia="source serif 4" w:cs="Times New Roman"/>
          <w:b/>
          <w:color w:val="000000"/>
          <w:sz w:val="24"/>
          <w:szCs w:val="24"/>
        </w:rPr>
        <w:t>Research i</w:t>
      </w:r>
      <w:r w:rsidR="009E12A3" w:rsidRPr="009E12A3">
        <w:rPr>
          <w:rFonts w:eastAsia="source serif 4" w:cs="Times New Roman"/>
          <w:b/>
          <w:color w:val="000000"/>
          <w:sz w:val="24"/>
          <w:szCs w:val="24"/>
        </w:rPr>
        <w:t>nstruments</w:t>
      </w:r>
      <w:bookmarkEnd w:id="14"/>
    </w:p>
    <w:p w14:paraId="323A011C"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t>Two tools were employed in the research. A questionnaire consisting of 20 five-point Likert scale items investigated the frequency of exposure and use, level of understanding and confidence, learning difficulties, and preferred pedagogical assistance forms. Interviews in a semi-structured manner were conducted to explore the perceptions of participants about commonly used terms, contexts of their use, learning difficulties, opportunities to practice, teaching methods, and improving instructions. The questionnaire was divided into four major themes: frequency of exposure and use (Questions 1-5), self-perceived understanding and confidence (Questions 6-11), learning difficulties (Questions 12-17), and pedagogical preferences (Questions 18-20).</w:t>
      </w:r>
    </w:p>
    <w:p w14:paraId="76496FAD" w14:textId="03666C2C" w:rsidR="009E12A3" w:rsidRPr="009E12A3" w:rsidRDefault="009E12A3" w:rsidP="009E12A3">
      <w:pPr>
        <w:spacing w:after="0" w:line="360" w:lineRule="auto"/>
        <w:jc w:val="both"/>
        <w:rPr>
          <w:rFonts w:eastAsia="Aptos" w:cs="Times New Roman"/>
          <w:sz w:val="24"/>
          <w:szCs w:val="24"/>
        </w:rPr>
      </w:pPr>
      <w:bookmarkStart w:id="15" w:name="bm_3_4_reliability_and_validity_c_2cba64"/>
      <w:r w:rsidRPr="009E12A3">
        <w:rPr>
          <w:rFonts w:eastAsia="source serif 4" w:cs="Times New Roman"/>
          <w:b/>
          <w:color w:val="000000"/>
          <w:sz w:val="24"/>
          <w:szCs w:val="24"/>
        </w:rPr>
        <w:t xml:space="preserve">3.4 Reliability and </w:t>
      </w:r>
      <w:r w:rsidR="00C724DC" w:rsidRPr="009E12A3">
        <w:rPr>
          <w:rFonts w:eastAsia="source serif 4" w:cs="Times New Roman"/>
          <w:b/>
          <w:color w:val="000000"/>
          <w:sz w:val="24"/>
          <w:szCs w:val="24"/>
        </w:rPr>
        <w:t>validity considerations</w:t>
      </w:r>
      <w:bookmarkEnd w:id="15"/>
    </w:p>
    <w:p w14:paraId="7A4E3E40" w14:textId="77777777" w:rsidR="009E12A3" w:rsidRPr="009E12A3" w:rsidRDefault="009E12A3" w:rsidP="009E12A3">
      <w:pPr>
        <w:spacing w:after="0" w:line="360" w:lineRule="auto"/>
        <w:ind w:firstLine="720"/>
        <w:jc w:val="both"/>
        <w:rPr>
          <w:rFonts w:eastAsia="source serif 4" w:cs="Times New Roman"/>
          <w:color w:val="000000"/>
          <w:sz w:val="24"/>
          <w:szCs w:val="24"/>
        </w:rPr>
      </w:pPr>
      <w:r w:rsidRPr="009E12A3">
        <w:rPr>
          <w:rFonts w:eastAsia="source serif 4" w:cs="Times New Roman"/>
          <w:color w:val="000000"/>
          <w:sz w:val="24"/>
          <w:szCs w:val="24"/>
        </w:rPr>
        <w:t xml:space="preserve">Reliability and validity measures for the instrument need to be provided for the paper to be suitable for publication (Babar, 2015). Based on preliminary reliability estimates for the present dataset, the instrument demonstrates low values of internal consistency across several different groups of items. For instance, Cronbach’s alpha is equal to 0.049 for all 20 items of the questionnaire, 0.109 for the five items that refer to exposure and use, -0.395 for the six items measuring understanding and confidence, 0.174 for the six items on the difficulty level, and -0.043 for the three items assessing pedagogical support. These numbers indicate that one should not treat the instrument as a reliable unified scale now. This matter should be addressed. If the paper is published in a journal in the future, one needs to demonstrate additional proof of content validity, </w:t>
      </w:r>
      <w:proofErr w:type="gramStart"/>
      <w:r w:rsidRPr="009E12A3">
        <w:rPr>
          <w:rFonts w:eastAsia="source serif 4" w:cs="Times New Roman"/>
          <w:color w:val="000000"/>
          <w:sz w:val="24"/>
          <w:szCs w:val="24"/>
        </w:rPr>
        <w:t>piloting</w:t>
      </w:r>
      <w:proofErr w:type="gramEnd"/>
      <w:r w:rsidRPr="009E12A3">
        <w:rPr>
          <w:rFonts w:eastAsia="source serif 4" w:cs="Times New Roman"/>
          <w:color w:val="000000"/>
          <w:sz w:val="24"/>
          <w:szCs w:val="24"/>
        </w:rPr>
        <w:t>, and re-development of the items and the scales before making claims regarding the psychometric properties of the instrument.</w:t>
      </w:r>
    </w:p>
    <w:p w14:paraId="26B70793" w14:textId="2A47389A" w:rsidR="009E12A3" w:rsidRPr="009E12A3" w:rsidRDefault="009E12A3" w:rsidP="009E12A3">
      <w:pPr>
        <w:spacing w:after="0" w:line="360" w:lineRule="auto"/>
        <w:jc w:val="both"/>
        <w:rPr>
          <w:rFonts w:eastAsia="Aptos" w:cs="Times New Roman"/>
          <w:sz w:val="24"/>
          <w:szCs w:val="24"/>
        </w:rPr>
      </w:pPr>
      <w:bookmarkStart w:id="16" w:name="bm_3_5_data_analysis"/>
      <w:r w:rsidRPr="009E12A3">
        <w:rPr>
          <w:rFonts w:eastAsia="source serif 4" w:cs="Times New Roman"/>
          <w:b/>
          <w:color w:val="000000"/>
          <w:sz w:val="24"/>
          <w:szCs w:val="24"/>
        </w:rPr>
        <w:t xml:space="preserve">3.5 Data </w:t>
      </w:r>
      <w:r w:rsidR="00C724DC">
        <w:rPr>
          <w:rFonts w:eastAsia="source serif 4" w:cs="Times New Roman"/>
          <w:b/>
          <w:color w:val="000000"/>
          <w:sz w:val="24"/>
          <w:szCs w:val="24"/>
        </w:rPr>
        <w:t>a</w:t>
      </w:r>
      <w:r w:rsidRPr="009E12A3">
        <w:rPr>
          <w:rFonts w:eastAsia="source serif 4" w:cs="Times New Roman"/>
          <w:b/>
          <w:color w:val="000000"/>
          <w:sz w:val="24"/>
          <w:szCs w:val="24"/>
        </w:rPr>
        <w:t>nalysis</w:t>
      </w:r>
      <w:bookmarkEnd w:id="16"/>
    </w:p>
    <w:p w14:paraId="56AA62A6" w14:textId="7864A0A9"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t xml:space="preserve">Descriptive statistics such as mean, standard deviation, frequencies, and percentages were used for quantitative data analysis. An analysis was carried out comparing the students’ year levels in the </w:t>
      </w:r>
      <w:r w:rsidRPr="009E12A3">
        <w:rPr>
          <w:rFonts w:eastAsia="source serif 4" w:cs="Times New Roman"/>
          <w:color w:val="000000"/>
          <w:sz w:val="24"/>
          <w:szCs w:val="24"/>
        </w:rPr>
        <w:lastRenderedPageBreak/>
        <w:t xml:space="preserve">case of the self-reporting understanding/confidence composite variable. The </w:t>
      </w:r>
      <w:r w:rsidR="00806178" w:rsidRPr="009E12A3">
        <w:rPr>
          <w:rFonts w:eastAsia="source serif 4" w:cs="Times New Roman"/>
          <w:color w:val="000000"/>
          <w:sz w:val="24"/>
          <w:szCs w:val="24"/>
        </w:rPr>
        <w:t>one-way</w:t>
      </w:r>
      <w:r w:rsidRPr="009E12A3">
        <w:rPr>
          <w:rFonts w:eastAsia="source serif 4" w:cs="Times New Roman"/>
          <w:color w:val="000000"/>
          <w:sz w:val="24"/>
          <w:szCs w:val="24"/>
        </w:rPr>
        <w:t xml:space="preserve"> analysis of variance technique was used to determine whether there is a significant difference in self-reporting competencies in terms of academic years. Thematic analysis was used for qualitative data. As opposed to coding all utterances in the qualitative interview process, the analysis focused on recurring themes concerning memorizing, pronunciation, translation, practice, reading, speaking, internship, and suggestions for improvement.</w:t>
      </w:r>
    </w:p>
    <w:p w14:paraId="619768BF" w14:textId="77777777" w:rsidR="009E12A3" w:rsidRPr="009E12A3" w:rsidRDefault="009E12A3" w:rsidP="009E12A3">
      <w:pPr>
        <w:spacing w:after="0" w:line="360" w:lineRule="auto"/>
        <w:jc w:val="both"/>
        <w:rPr>
          <w:rFonts w:eastAsia="Aptos" w:cs="Times New Roman"/>
          <w:sz w:val="24"/>
          <w:szCs w:val="24"/>
        </w:rPr>
      </w:pPr>
      <w:bookmarkStart w:id="17" w:name="bm_4_findings"/>
      <w:r w:rsidRPr="009E12A3">
        <w:rPr>
          <w:rFonts w:eastAsia="source serif 4" w:cs="Times New Roman"/>
          <w:b/>
          <w:color w:val="000000"/>
          <w:sz w:val="24"/>
          <w:szCs w:val="24"/>
        </w:rPr>
        <w:t>4. Findings</w:t>
      </w:r>
      <w:bookmarkEnd w:id="17"/>
    </w:p>
    <w:p w14:paraId="089A5D8D" w14:textId="77777777" w:rsidR="009E12A3" w:rsidRPr="009E12A3" w:rsidRDefault="009E12A3" w:rsidP="009E12A3">
      <w:pPr>
        <w:spacing w:after="0" w:line="360" w:lineRule="auto"/>
        <w:jc w:val="both"/>
        <w:rPr>
          <w:rFonts w:eastAsia="source serif 4" w:cs="Times New Roman"/>
          <w:b/>
          <w:color w:val="000000"/>
          <w:sz w:val="24"/>
          <w:szCs w:val="24"/>
        </w:rPr>
      </w:pPr>
      <w:bookmarkStart w:id="18" w:name="bm_4_1_overall_patterns_of_exposu_3dba31"/>
      <w:r w:rsidRPr="009E12A3">
        <w:rPr>
          <w:rFonts w:eastAsia="source serif 4" w:cs="Times New Roman"/>
          <w:b/>
          <w:color w:val="000000"/>
          <w:sz w:val="24"/>
          <w:szCs w:val="24"/>
        </w:rPr>
        <w:t xml:space="preserve">4.1 </w:t>
      </w:r>
      <w:bookmarkEnd w:id="18"/>
      <w:r w:rsidRPr="009E12A3">
        <w:rPr>
          <w:rFonts w:eastAsia="source serif 4" w:cs="Times New Roman"/>
          <w:b/>
          <w:color w:val="000000"/>
          <w:sz w:val="24"/>
          <w:szCs w:val="24"/>
        </w:rPr>
        <w:t xml:space="preserve">Difficulties students encounter in learning and using pharmaceutical terminology </w:t>
      </w:r>
    </w:p>
    <w:p w14:paraId="2503AEDC"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t xml:space="preserve">The survey reveals four key trends. First, the participants claimed a </w:t>
      </w:r>
      <w:proofErr w:type="gramStart"/>
      <w:r w:rsidRPr="009E12A3">
        <w:rPr>
          <w:rFonts w:eastAsia="source serif 4" w:cs="Times New Roman"/>
          <w:color w:val="000000"/>
          <w:sz w:val="24"/>
          <w:szCs w:val="24"/>
        </w:rPr>
        <w:t>fairly high</w:t>
      </w:r>
      <w:proofErr w:type="gramEnd"/>
      <w:r w:rsidRPr="009E12A3">
        <w:rPr>
          <w:rFonts w:eastAsia="source serif 4" w:cs="Times New Roman"/>
          <w:color w:val="000000"/>
          <w:sz w:val="24"/>
          <w:szCs w:val="24"/>
        </w:rPr>
        <w:t xml:space="preserve"> level of exposure and usage of English pharmacological terms (M = 3.97). Second, self-assessed levels of comprehension and mastery of the knowledge were quite average (M = 3.03). Third, the difficulties of acquiring knowledge were very high (M = 4.25). Fourth, there was a high demand for pedagogical assistance (M = 4.21). It can be concluded that frequent encounters with terminology do not guarantee comprehension and proficiency in it.</w:t>
      </w:r>
    </w:p>
    <w:p w14:paraId="1957F016" w14:textId="322C9E67" w:rsidR="009E12A3" w:rsidRPr="009E12A3" w:rsidRDefault="009E12A3" w:rsidP="009E12A3">
      <w:pPr>
        <w:spacing w:after="0" w:line="360" w:lineRule="auto"/>
        <w:jc w:val="both"/>
        <w:rPr>
          <w:rFonts w:eastAsia="Aptos" w:cs="Times New Roman"/>
          <w:sz w:val="24"/>
          <w:szCs w:val="24"/>
        </w:rPr>
      </w:pPr>
      <w:bookmarkStart w:id="19" w:name="bm_4_2_frequency_and_contexts_of_adc972"/>
      <w:r w:rsidRPr="009E12A3">
        <w:rPr>
          <w:rFonts w:eastAsia="source serif 4" w:cs="Times New Roman"/>
          <w:b/>
          <w:color w:val="000000"/>
          <w:sz w:val="24"/>
          <w:szCs w:val="24"/>
        </w:rPr>
        <w:t xml:space="preserve">4.2 Frequency and </w:t>
      </w:r>
      <w:r w:rsidR="00C724DC">
        <w:rPr>
          <w:rFonts w:eastAsia="source serif 4" w:cs="Times New Roman"/>
          <w:b/>
          <w:color w:val="000000"/>
          <w:sz w:val="24"/>
          <w:szCs w:val="24"/>
        </w:rPr>
        <w:t>c</w:t>
      </w:r>
      <w:r w:rsidRPr="009E12A3">
        <w:rPr>
          <w:rFonts w:eastAsia="source serif 4" w:cs="Times New Roman"/>
          <w:b/>
          <w:color w:val="000000"/>
          <w:sz w:val="24"/>
          <w:szCs w:val="24"/>
        </w:rPr>
        <w:t xml:space="preserve">ontexts of </w:t>
      </w:r>
      <w:r w:rsidR="00C724DC" w:rsidRPr="009E12A3">
        <w:rPr>
          <w:rFonts w:eastAsia="source serif 4" w:cs="Times New Roman"/>
          <w:b/>
          <w:color w:val="000000"/>
          <w:sz w:val="24"/>
          <w:szCs w:val="24"/>
        </w:rPr>
        <w:t>terminology use</w:t>
      </w:r>
      <w:bookmarkEnd w:id="19"/>
    </w:p>
    <w:p w14:paraId="5DA23E61"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t>Students reported different levels of exposure in different contexts, as can be seen in Table 1.</w:t>
      </w:r>
    </w:p>
    <w:p w14:paraId="127BBA56" w14:textId="77777777" w:rsidR="009E12A3" w:rsidRPr="009E12A3" w:rsidRDefault="009E12A3" w:rsidP="009E12A3">
      <w:pPr>
        <w:spacing w:after="0" w:line="360" w:lineRule="auto"/>
        <w:jc w:val="both"/>
        <w:rPr>
          <w:rFonts w:eastAsia="source serif 4" w:cs="Times New Roman"/>
          <w:i/>
          <w:iCs/>
          <w:color w:val="000000"/>
          <w:sz w:val="24"/>
          <w:szCs w:val="24"/>
        </w:rPr>
      </w:pPr>
      <w:r w:rsidRPr="009E12A3">
        <w:rPr>
          <w:rFonts w:eastAsia="source serif 4" w:cs="Times New Roman"/>
          <w:i/>
          <w:iCs/>
          <w:color w:val="000000"/>
          <w:sz w:val="24"/>
          <w:szCs w:val="24"/>
        </w:rPr>
        <w:t>Table 1. Contexts of terminology exposure and use (N = 80)</w:t>
      </w:r>
    </w:p>
    <w:tbl>
      <w:tblPr>
        <w:tblStyle w:val="TableGrid"/>
        <w:tblW w:w="0" w:type="auto"/>
        <w:tblInd w:w="1129" w:type="dxa"/>
        <w:tblLook w:val="04A0" w:firstRow="1" w:lastRow="0" w:firstColumn="1" w:lastColumn="0" w:noHBand="0" w:noVBand="1"/>
      </w:tblPr>
      <w:tblGrid>
        <w:gridCol w:w="3969"/>
        <w:gridCol w:w="1701"/>
        <w:gridCol w:w="1843"/>
      </w:tblGrid>
      <w:tr w:rsidR="009E12A3" w:rsidRPr="009E12A3" w14:paraId="0DB489B4" w14:textId="77777777" w:rsidTr="00CC174F">
        <w:tc>
          <w:tcPr>
            <w:tcW w:w="3969" w:type="dxa"/>
            <w:tcBorders>
              <w:top w:val="single" w:sz="1" w:space="0" w:color="000000"/>
              <w:bottom w:val="single" w:sz="1" w:space="0" w:color="000000"/>
              <w:right w:val="single" w:sz="1" w:space="0" w:color="000000"/>
            </w:tcBorders>
          </w:tcPr>
          <w:p w14:paraId="2FA8414C" w14:textId="77777777" w:rsidR="009E12A3" w:rsidRPr="00806178" w:rsidRDefault="009E12A3" w:rsidP="009E12A3">
            <w:pPr>
              <w:spacing w:line="360" w:lineRule="auto"/>
              <w:ind w:left="-262"/>
              <w:jc w:val="center"/>
              <w:rPr>
                <w:rFonts w:ascii="Times New Roman" w:eastAsia="source serif 4" w:hAnsi="Times New Roman" w:cs="Times New Roman"/>
                <w:b/>
                <w:bCs/>
                <w:iCs/>
                <w:color w:val="000000"/>
                <w:sz w:val="24"/>
                <w:szCs w:val="24"/>
              </w:rPr>
            </w:pPr>
            <w:r w:rsidRPr="00806178">
              <w:rPr>
                <w:rFonts w:ascii="Times New Roman" w:eastAsia="source sans 3" w:hAnsi="Times New Roman" w:cs="Times New Roman"/>
                <w:b/>
                <w:bCs/>
                <w:color w:val="000000"/>
                <w:sz w:val="24"/>
                <w:szCs w:val="24"/>
              </w:rPr>
              <w:t>Context</w:t>
            </w:r>
          </w:p>
        </w:tc>
        <w:tc>
          <w:tcPr>
            <w:tcW w:w="1701" w:type="dxa"/>
            <w:tcBorders>
              <w:top w:val="single" w:sz="1" w:space="0" w:color="000000"/>
              <w:bottom w:val="single" w:sz="1" w:space="0" w:color="000000"/>
              <w:right w:val="single" w:sz="1" w:space="0" w:color="000000"/>
            </w:tcBorders>
          </w:tcPr>
          <w:p w14:paraId="64DDC218" w14:textId="77777777" w:rsidR="009E12A3" w:rsidRPr="00806178" w:rsidRDefault="009E12A3" w:rsidP="009E12A3">
            <w:pPr>
              <w:spacing w:line="360" w:lineRule="auto"/>
              <w:ind w:left="-262"/>
              <w:jc w:val="center"/>
              <w:rPr>
                <w:rFonts w:ascii="Times New Roman" w:eastAsia="source serif 4" w:hAnsi="Times New Roman" w:cs="Times New Roman"/>
                <w:b/>
                <w:bCs/>
                <w:iCs/>
                <w:color w:val="000000"/>
                <w:sz w:val="24"/>
                <w:szCs w:val="24"/>
              </w:rPr>
            </w:pPr>
            <w:r w:rsidRPr="00806178">
              <w:rPr>
                <w:rFonts w:ascii="Times New Roman" w:eastAsia="source sans 3" w:hAnsi="Times New Roman" w:cs="Times New Roman"/>
                <w:b/>
                <w:bCs/>
                <w:color w:val="000000"/>
                <w:sz w:val="24"/>
                <w:szCs w:val="24"/>
              </w:rPr>
              <w:t>M</w:t>
            </w:r>
          </w:p>
        </w:tc>
        <w:tc>
          <w:tcPr>
            <w:tcW w:w="1843" w:type="dxa"/>
            <w:tcBorders>
              <w:top w:val="single" w:sz="1" w:space="0" w:color="000000"/>
              <w:bottom w:val="single" w:sz="1" w:space="0" w:color="000000"/>
            </w:tcBorders>
          </w:tcPr>
          <w:p w14:paraId="2A6C097B" w14:textId="77777777" w:rsidR="009E12A3" w:rsidRPr="00806178" w:rsidRDefault="009E12A3" w:rsidP="009E12A3">
            <w:pPr>
              <w:spacing w:line="360" w:lineRule="auto"/>
              <w:ind w:left="-262"/>
              <w:jc w:val="center"/>
              <w:rPr>
                <w:rFonts w:ascii="Times New Roman" w:eastAsia="source serif 4" w:hAnsi="Times New Roman" w:cs="Times New Roman"/>
                <w:b/>
                <w:bCs/>
                <w:iCs/>
                <w:color w:val="000000"/>
                <w:sz w:val="24"/>
                <w:szCs w:val="24"/>
              </w:rPr>
            </w:pPr>
            <w:r w:rsidRPr="00806178">
              <w:rPr>
                <w:rFonts w:ascii="Times New Roman" w:eastAsia="source sans 3" w:hAnsi="Times New Roman" w:cs="Times New Roman"/>
                <w:b/>
                <w:bCs/>
                <w:color w:val="000000"/>
                <w:sz w:val="24"/>
                <w:szCs w:val="24"/>
              </w:rPr>
              <w:t>SD</w:t>
            </w:r>
          </w:p>
        </w:tc>
      </w:tr>
      <w:tr w:rsidR="009E12A3" w:rsidRPr="009E12A3" w14:paraId="2761DB48" w14:textId="77777777" w:rsidTr="00CC174F">
        <w:tc>
          <w:tcPr>
            <w:tcW w:w="3969" w:type="dxa"/>
            <w:tcBorders>
              <w:top w:val="single" w:sz="1" w:space="0" w:color="000000"/>
              <w:bottom w:val="single" w:sz="1" w:space="0" w:color="000000"/>
              <w:right w:val="single" w:sz="1" w:space="0" w:color="000000"/>
            </w:tcBorders>
          </w:tcPr>
          <w:p w14:paraId="621385F2" w14:textId="77777777" w:rsidR="009E12A3" w:rsidRPr="00806178" w:rsidRDefault="009E12A3" w:rsidP="009E12A3">
            <w:pPr>
              <w:spacing w:line="360" w:lineRule="auto"/>
              <w:ind w:left="-262"/>
              <w:jc w:val="right"/>
              <w:rPr>
                <w:rFonts w:ascii="Times New Roman" w:eastAsia="source serif 4" w:hAnsi="Times New Roman" w:cs="Times New Roman"/>
                <w:iCs/>
                <w:color w:val="000000"/>
                <w:sz w:val="24"/>
                <w:szCs w:val="24"/>
              </w:rPr>
            </w:pPr>
            <w:r w:rsidRPr="00806178">
              <w:rPr>
                <w:rFonts w:ascii="Times New Roman" w:eastAsia="source sans 3" w:hAnsi="Times New Roman" w:cs="Times New Roman"/>
                <w:color w:val="000000"/>
                <w:sz w:val="24"/>
                <w:szCs w:val="24"/>
              </w:rPr>
              <w:t>Specific subjects</w:t>
            </w:r>
          </w:p>
        </w:tc>
        <w:tc>
          <w:tcPr>
            <w:tcW w:w="1701" w:type="dxa"/>
            <w:tcBorders>
              <w:top w:val="single" w:sz="1" w:space="0" w:color="000000"/>
              <w:bottom w:val="single" w:sz="1" w:space="0" w:color="000000"/>
              <w:right w:val="single" w:sz="1" w:space="0" w:color="000000"/>
            </w:tcBorders>
          </w:tcPr>
          <w:p w14:paraId="220680AA" w14:textId="77777777" w:rsidR="009E12A3" w:rsidRPr="00806178" w:rsidRDefault="009E12A3" w:rsidP="009E12A3">
            <w:pPr>
              <w:spacing w:line="360" w:lineRule="auto"/>
              <w:ind w:left="-262"/>
              <w:jc w:val="center"/>
              <w:rPr>
                <w:rFonts w:ascii="Times New Roman" w:eastAsia="source serif 4" w:hAnsi="Times New Roman" w:cs="Times New Roman"/>
                <w:iCs/>
                <w:color w:val="000000"/>
                <w:sz w:val="24"/>
                <w:szCs w:val="24"/>
              </w:rPr>
            </w:pPr>
            <w:r w:rsidRPr="00806178">
              <w:rPr>
                <w:rFonts w:ascii="Times New Roman" w:eastAsia="source sans 3" w:hAnsi="Times New Roman" w:cs="Times New Roman"/>
                <w:color w:val="000000"/>
                <w:sz w:val="24"/>
                <w:szCs w:val="24"/>
              </w:rPr>
              <w:t>3.61</w:t>
            </w:r>
          </w:p>
        </w:tc>
        <w:tc>
          <w:tcPr>
            <w:tcW w:w="1843" w:type="dxa"/>
            <w:tcBorders>
              <w:top w:val="single" w:sz="1" w:space="0" w:color="000000"/>
              <w:bottom w:val="single" w:sz="1" w:space="0" w:color="000000"/>
            </w:tcBorders>
          </w:tcPr>
          <w:p w14:paraId="6E82B4E0" w14:textId="77777777" w:rsidR="009E12A3" w:rsidRPr="00806178" w:rsidRDefault="009E12A3" w:rsidP="009E12A3">
            <w:pPr>
              <w:spacing w:line="360" w:lineRule="auto"/>
              <w:ind w:left="-262"/>
              <w:jc w:val="center"/>
              <w:rPr>
                <w:rFonts w:ascii="Times New Roman" w:eastAsia="source serif 4" w:hAnsi="Times New Roman" w:cs="Times New Roman"/>
                <w:iCs/>
                <w:color w:val="000000"/>
                <w:sz w:val="24"/>
                <w:szCs w:val="24"/>
              </w:rPr>
            </w:pPr>
            <w:r w:rsidRPr="00806178">
              <w:rPr>
                <w:rFonts w:ascii="Times New Roman" w:eastAsia="source sans 3" w:hAnsi="Times New Roman" w:cs="Times New Roman"/>
                <w:color w:val="000000"/>
                <w:sz w:val="24"/>
                <w:szCs w:val="24"/>
              </w:rPr>
              <w:t>0.49</w:t>
            </w:r>
          </w:p>
        </w:tc>
      </w:tr>
      <w:tr w:rsidR="009E12A3" w:rsidRPr="009E12A3" w14:paraId="771ACDD2" w14:textId="77777777" w:rsidTr="00CC174F">
        <w:tc>
          <w:tcPr>
            <w:tcW w:w="3969" w:type="dxa"/>
            <w:tcBorders>
              <w:top w:val="single" w:sz="1" w:space="0" w:color="000000"/>
              <w:bottom w:val="single" w:sz="1" w:space="0" w:color="000000"/>
              <w:right w:val="single" w:sz="1" w:space="0" w:color="000000"/>
            </w:tcBorders>
          </w:tcPr>
          <w:p w14:paraId="70260DD4" w14:textId="77777777" w:rsidR="009E12A3" w:rsidRPr="00806178" w:rsidRDefault="009E12A3" w:rsidP="009E12A3">
            <w:pPr>
              <w:spacing w:line="360" w:lineRule="auto"/>
              <w:ind w:left="-262"/>
              <w:jc w:val="right"/>
              <w:rPr>
                <w:rFonts w:ascii="Times New Roman" w:eastAsia="source serif 4" w:hAnsi="Times New Roman" w:cs="Times New Roman"/>
                <w:iCs/>
                <w:color w:val="000000"/>
                <w:sz w:val="24"/>
                <w:szCs w:val="24"/>
              </w:rPr>
            </w:pPr>
            <w:r w:rsidRPr="00806178">
              <w:rPr>
                <w:rFonts w:ascii="Times New Roman" w:eastAsia="source sans 3" w:hAnsi="Times New Roman" w:cs="Times New Roman"/>
                <w:color w:val="000000"/>
                <w:sz w:val="24"/>
                <w:szCs w:val="24"/>
              </w:rPr>
              <w:t>Reading textbooks or study materials</w:t>
            </w:r>
          </w:p>
        </w:tc>
        <w:tc>
          <w:tcPr>
            <w:tcW w:w="1701" w:type="dxa"/>
            <w:tcBorders>
              <w:top w:val="single" w:sz="1" w:space="0" w:color="000000"/>
              <w:bottom w:val="single" w:sz="1" w:space="0" w:color="000000"/>
              <w:right w:val="single" w:sz="1" w:space="0" w:color="000000"/>
            </w:tcBorders>
          </w:tcPr>
          <w:p w14:paraId="7EED7273" w14:textId="77777777" w:rsidR="009E12A3" w:rsidRPr="00806178" w:rsidRDefault="009E12A3" w:rsidP="009E12A3">
            <w:pPr>
              <w:spacing w:line="360" w:lineRule="auto"/>
              <w:ind w:left="-262"/>
              <w:jc w:val="center"/>
              <w:rPr>
                <w:rFonts w:ascii="Times New Roman" w:eastAsia="source serif 4" w:hAnsi="Times New Roman" w:cs="Times New Roman"/>
                <w:iCs/>
                <w:color w:val="000000"/>
                <w:sz w:val="24"/>
                <w:szCs w:val="24"/>
              </w:rPr>
            </w:pPr>
            <w:r w:rsidRPr="00806178">
              <w:rPr>
                <w:rFonts w:ascii="Times New Roman" w:eastAsia="source sans 3" w:hAnsi="Times New Roman" w:cs="Times New Roman"/>
                <w:color w:val="000000"/>
                <w:sz w:val="24"/>
                <w:szCs w:val="24"/>
              </w:rPr>
              <w:t>3.54</w:t>
            </w:r>
          </w:p>
        </w:tc>
        <w:tc>
          <w:tcPr>
            <w:tcW w:w="1843" w:type="dxa"/>
            <w:tcBorders>
              <w:top w:val="single" w:sz="1" w:space="0" w:color="000000"/>
              <w:bottom w:val="single" w:sz="1" w:space="0" w:color="000000"/>
            </w:tcBorders>
          </w:tcPr>
          <w:p w14:paraId="764CB077" w14:textId="77777777" w:rsidR="009E12A3" w:rsidRPr="00806178" w:rsidRDefault="009E12A3" w:rsidP="009E12A3">
            <w:pPr>
              <w:spacing w:line="360" w:lineRule="auto"/>
              <w:ind w:left="-262"/>
              <w:jc w:val="center"/>
              <w:rPr>
                <w:rFonts w:ascii="Times New Roman" w:eastAsia="source serif 4" w:hAnsi="Times New Roman" w:cs="Times New Roman"/>
                <w:iCs/>
                <w:color w:val="000000"/>
                <w:sz w:val="24"/>
                <w:szCs w:val="24"/>
              </w:rPr>
            </w:pPr>
            <w:r w:rsidRPr="00806178">
              <w:rPr>
                <w:rFonts w:ascii="Times New Roman" w:eastAsia="source sans 3" w:hAnsi="Times New Roman" w:cs="Times New Roman"/>
                <w:color w:val="000000"/>
                <w:sz w:val="24"/>
                <w:szCs w:val="24"/>
              </w:rPr>
              <w:t>1.01</w:t>
            </w:r>
          </w:p>
        </w:tc>
      </w:tr>
      <w:tr w:rsidR="009E12A3" w:rsidRPr="009E12A3" w14:paraId="47F01ABD" w14:textId="77777777" w:rsidTr="00CC174F">
        <w:tc>
          <w:tcPr>
            <w:tcW w:w="3969" w:type="dxa"/>
            <w:tcBorders>
              <w:top w:val="single" w:sz="1" w:space="0" w:color="000000"/>
              <w:bottom w:val="single" w:sz="1" w:space="0" w:color="000000"/>
              <w:right w:val="single" w:sz="1" w:space="0" w:color="000000"/>
            </w:tcBorders>
          </w:tcPr>
          <w:p w14:paraId="5A56F696" w14:textId="77777777" w:rsidR="009E12A3" w:rsidRPr="00806178" w:rsidRDefault="009E12A3" w:rsidP="009E12A3">
            <w:pPr>
              <w:spacing w:line="360" w:lineRule="auto"/>
              <w:ind w:left="-262"/>
              <w:jc w:val="right"/>
              <w:rPr>
                <w:rFonts w:ascii="Times New Roman" w:eastAsia="source serif 4" w:hAnsi="Times New Roman" w:cs="Times New Roman"/>
                <w:iCs/>
                <w:color w:val="000000"/>
                <w:sz w:val="24"/>
                <w:szCs w:val="24"/>
              </w:rPr>
            </w:pPr>
            <w:r w:rsidRPr="00806178">
              <w:rPr>
                <w:rFonts w:ascii="Times New Roman" w:eastAsia="source sans 3" w:hAnsi="Times New Roman" w:cs="Times New Roman"/>
                <w:color w:val="000000"/>
                <w:sz w:val="24"/>
                <w:szCs w:val="24"/>
              </w:rPr>
              <w:t>Practical courses or laboratories</w:t>
            </w:r>
          </w:p>
        </w:tc>
        <w:tc>
          <w:tcPr>
            <w:tcW w:w="1701" w:type="dxa"/>
            <w:tcBorders>
              <w:top w:val="single" w:sz="1" w:space="0" w:color="000000"/>
              <w:bottom w:val="single" w:sz="1" w:space="0" w:color="000000"/>
              <w:right w:val="single" w:sz="1" w:space="0" w:color="000000"/>
            </w:tcBorders>
          </w:tcPr>
          <w:p w14:paraId="553EB7BA" w14:textId="77777777" w:rsidR="009E12A3" w:rsidRPr="00806178" w:rsidRDefault="009E12A3" w:rsidP="009E12A3">
            <w:pPr>
              <w:spacing w:line="360" w:lineRule="auto"/>
              <w:ind w:left="-262"/>
              <w:jc w:val="center"/>
              <w:rPr>
                <w:rFonts w:ascii="Times New Roman" w:eastAsia="source serif 4" w:hAnsi="Times New Roman" w:cs="Times New Roman"/>
                <w:iCs/>
                <w:color w:val="000000"/>
                <w:sz w:val="24"/>
                <w:szCs w:val="24"/>
              </w:rPr>
            </w:pPr>
            <w:r w:rsidRPr="00806178">
              <w:rPr>
                <w:rFonts w:ascii="Times New Roman" w:eastAsia="source sans 3" w:hAnsi="Times New Roman" w:cs="Times New Roman"/>
                <w:color w:val="000000"/>
                <w:sz w:val="24"/>
                <w:szCs w:val="24"/>
              </w:rPr>
              <w:t>3.56</w:t>
            </w:r>
          </w:p>
        </w:tc>
        <w:tc>
          <w:tcPr>
            <w:tcW w:w="1843" w:type="dxa"/>
            <w:tcBorders>
              <w:top w:val="single" w:sz="1" w:space="0" w:color="000000"/>
              <w:bottom w:val="single" w:sz="1" w:space="0" w:color="000000"/>
            </w:tcBorders>
          </w:tcPr>
          <w:p w14:paraId="621B2F3D" w14:textId="77777777" w:rsidR="009E12A3" w:rsidRPr="00806178" w:rsidRDefault="009E12A3" w:rsidP="009E12A3">
            <w:pPr>
              <w:spacing w:line="360" w:lineRule="auto"/>
              <w:ind w:left="-262"/>
              <w:jc w:val="center"/>
              <w:rPr>
                <w:rFonts w:ascii="Times New Roman" w:eastAsia="source serif 4" w:hAnsi="Times New Roman" w:cs="Times New Roman"/>
                <w:iCs/>
                <w:color w:val="000000"/>
                <w:sz w:val="24"/>
                <w:szCs w:val="24"/>
              </w:rPr>
            </w:pPr>
            <w:r w:rsidRPr="00806178">
              <w:rPr>
                <w:rFonts w:ascii="Times New Roman" w:eastAsia="source sans 3" w:hAnsi="Times New Roman" w:cs="Times New Roman"/>
                <w:color w:val="000000"/>
                <w:sz w:val="24"/>
                <w:szCs w:val="24"/>
              </w:rPr>
              <w:t>0.87</w:t>
            </w:r>
          </w:p>
        </w:tc>
      </w:tr>
      <w:tr w:rsidR="009E12A3" w:rsidRPr="009E12A3" w14:paraId="6FD68DAA" w14:textId="77777777" w:rsidTr="00CC174F">
        <w:tc>
          <w:tcPr>
            <w:tcW w:w="3969" w:type="dxa"/>
            <w:tcBorders>
              <w:top w:val="single" w:sz="1" w:space="0" w:color="000000"/>
              <w:bottom w:val="single" w:sz="1" w:space="0" w:color="000000"/>
              <w:right w:val="single" w:sz="1" w:space="0" w:color="000000"/>
            </w:tcBorders>
          </w:tcPr>
          <w:p w14:paraId="613EADDC" w14:textId="77777777" w:rsidR="009E12A3" w:rsidRPr="00806178" w:rsidRDefault="009E12A3" w:rsidP="009E12A3">
            <w:pPr>
              <w:spacing w:line="360" w:lineRule="auto"/>
              <w:ind w:left="-262"/>
              <w:jc w:val="right"/>
              <w:rPr>
                <w:rFonts w:ascii="Times New Roman" w:eastAsia="source serif 4" w:hAnsi="Times New Roman" w:cs="Times New Roman"/>
                <w:iCs/>
                <w:color w:val="000000"/>
                <w:sz w:val="24"/>
                <w:szCs w:val="24"/>
              </w:rPr>
            </w:pPr>
            <w:r w:rsidRPr="00806178">
              <w:rPr>
                <w:rFonts w:ascii="Times New Roman" w:eastAsia="source sans 3" w:hAnsi="Times New Roman" w:cs="Times New Roman"/>
                <w:color w:val="000000"/>
                <w:sz w:val="24"/>
                <w:szCs w:val="24"/>
              </w:rPr>
              <w:t>Internship or professional observation</w:t>
            </w:r>
          </w:p>
        </w:tc>
        <w:tc>
          <w:tcPr>
            <w:tcW w:w="1701" w:type="dxa"/>
            <w:tcBorders>
              <w:top w:val="single" w:sz="1" w:space="0" w:color="000000"/>
              <w:bottom w:val="single" w:sz="1" w:space="0" w:color="000000"/>
              <w:right w:val="single" w:sz="1" w:space="0" w:color="000000"/>
            </w:tcBorders>
          </w:tcPr>
          <w:p w14:paraId="3CA0ABA9" w14:textId="77777777" w:rsidR="009E12A3" w:rsidRPr="00806178" w:rsidRDefault="009E12A3" w:rsidP="009E12A3">
            <w:pPr>
              <w:spacing w:line="360" w:lineRule="auto"/>
              <w:ind w:left="-262"/>
              <w:jc w:val="center"/>
              <w:rPr>
                <w:rFonts w:ascii="Times New Roman" w:eastAsia="source serif 4" w:hAnsi="Times New Roman" w:cs="Times New Roman"/>
                <w:iCs/>
                <w:color w:val="000000"/>
                <w:sz w:val="24"/>
                <w:szCs w:val="24"/>
              </w:rPr>
            </w:pPr>
            <w:r w:rsidRPr="00806178">
              <w:rPr>
                <w:rFonts w:ascii="Times New Roman" w:eastAsia="source sans 3" w:hAnsi="Times New Roman" w:cs="Times New Roman"/>
                <w:color w:val="000000"/>
                <w:sz w:val="24"/>
                <w:szCs w:val="24"/>
              </w:rPr>
              <w:t>4.55</w:t>
            </w:r>
          </w:p>
        </w:tc>
        <w:tc>
          <w:tcPr>
            <w:tcW w:w="1843" w:type="dxa"/>
            <w:tcBorders>
              <w:top w:val="single" w:sz="1" w:space="0" w:color="000000"/>
              <w:bottom w:val="single" w:sz="1" w:space="0" w:color="000000"/>
            </w:tcBorders>
          </w:tcPr>
          <w:p w14:paraId="7AE64AF5" w14:textId="77777777" w:rsidR="009E12A3" w:rsidRPr="00806178" w:rsidRDefault="009E12A3" w:rsidP="009E12A3">
            <w:pPr>
              <w:spacing w:line="360" w:lineRule="auto"/>
              <w:ind w:left="-262"/>
              <w:jc w:val="center"/>
              <w:rPr>
                <w:rFonts w:ascii="Times New Roman" w:eastAsia="source serif 4" w:hAnsi="Times New Roman" w:cs="Times New Roman"/>
                <w:iCs/>
                <w:color w:val="000000"/>
                <w:sz w:val="24"/>
                <w:szCs w:val="24"/>
              </w:rPr>
            </w:pPr>
            <w:r w:rsidRPr="00806178">
              <w:rPr>
                <w:rFonts w:ascii="Times New Roman" w:eastAsia="source sans 3" w:hAnsi="Times New Roman" w:cs="Times New Roman"/>
                <w:color w:val="000000"/>
                <w:sz w:val="24"/>
                <w:szCs w:val="24"/>
              </w:rPr>
              <w:t>0.50</w:t>
            </w:r>
          </w:p>
        </w:tc>
      </w:tr>
    </w:tbl>
    <w:p w14:paraId="1505ABEB" w14:textId="77777777" w:rsidR="009E12A3" w:rsidRPr="009E12A3" w:rsidRDefault="009E12A3" w:rsidP="009E12A3">
      <w:pPr>
        <w:spacing w:after="0" w:line="360" w:lineRule="auto"/>
        <w:jc w:val="both"/>
        <w:rPr>
          <w:rFonts w:eastAsia="Aptos" w:cs="Times New Roman"/>
          <w:sz w:val="24"/>
          <w:szCs w:val="24"/>
        </w:rPr>
      </w:pPr>
    </w:p>
    <w:p w14:paraId="15A12546" w14:textId="77777777" w:rsidR="009E12A3" w:rsidRPr="009E12A3" w:rsidRDefault="009E12A3" w:rsidP="00806178">
      <w:pPr>
        <w:spacing w:after="0" w:line="360" w:lineRule="auto"/>
        <w:jc w:val="both"/>
        <w:rPr>
          <w:rFonts w:eastAsia="Aptos" w:cs="Times New Roman"/>
          <w:sz w:val="24"/>
          <w:szCs w:val="24"/>
        </w:rPr>
      </w:pPr>
      <w:r w:rsidRPr="009E12A3">
        <w:rPr>
          <w:rFonts w:eastAsia="source serif 4" w:cs="Times New Roman"/>
          <w:color w:val="000000"/>
          <w:sz w:val="24"/>
          <w:szCs w:val="24"/>
        </w:rPr>
        <w:t>The highest mean score was observed in internship or professional practice (M = 4.55, SD = 0.50). In this respect, it can be concluded that the exposure to English drug terminology is most intense in a situation where students are getting nearer to professional practices. At the same time, the mean scores for other academic disciplines, books, and practical disciplines were less intense. Therefore, one can assume that terminology becomes particularly relevant when students are dealing with professional activities.</w:t>
      </w:r>
    </w:p>
    <w:p w14:paraId="0D579110" w14:textId="3CEE63AF" w:rsidR="009E12A3" w:rsidRPr="009E12A3" w:rsidRDefault="009E12A3" w:rsidP="009E12A3">
      <w:pPr>
        <w:spacing w:after="0" w:line="360" w:lineRule="auto"/>
        <w:jc w:val="both"/>
        <w:rPr>
          <w:rFonts w:eastAsia="Aptos" w:cs="Times New Roman"/>
          <w:sz w:val="24"/>
          <w:szCs w:val="24"/>
        </w:rPr>
      </w:pPr>
      <w:bookmarkStart w:id="20" w:name="bm_4_3_self_reported_understandin_800286"/>
      <w:r w:rsidRPr="009E12A3">
        <w:rPr>
          <w:rFonts w:eastAsia="source serif 4" w:cs="Times New Roman"/>
          <w:b/>
          <w:color w:val="000000"/>
          <w:sz w:val="24"/>
          <w:szCs w:val="24"/>
        </w:rPr>
        <w:t>4.3 Self-</w:t>
      </w:r>
      <w:r w:rsidR="00C724DC" w:rsidRPr="009E12A3">
        <w:rPr>
          <w:rFonts w:eastAsia="source serif 4" w:cs="Times New Roman"/>
          <w:b/>
          <w:color w:val="000000"/>
          <w:sz w:val="24"/>
          <w:szCs w:val="24"/>
        </w:rPr>
        <w:t>reported understanding and confidence</w:t>
      </w:r>
      <w:bookmarkEnd w:id="20"/>
    </w:p>
    <w:p w14:paraId="7364D665"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lastRenderedPageBreak/>
        <w:t xml:space="preserve">The students’ level of understanding and confidence </w:t>
      </w:r>
      <w:proofErr w:type="gramStart"/>
      <w:r w:rsidRPr="009E12A3">
        <w:rPr>
          <w:rFonts w:eastAsia="source serif 4" w:cs="Times New Roman"/>
          <w:color w:val="000000"/>
          <w:sz w:val="24"/>
          <w:szCs w:val="24"/>
        </w:rPr>
        <w:t>lagged behind</w:t>
      </w:r>
      <w:proofErr w:type="gramEnd"/>
      <w:r w:rsidRPr="009E12A3">
        <w:rPr>
          <w:rFonts w:eastAsia="source serif 4" w:cs="Times New Roman"/>
          <w:color w:val="000000"/>
          <w:sz w:val="24"/>
          <w:szCs w:val="24"/>
        </w:rPr>
        <w:t xml:space="preserve"> the amount of exposure that they had received. The composite of the six items on understanding and confidence was classified into broad bands of performance as shown in Table 2.</w:t>
      </w:r>
    </w:p>
    <w:p w14:paraId="7E81DABF" w14:textId="77777777" w:rsidR="009E12A3" w:rsidRPr="009E12A3" w:rsidRDefault="009E12A3" w:rsidP="009E12A3">
      <w:pPr>
        <w:spacing w:after="0" w:line="360" w:lineRule="auto"/>
        <w:jc w:val="both"/>
        <w:rPr>
          <w:rFonts w:eastAsia="source serif 4" w:cs="Times New Roman"/>
          <w:i/>
          <w:color w:val="000000"/>
          <w:sz w:val="24"/>
          <w:szCs w:val="24"/>
        </w:rPr>
      </w:pPr>
      <w:r w:rsidRPr="009E12A3">
        <w:rPr>
          <w:rFonts w:eastAsia="source serif 4" w:cs="Times New Roman"/>
          <w:color w:val="000000"/>
          <w:sz w:val="24"/>
          <w:szCs w:val="24"/>
        </w:rPr>
        <w:t xml:space="preserve">Table 2. </w:t>
      </w:r>
      <w:r w:rsidRPr="009E12A3">
        <w:rPr>
          <w:rFonts w:eastAsia="source serif 4" w:cs="Times New Roman"/>
          <w:i/>
          <w:iCs/>
          <w:color w:val="000000"/>
          <w:sz w:val="24"/>
          <w:szCs w:val="24"/>
        </w:rPr>
        <w:t>Distribution</w:t>
      </w:r>
      <w:r w:rsidRPr="009E12A3">
        <w:rPr>
          <w:rFonts w:eastAsia="source serif 4" w:cs="Times New Roman"/>
          <w:i/>
          <w:color w:val="000000"/>
          <w:sz w:val="24"/>
          <w:szCs w:val="24"/>
        </w:rPr>
        <w:t xml:space="preserve"> of self-reported understanding and confidence</w:t>
      </w:r>
    </w:p>
    <w:tbl>
      <w:tblPr>
        <w:tblStyle w:val="TableGrid"/>
        <w:tblW w:w="0" w:type="auto"/>
        <w:tblInd w:w="1129" w:type="dxa"/>
        <w:tblLook w:val="04A0" w:firstRow="1" w:lastRow="0" w:firstColumn="1" w:lastColumn="0" w:noHBand="0" w:noVBand="1"/>
      </w:tblPr>
      <w:tblGrid>
        <w:gridCol w:w="2037"/>
        <w:gridCol w:w="2358"/>
        <w:gridCol w:w="2976"/>
      </w:tblGrid>
      <w:tr w:rsidR="009E12A3" w:rsidRPr="009E12A3" w14:paraId="0306CA7F" w14:textId="77777777" w:rsidTr="00CC174F">
        <w:tc>
          <w:tcPr>
            <w:tcW w:w="2037" w:type="dxa"/>
            <w:tcBorders>
              <w:top w:val="single" w:sz="1" w:space="0" w:color="000000"/>
              <w:bottom w:val="single" w:sz="1" w:space="0" w:color="000000"/>
              <w:right w:val="single" w:sz="1" w:space="0" w:color="000000"/>
            </w:tcBorders>
          </w:tcPr>
          <w:p w14:paraId="56B1CD8B" w14:textId="77777777" w:rsidR="009E12A3" w:rsidRPr="00806178" w:rsidRDefault="009E12A3" w:rsidP="009E12A3">
            <w:pPr>
              <w:spacing w:line="360" w:lineRule="auto"/>
              <w:jc w:val="center"/>
              <w:rPr>
                <w:rFonts w:ascii="Times New Roman" w:eastAsia="source serif 4" w:hAnsi="Times New Roman" w:cs="Times New Roman"/>
                <w:b/>
                <w:bCs/>
                <w:color w:val="000000"/>
                <w:sz w:val="24"/>
                <w:szCs w:val="24"/>
              </w:rPr>
            </w:pPr>
            <w:r w:rsidRPr="00806178">
              <w:rPr>
                <w:rFonts w:ascii="Times New Roman" w:eastAsia="source sans 3" w:hAnsi="Times New Roman" w:cs="Times New Roman"/>
                <w:b/>
                <w:bCs/>
                <w:color w:val="000000"/>
                <w:sz w:val="24"/>
                <w:szCs w:val="24"/>
              </w:rPr>
              <w:t>Level</w:t>
            </w:r>
          </w:p>
        </w:tc>
        <w:tc>
          <w:tcPr>
            <w:tcW w:w="2358" w:type="dxa"/>
            <w:tcBorders>
              <w:top w:val="single" w:sz="1" w:space="0" w:color="000000"/>
              <w:bottom w:val="single" w:sz="1" w:space="0" w:color="000000"/>
              <w:right w:val="single" w:sz="1" w:space="0" w:color="000000"/>
            </w:tcBorders>
          </w:tcPr>
          <w:p w14:paraId="7E272695" w14:textId="77777777" w:rsidR="009E12A3" w:rsidRPr="00806178" w:rsidRDefault="009E12A3" w:rsidP="009E12A3">
            <w:pPr>
              <w:spacing w:line="360" w:lineRule="auto"/>
              <w:jc w:val="center"/>
              <w:rPr>
                <w:rFonts w:ascii="Times New Roman" w:eastAsia="source serif 4" w:hAnsi="Times New Roman" w:cs="Times New Roman"/>
                <w:b/>
                <w:bCs/>
                <w:color w:val="000000"/>
                <w:sz w:val="24"/>
                <w:szCs w:val="24"/>
              </w:rPr>
            </w:pPr>
            <w:r w:rsidRPr="00806178">
              <w:rPr>
                <w:rFonts w:ascii="Times New Roman" w:eastAsia="source sans 3" w:hAnsi="Times New Roman" w:cs="Times New Roman"/>
                <w:b/>
                <w:bCs/>
                <w:color w:val="000000"/>
                <w:sz w:val="24"/>
                <w:szCs w:val="24"/>
              </w:rPr>
              <w:t>Frequency</w:t>
            </w:r>
          </w:p>
        </w:tc>
        <w:tc>
          <w:tcPr>
            <w:tcW w:w="2976" w:type="dxa"/>
            <w:tcBorders>
              <w:top w:val="single" w:sz="1" w:space="0" w:color="000000"/>
              <w:bottom w:val="single" w:sz="1" w:space="0" w:color="000000"/>
            </w:tcBorders>
          </w:tcPr>
          <w:p w14:paraId="3F002135" w14:textId="77777777" w:rsidR="009E12A3" w:rsidRPr="00806178" w:rsidRDefault="009E12A3" w:rsidP="009E12A3">
            <w:pPr>
              <w:spacing w:line="360" w:lineRule="auto"/>
              <w:jc w:val="center"/>
              <w:rPr>
                <w:rFonts w:ascii="Times New Roman" w:eastAsia="source serif 4" w:hAnsi="Times New Roman" w:cs="Times New Roman"/>
                <w:b/>
                <w:bCs/>
                <w:color w:val="000000"/>
                <w:sz w:val="24"/>
                <w:szCs w:val="24"/>
              </w:rPr>
            </w:pPr>
            <w:r w:rsidRPr="00806178">
              <w:rPr>
                <w:rFonts w:ascii="Times New Roman" w:eastAsia="source sans 3" w:hAnsi="Times New Roman" w:cs="Times New Roman"/>
                <w:b/>
                <w:bCs/>
                <w:color w:val="000000"/>
                <w:sz w:val="24"/>
                <w:szCs w:val="24"/>
              </w:rPr>
              <w:t>Percentage</w:t>
            </w:r>
          </w:p>
        </w:tc>
      </w:tr>
      <w:tr w:rsidR="009E12A3" w:rsidRPr="009E12A3" w14:paraId="79ECB665" w14:textId="77777777" w:rsidTr="00CC174F">
        <w:tc>
          <w:tcPr>
            <w:tcW w:w="2037" w:type="dxa"/>
            <w:tcBorders>
              <w:top w:val="single" w:sz="1" w:space="0" w:color="000000"/>
              <w:bottom w:val="single" w:sz="1" w:space="0" w:color="000000"/>
              <w:right w:val="single" w:sz="1" w:space="0" w:color="000000"/>
            </w:tcBorders>
          </w:tcPr>
          <w:p w14:paraId="36930E41"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Very poor</w:t>
            </w:r>
          </w:p>
        </w:tc>
        <w:tc>
          <w:tcPr>
            <w:tcW w:w="2358" w:type="dxa"/>
            <w:tcBorders>
              <w:top w:val="single" w:sz="1" w:space="0" w:color="000000"/>
              <w:bottom w:val="single" w:sz="1" w:space="0" w:color="000000"/>
              <w:right w:val="single" w:sz="1" w:space="0" w:color="000000"/>
            </w:tcBorders>
          </w:tcPr>
          <w:p w14:paraId="42969C39"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0</w:t>
            </w:r>
          </w:p>
        </w:tc>
        <w:tc>
          <w:tcPr>
            <w:tcW w:w="2976" w:type="dxa"/>
            <w:tcBorders>
              <w:top w:val="single" w:sz="1" w:space="0" w:color="000000"/>
              <w:bottom w:val="single" w:sz="1" w:space="0" w:color="000000"/>
            </w:tcBorders>
          </w:tcPr>
          <w:p w14:paraId="26F40190" w14:textId="5B0A74BD" w:rsidR="009E12A3" w:rsidRPr="00806178" w:rsidRDefault="00806178"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0</w:t>
            </w:r>
            <w:r w:rsidR="009E12A3" w:rsidRPr="00806178">
              <w:rPr>
                <w:rFonts w:ascii="Times New Roman" w:eastAsia="source sans 3" w:hAnsi="Times New Roman" w:cs="Times New Roman"/>
                <w:color w:val="000000"/>
                <w:sz w:val="24"/>
                <w:szCs w:val="24"/>
              </w:rPr>
              <w:t>.0</w:t>
            </w:r>
          </w:p>
        </w:tc>
      </w:tr>
      <w:tr w:rsidR="009E12A3" w:rsidRPr="009E12A3" w14:paraId="53003B37" w14:textId="77777777" w:rsidTr="00CC174F">
        <w:tc>
          <w:tcPr>
            <w:tcW w:w="2037" w:type="dxa"/>
            <w:tcBorders>
              <w:top w:val="single" w:sz="1" w:space="0" w:color="000000"/>
              <w:bottom w:val="single" w:sz="1" w:space="0" w:color="000000"/>
              <w:right w:val="single" w:sz="1" w:space="0" w:color="000000"/>
            </w:tcBorders>
          </w:tcPr>
          <w:p w14:paraId="091E2CAB"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Poor</w:t>
            </w:r>
          </w:p>
        </w:tc>
        <w:tc>
          <w:tcPr>
            <w:tcW w:w="2358" w:type="dxa"/>
            <w:tcBorders>
              <w:top w:val="single" w:sz="1" w:space="0" w:color="000000"/>
              <w:bottom w:val="single" w:sz="1" w:space="0" w:color="000000"/>
              <w:right w:val="single" w:sz="1" w:space="0" w:color="000000"/>
            </w:tcBorders>
          </w:tcPr>
          <w:p w14:paraId="65A445DB"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4</w:t>
            </w:r>
          </w:p>
        </w:tc>
        <w:tc>
          <w:tcPr>
            <w:tcW w:w="2976" w:type="dxa"/>
            <w:tcBorders>
              <w:top w:val="single" w:sz="1" w:space="0" w:color="000000"/>
              <w:bottom w:val="single" w:sz="1" w:space="0" w:color="000000"/>
            </w:tcBorders>
          </w:tcPr>
          <w:p w14:paraId="6A18C310"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5.0</w:t>
            </w:r>
          </w:p>
        </w:tc>
      </w:tr>
      <w:tr w:rsidR="009E12A3" w:rsidRPr="009E12A3" w14:paraId="5F7E8A1B" w14:textId="77777777" w:rsidTr="00CC174F">
        <w:tc>
          <w:tcPr>
            <w:tcW w:w="2037" w:type="dxa"/>
            <w:tcBorders>
              <w:top w:val="single" w:sz="1" w:space="0" w:color="000000"/>
              <w:bottom w:val="single" w:sz="1" w:space="0" w:color="000000"/>
              <w:right w:val="single" w:sz="1" w:space="0" w:color="000000"/>
            </w:tcBorders>
          </w:tcPr>
          <w:p w14:paraId="4AEC973A"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Average</w:t>
            </w:r>
          </w:p>
        </w:tc>
        <w:tc>
          <w:tcPr>
            <w:tcW w:w="2358" w:type="dxa"/>
            <w:tcBorders>
              <w:top w:val="single" w:sz="1" w:space="0" w:color="000000"/>
              <w:bottom w:val="single" w:sz="1" w:space="0" w:color="000000"/>
              <w:right w:val="single" w:sz="1" w:space="0" w:color="000000"/>
            </w:tcBorders>
          </w:tcPr>
          <w:p w14:paraId="71727BA3"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72</w:t>
            </w:r>
          </w:p>
        </w:tc>
        <w:tc>
          <w:tcPr>
            <w:tcW w:w="2976" w:type="dxa"/>
            <w:tcBorders>
              <w:top w:val="single" w:sz="1" w:space="0" w:color="000000"/>
              <w:bottom w:val="single" w:sz="1" w:space="0" w:color="000000"/>
            </w:tcBorders>
          </w:tcPr>
          <w:p w14:paraId="4FFE07D0"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90.0</w:t>
            </w:r>
          </w:p>
        </w:tc>
      </w:tr>
      <w:tr w:rsidR="009E12A3" w:rsidRPr="009E12A3" w14:paraId="3E5AF8CB" w14:textId="77777777" w:rsidTr="00CC174F">
        <w:tc>
          <w:tcPr>
            <w:tcW w:w="2037" w:type="dxa"/>
            <w:tcBorders>
              <w:top w:val="single" w:sz="1" w:space="0" w:color="000000"/>
              <w:bottom w:val="single" w:sz="1" w:space="0" w:color="000000"/>
              <w:right w:val="single" w:sz="1" w:space="0" w:color="000000"/>
            </w:tcBorders>
          </w:tcPr>
          <w:p w14:paraId="14851BF5"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Good</w:t>
            </w:r>
          </w:p>
        </w:tc>
        <w:tc>
          <w:tcPr>
            <w:tcW w:w="2358" w:type="dxa"/>
            <w:tcBorders>
              <w:top w:val="single" w:sz="1" w:space="0" w:color="000000"/>
              <w:bottom w:val="single" w:sz="1" w:space="0" w:color="000000"/>
              <w:right w:val="single" w:sz="1" w:space="0" w:color="000000"/>
            </w:tcBorders>
          </w:tcPr>
          <w:p w14:paraId="518E39EE"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4</w:t>
            </w:r>
          </w:p>
        </w:tc>
        <w:tc>
          <w:tcPr>
            <w:tcW w:w="2976" w:type="dxa"/>
            <w:tcBorders>
              <w:top w:val="single" w:sz="1" w:space="0" w:color="000000"/>
              <w:bottom w:val="single" w:sz="1" w:space="0" w:color="000000"/>
            </w:tcBorders>
          </w:tcPr>
          <w:p w14:paraId="58513494"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5.0</w:t>
            </w:r>
          </w:p>
        </w:tc>
      </w:tr>
      <w:tr w:rsidR="009E12A3" w:rsidRPr="009E12A3" w14:paraId="74CE162E" w14:textId="77777777" w:rsidTr="00CC174F">
        <w:tc>
          <w:tcPr>
            <w:tcW w:w="2037" w:type="dxa"/>
            <w:tcBorders>
              <w:top w:val="single" w:sz="1" w:space="0" w:color="000000"/>
              <w:bottom w:val="single" w:sz="1" w:space="0" w:color="000000"/>
              <w:right w:val="single" w:sz="1" w:space="0" w:color="000000"/>
            </w:tcBorders>
          </w:tcPr>
          <w:p w14:paraId="43075438"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Very good</w:t>
            </w:r>
          </w:p>
        </w:tc>
        <w:tc>
          <w:tcPr>
            <w:tcW w:w="2358" w:type="dxa"/>
            <w:tcBorders>
              <w:top w:val="single" w:sz="1" w:space="0" w:color="000000"/>
              <w:bottom w:val="single" w:sz="1" w:space="0" w:color="000000"/>
              <w:right w:val="single" w:sz="1" w:space="0" w:color="000000"/>
            </w:tcBorders>
          </w:tcPr>
          <w:p w14:paraId="0B36C555"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0</w:t>
            </w:r>
          </w:p>
        </w:tc>
        <w:tc>
          <w:tcPr>
            <w:tcW w:w="2976" w:type="dxa"/>
            <w:tcBorders>
              <w:top w:val="single" w:sz="1" w:space="0" w:color="000000"/>
              <w:bottom w:val="single" w:sz="1" w:space="0" w:color="000000"/>
            </w:tcBorders>
          </w:tcPr>
          <w:p w14:paraId="4F3D1150" w14:textId="77777777" w:rsidR="009E12A3" w:rsidRPr="00806178" w:rsidRDefault="009E12A3" w:rsidP="009E12A3">
            <w:pPr>
              <w:spacing w:line="360" w:lineRule="auto"/>
              <w:jc w:val="center"/>
              <w:rPr>
                <w:rFonts w:ascii="Times New Roman" w:eastAsia="source serif 4" w:hAnsi="Times New Roman" w:cs="Times New Roman"/>
                <w:color w:val="000000"/>
                <w:sz w:val="24"/>
                <w:szCs w:val="24"/>
              </w:rPr>
            </w:pPr>
            <w:r w:rsidRPr="00806178">
              <w:rPr>
                <w:rFonts w:ascii="Times New Roman" w:eastAsia="source sans 3" w:hAnsi="Times New Roman" w:cs="Times New Roman"/>
                <w:color w:val="000000"/>
                <w:sz w:val="24"/>
                <w:szCs w:val="24"/>
              </w:rPr>
              <w:t>0.0</w:t>
            </w:r>
          </w:p>
        </w:tc>
      </w:tr>
    </w:tbl>
    <w:p w14:paraId="2135E709" w14:textId="77777777" w:rsidR="009E12A3" w:rsidRPr="009E12A3" w:rsidRDefault="009E12A3" w:rsidP="009E12A3">
      <w:pPr>
        <w:spacing w:after="0" w:line="360" w:lineRule="auto"/>
        <w:jc w:val="both"/>
        <w:rPr>
          <w:rFonts w:eastAsia="Aptos" w:cs="Times New Roman"/>
          <w:sz w:val="24"/>
          <w:szCs w:val="24"/>
        </w:rPr>
      </w:pPr>
    </w:p>
    <w:p w14:paraId="2BED15B8" w14:textId="77777777" w:rsidR="009E12A3" w:rsidRPr="009E12A3" w:rsidRDefault="009E12A3" w:rsidP="009E12A3">
      <w:pPr>
        <w:spacing w:after="0" w:line="360" w:lineRule="auto"/>
        <w:ind w:firstLine="720"/>
        <w:jc w:val="both"/>
        <w:rPr>
          <w:rFonts w:eastAsia="Aptos" w:cs="Times New Roman"/>
          <w:sz w:val="24"/>
          <w:szCs w:val="24"/>
        </w:rPr>
      </w:pPr>
      <w:r w:rsidRPr="009E12A3">
        <w:rPr>
          <w:rFonts w:eastAsia="source serif 4" w:cs="Times New Roman"/>
          <w:color w:val="000000"/>
          <w:sz w:val="24"/>
          <w:szCs w:val="24"/>
        </w:rPr>
        <w:t xml:space="preserve">The highest percentage of students belonged to the average category (90%), and only 5% belonged to the ‘good’ category and 5% belonged to the ‘poor’ category. None of the respondents belong to the category of ‘very good’ and ‘very poor’. It is evident that there is </w:t>
      </w:r>
      <w:proofErr w:type="gramStart"/>
      <w:r w:rsidRPr="009E12A3">
        <w:rPr>
          <w:rFonts w:eastAsia="source serif 4" w:cs="Times New Roman"/>
          <w:color w:val="000000"/>
          <w:sz w:val="24"/>
          <w:szCs w:val="24"/>
        </w:rPr>
        <w:t>a concentration</w:t>
      </w:r>
      <w:proofErr w:type="gramEnd"/>
      <w:r w:rsidRPr="009E12A3">
        <w:rPr>
          <w:rFonts w:eastAsia="source serif 4" w:cs="Times New Roman"/>
          <w:color w:val="000000"/>
          <w:sz w:val="24"/>
          <w:szCs w:val="24"/>
        </w:rPr>
        <w:t xml:space="preserve"> towards the middle category: students have knowledge about the terms used in pharmaceuticals, but very few of them think they are proficient or not proficient.</w:t>
      </w:r>
    </w:p>
    <w:p w14:paraId="4166F854" w14:textId="77E4DBDE" w:rsidR="009E12A3" w:rsidRPr="009E12A3" w:rsidRDefault="009E12A3" w:rsidP="009E12A3">
      <w:pPr>
        <w:spacing w:after="0" w:line="360" w:lineRule="auto"/>
        <w:jc w:val="both"/>
        <w:rPr>
          <w:rFonts w:eastAsia="Aptos" w:cs="Times New Roman"/>
          <w:sz w:val="24"/>
          <w:szCs w:val="24"/>
        </w:rPr>
      </w:pPr>
      <w:bookmarkStart w:id="21" w:name="bm_4_4_learning_difficulties"/>
      <w:r w:rsidRPr="009E12A3">
        <w:rPr>
          <w:rFonts w:eastAsia="source serif 4" w:cs="Times New Roman"/>
          <w:b/>
          <w:color w:val="000000"/>
          <w:sz w:val="24"/>
          <w:szCs w:val="24"/>
        </w:rPr>
        <w:t xml:space="preserve">4.4 Learning </w:t>
      </w:r>
      <w:r w:rsidR="00C724DC">
        <w:rPr>
          <w:rFonts w:eastAsia="source serif 4" w:cs="Times New Roman"/>
          <w:b/>
          <w:color w:val="000000"/>
          <w:sz w:val="24"/>
          <w:szCs w:val="24"/>
        </w:rPr>
        <w:t>d</w:t>
      </w:r>
      <w:r w:rsidRPr="009E12A3">
        <w:rPr>
          <w:rFonts w:eastAsia="source serif 4" w:cs="Times New Roman"/>
          <w:b/>
          <w:color w:val="000000"/>
          <w:sz w:val="24"/>
          <w:szCs w:val="24"/>
        </w:rPr>
        <w:t>ifficulties</w:t>
      </w:r>
      <w:bookmarkEnd w:id="21"/>
    </w:p>
    <w:p w14:paraId="2651891B"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t>The survey identified several major difficulties, as this can be seen in Table 3.</w:t>
      </w:r>
    </w:p>
    <w:p w14:paraId="6F28EE3A" w14:textId="77777777" w:rsidR="009E12A3" w:rsidRPr="009E12A3" w:rsidRDefault="009E12A3" w:rsidP="009E12A3">
      <w:pPr>
        <w:spacing w:after="0" w:line="360" w:lineRule="auto"/>
        <w:rPr>
          <w:rFonts w:eastAsia="source serif 4" w:cs="Times New Roman"/>
          <w:i/>
          <w:iCs/>
          <w:color w:val="000000"/>
          <w:sz w:val="24"/>
          <w:szCs w:val="24"/>
        </w:rPr>
      </w:pPr>
      <w:r w:rsidRPr="009E12A3">
        <w:rPr>
          <w:rFonts w:eastAsia="source serif 4" w:cs="Times New Roman"/>
          <w:i/>
          <w:iCs/>
          <w:color w:val="000000"/>
          <w:sz w:val="24"/>
          <w:szCs w:val="24"/>
        </w:rPr>
        <w:t>Table 3. Main learning difficulties</w:t>
      </w:r>
    </w:p>
    <w:tbl>
      <w:tblPr>
        <w:tblStyle w:val="TableGrid"/>
        <w:tblW w:w="0" w:type="auto"/>
        <w:tblInd w:w="562" w:type="dxa"/>
        <w:tblLook w:val="04A0" w:firstRow="1" w:lastRow="0" w:firstColumn="1" w:lastColumn="0" w:noHBand="0" w:noVBand="1"/>
      </w:tblPr>
      <w:tblGrid>
        <w:gridCol w:w="4111"/>
        <w:gridCol w:w="1276"/>
        <w:gridCol w:w="1176"/>
        <w:gridCol w:w="1234"/>
      </w:tblGrid>
      <w:tr w:rsidR="009E12A3" w:rsidRPr="009E12A3" w14:paraId="5D69D381" w14:textId="77777777" w:rsidTr="00CC174F">
        <w:tc>
          <w:tcPr>
            <w:tcW w:w="4111" w:type="dxa"/>
            <w:tcBorders>
              <w:top w:val="single" w:sz="1" w:space="0" w:color="000000"/>
              <w:bottom w:val="single" w:sz="1" w:space="0" w:color="000000"/>
              <w:right w:val="single" w:sz="1" w:space="0" w:color="000000"/>
            </w:tcBorders>
          </w:tcPr>
          <w:p w14:paraId="10481F69" w14:textId="77777777" w:rsidR="009E12A3" w:rsidRPr="00806178" w:rsidRDefault="009E12A3" w:rsidP="009E12A3">
            <w:pPr>
              <w:spacing w:line="360" w:lineRule="auto"/>
              <w:ind w:left="-120"/>
              <w:jc w:val="center"/>
              <w:rPr>
                <w:rFonts w:ascii="Times New Roman" w:eastAsia="Aptos" w:hAnsi="Times New Roman" w:cs="Times New Roman"/>
                <w:b/>
                <w:bCs/>
                <w:iCs/>
                <w:sz w:val="24"/>
                <w:szCs w:val="24"/>
              </w:rPr>
            </w:pPr>
            <w:r w:rsidRPr="00806178">
              <w:rPr>
                <w:rFonts w:ascii="Times New Roman" w:eastAsia="source sans 3" w:hAnsi="Times New Roman" w:cs="Times New Roman"/>
                <w:b/>
                <w:bCs/>
                <w:color w:val="000000"/>
                <w:sz w:val="24"/>
                <w:szCs w:val="24"/>
              </w:rPr>
              <w:t>Type of difficulty</w:t>
            </w:r>
          </w:p>
        </w:tc>
        <w:tc>
          <w:tcPr>
            <w:tcW w:w="1276" w:type="dxa"/>
            <w:tcBorders>
              <w:top w:val="single" w:sz="1" w:space="0" w:color="000000"/>
              <w:bottom w:val="single" w:sz="1" w:space="0" w:color="000000"/>
              <w:right w:val="single" w:sz="1" w:space="0" w:color="000000"/>
            </w:tcBorders>
          </w:tcPr>
          <w:p w14:paraId="39E9A7D5" w14:textId="77777777" w:rsidR="009E12A3" w:rsidRPr="00806178" w:rsidRDefault="009E12A3" w:rsidP="009E12A3">
            <w:pPr>
              <w:spacing w:line="360" w:lineRule="auto"/>
              <w:ind w:left="-120"/>
              <w:jc w:val="center"/>
              <w:rPr>
                <w:rFonts w:ascii="Times New Roman" w:eastAsia="Aptos" w:hAnsi="Times New Roman" w:cs="Times New Roman"/>
                <w:b/>
                <w:bCs/>
                <w:iCs/>
                <w:sz w:val="24"/>
                <w:szCs w:val="24"/>
              </w:rPr>
            </w:pPr>
            <w:r w:rsidRPr="00806178">
              <w:rPr>
                <w:rFonts w:ascii="Times New Roman" w:eastAsia="source sans 3" w:hAnsi="Times New Roman" w:cs="Times New Roman"/>
                <w:b/>
                <w:bCs/>
                <w:color w:val="000000"/>
                <w:sz w:val="24"/>
                <w:szCs w:val="24"/>
              </w:rPr>
              <w:t>M</w:t>
            </w:r>
          </w:p>
        </w:tc>
        <w:tc>
          <w:tcPr>
            <w:tcW w:w="1176" w:type="dxa"/>
            <w:tcBorders>
              <w:top w:val="single" w:sz="1" w:space="0" w:color="000000"/>
              <w:bottom w:val="single" w:sz="1" w:space="0" w:color="000000"/>
              <w:right w:val="single" w:sz="1" w:space="0" w:color="000000"/>
            </w:tcBorders>
          </w:tcPr>
          <w:p w14:paraId="53D8620E" w14:textId="77777777" w:rsidR="009E12A3" w:rsidRPr="00806178" w:rsidRDefault="009E12A3" w:rsidP="009E12A3">
            <w:pPr>
              <w:spacing w:line="360" w:lineRule="auto"/>
              <w:ind w:left="-120"/>
              <w:jc w:val="center"/>
              <w:rPr>
                <w:rFonts w:ascii="Times New Roman" w:eastAsia="Aptos" w:hAnsi="Times New Roman" w:cs="Times New Roman"/>
                <w:b/>
                <w:bCs/>
                <w:iCs/>
                <w:sz w:val="24"/>
                <w:szCs w:val="24"/>
              </w:rPr>
            </w:pPr>
            <w:r w:rsidRPr="00806178">
              <w:rPr>
                <w:rFonts w:ascii="Times New Roman" w:eastAsia="source sans 3" w:hAnsi="Times New Roman" w:cs="Times New Roman"/>
                <w:b/>
                <w:bCs/>
                <w:color w:val="000000"/>
                <w:sz w:val="24"/>
                <w:szCs w:val="24"/>
              </w:rPr>
              <w:t>SD</w:t>
            </w:r>
          </w:p>
        </w:tc>
        <w:tc>
          <w:tcPr>
            <w:tcW w:w="1234" w:type="dxa"/>
            <w:tcBorders>
              <w:top w:val="single" w:sz="1" w:space="0" w:color="000000"/>
              <w:bottom w:val="single" w:sz="1" w:space="0" w:color="000000"/>
            </w:tcBorders>
          </w:tcPr>
          <w:p w14:paraId="2F369E76" w14:textId="77777777" w:rsidR="009E12A3" w:rsidRPr="00806178" w:rsidRDefault="009E12A3" w:rsidP="009E12A3">
            <w:pPr>
              <w:spacing w:line="360" w:lineRule="auto"/>
              <w:ind w:left="-120"/>
              <w:jc w:val="center"/>
              <w:rPr>
                <w:rFonts w:ascii="Times New Roman" w:eastAsia="Aptos" w:hAnsi="Times New Roman" w:cs="Times New Roman"/>
                <w:b/>
                <w:bCs/>
                <w:iCs/>
                <w:sz w:val="24"/>
                <w:szCs w:val="24"/>
              </w:rPr>
            </w:pPr>
            <w:r w:rsidRPr="00806178">
              <w:rPr>
                <w:rFonts w:ascii="Times New Roman" w:eastAsia="source sans 3" w:hAnsi="Times New Roman" w:cs="Times New Roman"/>
                <w:b/>
                <w:bCs/>
                <w:color w:val="000000"/>
                <w:sz w:val="24"/>
                <w:szCs w:val="24"/>
              </w:rPr>
              <w:t>Rank</w:t>
            </w:r>
          </w:p>
        </w:tc>
      </w:tr>
      <w:tr w:rsidR="009E12A3" w:rsidRPr="009E12A3" w14:paraId="2EBFFF89" w14:textId="77777777" w:rsidTr="00CC174F">
        <w:tc>
          <w:tcPr>
            <w:tcW w:w="4111" w:type="dxa"/>
            <w:tcBorders>
              <w:top w:val="single" w:sz="1" w:space="0" w:color="000000"/>
              <w:bottom w:val="single" w:sz="1" w:space="0" w:color="000000"/>
              <w:right w:val="single" w:sz="1" w:space="0" w:color="000000"/>
            </w:tcBorders>
          </w:tcPr>
          <w:p w14:paraId="3FE3F65F"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Pronunciation</w:t>
            </w:r>
          </w:p>
        </w:tc>
        <w:tc>
          <w:tcPr>
            <w:tcW w:w="1276" w:type="dxa"/>
            <w:tcBorders>
              <w:top w:val="single" w:sz="1" w:space="0" w:color="000000"/>
              <w:bottom w:val="single" w:sz="1" w:space="0" w:color="000000"/>
              <w:right w:val="single" w:sz="1" w:space="0" w:color="000000"/>
            </w:tcBorders>
          </w:tcPr>
          <w:p w14:paraId="276F73AE"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4.51</w:t>
            </w:r>
          </w:p>
        </w:tc>
        <w:tc>
          <w:tcPr>
            <w:tcW w:w="1176" w:type="dxa"/>
            <w:tcBorders>
              <w:top w:val="single" w:sz="1" w:space="0" w:color="000000"/>
              <w:bottom w:val="single" w:sz="1" w:space="0" w:color="000000"/>
              <w:right w:val="single" w:sz="1" w:space="0" w:color="000000"/>
            </w:tcBorders>
          </w:tcPr>
          <w:p w14:paraId="79B59387"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0.50</w:t>
            </w:r>
          </w:p>
        </w:tc>
        <w:tc>
          <w:tcPr>
            <w:tcW w:w="1234" w:type="dxa"/>
            <w:tcBorders>
              <w:top w:val="single" w:sz="1" w:space="0" w:color="000000"/>
              <w:bottom w:val="single" w:sz="1" w:space="0" w:color="000000"/>
            </w:tcBorders>
          </w:tcPr>
          <w:p w14:paraId="45E9A086"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1</w:t>
            </w:r>
          </w:p>
        </w:tc>
      </w:tr>
      <w:tr w:rsidR="009E12A3" w:rsidRPr="009E12A3" w14:paraId="4354CCEC" w14:textId="77777777" w:rsidTr="00CC174F">
        <w:tc>
          <w:tcPr>
            <w:tcW w:w="4111" w:type="dxa"/>
            <w:tcBorders>
              <w:top w:val="single" w:sz="1" w:space="0" w:color="000000"/>
              <w:bottom w:val="single" w:sz="1" w:space="0" w:color="000000"/>
              <w:right w:val="single" w:sz="1" w:space="0" w:color="000000"/>
            </w:tcBorders>
          </w:tcPr>
          <w:p w14:paraId="16BAEFDB"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Using terms in practical contexts</w:t>
            </w:r>
          </w:p>
        </w:tc>
        <w:tc>
          <w:tcPr>
            <w:tcW w:w="1276" w:type="dxa"/>
            <w:tcBorders>
              <w:top w:val="single" w:sz="1" w:space="0" w:color="000000"/>
              <w:bottom w:val="single" w:sz="1" w:space="0" w:color="000000"/>
              <w:right w:val="single" w:sz="1" w:space="0" w:color="000000"/>
            </w:tcBorders>
          </w:tcPr>
          <w:p w14:paraId="1C906A2B"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4.42</w:t>
            </w:r>
          </w:p>
        </w:tc>
        <w:tc>
          <w:tcPr>
            <w:tcW w:w="1176" w:type="dxa"/>
            <w:tcBorders>
              <w:top w:val="single" w:sz="1" w:space="0" w:color="000000"/>
              <w:bottom w:val="single" w:sz="1" w:space="0" w:color="000000"/>
              <w:right w:val="single" w:sz="1" w:space="0" w:color="000000"/>
            </w:tcBorders>
          </w:tcPr>
          <w:p w14:paraId="6B45C3A4"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0.50</w:t>
            </w:r>
          </w:p>
        </w:tc>
        <w:tc>
          <w:tcPr>
            <w:tcW w:w="1234" w:type="dxa"/>
            <w:tcBorders>
              <w:top w:val="single" w:sz="1" w:space="0" w:color="000000"/>
              <w:bottom w:val="single" w:sz="1" w:space="0" w:color="000000"/>
            </w:tcBorders>
          </w:tcPr>
          <w:p w14:paraId="6E6F6A7A"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2</w:t>
            </w:r>
          </w:p>
        </w:tc>
      </w:tr>
      <w:tr w:rsidR="009E12A3" w:rsidRPr="009E12A3" w14:paraId="38130F6F" w14:textId="77777777" w:rsidTr="00CC174F">
        <w:tc>
          <w:tcPr>
            <w:tcW w:w="4111" w:type="dxa"/>
            <w:tcBorders>
              <w:top w:val="single" w:sz="1" w:space="0" w:color="000000"/>
              <w:bottom w:val="single" w:sz="1" w:space="0" w:color="000000"/>
              <w:right w:val="single" w:sz="1" w:space="0" w:color="000000"/>
            </w:tcBorders>
          </w:tcPr>
          <w:p w14:paraId="2746444A"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Memorizing meaning</w:t>
            </w:r>
          </w:p>
        </w:tc>
        <w:tc>
          <w:tcPr>
            <w:tcW w:w="1276" w:type="dxa"/>
            <w:tcBorders>
              <w:top w:val="single" w:sz="1" w:space="0" w:color="000000"/>
              <w:bottom w:val="single" w:sz="1" w:space="0" w:color="000000"/>
              <w:right w:val="single" w:sz="1" w:space="0" w:color="000000"/>
            </w:tcBorders>
          </w:tcPr>
          <w:p w14:paraId="4DB69A75"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4.36</w:t>
            </w:r>
          </w:p>
        </w:tc>
        <w:tc>
          <w:tcPr>
            <w:tcW w:w="1176" w:type="dxa"/>
            <w:tcBorders>
              <w:top w:val="single" w:sz="1" w:space="0" w:color="000000"/>
              <w:bottom w:val="single" w:sz="1" w:space="0" w:color="000000"/>
              <w:right w:val="single" w:sz="1" w:space="0" w:color="000000"/>
            </w:tcBorders>
          </w:tcPr>
          <w:p w14:paraId="71505098"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0.66</w:t>
            </w:r>
          </w:p>
        </w:tc>
        <w:tc>
          <w:tcPr>
            <w:tcW w:w="1234" w:type="dxa"/>
            <w:tcBorders>
              <w:top w:val="single" w:sz="1" w:space="0" w:color="000000"/>
              <w:bottom w:val="single" w:sz="1" w:space="0" w:color="000000"/>
            </w:tcBorders>
          </w:tcPr>
          <w:p w14:paraId="3130CC1C"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3</w:t>
            </w:r>
          </w:p>
        </w:tc>
      </w:tr>
      <w:tr w:rsidR="009E12A3" w:rsidRPr="009E12A3" w14:paraId="0A7E7A79" w14:textId="77777777" w:rsidTr="00CC174F">
        <w:tc>
          <w:tcPr>
            <w:tcW w:w="4111" w:type="dxa"/>
            <w:tcBorders>
              <w:top w:val="single" w:sz="1" w:space="0" w:color="000000"/>
              <w:bottom w:val="single" w:sz="1" w:space="0" w:color="000000"/>
              <w:right w:val="single" w:sz="1" w:space="0" w:color="000000"/>
            </w:tcBorders>
          </w:tcPr>
          <w:p w14:paraId="4E43F72E"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English background affects learning</w:t>
            </w:r>
          </w:p>
        </w:tc>
        <w:tc>
          <w:tcPr>
            <w:tcW w:w="1276" w:type="dxa"/>
            <w:tcBorders>
              <w:top w:val="single" w:sz="1" w:space="0" w:color="000000"/>
              <w:bottom w:val="single" w:sz="1" w:space="0" w:color="000000"/>
              <w:right w:val="single" w:sz="1" w:space="0" w:color="000000"/>
            </w:tcBorders>
          </w:tcPr>
          <w:p w14:paraId="206E8218"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4.24</w:t>
            </w:r>
          </w:p>
        </w:tc>
        <w:tc>
          <w:tcPr>
            <w:tcW w:w="1176" w:type="dxa"/>
            <w:tcBorders>
              <w:top w:val="single" w:sz="1" w:space="0" w:color="000000"/>
              <w:bottom w:val="single" w:sz="1" w:space="0" w:color="000000"/>
              <w:right w:val="single" w:sz="1" w:space="0" w:color="000000"/>
            </w:tcBorders>
          </w:tcPr>
          <w:p w14:paraId="4A819927"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0.68</w:t>
            </w:r>
          </w:p>
        </w:tc>
        <w:tc>
          <w:tcPr>
            <w:tcW w:w="1234" w:type="dxa"/>
            <w:tcBorders>
              <w:top w:val="single" w:sz="1" w:space="0" w:color="000000"/>
              <w:bottom w:val="single" w:sz="1" w:space="0" w:color="000000"/>
            </w:tcBorders>
          </w:tcPr>
          <w:p w14:paraId="68DD3D1D"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4</w:t>
            </w:r>
          </w:p>
        </w:tc>
      </w:tr>
      <w:tr w:rsidR="009E12A3" w:rsidRPr="009E12A3" w14:paraId="38778334" w14:textId="77777777" w:rsidTr="00CC174F">
        <w:tc>
          <w:tcPr>
            <w:tcW w:w="4111" w:type="dxa"/>
            <w:tcBorders>
              <w:top w:val="single" w:sz="1" w:space="0" w:color="000000"/>
              <w:bottom w:val="single" w:sz="1" w:space="0" w:color="000000"/>
              <w:right w:val="single" w:sz="1" w:space="0" w:color="000000"/>
            </w:tcBorders>
          </w:tcPr>
          <w:p w14:paraId="312D2DE1"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Distinguishing similar terms</w:t>
            </w:r>
          </w:p>
        </w:tc>
        <w:tc>
          <w:tcPr>
            <w:tcW w:w="1276" w:type="dxa"/>
            <w:tcBorders>
              <w:top w:val="single" w:sz="1" w:space="0" w:color="000000"/>
              <w:bottom w:val="single" w:sz="1" w:space="0" w:color="000000"/>
              <w:right w:val="single" w:sz="1" w:space="0" w:color="000000"/>
            </w:tcBorders>
          </w:tcPr>
          <w:p w14:paraId="2D45D3E0"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4.21</w:t>
            </w:r>
          </w:p>
        </w:tc>
        <w:tc>
          <w:tcPr>
            <w:tcW w:w="1176" w:type="dxa"/>
            <w:tcBorders>
              <w:top w:val="single" w:sz="1" w:space="0" w:color="000000"/>
              <w:bottom w:val="single" w:sz="1" w:space="0" w:color="000000"/>
              <w:right w:val="single" w:sz="1" w:space="0" w:color="000000"/>
            </w:tcBorders>
          </w:tcPr>
          <w:p w14:paraId="6ADE089F"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0.76</w:t>
            </w:r>
          </w:p>
        </w:tc>
        <w:tc>
          <w:tcPr>
            <w:tcW w:w="1234" w:type="dxa"/>
            <w:tcBorders>
              <w:top w:val="single" w:sz="1" w:space="0" w:color="000000"/>
              <w:bottom w:val="single" w:sz="1" w:space="0" w:color="000000"/>
            </w:tcBorders>
          </w:tcPr>
          <w:p w14:paraId="62FDAA34"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5</w:t>
            </w:r>
          </w:p>
        </w:tc>
      </w:tr>
      <w:tr w:rsidR="009E12A3" w:rsidRPr="009E12A3" w14:paraId="193CB493" w14:textId="77777777" w:rsidTr="00CC174F">
        <w:tc>
          <w:tcPr>
            <w:tcW w:w="4111" w:type="dxa"/>
            <w:tcBorders>
              <w:top w:val="single" w:sz="1" w:space="0" w:color="000000"/>
              <w:bottom w:val="single" w:sz="1" w:space="0" w:color="000000"/>
              <w:right w:val="single" w:sz="1" w:space="0" w:color="000000"/>
            </w:tcBorders>
          </w:tcPr>
          <w:p w14:paraId="5BF13476"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Limited access to specialized literature</w:t>
            </w:r>
          </w:p>
        </w:tc>
        <w:tc>
          <w:tcPr>
            <w:tcW w:w="1276" w:type="dxa"/>
            <w:tcBorders>
              <w:top w:val="single" w:sz="1" w:space="0" w:color="000000"/>
              <w:bottom w:val="single" w:sz="1" w:space="0" w:color="000000"/>
              <w:right w:val="single" w:sz="1" w:space="0" w:color="000000"/>
            </w:tcBorders>
          </w:tcPr>
          <w:p w14:paraId="4F767326"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3.76</w:t>
            </w:r>
          </w:p>
        </w:tc>
        <w:tc>
          <w:tcPr>
            <w:tcW w:w="1176" w:type="dxa"/>
            <w:tcBorders>
              <w:top w:val="single" w:sz="1" w:space="0" w:color="000000"/>
              <w:bottom w:val="single" w:sz="1" w:space="0" w:color="000000"/>
              <w:right w:val="single" w:sz="1" w:space="0" w:color="000000"/>
            </w:tcBorders>
          </w:tcPr>
          <w:p w14:paraId="0E2C624F"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0.92</w:t>
            </w:r>
          </w:p>
        </w:tc>
        <w:tc>
          <w:tcPr>
            <w:tcW w:w="1234" w:type="dxa"/>
            <w:tcBorders>
              <w:top w:val="single" w:sz="1" w:space="0" w:color="000000"/>
              <w:bottom w:val="single" w:sz="1" w:space="0" w:color="000000"/>
            </w:tcBorders>
          </w:tcPr>
          <w:p w14:paraId="57C41A95" w14:textId="77777777" w:rsidR="009E12A3" w:rsidRPr="00806178" w:rsidRDefault="009E12A3" w:rsidP="009E12A3">
            <w:pPr>
              <w:spacing w:line="360" w:lineRule="auto"/>
              <w:ind w:left="-120"/>
              <w:jc w:val="center"/>
              <w:rPr>
                <w:rFonts w:ascii="Times New Roman" w:eastAsia="Aptos" w:hAnsi="Times New Roman" w:cs="Times New Roman"/>
                <w:iCs/>
                <w:sz w:val="24"/>
                <w:szCs w:val="24"/>
              </w:rPr>
            </w:pPr>
            <w:r w:rsidRPr="00806178">
              <w:rPr>
                <w:rFonts w:ascii="Times New Roman" w:eastAsia="source sans 3" w:hAnsi="Times New Roman" w:cs="Times New Roman"/>
                <w:color w:val="000000"/>
                <w:sz w:val="24"/>
                <w:szCs w:val="24"/>
              </w:rPr>
              <w:t>6</w:t>
            </w:r>
          </w:p>
        </w:tc>
      </w:tr>
    </w:tbl>
    <w:p w14:paraId="48E83B33" w14:textId="77777777" w:rsidR="009E12A3" w:rsidRPr="009E12A3" w:rsidRDefault="009E12A3" w:rsidP="009E12A3">
      <w:pPr>
        <w:spacing w:after="0" w:line="360" w:lineRule="auto"/>
        <w:jc w:val="both"/>
        <w:rPr>
          <w:rFonts w:eastAsia="Aptos" w:cs="Times New Roman"/>
          <w:sz w:val="24"/>
          <w:szCs w:val="24"/>
        </w:rPr>
      </w:pPr>
    </w:p>
    <w:p w14:paraId="1033FE87" w14:textId="54CF76D3" w:rsidR="009E12A3" w:rsidRPr="009E12A3" w:rsidRDefault="009E12A3" w:rsidP="009E12A3">
      <w:pPr>
        <w:spacing w:after="0" w:line="360" w:lineRule="auto"/>
        <w:ind w:firstLine="720"/>
        <w:jc w:val="both"/>
        <w:rPr>
          <w:rFonts w:eastAsia="Aptos" w:cs="Times New Roman"/>
          <w:sz w:val="24"/>
          <w:szCs w:val="24"/>
        </w:rPr>
      </w:pPr>
      <w:r w:rsidRPr="009E12A3">
        <w:rPr>
          <w:rFonts w:eastAsia="source serif 4" w:cs="Times New Roman"/>
          <w:color w:val="000000"/>
          <w:sz w:val="24"/>
          <w:szCs w:val="24"/>
        </w:rPr>
        <w:t xml:space="preserve">Pronunciation was identified as the </w:t>
      </w:r>
      <w:proofErr w:type="gramStart"/>
      <w:r w:rsidRPr="009E12A3">
        <w:rPr>
          <w:rFonts w:eastAsia="source serif 4" w:cs="Times New Roman"/>
          <w:color w:val="000000"/>
          <w:sz w:val="24"/>
          <w:szCs w:val="24"/>
        </w:rPr>
        <w:t>top rated</w:t>
      </w:r>
      <w:proofErr w:type="gramEnd"/>
      <w:r w:rsidRPr="009E12A3">
        <w:rPr>
          <w:rFonts w:eastAsia="source serif 4" w:cs="Times New Roman"/>
          <w:color w:val="000000"/>
          <w:sz w:val="24"/>
          <w:szCs w:val="24"/>
        </w:rPr>
        <w:t xml:space="preserve"> difficulty (M= 4.51, SD = 0.50) followed closely </w:t>
      </w:r>
      <w:r w:rsidR="00C724DC" w:rsidRPr="009E12A3">
        <w:rPr>
          <w:rFonts w:eastAsia="source serif 4" w:cs="Times New Roman"/>
          <w:color w:val="000000"/>
          <w:sz w:val="24"/>
          <w:szCs w:val="24"/>
        </w:rPr>
        <w:t>using</w:t>
      </w:r>
      <w:r w:rsidRPr="009E12A3">
        <w:rPr>
          <w:rFonts w:eastAsia="source serif 4" w:cs="Times New Roman"/>
          <w:color w:val="000000"/>
          <w:sz w:val="24"/>
          <w:szCs w:val="24"/>
        </w:rPr>
        <w:t xml:space="preserve"> the terminology in practical situations (M= 4.42, SD = 0.50) and memorization of meaning (M= 4.36, SD = 0.66). This indicates that the difficulty does not lie just in the identification of the technical terminologies when presented in written form.</w:t>
      </w:r>
    </w:p>
    <w:p w14:paraId="35B84335" w14:textId="2E4D0A01" w:rsidR="009E12A3" w:rsidRPr="009E12A3" w:rsidRDefault="009E12A3" w:rsidP="009E12A3">
      <w:pPr>
        <w:spacing w:after="0" w:line="360" w:lineRule="auto"/>
        <w:jc w:val="both"/>
        <w:rPr>
          <w:rFonts w:eastAsia="Aptos" w:cs="Times New Roman"/>
          <w:sz w:val="24"/>
          <w:szCs w:val="24"/>
        </w:rPr>
      </w:pPr>
      <w:bookmarkStart w:id="22" w:name="bm_4_5_comparison_across_academic_years"/>
      <w:r w:rsidRPr="009E12A3">
        <w:rPr>
          <w:rFonts w:eastAsia="source serif 4" w:cs="Times New Roman"/>
          <w:b/>
          <w:color w:val="000000"/>
          <w:sz w:val="24"/>
          <w:szCs w:val="24"/>
        </w:rPr>
        <w:lastRenderedPageBreak/>
        <w:t xml:space="preserve">4.5 Comparison </w:t>
      </w:r>
      <w:r w:rsidR="00C724DC" w:rsidRPr="009E12A3">
        <w:rPr>
          <w:rFonts w:eastAsia="source serif 4" w:cs="Times New Roman"/>
          <w:b/>
          <w:color w:val="000000"/>
          <w:sz w:val="24"/>
          <w:szCs w:val="24"/>
        </w:rPr>
        <w:t>across academic years</w:t>
      </w:r>
      <w:bookmarkEnd w:id="22"/>
    </w:p>
    <w:p w14:paraId="78F70AA3"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t>A comparison of the understanding/confidence composite in different academic years shows only small differences, as can be seen in Table 4.</w:t>
      </w:r>
    </w:p>
    <w:p w14:paraId="38600CDF" w14:textId="77777777" w:rsidR="009E12A3" w:rsidRPr="009E12A3" w:rsidRDefault="009E12A3" w:rsidP="009E12A3">
      <w:pPr>
        <w:spacing w:after="0" w:line="360" w:lineRule="auto"/>
        <w:jc w:val="both"/>
        <w:rPr>
          <w:rFonts w:eastAsia="source serif 4" w:cs="Times New Roman"/>
          <w:i/>
          <w:color w:val="000000"/>
          <w:sz w:val="24"/>
          <w:szCs w:val="24"/>
        </w:rPr>
      </w:pPr>
      <w:r w:rsidRPr="009E12A3">
        <w:rPr>
          <w:rFonts w:eastAsia="source serif 4" w:cs="Times New Roman"/>
          <w:i/>
          <w:iCs/>
          <w:color w:val="000000"/>
          <w:sz w:val="24"/>
          <w:szCs w:val="24"/>
        </w:rPr>
        <w:t>Table 4. Se</w:t>
      </w:r>
      <w:r w:rsidRPr="009E12A3">
        <w:rPr>
          <w:rFonts w:eastAsia="source serif 4" w:cs="Times New Roman"/>
          <w:i/>
          <w:color w:val="000000"/>
          <w:sz w:val="24"/>
          <w:szCs w:val="24"/>
        </w:rPr>
        <w:t>lf-reported understanding and confidence by academic year</w:t>
      </w:r>
    </w:p>
    <w:tbl>
      <w:tblPr>
        <w:tblStyle w:val="TableGrid"/>
        <w:tblW w:w="0" w:type="auto"/>
        <w:tblInd w:w="562" w:type="dxa"/>
        <w:tblLook w:val="04A0" w:firstRow="1" w:lastRow="0" w:firstColumn="1" w:lastColumn="0" w:noHBand="0" w:noVBand="1"/>
      </w:tblPr>
      <w:tblGrid>
        <w:gridCol w:w="2268"/>
        <w:gridCol w:w="1920"/>
        <w:gridCol w:w="1908"/>
        <w:gridCol w:w="1701"/>
      </w:tblGrid>
      <w:tr w:rsidR="009E12A3" w:rsidRPr="009E12A3" w14:paraId="2865A37C" w14:textId="77777777" w:rsidTr="00CC174F">
        <w:tc>
          <w:tcPr>
            <w:tcW w:w="2268" w:type="dxa"/>
            <w:tcBorders>
              <w:top w:val="single" w:sz="1" w:space="0" w:color="000000"/>
              <w:bottom w:val="single" w:sz="1" w:space="0" w:color="000000"/>
              <w:right w:val="single" w:sz="1" w:space="0" w:color="000000"/>
            </w:tcBorders>
          </w:tcPr>
          <w:p w14:paraId="57DA9204" w14:textId="77777777" w:rsidR="009E12A3" w:rsidRPr="00806178" w:rsidRDefault="009E12A3" w:rsidP="009E12A3">
            <w:pPr>
              <w:spacing w:line="360" w:lineRule="auto"/>
              <w:jc w:val="both"/>
              <w:rPr>
                <w:rFonts w:ascii="Times New Roman" w:eastAsia="Aptos" w:hAnsi="Times New Roman" w:cs="Times New Roman"/>
                <w:b/>
                <w:bCs/>
                <w:sz w:val="24"/>
                <w:szCs w:val="24"/>
              </w:rPr>
            </w:pPr>
            <w:r w:rsidRPr="00806178">
              <w:rPr>
                <w:rFonts w:ascii="Times New Roman" w:eastAsia="source sans 3" w:hAnsi="Times New Roman" w:cs="Times New Roman"/>
                <w:b/>
                <w:bCs/>
                <w:color w:val="000000"/>
                <w:sz w:val="24"/>
                <w:szCs w:val="24"/>
              </w:rPr>
              <w:t>Academic year</w:t>
            </w:r>
          </w:p>
        </w:tc>
        <w:tc>
          <w:tcPr>
            <w:tcW w:w="1920" w:type="dxa"/>
            <w:tcBorders>
              <w:top w:val="single" w:sz="1" w:space="0" w:color="000000"/>
              <w:bottom w:val="single" w:sz="1" w:space="0" w:color="000000"/>
              <w:right w:val="single" w:sz="1" w:space="0" w:color="000000"/>
            </w:tcBorders>
          </w:tcPr>
          <w:p w14:paraId="77207678" w14:textId="77777777" w:rsidR="009E12A3" w:rsidRPr="00806178" w:rsidRDefault="009E12A3" w:rsidP="009E12A3">
            <w:pPr>
              <w:spacing w:line="360" w:lineRule="auto"/>
              <w:jc w:val="both"/>
              <w:rPr>
                <w:rFonts w:ascii="Times New Roman" w:eastAsia="Aptos" w:hAnsi="Times New Roman" w:cs="Times New Roman"/>
                <w:b/>
                <w:bCs/>
                <w:sz w:val="24"/>
                <w:szCs w:val="24"/>
              </w:rPr>
            </w:pPr>
            <w:r w:rsidRPr="00806178">
              <w:rPr>
                <w:rFonts w:ascii="Times New Roman" w:eastAsia="source sans 3" w:hAnsi="Times New Roman" w:cs="Times New Roman"/>
                <w:b/>
                <w:bCs/>
                <w:color w:val="000000"/>
                <w:sz w:val="24"/>
                <w:szCs w:val="24"/>
              </w:rPr>
              <w:t>N</w:t>
            </w:r>
          </w:p>
        </w:tc>
        <w:tc>
          <w:tcPr>
            <w:tcW w:w="1908" w:type="dxa"/>
            <w:tcBorders>
              <w:top w:val="single" w:sz="1" w:space="0" w:color="000000"/>
              <w:bottom w:val="single" w:sz="1" w:space="0" w:color="000000"/>
              <w:right w:val="single" w:sz="1" w:space="0" w:color="000000"/>
            </w:tcBorders>
          </w:tcPr>
          <w:p w14:paraId="336DE3B0" w14:textId="77777777" w:rsidR="009E12A3" w:rsidRPr="00806178" w:rsidRDefault="009E12A3" w:rsidP="009E12A3">
            <w:pPr>
              <w:spacing w:line="360" w:lineRule="auto"/>
              <w:jc w:val="both"/>
              <w:rPr>
                <w:rFonts w:ascii="Times New Roman" w:eastAsia="Aptos" w:hAnsi="Times New Roman" w:cs="Times New Roman"/>
                <w:b/>
                <w:bCs/>
                <w:sz w:val="24"/>
                <w:szCs w:val="24"/>
              </w:rPr>
            </w:pPr>
            <w:r w:rsidRPr="00806178">
              <w:rPr>
                <w:rFonts w:ascii="Times New Roman" w:eastAsia="source sans 3" w:hAnsi="Times New Roman" w:cs="Times New Roman"/>
                <w:b/>
                <w:bCs/>
                <w:color w:val="000000"/>
                <w:sz w:val="24"/>
                <w:szCs w:val="24"/>
              </w:rPr>
              <w:t>M</w:t>
            </w:r>
          </w:p>
        </w:tc>
        <w:tc>
          <w:tcPr>
            <w:tcW w:w="1701" w:type="dxa"/>
            <w:tcBorders>
              <w:top w:val="single" w:sz="1" w:space="0" w:color="000000"/>
              <w:bottom w:val="single" w:sz="1" w:space="0" w:color="000000"/>
            </w:tcBorders>
          </w:tcPr>
          <w:p w14:paraId="19C4A7CA" w14:textId="77777777" w:rsidR="009E12A3" w:rsidRPr="00806178" w:rsidRDefault="009E12A3" w:rsidP="009E12A3">
            <w:pPr>
              <w:spacing w:line="360" w:lineRule="auto"/>
              <w:jc w:val="both"/>
              <w:rPr>
                <w:rFonts w:ascii="Times New Roman" w:eastAsia="Aptos" w:hAnsi="Times New Roman" w:cs="Times New Roman"/>
                <w:b/>
                <w:bCs/>
                <w:sz w:val="24"/>
                <w:szCs w:val="24"/>
              </w:rPr>
            </w:pPr>
            <w:r w:rsidRPr="00806178">
              <w:rPr>
                <w:rFonts w:ascii="Times New Roman" w:eastAsia="source sans 3" w:hAnsi="Times New Roman" w:cs="Times New Roman"/>
                <w:b/>
                <w:bCs/>
                <w:color w:val="000000"/>
                <w:sz w:val="24"/>
                <w:szCs w:val="24"/>
              </w:rPr>
              <w:t>SD</w:t>
            </w:r>
          </w:p>
        </w:tc>
      </w:tr>
      <w:tr w:rsidR="009E12A3" w:rsidRPr="009E12A3" w14:paraId="3955C904" w14:textId="77777777" w:rsidTr="00CC174F">
        <w:tc>
          <w:tcPr>
            <w:tcW w:w="2268" w:type="dxa"/>
            <w:tcBorders>
              <w:top w:val="single" w:sz="1" w:space="0" w:color="000000"/>
              <w:bottom w:val="single" w:sz="1" w:space="0" w:color="000000"/>
              <w:right w:val="single" w:sz="1" w:space="0" w:color="000000"/>
            </w:tcBorders>
          </w:tcPr>
          <w:p w14:paraId="5E3DA13D" w14:textId="77777777" w:rsidR="009E12A3" w:rsidRPr="00806178" w:rsidRDefault="009E12A3" w:rsidP="009E12A3">
            <w:pPr>
              <w:spacing w:line="360" w:lineRule="auto"/>
              <w:jc w:val="both"/>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Year 2</w:t>
            </w:r>
          </w:p>
        </w:tc>
        <w:tc>
          <w:tcPr>
            <w:tcW w:w="1920" w:type="dxa"/>
            <w:tcBorders>
              <w:top w:val="single" w:sz="1" w:space="0" w:color="000000"/>
              <w:bottom w:val="single" w:sz="1" w:space="0" w:color="000000"/>
              <w:right w:val="single" w:sz="1" w:space="0" w:color="000000"/>
            </w:tcBorders>
          </w:tcPr>
          <w:p w14:paraId="7D5F8F27" w14:textId="77777777" w:rsidR="009E12A3" w:rsidRPr="00806178" w:rsidRDefault="009E12A3" w:rsidP="009E12A3">
            <w:pPr>
              <w:spacing w:line="360" w:lineRule="auto"/>
              <w:jc w:val="both"/>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6</w:t>
            </w:r>
          </w:p>
        </w:tc>
        <w:tc>
          <w:tcPr>
            <w:tcW w:w="1908" w:type="dxa"/>
            <w:tcBorders>
              <w:top w:val="single" w:sz="1" w:space="0" w:color="000000"/>
              <w:bottom w:val="single" w:sz="1" w:space="0" w:color="000000"/>
              <w:right w:val="single" w:sz="1" w:space="0" w:color="000000"/>
            </w:tcBorders>
          </w:tcPr>
          <w:p w14:paraId="5603BDE2" w14:textId="77777777" w:rsidR="009E12A3" w:rsidRPr="00806178" w:rsidRDefault="009E12A3" w:rsidP="009E12A3">
            <w:pPr>
              <w:spacing w:line="360" w:lineRule="auto"/>
              <w:jc w:val="both"/>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3.11</w:t>
            </w:r>
          </w:p>
        </w:tc>
        <w:tc>
          <w:tcPr>
            <w:tcW w:w="1701" w:type="dxa"/>
            <w:tcBorders>
              <w:top w:val="single" w:sz="1" w:space="0" w:color="000000"/>
              <w:bottom w:val="single" w:sz="1" w:space="0" w:color="000000"/>
            </w:tcBorders>
          </w:tcPr>
          <w:p w14:paraId="68986489" w14:textId="77777777" w:rsidR="009E12A3" w:rsidRPr="00806178" w:rsidRDefault="009E12A3" w:rsidP="009E12A3">
            <w:pPr>
              <w:spacing w:line="360" w:lineRule="auto"/>
              <w:jc w:val="both"/>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0.36</w:t>
            </w:r>
          </w:p>
        </w:tc>
      </w:tr>
      <w:tr w:rsidR="009E12A3" w:rsidRPr="009E12A3" w14:paraId="2E915732" w14:textId="77777777" w:rsidTr="00CC174F">
        <w:tc>
          <w:tcPr>
            <w:tcW w:w="2268" w:type="dxa"/>
            <w:tcBorders>
              <w:top w:val="single" w:sz="1" w:space="0" w:color="000000"/>
              <w:bottom w:val="single" w:sz="1" w:space="0" w:color="000000"/>
              <w:right w:val="single" w:sz="1" w:space="0" w:color="000000"/>
            </w:tcBorders>
          </w:tcPr>
          <w:p w14:paraId="2B0D71DA" w14:textId="77777777" w:rsidR="009E12A3" w:rsidRPr="00806178" w:rsidRDefault="009E12A3" w:rsidP="009E12A3">
            <w:pPr>
              <w:spacing w:line="360" w:lineRule="auto"/>
              <w:jc w:val="both"/>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Year 3</w:t>
            </w:r>
          </w:p>
        </w:tc>
        <w:tc>
          <w:tcPr>
            <w:tcW w:w="1920" w:type="dxa"/>
            <w:tcBorders>
              <w:top w:val="single" w:sz="1" w:space="0" w:color="000000"/>
              <w:bottom w:val="single" w:sz="1" w:space="0" w:color="000000"/>
              <w:right w:val="single" w:sz="1" w:space="0" w:color="000000"/>
            </w:tcBorders>
          </w:tcPr>
          <w:p w14:paraId="3DD5720A" w14:textId="77777777" w:rsidR="009E12A3" w:rsidRPr="00806178" w:rsidRDefault="009E12A3" w:rsidP="009E12A3">
            <w:pPr>
              <w:spacing w:line="360" w:lineRule="auto"/>
              <w:jc w:val="both"/>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53</w:t>
            </w:r>
          </w:p>
        </w:tc>
        <w:tc>
          <w:tcPr>
            <w:tcW w:w="1908" w:type="dxa"/>
            <w:tcBorders>
              <w:top w:val="single" w:sz="1" w:space="0" w:color="000000"/>
              <w:bottom w:val="single" w:sz="1" w:space="0" w:color="000000"/>
              <w:right w:val="single" w:sz="1" w:space="0" w:color="000000"/>
            </w:tcBorders>
          </w:tcPr>
          <w:p w14:paraId="4084CC2A" w14:textId="77777777" w:rsidR="009E12A3" w:rsidRPr="00806178" w:rsidRDefault="009E12A3" w:rsidP="009E12A3">
            <w:pPr>
              <w:spacing w:line="360" w:lineRule="auto"/>
              <w:jc w:val="both"/>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3.00</w:t>
            </w:r>
          </w:p>
        </w:tc>
        <w:tc>
          <w:tcPr>
            <w:tcW w:w="1701" w:type="dxa"/>
            <w:tcBorders>
              <w:top w:val="single" w:sz="1" w:space="0" w:color="000000"/>
              <w:bottom w:val="single" w:sz="1" w:space="0" w:color="000000"/>
            </w:tcBorders>
          </w:tcPr>
          <w:p w14:paraId="41993BA1" w14:textId="77777777" w:rsidR="009E12A3" w:rsidRPr="00806178" w:rsidRDefault="009E12A3" w:rsidP="009E12A3">
            <w:pPr>
              <w:spacing w:line="360" w:lineRule="auto"/>
              <w:jc w:val="both"/>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0.30</w:t>
            </w:r>
          </w:p>
        </w:tc>
      </w:tr>
      <w:tr w:rsidR="009E12A3" w:rsidRPr="009E12A3" w14:paraId="3DC0E87D" w14:textId="77777777" w:rsidTr="00CC174F">
        <w:tc>
          <w:tcPr>
            <w:tcW w:w="2268" w:type="dxa"/>
            <w:tcBorders>
              <w:top w:val="single" w:sz="1" w:space="0" w:color="000000"/>
              <w:bottom w:val="single" w:sz="1" w:space="0" w:color="000000"/>
              <w:right w:val="single" w:sz="1" w:space="0" w:color="000000"/>
            </w:tcBorders>
          </w:tcPr>
          <w:p w14:paraId="18CAEC7D" w14:textId="77777777" w:rsidR="009E12A3" w:rsidRPr="00806178" w:rsidRDefault="009E12A3" w:rsidP="009E12A3">
            <w:pPr>
              <w:spacing w:line="360" w:lineRule="auto"/>
              <w:jc w:val="both"/>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Year 4</w:t>
            </w:r>
          </w:p>
        </w:tc>
        <w:tc>
          <w:tcPr>
            <w:tcW w:w="1920" w:type="dxa"/>
            <w:tcBorders>
              <w:top w:val="single" w:sz="1" w:space="0" w:color="000000"/>
              <w:bottom w:val="single" w:sz="1" w:space="0" w:color="000000"/>
              <w:right w:val="single" w:sz="1" w:space="0" w:color="000000"/>
            </w:tcBorders>
          </w:tcPr>
          <w:p w14:paraId="3BDF2A49" w14:textId="77777777" w:rsidR="009E12A3" w:rsidRPr="00806178" w:rsidRDefault="009E12A3" w:rsidP="009E12A3">
            <w:pPr>
              <w:spacing w:line="360" w:lineRule="auto"/>
              <w:jc w:val="both"/>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21</w:t>
            </w:r>
          </w:p>
        </w:tc>
        <w:tc>
          <w:tcPr>
            <w:tcW w:w="1908" w:type="dxa"/>
            <w:tcBorders>
              <w:top w:val="single" w:sz="1" w:space="0" w:color="000000"/>
              <w:bottom w:val="single" w:sz="1" w:space="0" w:color="000000"/>
              <w:right w:val="single" w:sz="1" w:space="0" w:color="000000"/>
            </w:tcBorders>
          </w:tcPr>
          <w:p w14:paraId="7B66192B" w14:textId="77777777" w:rsidR="009E12A3" w:rsidRPr="00806178" w:rsidRDefault="009E12A3" w:rsidP="009E12A3">
            <w:pPr>
              <w:spacing w:line="360" w:lineRule="auto"/>
              <w:jc w:val="both"/>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3.08</w:t>
            </w:r>
          </w:p>
        </w:tc>
        <w:tc>
          <w:tcPr>
            <w:tcW w:w="1701" w:type="dxa"/>
            <w:tcBorders>
              <w:top w:val="single" w:sz="1" w:space="0" w:color="000000"/>
              <w:bottom w:val="single" w:sz="1" w:space="0" w:color="000000"/>
            </w:tcBorders>
          </w:tcPr>
          <w:p w14:paraId="16E080FB" w14:textId="77777777" w:rsidR="009E12A3" w:rsidRPr="00806178" w:rsidRDefault="009E12A3" w:rsidP="009E12A3">
            <w:pPr>
              <w:spacing w:line="360" w:lineRule="auto"/>
              <w:jc w:val="both"/>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0.24</w:t>
            </w:r>
          </w:p>
        </w:tc>
      </w:tr>
    </w:tbl>
    <w:p w14:paraId="2CA3CBF1" w14:textId="77777777" w:rsidR="009E12A3" w:rsidRPr="009E12A3" w:rsidRDefault="009E12A3" w:rsidP="009E12A3">
      <w:pPr>
        <w:spacing w:after="0" w:line="360" w:lineRule="auto"/>
        <w:jc w:val="both"/>
        <w:rPr>
          <w:rFonts w:eastAsia="source serif 4" w:cs="Times New Roman"/>
          <w:color w:val="000000"/>
          <w:sz w:val="24"/>
          <w:szCs w:val="24"/>
        </w:rPr>
      </w:pPr>
    </w:p>
    <w:p w14:paraId="22D3AFCC" w14:textId="0DE8D3DA" w:rsidR="009E12A3" w:rsidRPr="009E12A3" w:rsidRDefault="009E12A3" w:rsidP="009E12A3">
      <w:pPr>
        <w:spacing w:after="0" w:line="360" w:lineRule="auto"/>
        <w:ind w:firstLine="720"/>
        <w:jc w:val="both"/>
        <w:rPr>
          <w:rFonts w:eastAsia="Aptos" w:cs="Times New Roman"/>
          <w:sz w:val="24"/>
          <w:szCs w:val="24"/>
        </w:rPr>
      </w:pPr>
      <w:r w:rsidRPr="009E12A3">
        <w:rPr>
          <w:rFonts w:eastAsia="source serif 4" w:cs="Times New Roman"/>
          <w:color w:val="000000"/>
          <w:sz w:val="24"/>
          <w:szCs w:val="24"/>
        </w:rPr>
        <w:t xml:space="preserve">This descriptive pattern reveals very little difference in values from year to year, where Year 2 students have a mean value of 3.11, Year 3 students have 3.00, and Year 4 students have 3.08. </w:t>
      </w:r>
      <w:r w:rsidR="00C724DC" w:rsidRPr="009E12A3">
        <w:rPr>
          <w:rFonts w:eastAsia="source serif 4" w:cs="Times New Roman"/>
          <w:color w:val="000000"/>
          <w:sz w:val="24"/>
          <w:szCs w:val="24"/>
        </w:rPr>
        <w:t>To</w:t>
      </w:r>
      <w:r w:rsidRPr="009E12A3">
        <w:rPr>
          <w:rFonts w:eastAsia="source serif 4" w:cs="Times New Roman"/>
          <w:color w:val="000000"/>
          <w:sz w:val="24"/>
          <w:szCs w:val="24"/>
        </w:rPr>
        <w:t xml:space="preserve"> investigate if these differences were significant, a one-way ANOVA test was performed, which is shown in Table 5.</w:t>
      </w:r>
    </w:p>
    <w:p w14:paraId="1C1E2F03" w14:textId="77777777" w:rsidR="009E12A3" w:rsidRPr="009E12A3" w:rsidRDefault="009E12A3" w:rsidP="009E12A3">
      <w:pPr>
        <w:spacing w:after="0" w:line="360" w:lineRule="auto"/>
        <w:jc w:val="both"/>
        <w:rPr>
          <w:rFonts w:eastAsia="source serif 4" w:cs="Times New Roman"/>
          <w:i/>
          <w:color w:val="000000"/>
          <w:sz w:val="24"/>
          <w:szCs w:val="24"/>
        </w:rPr>
      </w:pPr>
      <w:r w:rsidRPr="009E12A3">
        <w:rPr>
          <w:rFonts w:eastAsia="source serif 4" w:cs="Times New Roman"/>
          <w:i/>
          <w:iCs/>
          <w:color w:val="000000"/>
          <w:sz w:val="24"/>
          <w:szCs w:val="24"/>
        </w:rPr>
        <w:t>Table 5. ANOVA</w:t>
      </w:r>
      <w:r w:rsidRPr="009E12A3">
        <w:rPr>
          <w:rFonts w:eastAsia="source serif 4" w:cs="Times New Roman"/>
          <w:i/>
          <w:color w:val="000000"/>
          <w:sz w:val="24"/>
          <w:szCs w:val="24"/>
        </w:rPr>
        <w:t xml:space="preserve"> for self-reported understanding and confidence by academic year</w:t>
      </w:r>
    </w:p>
    <w:tbl>
      <w:tblPr>
        <w:tblStyle w:val="TableGrid"/>
        <w:tblW w:w="0" w:type="auto"/>
        <w:tblInd w:w="562" w:type="dxa"/>
        <w:tblLook w:val="04A0" w:firstRow="1" w:lastRow="0" w:firstColumn="1" w:lastColumn="0" w:noHBand="0" w:noVBand="1"/>
      </w:tblPr>
      <w:tblGrid>
        <w:gridCol w:w="1843"/>
        <w:gridCol w:w="1276"/>
        <w:gridCol w:w="709"/>
        <w:gridCol w:w="1559"/>
        <w:gridCol w:w="992"/>
        <w:gridCol w:w="992"/>
        <w:gridCol w:w="1567"/>
      </w:tblGrid>
      <w:tr w:rsidR="009E12A3" w:rsidRPr="009E12A3" w14:paraId="69564D2E" w14:textId="77777777" w:rsidTr="00CC174F">
        <w:tc>
          <w:tcPr>
            <w:tcW w:w="1843" w:type="dxa"/>
            <w:tcBorders>
              <w:top w:val="single" w:sz="1" w:space="0" w:color="000000"/>
              <w:bottom w:val="single" w:sz="1" w:space="0" w:color="000000"/>
              <w:right w:val="single" w:sz="1" w:space="0" w:color="000000"/>
            </w:tcBorders>
          </w:tcPr>
          <w:p w14:paraId="4CFE59B6" w14:textId="77777777" w:rsidR="009E12A3" w:rsidRPr="00806178" w:rsidRDefault="009E12A3" w:rsidP="009E12A3">
            <w:pPr>
              <w:spacing w:line="360" w:lineRule="auto"/>
              <w:jc w:val="center"/>
              <w:rPr>
                <w:rFonts w:ascii="Times New Roman" w:eastAsia="Aptos" w:hAnsi="Times New Roman" w:cs="Times New Roman"/>
                <w:b/>
                <w:bCs/>
                <w:sz w:val="24"/>
                <w:szCs w:val="24"/>
              </w:rPr>
            </w:pPr>
            <w:r w:rsidRPr="00806178">
              <w:rPr>
                <w:rFonts w:ascii="Times New Roman" w:eastAsia="source sans 3" w:hAnsi="Times New Roman" w:cs="Times New Roman"/>
                <w:b/>
                <w:bCs/>
                <w:color w:val="000000"/>
                <w:sz w:val="24"/>
                <w:szCs w:val="24"/>
              </w:rPr>
              <w:t>Source</w:t>
            </w:r>
          </w:p>
        </w:tc>
        <w:tc>
          <w:tcPr>
            <w:tcW w:w="1276" w:type="dxa"/>
            <w:tcBorders>
              <w:top w:val="single" w:sz="1" w:space="0" w:color="000000"/>
              <w:bottom w:val="single" w:sz="1" w:space="0" w:color="000000"/>
              <w:right w:val="single" w:sz="1" w:space="0" w:color="000000"/>
            </w:tcBorders>
          </w:tcPr>
          <w:p w14:paraId="54C469DE" w14:textId="77777777" w:rsidR="009E12A3" w:rsidRPr="00806178" w:rsidRDefault="009E12A3" w:rsidP="009E12A3">
            <w:pPr>
              <w:spacing w:line="360" w:lineRule="auto"/>
              <w:jc w:val="center"/>
              <w:rPr>
                <w:rFonts w:ascii="Times New Roman" w:eastAsia="Aptos" w:hAnsi="Times New Roman" w:cs="Times New Roman"/>
                <w:b/>
                <w:bCs/>
                <w:sz w:val="24"/>
                <w:szCs w:val="24"/>
              </w:rPr>
            </w:pPr>
            <w:r w:rsidRPr="00806178">
              <w:rPr>
                <w:rFonts w:ascii="Times New Roman" w:eastAsia="source sans 3" w:hAnsi="Times New Roman" w:cs="Times New Roman"/>
                <w:b/>
                <w:bCs/>
                <w:color w:val="000000"/>
                <w:sz w:val="24"/>
                <w:szCs w:val="24"/>
              </w:rPr>
              <w:t>SS</w:t>
            </w:r>
          </w:p>
        </w:tc>
        <w:tc>
          <w:tcPr>
            <w:tcW w:w="709" w:type="dxa"/>
            <w:tcBorders>
              <w:top w:val="single" w:sz="1" w:space="0" w:color="000000"/>
              <w:bottom w:val="single" w:sz="1" w:space="0" w:color="000000"/>
              <w:right w:val="single" w:sz="1" w:space="0" w:color="000000"/>
            </w:tcBorders>
          </w:tcPr>
          <w:p w14:paraId="0E1E3FD2" w14:textId="77777777" w:rsidR="009E12A3" w:rsidRPr="00806178" w:rsidRDefault="009E12A3" w:rsidP="009E12A3">
            <w:pPr>
              <w:spacing w:line="360" w:lineRule="auto"/>
              <w:jc w:val="center"/>
              <w:rPr>
                <w:rFonts w:ascii="Times New Roman" w:eastAsia="Aptos" w:hAnsi="Times New Roman" w:cs="Times New Roman"/>
                <w:b/>
                <w:bCs/>
                <w:sz w:val="24"/>
                <w:szCs w:val="24"/>
              </w:rPr>
            </w:pPr>
            <w:proofErr w:type="spellStart"/>
            <w:r w:rsidRPr="00806178">
              <w:rPr>
                <w:rFonts w:ascii="Times New Roman" w:eastAsia="source sans 3" w:hAnsi="Times New Roman" w:cs="Times New Roman"/>
                <w:b/>
                <w:bCs/>
                <w:color w:val="000000"/>
                <w:sz w:val="24"/>
                <w:szCs w:val="24"/>
              </w:rPr>
              <w:t>df</w:t>
            </w:r>
            <w:proofErr w:type="spellEnd"/>
          </w:p>
        </w:tc>
        <w:tc>
          <w:tcPr>
            <w:tcW w:w="1559" w:type="dxa"/>
            <w:tcBorders>
              <w:top w:val="single" w:sz="1" w:space="0" w:color="000000"/>
              <w:bottom w:val="single" w:sz="1" w:space="0" w:color="000000"/>
              <w:right w:val="single" w:sz="1" w:space="0" w:color="000000"/>
            </w:tcBorders>
          </w:tcPr>
          <w:p w14:paraId="39830A6B" w14:textId="77777777" w:rsidR="009E12A3" w:rsidRPr="00806178" w:rsidRDefault="009E12A3" w:rsidP="009E12A3">
            <w:pPr>
              <w:spacing w:line="360" w:lineRule="auto"/>
              <w:jc w:val="center"/>
              <w:rPr>
                <w:rFonts w:ascii="Times New Roman" w:eastAsia="Aptos" w:hAnsi="Times New Roman" w:cs="Times New Roman"/>
                <w:b/>
                <w:bCs/>
                <w:sz w:val="24"/>
                <w:szCs w:val="24"/>
              </w:rPr>
            </w:pPr>
            <w:r w:rsidRPr="00806178">
              <w:rPr>
                <w:rFonts w:ascii="Times New Roman" w:eastAsia="source sans 3" w:hAnsi="Times New Roman" w:cs="Times New Roman"/>
                <w:b/>
                <w:bCs/>
                <w:color w:val="000000"/>
                <w:sz w:val="24"/>
                <w:szCs w:val="24"/>
              </w:rPr>
              <w:t>MS</w:t>
            </w:r>
          </w:p>
        </w:tc>
        <w:tc>
          <w:tcPr>
            <w:tcW w:w="992" w:type="dxa"/>
            <w:tcBorders>
              <w:top w:val="single" w:sz="1" w:space="0" w:color="000000"/>
              <w:bottom w:val="single" w:sz="1" w:space="0" w:color="000000"/>
              <w:right w:val="single" w:sz="1" w:space="0" w:color="000000"/>
            </w:tcBorders>
          </w:tcPr>
          <w:p w14:paraId="73338E60" w14:textId="77777777" w:rsidR="009E12A3" w:rsidRPr="00806178" w:rsidRDefault="009E12A3" w:rsidP="009E12A3">
            <w:pPr>
              <w:spacing w:line="360" w:lineRule="auto"/>
              <w:jc w:val="center"/>
              <w:rPr>
                <w:rFonts w:ascii="Times New Roman" w:eastAsia="Aptos" w:hAnsi="Times New Roman" w:cs="Times New Roman"/>
                <w:b/>
                <w:bCs/>
                <w:sz w:val="24"/>
                <w:szCs w:val="24"/>
              </w:rPr>
            </w:pPr>
            <w:r w:rsidRPr="00806178">
              <w:rPr>
                <w:rFonts w:ascii="Times New Roman" w:eastAsia="source sans 3" w:hAnsi="Times New Roman" w:cs="Times New Roman"/>
                <w:b/>
                <w:bCs/>
                <w:color w:val="000000"/>
                <w:sz w:val="24"/>
                <w:szCs w:val="24"/>
              </w:rPr>
              <w:t>F</w:t>
            </w:r>
          </w:p>
        </w:tc>
        <w:tc>
          <w:tcPr>
            <w:tcW w:w="992" w:type="dxa"/>
            <w:tcBorders>
              <w:top w:val="single" w:sz="1" w:space="0" w:color="000000"/>
              <w:bottom w:val="single" w:sz="1" w:space="0" w:color="000000"/>
              <w:right w:val="single" w:sz="1" w:space="0" w:color="000000"/>
            </w:tcBorders>
          </w:tcPr>
          <w:p w14:paraId="1BE9DB1C" w14:textId="77777777" w:rsidR="009E12A3" w:rsidRPr="00806178" w:rsidRDefault="009E12A3" w:rsidP="009E12A3">
            <w:pPr>
              <w:spacing w:line="360" w:lineRule="auto"/>
              <w:jc w:val="center"/>
              <w:rPr>
                <w:rFonts w:ascii="Times New Roman" w:eastAsia="Aptos" w:hAnsi="Times New Roman" w:cs="Times New Roman"/>
                <w:b/>
                <w:bCs/>
                <w:sz w:val="24"/>
                <w:szCs w:val="24"/>
              </w:rPr>
            </w:pPr>
            <w:r w:rsidRPr="00806178">
              <w:rPr>
                <w:rFonts w:ascii="Times New Roman" w:eastAsia="source sans 3" w:hAnsi="Times New Roman" w:cs="Times New Roman"/>
                <w:b/>
                <w:bCs/>
                <w:color w:val="000000"/>
                <w:sz w:val="24"/>
                <w:szCs w:val="24"/>
              </w:rPr>
              <w:t>p</w:t>
            </w:r>
          </w:p>
        </w:tc>
        <w:tc>
          <w:tcPr>
            <w:tcW w:w="1567" w:type="dxa"/>
            <w:tcBorders>
              <w:top w:val="single" w:sz="1" w:space="0" w:color="000000"/>
              <w:bottom w:val="single" w:sz="1" w:space="0" w:color="000000"/>
            </w:tcBorders>
          </w:tcPr>
          <w:p w14:paraId="758779BD" w14:textId="77777777" w:rsidR="009E12A3" w:rsidRPr="00806178" w:rsidRDefault="009E12A3" w:rsidP="009E12A3">
            <w:pPr>
              <w:spacing w:line="360" w:lineRule="auto"/>
              <w:jc w:val="center"/>
              <w:rPr>
                <w:rFonts w:ascii="Times New Roman" w:eastAsia="Aptos" w:hAnsi="Times New Roman" w:cs="Times New Roman"/>
                <w:b/>
                <w:bCs/>
                <w:sz w:val="24"/>
                <w:szCs w:val="24"/>
              </w:rPr>
            </w:pPr>
            <w:r w:rsidRPr="00806178">
              <w:rPr>
                <w:rFonts w:ascii="Times New Roman" w:eastAsia="source sans 3" w:hAnsi="Times New Roman" w:cs="Times New Roman"/>
                <w:b/>
                <w:bCs/>
                <w:color w:val="000000"/>
                <w:sz w:val="24"/>
                <w:szCs w:val="24"/>
              </w:rPr>
              <w:t>eta squared</w:t>
            </w:r>
          </w:p>
        </w:tc>
      </w:tr>
      <w:tr w:rsidR="009E12A3" w:rsidRPr="009E12A3" w14:paraId="10A883E8" w14:textId="77777777" w:rsidTr="00CC174F">
        <w:tc>
          <w:tcPr>
            <w:tcW w:w="1843" w:type="dxa"/>
            <w:tcBorders>
              <w:top w:val="single" w:sz="1" w:space="0" w:color="000000"/>
              <w:bottom w:val="single" w:sz="1" w:space="0" w:color="000000"/>
              <w:right w:val="single" w:sz="1" w:space="0" w:color="000000"/>
            </w:tcBorders>
          </w:tcPr>
          <w:p w14:paraId="2EDBD1ED"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Between groups</w:t>
            </w:r>
          </w:p>
        </w:tc>
        <w:tc>
          <w:tcPr>
            <w:tcW w:w="1276" w:type="dxa"/>
            <w:tcBorders>
              <w:top w:val="single" w:sz="1" w:space="0" w:color="000000"/>
              <w:bottom w:val="single" w:sz="1" w:space="0" w:color="000000"/>
              <w:right w:val="single" w:sz="1" w:space="0" w:color="000000"/>
            </w:tcBorders>
          </w:tcPr>
          <w:p w14:paraId="4211405F"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0.148</w:t>
            </w:r>
          </w:p>
        </w:tc>
        <w:tc>
          <w:tcPr>
            <w:tcW w:w="709" w:type="dxa"/>
            <w:tcBorders>
              <w:top w:val="single" w:sz="1" w:space="0" w:color="000000"/>
              <w:bottom w:val="single" w:sz="1" w:space="0" w:color="000000"/>
              <w:right w:val="single" w:sz="1" w:space="0" w:color="000000"/>
            </w:tcBorders>
          </w:tcPr>
          <w:p w14:paraId="2ADF5D19"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2</w:t>
            </w:r>
          </w:p>
        </w:tc>
        <w:tc>
          <w:tcPr>
            <w:tcW w:w="1559" w:type="dxa"/>
            <w:tcBorders>
              <w:top w:val="single" w:sz="1" w:space="0" w:color="000000"/>
              <w:bottom w:val="single" w:sz="1" w:space="0" w:color="000000"/>
              <w:right w:val="single" w:sz="1" w:space="0" w:color="000000"/>
            </w:tcBorders>
          </w:tcPr>
          <w:p w14:paraId="560340BA"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0.074</w:t>
            </w:r>
          </w:p>
        </w:tc>
        <w:tc>
          <w:tcPr>
            <w:tcW w:w="992" w:type="dxa"/>
            <w:tcBorders>
              <w:top w:val="single" w:sz="1" w:space="0" w:color="000000"/>
              <w:bottom w:val="single" w:sz="1" w:space="0" w:color="000000"/>
              <w:right w:val="single" w:sz="1" w:space="0" w:color="000000"/>
            </w:tcBorders>
          </w:tcPr>
          <w:p w14:paraId="55D705B2"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0.903</w:t>
            </w:r>
          </w:p>
        </w:tc>
        <w:tc>
          <w:tcPr>
            <w:tcW w:w="992" w:type="dxa"/>
            <w:tcBorders>
              <w:top w:val="single" w:sz="1" w:space="0" w:color="000000"/>
              <w:bottom w:val="single" w:sz="1" w:space="0" w:color="000000"/>
              <w:right w:val="single" w:sz="1" w:space="0" w:color="000000"/>
            </w:tcBorders>
          </w:tcPr>
          <w:p w14:paraId="35026D9C"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.410</w:t>
            </w:r>
          </w:p>
        </w:tc>
        <w:tc>
          <w:tcPr>
            <w:tcW w:w="1567" w:type="dxa"/>
            <w:tcBorders>
              <w:top w:val="single" w:sz="1" w:space="0" w:color="000000"/>
              <w:bottom w:val="single" w:sz="1" w:space="0" w:color="000000"/>
            </w:tcBorders>
          </w:tcPr>
          <w:p w14:paraId="3933BB62"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0.023</w:t>
            </w:r>
          </w:p>
        </w:tc>
      </w:tr>
      <w:tr w:rsidR="009E12A3" w:rsidRPr="009E12A3" w14:paraId="2B6C328F" w14:textId="77777777" w:rsidTr="00CC174F">
        <w:tc>
          <w:tcPr>
            <w:tcW w:w="1843" w:type="dxa"/>
            <w:tcBorders>
              <w:top w:val="single" w:sz="1" w:space="0" w:color="000000"/>
              <w:bottom w:val="single" w:sz="1" w:space="0" w:color="000000"/>
              <w:right w:val="single" w:sz="1" w:space="0" w:color="000000"/>
            </w:tcBorders>
          </w:tcPr>
          <w:p w14:paraId="2BD924F0"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Within groups</w:t>
            </w:r>
          </w:p>
        </w:tc>
        <w:tc>
          <w:tcPr>
            <w:tcW w:w="1276" w:type="dxa"/>
            <w:tcBorders>
              <w:top w:val="single" w:sz="1" w:space="0" w:color="000000"/>
              <w:bottom w:val="single" w:sz="1" w:space="0" w:color="000000"/>
              <w:right w:val="single" w:sz="1" w:space="0" w:color="000000"/>
            </w:tcBorders>
          </w:tcPr>
          <w:p w14:paraId="446AD3DE"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6.321</w:t>
            </w:r>
          </w:p>
        </w:tc>
        <w:tc>
          <w:tcPr>
            <w:tcW w:w="709" w:type="dxa"/>
            <w:tcBorders>
              <w:top w:val="single" w:sz="1" w:space="0" w:color="000000"/>
              <w:bottom w:val="single" w:sz="1" w:space="0" w:color="000000"/>
              <w:right w:val="single" w:sz="1" w:space="0" w:color="000000"/>
            </w:tcBorders>
          </w:tcPr>
          <w:p w14:paraId="514ECCD4"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77</w:t>
            </w:r>
          </w:p>
        </w:tc>
        <w:tc>
          <w:tcPr>
            <w:tcW w:w="1559" w:type="dxa"/>
            <w:tcBorders>
              <w:top w:val="single" w:sz="1" w:space="0" w:color="000000"/>
              <w:bottom w:val="single" w:sz="1" w:space="0" w:color="000000"/>
              <w:right w:val="single" w:sz="1" w:space="0" w:color="000000"/>
            </w:tcBorders>
          </w:tcPr>
          <w:p w14:paraId="5714D168"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0.082</w:t>
            </w:r>
          </w:p>
        </w:tc>
        <w:tc>
          <w:tcPr>
            <w:tcW w:w="992" w:type="dxa"/>
            <w:tcBorders>
              <w:top w:val="single" w:sz="1" w:space="0" w:color="000000"/>
              <w:bottom w:val="single" w:sz="1" w:space="0" w:color="000000"/>
              <w:right w:val="single" w:sz="1" w:space="0" w:color="000000"/>
            </w:tcBorders>
          </w:tcPr>
          <w:p w14:paraId="54B26E4D"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w:t>
            </w:r>
          </w:p>
        </w:tc>
        <w:tc>
          <w:tcPr>
            <w:tcW w:w="992" w:type="dxa"/>
            <w:tcBorders>
              <w:top w:val="single" w:sz="1" w:space="0" w:color="000000"/>
              <w:bottom w:val="single" w:sz="1" w:space="0" w:color="000000"/>
              <w:right w:val="single" w:sz="1" w:space="0" w:color="000000"/>
            </w:tcBorders>
          </w:tcPr>
          <w:p w14:paraId="5C3E72E9"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w:t>
            </w:r>
          </w:p>
        </w:tc>
        <w:tc>
          <w:tcPr>
            <w:tcW w:w="1567" w:type="dxa"/>
            <w:tcBorders>
              <w:top w:val="single" w:sz="1" w:space="0" w:color="000000"/>
              <w:bottom w:val="single" w:sz="1" w:space="0" w:color="000000"/>
            </w:tcBorders>
          </w:tcPr>
          <w:p w14:paraId="62CB46E9"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w:t>
            </w:r>
          </w:p>
        </w:tc>
      </w:tr>
      <w:tr w:rsidR="009E12A3" w:rsidRPr="009E12A3" w14:paraId="41F49005" w14:textId="77777777" w:rsidTr="00CC174F">
        <w:tc>
          <w:tcPr>
            <w:tcW w:w="1843" w:type="dxa"/>
            <w:tcBorders>
              <w:top w:val="single" w:sz="1" w:space="0" w:color="000000"/>
              <w:bottom w:val="single" w:sz="1" w:space="0" w:color="000000"/>
              <w:right w:val="single" w:sz="1" w:space="0" w:color="000000"/>
            </w:tcBorders>
          </w:tcPr>
          <w:p w14:paraId="70DC7096"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Total</w:t>
            </w:r>
          </w:p>
        </w:tc>
        <w:tc>
          <w:tcPr>
            <w:tcW w:w="1276" w:type="dxa"/>
            <w:tcBorders>
              <w:top w:val="single" w:sz="1" w:space="0" w:color="000000"/>
              <w:bottom w:val="single" w:sz="1" w:space="0" w:color="000000"/>
              <w:right w:val="single" w:sz="1" w:space="0" w:color="000000"/>
            </w:tcBorders>
          </w:tcPr>
          <w:p w14:paraId="53D8261F"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6.469</w:t>
            </w:r>
          </w:p>
        </w:tc>
        <w:tc>
          <w:tcPr>
            <w:tcW w:w="709" w:type="dxa"/>
            <w:tcBorders>
              <w:top w:val="single" w:sz="1" w:space="0" w:color="000000"/>
              <w:bottom w:val="single" w:sz="1" w:space="0" w:color="000000"/>
              <w:right w:val="single" w:sz="1" w:space="0" w:color="000000"/>
            </w:tcBorders>
          </w:tcPr>
          <w:p w14:paraId="263B6860"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79</w:t>
            </w:r>
          </w:p>
        </w:tc>
        <w:tc>
          <w:tcPr>
            <w:tcW w:w="1559" w:type="dxa"/>
            <w:tcBorders>
              <w:top w:val="single" w:sz="1" w:space="0" w:color="000000"/>
              <w:bottom w:val="single" w:sz="1" w:space="0" w:color="000000"/>
              <w:right w:val="single" w:sz="1" w:space="0" w:color="000000"/>
            </w:tcBorders>
          </w:tcPr>
          <w:p w14:paraId="5020010B"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w:t>
            </w:r>
          </w:p>
        </w:tc>
        <w:tc>
          <w:tcPr>
            <w:tcW w:w="992" w:type="dxa"/>
            <w:tcBorders>
              <w:top w:val="single" w:sz="1" w:space="0" w:color="000000"/>
              <w:bottom w:val="single" w:sz="1" w:space="0" w:color="000000"/>
              <w:right w:val="single" w:sz="1" w:space="0" w:color="000000"/>
            </w:tcBorders>
          </w:tcPr>
          <w:p w14:paraId="76D4D87C"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w:t>
            </w:r>
          </w:p>
        </w:tc>
        <w:tc>
          <w:tcPr>
            <w:tcW w:w="992" w:type="dxa"/>
            <w:tcBorders>
              <w:top w:val="single" w:sz="1" w:space="0" w:color="000000"/>
              <w:bottom w:val="single" w:sz="1" w:space="0" w:color="000000"/>
              <w:right w:val="single" w:sz="1" w:space="0" w:color="000000"/>
            </w:tcBorders>
          </w:tcPr>
          <w:p w14:paraId="5E8216EA"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w:t>
            </w:r>
          </w:p>
        </w:tc>
        <w:tc>
          <w:tcPr>
            <w:tcW w:w="1567" w:type="dxa"/>
            <w:tcBorders>
              <w:top w:val="single" w:sz="1" w:space="0" w:color="000000"/>
              <w:bottom w:val="single" w:sz="1" w:space="0" w:color="000000"/>
            </w:tcBorders>
          </w:tcPr>
          <w:p w14:paraId="3FB5F13D" w14:textId="77777777" w:rsidR="009E12A3" w:rsidRPr="00806178" w:rsidRDefault="009E12A3" w:rsidP="009E12A3">
            <w:pPr>
              <w:spacing w:line="360" w:lineRule="auto"/>
              <w:jc w:val="center"/>
              <w:rPr>
                <w:rFonts w:ascii="Times New Roman" w:eastAsia="Aptos" w:hAnsi="Times New Roman" w:cs="Times New Roman"/>
                <w:sz w:val="24"/>
                <w:szCs w:val="24"/>
              </w:rPr>
            </w:pPr>
            <w:r w:rsidRPr="00806178">
              <w:rPr>
                <w:rFonts w:ascii="Times New Roman" w:eastAsia="source sans 3" w:hAnsi="Times New Roman" w:cs="Times New Roman"/>
                <w:color w:val="000000"/>
                <w:sz w:val="24"/>
                <w:szCs w:val="24"/>
              </w:rPr>
              <w:t>—</w:t>
            </w:r>
          </w:p>
        </w:tc>
      </w:tr>
    </w:tbl>
    <w:p w14:paraId="5E45E801" w14:textId="77777777" w:rsidR="009E12A3" w:rsidRPr="009E12A3" w:rsidRDefault="009E12A3" w:rsidP="009E12A3">
      <w:pPr>
        <w:spacing w:after="0" w:line="360" w:lineRule="auto"/>
        <w:jc w:val="both"/>
        <w:rPr>
          <w:rFonts w:eastAsia="source serif 4" w:cs="Times New Roman"/>
          <w:color w:val="000000"/>
          <w:sz w:val="24"/>
          <w:szCs w:val="24"/>
        </w:rPr>
      </w:pPr>
    </w:p>
    <w:p w14:paraId="3AE2668D" w14:textId="77777777" w:rsidR="009E12A3" w:rsidRPr="009E12A3" w:rsidRDefault="009E12A3" w:rsidP="009E12A3">
      <w:pPr>
        <w:spacing w:after="0" w:line="360" w:lineRule="auto"/>
        <w:ind w:firstLine="720"/>
        <w:jc w:val="both"/>
        <w:rPr>
          <w:rFonts w:eastAsia="Aptos" w:cs="Times New Roman"/>
          <w:sz w:val="24"/>
          <w:szCs w:val="24"/>
        </w:rPr>
      </w:pPr>
      <w:r w:rsidRPr="009E12A3">
        <w:rPr>
          <w:rFonts w:eastAsia="source serif 4" w:cs="Times New Roman"/>
          <w:color w:val="000000"/>
          <w:sz w:val="24"/>
          <w:szCs w:val="24"/>
        </w:rPr>
        <w:t>ANOVA was not found to be statistically significant with F (2, 77) = 0.903, p = .410. The effect size was small (</w:t>
      </w:r>
      <w:proofErr w:type="gramStart"/>
      <w:r w:rsidRPr="009E12A3">
        <w:rPr>
          <w:rFonts w:eastAsia="source serif 4" w:cs="Times New Roman"/>
          <w:color w:val="000000"/>
          <w:sz w:val="24"/>
          <w:szCs w:val="24"/>
        </w:rPr>
        <w:t>eta</w:t>
      </w:r>
      <w:proofErr w:type="gramEnd"/>
      <w:r w:rsidRPr="009E12A3">
        <w:rPr>
          <w:rFonts w:eastAsia="source serif 4" w:cs="Times New Roman"/>
          <w:color w:val="000000"/>
          <w:sz w:val="24"/>
          <w:szCs w:val="24"/>
        </w:rPr>
        <w:t xml:space="preserve"> squared = 0.023). Consequently, the working hypothesis predicting an association between the students' academic year and their perceived terminological competence could not be supported by the data set used.</w:t>
      </w:r>
    </w:p>
    <w:p w14:paraId="1A84F030" w14:textId="0DC15264" w:rsidR="009E12A3" w:rsidRPr="009E12A3" w:rsidRDefault="009E12A3" w:rsidP="009E12A3">
      <w:pPr>
        <w:spacing w:after="0" w:line="360" w:lineRule="auto"/>
        <w:jc w:val="both"/>
        <w:rPr>
          <w:rFonts w:eastAsia="Aptos" w:cs="Times New Roman"/>
          <w:sz w:val="24"/>
          <w:szCs w:val="24"/>
        </w:rPr>
      </w:pPr>
      <w:bookmarkStart w:id="23" w:name="bm_4_6_qualitative_themes_from_in_9df619"/>
      <w:r w:rsidRPr="009E12A3">
        <w:rPr>
          <w:rFonts w:eastAsia="source serif 4" w:cs="Times New Roman"/>
          <w:b/>
          <w:color w:val="000000"/>
          <w:sz w:val="24"/>
          <w:szCs w:val="24"/>
        </w:rPr>
        <w:t xml:space="preserve">4.6 Qualitative </w:t>
      </w:r>
      <w:r w:rsidR="00C724DC" w:rsidRPr="009E12A3">
        <w:rPr>
          <w:rFonts w:eastAsia="source serif 4" w:cs="Times New Roman"/>
          <w:b/>
          <w:color w:val="000000"/>
          <w:sz w:val="24"/>
          <w:szCs w:val="24"/>
        </w:rPr>
        <w:t>themes from interviews</w:t>
      </w:r>
      <w:bookmarkEnd w:id="23"/>
    </w:p>
    <w:p w14:paraId="78FF276B"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t xml:space="preserve">The interview data corroborated and expanded upon the survey data. </w:t>
      </w:r>
      <w:proofErr w:type="gramStart"/>
      <w:r w:rsidRPr="009E12A3">
        <w:rPr>
          <w:rFonts w:eastAsia="source serif 4" w:cs="Times New Roman"/>
          <w:color w:val="000000"/>
          <w:sz w:val="24"/>
          <w:szCs w:val="24"/>
        </w:rPr>
        <w:t>A number of</w:t>
      </w:r>
      <w:proofErr w:type="gramEnd"/>
      <w:r w:rsidRPr="009E12A3">
        <w:rPr>
          <w:rFonts w:eastAsia="source serif 4" w:cs="Times New Roman"/>
          <w:color w:val="000000"/>
          <w:sz w:val="24"/>
          <w:szCs w:val="24"/>
        </w:rPr>
        <w:t xml:space="preserve"> recurring themes emerged from the interview responses. The first theme was the importance of practice. Practice-related terminology was very frequent in the interview corpus, which indicates that the lack of practice opportunity is an important issue. The second theme was memorization and remembering, which is consistent with the survey data that indicated remembering meaning to be an important difficulty. The third recurring difficulty from the interviews was pronunciation, which corroborates the quantitative result that pronunciation is the greatest difficulty among all difficulties. The fourth </w:t>
      </w:r>
      <w:r w:rsidRPr="009E12A3">
        <w:rPr>
          <w:rFonts w:eastAsia="source serif 4" w:cs="Times New Roman"/>
          <w:color w:val="000000"/>
          <w:sz w:val="24"/>
          <w:szCs w:val="24"/>
        </w:rPr>
        <w:lastRenderedPageBreak/>
        <w:t>issue that emerged from the interviews was the prevalence of references to reading compared to the rare mentions of speaking, which indicates that vocabulary is usually learned receptively rather than interactively. Finally, translation and bilingual terminology were mentioned as an issue multiple times, corroborating the survey results that indicate that the use of English - Vietnamese terminology helps both students and teachers learn new words. Overall, these themes prove that the terminology learning difficulties are not merely lexical in nature, but also pedagogical and situational</w:t>
      </w:r>
    </w:p>
    <w:p w14:paraId="6F9826BC" w14:textId="77777777" w:rsidR="009E12A3" w:rsidRPr="009E12A3" w:rsidRDefault="009E12A3" w:rsidP="009E12A3">
      <w:pPr>
        <w:spacing w:after="0" w:line="360" w:lineRule="auto"/>
        <w:jc w:val="both"/>
        <w:rPr>
          <w:rFonts w:eastAsia="Aptos" w:cs="Times New Roman"/>
          <w:sz w:val="24"/>
          <w:szCs w:val="24"/>
        </w:rPr>
      </w:pPr>
      <w:bookmarkStart w:id="24" w:name="bm_5_discussion"/>
      <w:r w:rsidRPr="009E12A3">
        <w:rPr>
          <w:rFonts w:eastAsia="source serif 4" w:cs="Times New Roman"/>
          <w:b/>
          <w:color w:val="000000"/>
          <w:sz w:val="24"/>
          <w:szCs w:val="24"/>
        </w:rPr>
        <w:t>5. Discussion</w:t>
      </w:r>
      <w:bookmarkEnd w:id="24"/>
    </w:p>
    <w:p w14:paraId="3B12E5AB" w14:textId="77777777" w:rsidR="009E12A3" w:rsidRPr="009E12A3" w:rsidRDefault="009E12A3" w:rsidP="009E12A3">
      <w:pPr>
        <w:spacing w:after="0" w:line="360" w:lineRule="auto"/>
        <w:jc w:val="both"/>
        <w:rPr>
          <w:rFonts w:eastAsia="source serif 4" w:cs="Times New Roman"/>
          <w:color w:val="000000"/>
          <w:sz w:val="24"/>
          <w:szCs w:val="24"/>
        </w:rPr>
      </w:pPr>
      <w:r w:rsidRPr="009E12A3">
        <w:rPr>
          <w:rFonts w:eastAsia="source serif 4" w:cs="Times New Roman"/>
          <w:color w:val="000000"/>
          <w:sz w:val="24"/>
          <w:szCs w:val="24"/>
        </w:rPr>
        <w:t xml:space="preserve">For addressing the first research question, the results point to rather high exposure to the English pharmacy vocabulary used in practice by the participants of the study. At the same time, this frequency is not accompanied by the same level of knowledge and competence. This disparity between the relatively high exposure and use mean (3.97) and considerably lower understanding and confidence mean (3.03) implies that the students perceive vocabulary more easily than they understand, utilize and work with it. </w:t>
      </w:r>
    </w:p>
    <w:p w14:paraId="5FB79DA3" w14:textId="16F3FAA5" w:rsidR="009E12A3" w:rsidRPr="00BD5020" w:rsidRDefault="009E12A3" w:rsidP="00BD5020">
      <w:pPr>
        <w:spacing w:after="0" w:line="360" w:lineRule="auto"/>
        <w:ind w:firstLine="720"/>
        <w:jc w:val="both"/>
        <w:rPr>
          <w:rFonts w:eastAsia="source serif 4" w:cs="Times New Roman"/>
          <w:color w:val="000000"/>
          <w:sz w:val="24"/>
          <w:szCs w:val="24"/>
        </w:rPr>
      </w:pPr>
      <w:r w:rsidRPr="009E12A3">
        <w:rPr>
          <w:rFonts w:eastAsia="source serif 4" w:cs="Times New Roman"/>
          <w:color w:val="000000"/>
          <w:sz w:val="24"/>
          <w:szCs w:val="24"/>
        </w:rPr>
        <w:t xml:space="preserve">It is significant since pharmacy requires not only </w:t>
      </w:r>
      <w:r w:rsidR="00BD5020" w:rsidRPr="009E12A3">
        <w:rPr>
          <w:rFonts w:eastAsia="source serif 4" w:cs="Times New Roman"/>
          <w:color w:val="000000"/>
          <w:sz w:val="24"/>
          <w:szCs w:val="24"/>
        </w:rPr>
        <w:t>awareness</w:t>
      </w:r>
      <w:r w:rsidRPr="009E12A3">
        <w:rPr>
          <w:rFonts w:eastAsia="source serif 4" w:cs="Times New Roman"/>
          <w:color w:val="000000"/>
          <w:sz w:val="24"/>
          <w:szCs w:val="24"/>
        </w:rPr>
        <w:t xml:space="preserve"> of </w:t>
      </w:r>
      <w:proofErr w:type="gramStart"/>
      <w:r w:rsidRPr="009E12A3">
        <w:rPr>
          <w:rFonts w:eastAsia="source serif 4" w:cs="Times New Roman"/>
          <w:color w:val="000000"/>
          <w:sz w:val="24"/>
          <w:szCs w:val="24"/>
        </w:rPr>
        <w:t>the written</w:t>
      </w:r>
      <w:proofErr w:type="gramEnd"/>
      <w:r w:rsidRPr="009E12A3">
        <w:rPr>
          <w:rFonts w:eastAsia="source serif 4" w:cs="Times New Roman"/>
          <w:color w:val="000000"/>
          <w:sz w:val="24"/>
          <w:szCs w:val="24"/>
        </w:rPr>
        <w:t xml:space="preserve"> terminology but also its correct pronunciation, distinguishing of the related concepts, and proper usage in communication. According to the results of this study, pronunciation, applicability, and memorizing are the top three difficult areas in learning pharmacy terminology. It means that terminology acquisition in this field includes linguistic, conceptual, and communicative aspects (</w:t>
      </w:r>
      <w:proofErr w:type="spellStart"/>
      <w:r w:rsidRPr="009E12A3">
        <w:rPr>
          <w:rFonts w:eastAsia="source serif 4" w:cs="Times New Roman"/>
          <w:color w:val="000000"/>
          <w:sz w:val="24"/>
          <w:szCs w:val="24"/>
        </w:rPr>
        <w:t>Chabner</w:t>
      </w:r>
      <w:proofErr w:type="spellEnd"/>
      <w:r w:rsidRPr="009E12A3">
        <w:rPr>
          <w:rFonts w:eastAsia="source serif 4" w:cs="Times New Roman"/>
          <w:color w:val="000000"/>
          <w:sz w:val="24"/>
          <w:szCs w:val="24"/>
        </w:rPr>
        <w:t>, 2023; Beardsley et al., 2020).</w:t>
      </w:r>
      <w:r w:rsidR="00BD5020">
        <w:rPr>
          <w:rFonts w:eastAsia="source serif 4" w:cs="Times New Roman"/>
          <w:color w:val="000000"/>
          <w:sz w:val="24"/>
          <w:szCs w:val="24"/>
        </w:rPr>
        <w:t xml:space="preserve"> </w:t>
      </w:r>
      <w:r w:rsidRPr="009E12A3">
        <w:rPr>
          <w:rFonts w:eastAsia="source serif 4" w:cs="Times New Roman"/>
          <w:color w:val="000000"/>
          <w:sz w:val="24"/>
          <w:szCs w:val="24"/>
        </w:rPr>
        <w:t>Year-level data was equally illuminating. Early versions of the manuscript assumed that students at higher levels of academic year would perceive themselves as more competent owing to accumulated experience. The present data set, on the other hand, indicates small and non-statistically significant differences between different years. It should be noted that this does not imply that experience is unimportant. What it implies is that the year level itself cannot necessarily lead to greater perceptions of competence.</w:t>
      </w:r>
    </w:p>
    <w:p w14:paraId="222771A0" w14:textId="77777777" w:rsidR="009E12A3" w:rsidRPr="009E12A3" w:rsidRDefault="009E12A3" w:rsidP="009E12A3">
      <w:pPr>
        <w:spacing w:after="0" w:line="360" w:lineRule="auto"/>
        <w:ind w:firstLine="720"/>
        <w:jc w:val="both"/>
        <w:rPr>
          <w:rFonts w:eastAsia="source serif 4" w:cs="Times New Roman"/>
          <w:color w:val="000000"/>
          <w:sz w:val="24"/>
          <w:szCs w:val="24"/>
        </w:rPr>
      </w:pPr>
      <w:r w:rsidRPr="009E12A3">
        <w:rPr>
          <w:rFonts w:eastAsia="source serif 4" w:cs="Times New Roman"/>
          <w:color w:val="000000"/>
          <w:sz w:val="24"/>
          <w:szCs w:val="24"/>
        </w:rPr>
        <w:t xml:space="preserve">Regarding the second research question, one can understand how the interview responses relate to this finding. Students often mentioned lack of practice, dependence on translations, and preference of reading over speaking. Such comments suggest that, despite increased exposure to terms, the process of translating their passive knowledge into active professional usage is not adequately facilitated. It could be used to explain why self-assessment of proficiency was found to be centered around the mean value. The other significant implication relates to the method used for assessment. The poor reliability estimates indicate that questionnaire measures several different </w:t>
      </w:r>
      <w:r w:rsidRPr="009E12A3">
        <w:rPr>
          <w:rFonts w:eastAsia="source serif 4" w:cs="Times New Roman"/>
          <w:color w:val="000000"/>
          <w:sz w:val="24"/>
          <w:szCs w:val="24"/>
        </w:rPr>
        <w:lastRenderedPageBreak/>
        <w:t>constructs, not a stable one. Thus, the results cannot be generalized; however, the instrument can still be used as a descriptive measure.</w:t>
      </w:r>
    </w:p>
    <w:p w14:paraId="5E3EC0D1" w14:textId="4A7DABC9" w:rsidR="009E12A3" w:rsidRPr="009E12A3" w:rsidRDefault="009E12A3" w:rsidP="009E12A3">
      <w:pPr>
        <w:spacing w:after="0" w:line="360" w:lineRule="auto"/>
        <w:jc w:val="both"/>
        <w:rPr>
          <w:rFonts w:eastAsia="Aptos" w:cs="Times New Roman"/>
          <w:sz w:val="24"/>
          <w:szCs w:val="24"/>
        </w:rPr>
      </w:pPr>
      <w:bookmarkStart w:id="25" w:name="bm_6_pedagogical_implications"/>
      <w:r w:rsidRPr="009E12A3">
        <w:rPr>
          <w:rFonts w:eastAsia="source serif 4" w:cs="Times New Roman"/>
          <w:b/>
          <w:color w:val="000000"/>
          <w:sz w:val="24"/>
          <w:szCs w:val="24"/>
        </w:rPr>
        <w:t xml:space="preserve">6. Pedagogical </w:t>
      </w:r>
      <w:r w:rsidR="00C724DC" w:rsidRPr="009E12A3">
        <w:rPr>
          <w:rFonts w:eastAsia="source serif 4" w:cs="Times New Roman"/>
          <w:b/>
          <w:color w:val="000000"/>
          <w:sz w:val="24"/>
          <w:szCs w:val="24"/>
        </w:rPr>
        <w:t>i</w:t>
      </w:r>
      <w:r w:rsidRPr="009E12A3">
        <w:rPr>
          <w:rFonts w:eastAsia="source serif 4" w:cs="Times New Roman"/>
          <w:b/>
          <w:color w:val="000000"/>
          <w:sz w:val="24"/>
          <w:szCs w:val="24"/>
        </w:rPr>
        <w:t>mplications</w:t>
      </w:r>
      <w:bookmarkEnd w:id="25"/>
    </w:p>
    <w:p w14:paraId="0CE5415B" w14:textId="77777777" w:rsidR="00BD5020" w:rsidRDefault="009E12A3" w:rsidP="00BD5020">
      <w:pPr>
        <w:spacing w:after="0" w:line="360" w:lineRule="auto"/>
        <w:ind w:firstLine="720"/>
        <w:jc w:val="both"/>
        <w:rPr>
          <w:rFonts w:eastAsia="source serif 4" w:cs="Times New Roman"/>
          <w:color w:val="000000"/>
          <w:sz w:val="24"/>
          <w:szCs w:val="24"/>
        </w:rPr>
      </w:pPr>
      <w:r w:rsidRPr="009E12A3">
        <w:rPr>
          <w:rFonts w:eastAsia="source serif 4" w:cs="Times New Roman"/>
          <w:color w:val="000000"/>
          <w:sz w:val="24"/>
          <w:szCs w:val="24"/>
        </w:rPr>
        <w:t>These results have some practical implications on how to teach and design curricula in connection with Targeting pronunciation in a systematic way, increasing realistic practice opportunities, moving away from rote learning techniques, creating scaffolding of ESP, enhancing CLIL-based integration, and assessment aligned with communicative usage.</w:t>
      </w:r>
      <w:r w:rsidR="00BD5020">
        <w:rPr>
          <w:rFonts w:eastAsia="source serif 4" w:cs="Times New Roman"/>
          <w:color w:val="000000"/>
          <w:sz w:val="24"/>
          <w:szCs w:val="24"/>
        </w:rPr>
        <w:t xml:space="preserve"> </w:t>
      </w:r>
    </w:p>
    <w:p w14:paraId="209316B7" w14:textId="7FEB9CA4" w:rsidR="009E12A3" w:rsidRPr="009E12A3" w:rsidRDefault="009E12A3" w:rsidP="00BD5020">
      <w:pPr>
        <w:spacing w:after="0" w:line="360" w:lineRule="auto"/>
        <w:ind w:firstLine="720"/>
        <w:jc w:val="both"/>
        <w:rPr>
          <w:rFonts w:eastAsia="source serif 4" w:cs="Times New Roman"/>
          <w:color w:val="000000"/>
          <w:sz w:val="24"/>
          <w:szCs w:val="24"/>
        </w:rPr>
      </w:pPr>
      <w:r w:rsidRPr="009E12A3">
        <w:rPr>
          <w:rFonts w:eastAsia="source serif 4" w:cs="Times New Roman"/>
          <w:color w:val="000000"/>
          <w:sz w:val="24"/>
          <w:szCs w:val="24"/>
        </w:rPr>
        <w:t xml:space="preserve">As far as targeting pronunciation goes, pronunciation is the most highly rated difficulty, so term teaching </w:t>
      </w:r>
      <w:proofErr w:type="gramStart"/>
      <w:r w:rsidRPr="009E12A3">
        <w:rPr>
          <w:rFonts w:eastAsia="source serif 4" w:cs="Times New Roman"/>
          <w:color w:val="000000"/>
          <w:sz w:val="24"/>
          <w:szCs w:val="24"/>
        </w:rPr>
        <w:t>has to</w:t>
      </w:r>
      <w:proofErr w:type="gramEnd"/>
      <w:r w:rsidRPr="009E12A3">
        <w:rPr>
          <w:rFonts w:eastAsia="source serif 4" w:cs="Times New Roman"/>
          <w:color w:val="000000"/>
          <w:sz w:val="24"/>
          <w:szCs w:val="24"/>
        </w:rPr>
        <w:t xml:space="preserve"> include pronouncing terms systematically and not as an addition. It can involve marking syllables, practicing stress, repeated pronunciation, teacher modeling, sound support, and quick oral check-ups. In the field of pharmacy, the ability to pronounce things correctly is not only language skills but also professionalism (Beardsley et al., 2020).</w:t>
      </w:r>
    </w:p>
    <w:p w14:paraId="45DB3170" w14:textId="77777777" w:rsidR="009E12A3" w:rsidRPr="009E12A3" w:rsidRDefault="009E12A3" w:rsidP="009E12A3">
      <w:pPr>
        <w:spacing w:after="0" w:line="360" w:lineRule="auto"/>
        <w:ind w:firstLine="720"/>
        <w:jc w:val="both"/>
        <w:rPr>
          <w:rFonts w:eastAsia="source serif 4" w:cs="Times New Roman"/>
          <w:color w:val="000000"/>
          <w:sz w:val="24"/>
          <w:szCs w:val="24"/>
        </w:rPr>
      </w:pPr>
      <w:bookmarkStart w:id="26" w:name="bm_6_4_develop_scaffolded_esp_support"/>
      <w:r w:rsidRPr="009E12A3">
        <w:rPr>
          <w:rFonts w:eastAsia="source serif 4" w:cs="Times New Roman"/>
          <w:color w:val="000000"/>
          <w:sz w:val="24"/>
          <w:szCs w:val="24"/>
        </w:rPr>
        <w:t xml:space="preserve">Regarding using terms in realistic contexts, the application of terms in practical situations turned out to be the second greatest challenge, thus instructors should create assignments where learners </w:t>
      </w:r>
      <w:proofErr w:type="gramStart"/>
      <w:r w:rsidRPr="009E12A3">
        <w:rPr>
          <w:rFonts w:eastAsia="source serif 4" w:cs="Times New Roman"/>
          <w:color w:val="000000"/>
          <w:sz w:val="24"/>
          <w:szCs w:val="24"/>
        </w:rPr>
        <w:t>have to</w:t>
      </w:r>
      <w:proofErr w:type="gramEnd"/>
      <w:r w:rsidRPr="009E12A3">
        <w:rPr>
          <w:rFonts w:eastAsia="source serif 4" w:cs="Times New Roman"/>
          <w:color w:val="000000"/>
          <w:sz w:val="24"/>
          <w:szCs w:val="24"/>
        </w:rPr>
        <w:t xml:space="preserve"> use the terms in real problem-solving. Discussions of cases, interpreting prescriptions, small role-plays, counselling activities and the interpretation of interactions between medications may be used to bridge the gap between memorization and applying terminology (</w:t>
      </w:r>
      <w:proofErr w:type="spellStart"/>
      <w:r w:rsidRPr="009E12A3">
        <w:rPr>
          <w:rFonts w:eastAsia="source serif 4" w:cs="Times New Roman"/>
          <w:color w:val="000000"/>
          <w:sz w:val="24"/>
          <w:szCs w:val="24"/>
        </w:rPr>
        <w:t>DiPiro</w:t>
      </w:r>
      <w:proofErr w:type="spellEnd"/>
      <w:r w:rsidRPr="009E12A3">
        <w:rPr>
          <w:rFonts w:eastAsia="source serif 4" w:cs="Times New Roman"/>
          <w:color w:val="000000"/>
          <w:sz w:val="24"/>
          <w:szCs w:val="24"/>
        </w:rPr>
        <w:t xml:space="preserve"> et al., 2020; Preston, 2019; Rutter, 2021).</w:t>
      </w:r>
    </w:p>
    <w:p w14:paraId="0504700E" w14:textId="77777777" w:rsidR="009E12A3" w:rsidRPr="009E12A3" w:rsidRDefault="009E12A3" w:rsidP="009E12A3">
      <w:pPr>
        <w:spacing w:after="0" w:line="360" w:lineRule="auto"/>
        <w:ind w:firstLine="720"/>
        <w:jc w:val="both"/>
        <w:rPr>
          <w:rFonts w:eastAsia="source serif 4" w:cs="Times New Roman"/>
          <w:color w:val="000000"/>
          <w:sz w:val="24"/>
          <w:szCs w:val="24"/>
        </w:rPr>
      </w:pPr>
      <w:r w:rsidRPr="009E12A3">
        <w:rPr>
          <w:rFonts w:eastAsia="source serif 4" w:cs="Times New Roman"/>
          <w:color w:val="000000"/>
          <w:sz w:val="24"/>
          <w:szCs w:val="24"/>
        </w:rPr>
        <w:t>To move away from memorization approaches only, the results of interviews and surveys show that memorization-based learning processes still dominate in terminology learning. Even though memorization techniques can be helpful when learning technical vocabulary, it should be combined with other skills such as morphological analysis, contextual usage, practicing retrieving and reusing terminology (</w:t>
      </w:r>
      <w:proofErr w:type="spellStart"/>
      <w:r w:rsidRPr="009E12A3">
        <w:rPr>
          <w:rFonts w:eastAsia="source serif 4" w:cs="Times New Roman"/>
          <w:color w:val="000000"/>
          <w:sz w:val="24"/>
          <w:szCs w:val="24"/>
        </w:rPr>
        <w:t>Chabner</w:t>
      </w:r>
      <w:proofErr w:type="spellEnd"/>
      <w:r w:rsidRPr="009E12A3">
        <w:rPr>
          <w:rFonts w:eastAsia="source serif 4" w:cs="Times New Roman"/>
          <w:color w:val="000000"/>
          <w:sz w:val="24"/>
          <w:szCs w:val="24"/>
        </w:rPr>
        <w:t>, 2023; Duy, 2025).</w:t>
      </w:r>
    </w:p>
    <w:p w14:paraId="164B7ED0" w14:textId="77777777" w:rsidR="009E12A3" w:rsidRPr="009E12A3" w:rsidRDefault="009E12A3" w:rsidP="009E12A3">
      <w:pPr>
        <w:spacing w:after="0" w:line="360" w:lineRule="auto"/>
        <w:ind w:firstLine="720"/>
        <w:jc w:val="both"/>
        <w:rPr>
          <w:rFonts w:eastAsia="source serif 4" w:cs="Times New Roman"/>
          <w:bCs/>
          <w:color w:val="000000"/>
          <w:sz w:val="24"/>
          <w:szCs w:val="24"/>
        </w:rPr>
      </w:pPr>
      <w:bookmarkStart w:id="27" w:name="bm_7_conclusion"/>
      <w:bookmarkEnd w:id="26"/>
      <w:r w:rsidRPr="009E12A3">
        <w:rPr>
          <w:rFonts w:eastAsia="source serif 4" w:cs="Times New Roman"/>
          <w:bCs/>
          <w:color w:val="000000"/>
          <w:sz w:val="24"/>
          <w:szCs w:val="24"/>
        </w:rPr>
        <w:t>To provide scaffolding of ESP, the development of the English for Pharmacy module or ESP strand can bring together repeating terms of pharmacology, pharmaceutics, clinical pharmacy, and professional communication in internships. The development of ESP should involve recognition, controlled practice, and performance of simulations in professional practice (Babar, 2015; Beardsley et al., 2020).</w:t>
      </w:r>
    </w:p>
    <w:p w14:paraId="694CAE1A" w14:textId="77777777" w:rsidR="009E12A3" w:rsidRPr="009E12A3" w:rsidRDefault="009E12A3" w:rsidP="009E12A3">
      <w:pPr>
        <w:spacing w:after="0" w:line="360" w:lineRule="auto"/>
        <w:ind w:firstLine="720"/>
        <w:jc w:val="both"/>
        <w:rPr>
          <w:rFonts w:eastAsia="source serif 4" w:cs="Times New Roman"/>
          <w:bCs/>
          <w:color w:val="000000"/>
          <w:sz w:val="24"/>
          <w:szCs w:val="24"/>
        </w:rPr>
      </w:pPr>
      <w:r w:rsidRPr="009E12A3">
        <w:rPr>
          <w:rFonts w:eastAsia="source serif 4" w:cs="Times New Roman"/>
          <w:bCs/>
          <w:color w:val="000000"/>
          <w:sz w:val="24"/>
          <w:szCs w:val="24"/>
        </w:rPr>
        <w:t xml:space="preserve">For promoting CLIL-based integration, the high frequency of terminology in internships and observations demonstrates that terminology gets meaning only in contextually enriched environment. In this regard, CLIL-based teaching might be helpful in working with pharmaceutical notions and language at once. Subject lecturers might incorporate bilingual glossaries, </w:t>
      </w:r>
      <w:r w:rsidRPr="009E12A3">
        <w:rPr>
          <w:rFonts w:eastAsia="source serif 4" w:cs="Times New Roman"/>
          <w:bCs/>
          <w:color w:val="000000"/>
          <w:sz w:val="24"/>
          <w:szCs w:val="24"/>
        </w:rPr>
        <w:lastRenderedPageBreak/>
        <w:t>terminological case tasks, and content-based tasks in English into specialized subjects (Allen &amp; McPherson, 2023; Mahato &amp; Narang, 2018).</w:t>
      </w:r>
    </w:p>
    <w:p w14:paraId="3DC012A8" w14:textId="77777777" w:rsidR="009E12A3" w:rsidRPr="009E12A3" w:rsidRDefault="009E12A3" w:rsidP="009E12A3">
      <w:pPr>
        <w:spacing w:after="0" w:line="360" w:lineRule="auto"/>
        <w:ind w:firstLine="720"/>
        <w:jc w:val="both"/>
        <w:rPr>
          <w:rFonts w:eastAsia="source serif 4" w:cs="Times New Roman"/>
          <w:bCs/>
          <w:color w:val="000000"/>
          <w:sz w:val="24"/>
          <w:szCs w:val="24"/>
        </w:rPr>
      </w:pPr>
      <w:r w:rsidRPr="009E12A3">
        <w:rPr>
          <w:rFonts w:eastAsia="source serif 4" w:cs="Times New Roman"/>
          <w:bCs/>
          <w:color w:val="000000"/>
          <w:sz w:val="24"/>
          <w:szCs w:val="24"/>
        </w:rPr>
        <w:t>In terms of assessment alignment with communicative practice, the assessment is focused mainly on the recall of terms, and students will continue treating terminology learning as the memorization process. At the same time, if the assessment will include explanation, oral reporting, case interpretation, and reformulation of information in patient-friendly language, students might start using terminology productively (Babar, 2015; Beardsley et al., 2020).</w:t>
      </w:r>
    </w:p>
    <w:p w14:paraId="0C989080"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b/>
          <w:color w:val="000000"/>
          <w:sz w:val="24"/>
          <w:szCs w:val="24"/>
        </w:rPr>
        <w:t>7. Conclusion</w:t>
      </w:r>
      <w:bookmarkEnd w:id="27"/>
    </w:p>
    <w:p w14:paraId="53EC2D54" w14:textId="77777777" w:rsidR="009E12A3" w:rsidRPr="009E12A3" w:rsidRDefault="009E12A3" w:rsidP="009E12A3">
      <w:pPr>
        <w:spacing w:after="0" w:line="360" w:lineRule="auto"/>
        <w:jc w:val="both"/>
        <w:rPr>
          <w:rFonts w:eastAsia="source serif 4" w:cs="Times New Roman"/>
          <w:color w:val="000000"/>
          <w:sz w:val="24"/>
          <w:szCs w:val="24"/>
        </w:rPr>
      </w:pPr>
      <w:bookmarkStart w:id="28" w:name="bm_8_limitations"/>
      <w:r w:rsidRPr="009E12A3">
        <w:rPr>
          <w:rFonts w:eastAsia="source serif 4" w:cs="Times New Roman"/>
          <w:color w:val="000000"/>
          <w:sz w:val="24"/>
          <w:szCs w:val="24"/>
        </w:rPr>
        <w:t xml:space="preserve">From this research, </w:t>
      </w:r>
      <w:proofErr w:type="gramStart"/>
      <w:r w:rsidRPr="009E12A3">
        <w:rPr>
          <w:rFonts w:eastAsia="source serif 4" w:cs="Times New Roman"/>
          <w:color w:val="000000"/>
          <w:sz w:val="24"/>
          <w:szCs w:val="24"/>
        </w:rPr>
        <w:t>it can be seen that the</w:t>
      </w:r>
      <w:proofErr w:type="gramEnd"/>
      <w:r w:rsidRPr="009E12A3">
        <w:rPr>
          <w:rFonts w:eastAsia="source serif 4" w:cs="Times New Roman"/>
          <w:color w:val="000000"/>
          <w:sz w:val="24"/>
          <w:szCs w:val="24"/>
        </w:rPr>
        <w:t xml:space="preserve"> knowledge of the English terminology related to pharmaceuticals is an important component of the pharmacy curriculum at LHU; however, the problem of difficulties in comprehending, remembering, pronouncing, and using specialized terminology remains serious.</w:t>
      </w:r>
    </w:p>
    <w:p w14:paraId="2693DD83" w14:textId="77777777" w:rsidR="009E12A3" w:rsidRPr="009E12A3" w:rsidRDefault="009E12A3" w:rsidP="009E12A3">
      <w:pPr>
        <w:spacing w:after="0" w:line="360" w:lineRule="auto"/>
        <w:jc w:val="both"/>
        <w:rPr>
          <w:rFonts w:eastAsia="source serif 4" w:cs="Times New Roman"/>
          <w:b/>
          <w:bCs/>
          <w:color w:val="000000"/>
          <w:sz w:val="24"/>
          <w:szCs w:val="24"/>
        </w:rPr>
      </w:pPr>
      <w:r w:rsidRPr="009E12A3">
        <w:rPr>
          <w:rFonts w:eastAsia="source serif 4" w:cs="Times New Roman"/>
          <w:b/>
          <w:bCs/>
          <w:color w:val="000000"/>
          <w:sz w:val="24"/>
          <w:szCs w:val="24"/>
        </w:rPr>
        <w:t>7.1 Summary of the main findings</w:t>
      </w:r>
    </w:p>
    <w:p w14:paraId="11A5B6F2" w14:textId="77777777" w:rsidR="009E12A3" w:rsidRPr="009E12A3" w:rsidRDefault="009E12A3" w:rsidP="009E12A3">
      <w:pPr>
        <w:spacing w:after="0" w:line="360" w:lineRule="auto"/>
        <w:jc w:val="both"/>
        <w:rPr>
          <w:rFonts w:eastAsia="source serif 4" w:cs="Times New Roman"/>
          <w:color w:val="000000"/>
          <w:sz w:val="24"/>
          <w:szCs w:val="24"/>
        </w:rPr>
      </w:pPr>
      <w:r w:rsidRPr="009E12A3">
        <w:rPr>
          <w:rFonts w:eastAsia="source serif 4" w:cs="Times New Roman"/>
          <w:color w:val="000000"/>
          <w:sz w:val="24"/>
          <w:szCs w:val="24"/>
        </w:rPr>
        <w:t xml:space="preserve">Moreover, it is evident from the findings that the pronunciation, application, and memorization of specialized terms are the biggest obstacles. It must also be noted that the expected year-level effect was not revealed statistically in the current dataset. Consequently, it can be argued that the </w:t>
      </w:r>
      <w:proofErr w:type="gramStart"/>
      <w:r w:rsidRPr="009E12A3">
        <w:rPr>
          <w:rFonts w:eastAsia="source serif 4" w:cs="Times New Roman"/>
          <w:color w:val="000000"/>
          <w:sz w:val="24"/>
          <w:szCs w:val="24"/>
        </w:rPr>
        <w:t>proposed paradigm</w:t>
      </w:r>
      <w:proofErr w:type="gramEnd"/>
      <w:r w:rsidRPr="009E12A3">
        <w:rPr>
          <w:rFonts w:eastAsia="source serif 4" w:cs="Times New Roman"/>
          <w:color w:val="000000"/>
          <w:sz w:val="24"/>
          <w:szCs w:val="24"/>
        </w:rPr>
        <w:t xml:space="preserve"> shift towards more practical instruction of terminology is justified. In particular, the following methods seem especially relevant: pronunciation assistance, case approach, scaffolding of ESP, CLIL, assessment.</w:t>
      </w:r>
    </w:p>
    <w:p w14:paraId="1D6818EA"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b/>
          <w:color w:val="000000"/>
          <w:sz w:val="24"/>
          <w:szCs w:val="24"/>
        </w:rPr>
        <w:t>7.2 Limitations</w:t>
      </w:r>
      <w:bookmarkEnd w:id="28"/>
    </w:p>
    <w:p w14:paraId="3D9088EC"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t>The following are some of the limitations that need to be taken into consideration. The first is that the study was undertaken within one organization only, hence limiting its generalizability. The second is that the study results are based on self-report data rather than performance measurement. The third is that the sample used for interviews was quite small and should not be considered as representative but as an illustration. The fourth is the lack of reliability of the questionnaire. In other words, the reliability of the questionnaire was quite low. Therefore, the survey can only be viewed as a descriptive instrument rather than as a scale.</w:t>
      </w:r>
    </w:p>
    <w:p w14:paraId="6CE19D40" w14:textId="36C5BF17" w:rsidR="009E12A3" w:rsidRPr="009E12A3" w:rsidRDefault="009E12A3" w:rsidP="009E12A3">
      <w:pPr>
        <w:spacing w:after="0" w:line="360" w:lineRule="auto"/>
        <w:jc w:val="both"/>
        <w:rPr>
          <w:rFonts w:eastAsia="Aptos" w:cs="Times New Roman"/>
          <w:sz w:val="24"/>
          <w:szCs w:val="24"/>
        </w:rPr>
      </w:pPr>
      <w:bookmarkStart w:id="29" w:name="bm_9_future_research"/>
      <w:r w:rsidRPr="009E12A3">
        <w:rPr>
          <w:rFonts w:eastAsia="source serif 4" w:cs="Times New Roman"/>
          <w:b/>
          <w:color w:val="000000"/>
          <w:sz w:val="24"/>
          <w:szCs w:val="24"/>
        </w:rPr>
        <w:t xml:space="preserve">7.3 Future </w:t>
      </w:r>
      <w:r w:rsidR="00C724DC" w:rsidRPr="009E12A3">
        <w:rPr>
          <w:rFonts w:eastAsia="source serif 4" w:cs="Times New Roman"/>
          <w:b/>
          <w:color w:val="000000"/>
          <w:sz w:val="24"/>
          <w:szCs w:val="24"/>
        </w:rPr>
        <w:t>r</w:t>
      </w:r>
      <w:r w:rsidRPr="009E12A3">
        <w:rPr>
          <w:rFonts w:eastAsia="source serif 4" w:cs="Times New Roman"/>
          <w:b/>
          <w:color w:val="000000"/>
          <w:sz w:val="24"/>
          <w:szCs w:val="24"/>
        </w:rPr>
        <w:t>esearch</w:t>
      </w:r>
      <w:bookmarkEnd w:id="29"/>
    </w:p>
    <w:p w14:paraId="265A8016" w14:textId="77777777" w:rsidR="009E12A3" w:rsidRPr="009E12A3" w:rsidRDefault="009E12A3" w:rsidP="009E12A3">
      <w:pPr>
        <w:spacing w:after="0" w:line="360" w:lineRule="auto"/>
        <w:jc w:val="both"/>
        <w:rPr>
          <w:rFonts w:eastAsia="Aptos" w:cs="Times New Roman"/>
          <w:sz w:val="24"/>
          <w:szCs w:val="24"/>
        </w:rPr>
      </w:pPr>
      <w:r w:rsidRPr="009E12A3">
        <w:rPr>
          <w:rFonts w:eastAsia="source serif 4" w:cs="Times New Roman"/>
          <w:color w:val="000000"/>
          <w:sz w:val="24"/>
          <w:szCs w:val="24"/>
        </w:rPr>
        <w:t xml:space="preserve">The studies should consider expanding the investigation to multiple settings and comparing programs with various degrees of English integration. The studies should also incorporate quantitative data on terminological competence, which may take the form of vocabulary tests, pronunciation tests, role-playing exercises, or other performance measures. An experimental study </w:t>
      </w:r>
      <w:r w:rsidRPr="009E12A3">
        <w:rPr>
          <w:rFonts w:eastAsia="source serif 4" w:cs="Times New Roman"/>
          <w:color w:val="000000"/>
          <w:sz w:val="24"/>
          <w:szCs w:val="24"/>
        </w:rPr>
        <w:lastRenderedPageBreak/>
        <w:t>or a quasi-experimental study will be particularly relevant when testing the impact of ESP modules, CLIL-inspired integration, case-based learning, and simulation training on the usage of terminological units (Babar, 2015; Bonsell, 2024). The subsequent studies will need to reconsider and validate the questionnaire used. Through item revision, piloting, and factor analysis, the researchers will be able to ascertain whether terminology exposure, terminology understanding, difficulty of terminological units, and support needs should be considered separate dimensions.</w:t>
      </w:r>
    </w:p>
    <w:p w14:paraId="78F08BC1" w14:textId="77777777" w:rsidR="009E12A3" w:rsidRPr="009E12A3" w:rsidRDefault="009E12A3" w:rsidP="009E12A3">
      <w:pPr>
        <w:spacing w:after="0" w:line="360" w:lineRule="auto"/>
        <w:rPr>
          <w:rFonts w:eastAsia="Aptos" w:cs="Times New Roman"/>
          <w:sz w:val="24"/>
          <w:szCs w:val="24"/>
        </w:rPr>
      </w:pPr>
      <w:bookmarkStart w:id="30" w:name="references"/>
      <w:r w:rsidRPr="009E12A3">
        <w:rPr>
          <w:rFonts w:eastAsia="source serif 4" w:cs="Times New Roman"/>
          <w:b/>
          <w:color w:val="000000"/>
          <w:sz w:val="24"/>
          <w:szCs w:val="24"/>
        </w:rPr>
        <w:t>References</w:t>
      </w:r>
      <w:bookmarkEnd w:id="30"/>
    </w:p>
    <w:p w14:paraId="3F2E5B0E" w14:textId="77777777" w:rsidR="009E12A3" w:rsidRPr="004D1863" w:rsidRDefault="009E12A3" w:rsidP="009E12A3">
      <w:pPr>
        <w:numPr>
          <w:ilvl w:val="0"/>
          <w:numId w:val="2"/>
        </w:numPr>
        <w:spacing w:before="105" w:after="105" w:line="360" w:lineRule="auto"/>
        <w:rPr>
          <w:rFonts w:eastAsia="Aptos" w:cs="Times New Roman"/>
          <w:sz w:val="24"/>
          <w:szCs w:val="24"/>
        </w:rPr>
      </w:pPr>
      <w:r w:rsidRPr="004D1863">
        <w:rPr>
          <w:rFonts w:eastAsia="source serif 4" w:cs="Times New Roman"/>
          <w:color w:val="000000"/>
          <w:sz w:val="24"/>
          <w:szCs w:val="24"/>
        </w:rPr>
        <w:t xml:space="preserve">Allen, L. V., &amp; McPherson, T. B. (2023). </w:t>
      </w:r>
      <w:r w:rsidRPr="004D1863">
        <w:rPr>
          <w:rFonts w:eastAsia="source serif 4" w:cs="Times New Roman"/>
          <w:i/>
          <w:color w:val="000000"/>
          <w:sz w:val="24"/>
          <w:szCs w:val="24"/>
        </w:rPr>
        <w:t>Ansel's pharmaceutical dosage forms and drug delivery systems</w:t>
      </w:r>
      <w:r w:rsidRPr="004D1863">
        <w:rPr>
          <w:rFonts w:eastAsia="source serif 4" w:cs="Times New Roman"/>
          <w:color w:val="000000"/>
          <w:sz w:val="24"/>
          <w:szCs w:val="24"/>
        </w:rPr>
        <w:t xml:space="preserve"> (10th ed.). Wolters Kluwer.</w:t>
      </w:r>
    </w:p>
    <w:p w14:paraId="7068104F" w14:textId="77777777" w:rsidR="009E12A3" w:rsidRPr="004D1863" w:rsidRDefault="009E12A3" w:rsidP="009E12A3">
      <w:pPr>
        <w:numPr>
          <w:ilvl w:val="0"/>
          <w:numId w:val="2"/>
        </w:numPr>
        <w:spacing w:before="105" w:after="105" w:line="360" w:lineRule="auto"/>
        <w:rPr>
          <w:rFonts w:eastAsia="Aptos" w:cs="Times New Roman"/>
          <w:sz w:val="24"/>
          <w:szCs w:val="24"/>
        </w:rPr>
      </w:pPr>
      <w:r w:rsidRPr="004D1863">
        <w:rPr>
          <w:rFonts w:eastAsia="source serif 4" w:cs="Times New Roman"/>
          <w:color w:val="000000"/>
          <w:sz w:val="24"/>
          <w:szCs w:val="24"/>
        </w:rPr>
        <w:t xml:space="preserve">Arnold, R. J. G. (2020). </w:t>
      </w:r>
      <w:r w:rsidRPr="004D1863">
        <w:rPr>
          <w:rFonts w:eastAsia="source serif 4" w:cs="Times New Roman"/>
          <w:i/>
          <w:color w:val="000000"/>
          <w:sz w:val="24"/>
          <w:szCs w:val="24"/>
        </w:rPr>
        <w:t>Pharmacoeconomics: From theory to practice</w:t>
      </w:r>
      <w:r w:rsidRPr="004D1863">
        <w:rPr>
          <w:rFonts w:eastAsia="source serif 4" w:cs="Times New Roman"/>
          <w:color w:val="000000"/>
          <w:sz w:val="24"/>
          <w:szCs w:val="24"/>
        </w:rPr>
        <w:t xml:space="preserve"> (2nd ed.). CRC Press.</w:t>
      </w:r>
    </w:p>
    <w:p w14:paraId="634699F0" w14:textId="77777777" w:rsidR="009E12A3" w:rsidRPr="004D1863" w:rsidRDefault="009E12A3" w:rsidP="009E12A3">
      <w:pPr>
        <w:numPr>
          <w:ilvl w:val="0"/>
          <w:numId w:val="2"/>
        </w:numPr>
        <w:spacing w:before="105" w:after="105" w:line="360" w:lineRule="auto"/>
        <w:rPr>
          <w:rFonts w:eastAsia="Aptos" w:cs="Times New Roman"/>
          <w:sz w:val="24"/>
          <w:szCs w:val="24"/>
        </w:rPr>
      </w:pPr>
      <w:r w:rsidRPr="004D1863">
        <w:rPr>
          <w:rFonts w:eastAsia="source serif 4" w:cs="Times New Roman"/>
          <w:color w:val="000000"/>
          <w:sz w:val="24"/>
          <w:szCs w:val="24"/>
        </w:rPr>
        <w:t xml:space="preserve">Aulton, M. E., &amp; Taylor, K. M. G. (2022). </w:t>
      </w:r>
      <w:r w:rsidRPr="004D1863">
        <w:rPr>
          <w:rFonts w:eastAsia="source serif 4" w:cs="Times New Roman"/>
          <w:i/>
          <w:color w:val="000000"/>
          <w:sz w:val="24"/>
          <w:szCs w:val="24"/>
        </w:rPr>
        <w:t>Aulton's pharmaceutics: The design and manufacture of medicines</w:t>
      </w:r>
      <w:r w:rsidRPr="004D1863">
        <w:rPr>
          <w:rFonts w:eastAsia="source serif 4" w:cs="Times New Roman"/>
          <w:color w:val="000000"/>
          <w:sz w:val="24"/>
          <w:szCs w:val="24"/>
        </w:rPr>
        <w:t xml:space="preserve"> (9th ed.). Elsevier.</w:t>
      </w:r>
    </w:p>
    <w:p w14:paraId="268C741D" w14:textId="77777777" w:rsidR="009E12A3" w:rsidRPr="004D1863" w:rsidRDefault="009E12A3" w:rsidP="009E12A3">
      <w:pPr>
        <w:numPr>
          <w:ilvl w:val="0"/>
          <w:numId w:val="2"/>
        </w:numPr>
        <w:spacing w:before="105" w:after="105" w:line="360" w:lineRule="auto"/>
        <w:rPr>
          <w:rFonts w:eastAsia="Aptos" w:cs="Times New Roman"/>
          <w:sz w:val="24"/>
          <w:szCs w:val="24"/>
        </w:rPr>
      </w:pPr>
      <w:r w:rsidRPr="004D1863">
        <w:rPr>
          <w:rFonts w:eastAsia="source serif 4" w:cs="Times New Roman"/>
          <w:color w:val="000000"/>
          <w:sz w:val="24"/>
          <w:szCs w:val="24"/>
        </w:rPr>
        <w:t xml:space="preserve">Babar, Z. U. (2015). </w:t>
      </w:r>
      <w:r w:rsidRPr="004D1863">
        <w:rPr>
          <w:rFonts w:eastAsia="source serif 4" w:cs="Times New Roman"/>
          <w:i/>
          <w:color w:val="000000"/>
          <w:sz w:val="24"/>
          <w:szCs w:val="24"/>
        </w:rPr>
        <w:t>Pharmacy practice research methods</w:t>
      </w:r>
      <w:r w:rsidRPr="004D1863">
        <w:rPr>
          <w:rFonts w:eastAsia="source serif 4" w:cs="Times New Roman"/>
          <w:color w:val="000000"/>
          <w:sz w:val="24"/>
          <w:szCs w:val="24"/>
        </w:rPr>
        <w:t>. Springer.</w:t>
      </w:r>
    </w:p>
    <w:p w14:paraId="754F53E6" w14:textId="77777777" w:rsidR="009E12A3" w:rsidRPr="004D1863" w:rsidRDefault="009E12A3" w:rsidP="009E12A3">
      <w:pPr>
        <w:numPr>
          <w:ilvl w:val="0"/>
          <w:numId w:val="2"/>
        </w:numPr>
        <w:spacing w:before="105" w:after="105" w:line="360" w:lineRule="auto"/>
        <w:rPr>
          <w:rFonts w:eastAsia="Aptos" w:cs="Times New Roman"/>
          <w:sz w:val="24"/>
          <w:szCs w:val="24"/>
        </w:rPr>
      </w:pPr>
      <w:r w:rsidRPr="004D1863">
        <w:rPr>
          <w:rFonts w:eastAsia="source serif 4" w:cs="Times New Roman"/>
          <w:color w:val="000000"/>
          <w:sz w:val="24"/>
          <w:szCs w:val="24"/>
        </w:rPr>
        <w:t xml:space="preserve">Beardsley, R. S., Skelton, M. Z., &amp; Kimberlin, C. L. (2020). </w:t>
      </w:r>
      <w:r w:rsidRPr="004D1863">
        <w:rPr>
          <w:rFonts w:eastAsia="source serif 4" w:cs="Times New Roman"/>
          <w:i/>
          <w:color w:val="000000"/>
          <w:sz w:val="24"/>
          <w:szCs w:val="24"/>
        </w:rPr>
        <w:t>Communication skills in pharmacy practice: A practical guide for students and practitioners</w:t>
      </w:r>
      <w:r w:rsidRPr="004D1863">
        <w:rPr>
          <w:rFonts w:eastAsia="source serif 4" w:cs="Times New Roman"/>
          <w:color w:val="000000"/>
          <w:sz w:val="24"/>
          <w:szCs w:val="24"/>
        </w:rPr>
        <w:t xml:space="preserve"> (7th ed.). Wolters Kluwer.</w:t>
      </w:r>
    </w:p>
    <w:p w14:paraId="7F5296D0" w14:textId="77777777" w:rsidR="009E12A3" w:rsidRPr="004D1863" w:rsidRDefault="009E12A3" w:rsidP="009E12A3">
      <w:pPr>
        <w:numPr>
          <w:ilvl w:val="0"/>
          <w:numId w:val="2"/>
        </w:numPr>
        <w:spacing w:before="105" w:after="105" w:line="360" w:lineRule="auto"/>
        <w:rPr>
          <w:rFonts w:eastAsia="Aptos" w:cs="Times New Roman"/>
          <w:sz w:val="24"/>
          <w:szCs w:val="24"/>
        </w:rPr>
      </w:pPr>
      <w:r w:rsidRPr="004D1863">
        <w:rPr>
          <w:rFonts w:eastAsia="source serif 4" w:cs="Times New Roman"/>
          <w:color w:val="000000"/>
          <w:sz w:val="24"/>
          <w:szCs w:val="24"/>
        </w:rPr>
        <w:t xml:space="preserve">Bonsell, R. (2024). </w:t>
      </w:r>
      <w:r w:rsidRPr="004D1863">
        <w:rPr>
          <w:rFonts w:eastAsia="source serif 4" w:cs="Times New Roman"/>
          <w:i/>
          <w:color w:val="000000"/>
          <w:sz w:val="24"/>
          <w:szCs w:val="24"/>
        </w:rPr>
        <w:t>Pharmacy technician certification exam: Practice question workbook</w:t>
      </w:r>
      <w:r w:rsidRPr="004D1863">
        <w:rPr>
          <w:rFonts w:eastAsia="source serif 4" w:cs="Times New Roman"/>
          <w:color w:val="000000"/>
          <w:sz w:val="24"/>
          <w:szCs w:val="24"/>
        </w:rPr>
        <w:t>. Coventry House Publishing.</w:t>
      </w:r>
    </w:p>
    <w:p w14:paraId="1E7097EF" w14:textId="77777777" w:rsidR="009E12A3" w:rsidRPr="004D1863" w:rsidRDefault="009E12A3" w:rsidP="009E12A3">
      <w:pPr>
        <w:numPr>
          <w:ilvl w:val="0"/>
          <w:numId w:val="2"/>
        </w:numPr>
        <w:spacing w:before="105" w:after="105" w:line="360" w:lineRule="auto"/>
        <w:rPr>
          <w:rFonts w:eastAsia="Aptos" w:cs="Times New Roman"/>
          <w:sz w:val="24"/>
          <w:szCs w:val="24"/>
        </w:rPr>
      </w:pPr>
      <w:proofErr w:type="spellStart"/>
      <w:r w:rsidRPr="004D1863">
        <w:rPr>
          <w:rFonts w:eastAsia="source serif 4" w:cs="Times New Roman"/>
          <w:color w:val="000000"/>
          <w:sz w:val="24"/>
          <w:szCs w:val="24"/>
        </w:rPr>
        <w:t>Chabner</w:t>
      </w:r>
      <w:proofErr w:type="spellEnd"/>
      <w:r w:rsidRPr="004D1863">
        <w:rPr>
          <w:rFonts w:eastAsia="source serif 4" w:cs="Times New Roman"/>
          <w:color w:val="000000"/>
          <w:sz w:val="24"/>
          <w:szCs w:val="24"/>
        </w:rPr>
        <w:t xml:space="preserve">, D.-E. (2023). </w:t>
      </w:r>
      <w:r w:rsidRPr="004D1863">
        <w:rPr>
          <w:rFonts w:eastAsia="source serif 4" w:cs="Times New Roman"/>
          <w:i/>
          <w:color w:val="000000"/>
          <w:sz w:val="24"/>
          <w:szCs w:val="24"/>
        </w:rPr>
        <w:t>Medical terminology: A short course</w:t>
      </w:r>
      <w:r w:rsidRPr="004D1863">
        <w:rPr>
          <w:rFonts w:eastAsia="source serif 4" w:cs="Times New Roman"/>
          <w:color w:val="000000"/>
          <w:sz w:val="24"/>
          <w:szCs w:val="24"/>
        </w:rPr>
        <w:t xml:space="preserve"> (9th ed.). Elsevier.</w:t>
      </w:r>
    </w:p>
    <w:p w14:paraId="608174BA" w14:textId="77777777" w:rsidR="009E12A3" w:rsidRPr="004D1863" w:rsidRDefault="009E12A3" w:rsidP="009E12A3">
      <w:pPr>
        <w:numPr>
          <w:ilvl w:val="0"/>
          <w:numId w:val="2"/>
        </w:numPr>
        <w:spacing w:before="105" w:after="105" w:line="360" w:lineRule="auto"/>
        <w:rPr>
          <w:rFonts w:eastAsia="Aptos" w:cs="Times New Roman"/>
          <w:sz w:val="24"/>
          <w:szCs w:val="24"/>
        </w:rPr>
      </w:pPr>
      <w:proofErr w:type="spellStart"/>
      <w:r w:rsidRPr="004D1863">
        <w:rPr>
          <w:rFonts w:eastAsia="source serif 4" w:cs="Times New Roman"/>
          <w:color w:val="000000"/>
          <w:sz w:val="24"/>
          <w:szCs w:val="24"/>
        </w:rPr>
        <w:t>DiPiro</w:t>
      </w:r>
      <w:proofErr w:type="spellEnd"/>
      <w:r w:rsidRPr="004D1863">
        <w:rPr>
          <w:rFonts w:eastAsia="source serif 4" w:cs="Times New Roman"/>
          <w:color w:val="000000"/>
          <w:sz w:val="24"/>
          <w:szCs w:val="24"/>
        </w:rPr>
        <w:t xml:space="preserve">, J. T., Yee, G. C., Posey, L. M., et al. (2020). </w:t>
      </w:r>
      <w:r w:rsidRPr="004D1863">
        <w:rPr>
          <w:rFonts w:eastAsia="source serif 4" w:cs="Times New Roman"/>
          <w:i/>
          <w:color w:val="000000"/>
          <w:sz w:val="24"/>
          <w:szCs w:val="24"/>
        </w:rPr>
        <w:t>Pharmacotherapy: A pathophysiologic approach</w:t>
      </w:r>
      <w:r w:rsidRPr="004D1863">
        <w:rPr>
          <w:rFonts w:eastAsia="source serif 4" w:cs="Times New Roman"/>
          <w:color w:val="000000"/>
          <w:sz w:val="24"/>
          <w:szCs w:val="24"/>
        </w:rPr>
        <w:t xml:space="preserve"> (11th ed.). McGraw-Hill.</w:t>
      </w:r>
    </w:p>
    <w:p w14:paraId="6167F9A8" w14:textId="77777777" w:rsidR="009E12A3" w:rsidRPr="004D1863" w:rsidRDefault="009E12A3" w:rsidP="009E12A3">
      <w:pPr>
        <w:numPr>
          <w:ilvl w:val="0"/>
          <w:numId w:val="2"/>
        </w:numPr>
        <w:spacing w:before="105" w:after="105" w:line="360" w:lineRule="auto"/>
        <w:rPr>
          <w:rFonts w:eastAsia="Aptos" w:cs="Times New Roman"/>
          <w:sz w:val="24"/>
          <w:szCs w:val="24"/>
        </w:rPr>
      </w:pPr>
      <w:r w:rsidRPr="004D1863">
        <w:rPr>
          <w:rFonts w:eastAsia="source serif 4" w:cs="Times New Roman"/>
          <w:color w:val="000000"/>
          <w:sz w:val="24"/>
          <w:szCs w:val="24"/>
        </w:rPr>
        <w:t xml:space="preserve">Duy, N. T. (2025). </w:t>
      </w:r>
      <w:r w:rsidRPr="004D1863">
        <w:rPr>
          <w:rFonts w:eastAsia="source serif 4" w:cs="Times New Roman"/>
          <w:i/>
          <w:color w:val="000000"/>
          <w:sz w:val="24"/>
          <w:szCs w:val="24"/>
        </w:rPr>
        <w:t>Medical terminology</w:t>
      </w:r>
      <w:r w:rsidRPr="004D1863">
        <w:rPr>
          <w:rFonts w:eastAsia="source serif 4" w:cs="Times New Roman"/>
          <w:color w:val="000000"/>
          <w:sz w:val="24"/>
          <w:szCs w:val="24"/>
        </w:rPr>
        <w:t xml:space="preserve"> [in Vietnamese]. Women's Publishing House.</w:t>
      </w:r>
    </w:p>
    <w:p w14:paraId="6CE1860F" w14:textId="77777777" w:rsidR="009E12A3" w:rsidRPr="004D1863" w:rsidRDefault="009E12A3" w:rsidP="009E12A3">
      <w:pPr>
        <w:numPr>
          <w:ilvl w:val="0"/>
          <w:numId w:val="2"/>
        </w:numPr>
        <w:spacing w:before="105" w:after="105" w:line="360" w:lineRule="auto"/>
        <w:rPr>
          <w:rFonts w:eastAsia="Aptos" w:cs="Times New Roman"/>
          <w:sz w:val="24"/>
          <w:szCs w:val="24"/>
        </w:rPr>
      </w:pPr>
      <w:r w:rsidRPr="004D1863">
        <w:rPr>
          <w:rFonts w:eastAsia="source serif 4" w:cs="Times New Roman"/>
          <w:color w:val="000000"/>
          <w:sz w:val="24"/>
          <w:szCs w:val="24"/>
        </w:rPr>
        <w:t xml:space="preserve">Faculty of Pharmacy, Lac Hong University. (2020). </w:t>
      </w:r>
      <w:r w:rsidRPr="004D1863">
        <w:rPr>
          <w:rFonts w:eastAsia="source serif 4" w:cs="Times New Roman"/>
          <w:i/>
          <w:color w:val="000000"/>
          <w:sz w:val="24"/>
          <w:szCs w:val="24"/>
        </w:rPr>
        <w:t>Faculty profile</w:t>
      </w:r>
      <w:r w:rsidRPr="004D1863">
        <w:rPr>
          <w:rFonts w:eastAsia="source serif 4" w:cs="Times New Roman"/>
          <w:color w:val="000000"/>
          <w:sz w:val="24"/>
          <w:szCs w:val="24"/>
        </w:rPr>
        <w:t>.</w:t>
      </w:r>
    </w:p>
    <w:p w14:paraId="22E0DA19" w14:textId="77777777" w:rsidR="009E12A3" w:rsidRPr="004D1863" w:rsidRDefault="009E12A3" w:rsidP="009E12A3">
      <w:pPr>
        <w:numPr>
          <w:ilvl w:val="0"/>
          <w:numId w:val="2"/>
        </w:numPr>
        <w:spacing w:before="105" w:after="105" w:line="360" w:lineRule="auto"/>
        <w:rPr>
          <w:rFonts w:eastAsia="Aptos" w:cs="Times New Roman"/>
          <w:sz w:val="24"/>
          <w:szCs w:val="24"/>
        </w:rPr>
      </w:pPr>
      <w:r w:rsidRPr="004D1863">
        <w:rPr>
          <w:rFonts w:eastAsia="source serif 4" w:cs="Times New Roman"/>
          <w:color w:val="000000"/>
          <w:sz w:val="24"/>
          <w:szCs w:val="24"/>
          <w:lang w:val="pt-BR"/>
        </w:rPr>
        <w:t xml:space="preserve">Mahato, R. I., &amp; Narang, A. S. (2018). </w:t>
      </w:r>
      <w:r w:rsidRPr="004D1863">
        <w:rPr>
          <w:rFonts w:eastAsia="source serif 4" w:cs="Times New Roman"/>
          <w:i/>
          <w:color w:val="000000"/>
          <w:sz w:val="24"/>
          <w:szCs w:val="24"/>
        </w:rPr>
        <w:t>Pharmaceutical dosage forms and drug delivery</w:t>
      </w:r>
      <w:r w:rsidRPr="004D1863">
        <w:rPr>
          <w:rFonts w:eastAsia="source serif 4" w:cs="Times New Roman"/>
          <w:color w:val="000000"/>
          <w:sz w:val="24"/>
          <w:szCs w:val="24"/>
        </w:rPr>
        <w:t xml:space="preserve"> (3rd ed.). CRC Press.</w:t>
      </w:r>
    </w:p>
    <w:p w14:paraId="271BB33F" w14:textId="77777777" w:rsidR="009E12A3" w:rsidRPr="004D1863" w:rsidRDefault="009E12A3" w:rsidP="009E12A3">
      <w:pPr>
        <w:numPr>
          <w:ilvl w:val="0"/>
          <w:numId w:val="2"/>
        </w:numPr>
        <w:spacing w:before="105" w:after="105" w:line="360" w:lineRule="auto"/>
        <w:rPr>
          <w:rFonts w:eastAsia="Aptos" w:cs="Times New Roman"/>
          <w:sz w:val="24"/>
          <w:szCs w:val="24"/>
        </w:rPr>
      </w:pPr>
      <w:r w:rsidRPr="004D1863">
        <w:rPr>
          <w:rFonts w:eastAsia="source serif 4" w:cs="Times New Roman"/>
          <w:color w:val="000000"/>
          <w:sz w:val="24"/>
          <w:szCs w:val="24"/>
        </w:rPr>
        <w:t xml:space="preserve">Murphy, J. E. (2022). </w:t>
      </w:r>
      <w:r w:rsidRPr="004D1863">
        <w:rPr>
          <w:rFonts w:eastAsia="source serif 4" w:cs="Times New Roman"/>
          <w:i/>
          <w:color w:val="000000"/>
          <w:sz w:val="24"/>
          <w:szCs w:val="24"/>
        </w:rPr>
        <w:t>Clinical pharmacokinetics</w:t>
      </w:r>
      <w:r w:rsidRPr="004D1863">
        <w:rPr>
          <w:rFonts w:eastAsia="source serif 4" w:cs="Times New Roman"/>
          <w:color w:val="000000"/>
          <w:sz w:val="24"/>
          <w:szCs w:val="24"/>
        </w:rPr>
        <w:t xml:space="preserve"> (7th ed.). American Society of Health-System Pharmacists.</w:t>
      </w:r>
    </w:p>
    <w:p w14:paraId="6CB83A45" w14:textId="2E509702" w:rsidR="009E12A3" w:rsidRPr="004D1863" w:rsidRDefault="009E12A3" w:rsidP="009E12A3">
      <w:pPr>
        <w:numPr>
          <w:ilvl w:val="0"/>
          <w:numId w:val="2"/>
        </w:numPr>
        <w:spacing w:before="105" w:after="105" w:line="360" w:lineRule="auto"/>
        <w:rPr>
          <w:rFonts w:eastAsia="Aptos" w:cs="Times New Roman"/>
          <w:sz w:val="24"/>
          <w:szCs w:val="24"/>
        </w:rPr>
      </w:pPr>
      <w:r w:rsidRPr="004D1863">
        <w:rPr>
          <w:rFonts w:eastAsia="source serif 4" w:cs="Times New Roman"/>
          <w:color w:val="000000"/>
          <w:sz w:val="24"/>
          <w:szCs w:val="24"/>
        </w:rPr>
        <w:t xml:space="preserve">Preston, C. L. (Ed.). (2019). </w:t>
      </w:r>
      <w:r w:rsidRPr="004D1863">
        <w:rPr>
          <w:rFonts w:eastAsia="source serif 4" w:cs="Times New Roman"/>
          <w:i/>
          <w:color w:val="000000"/>
          <w:sz w:val="24"/>
          <w:szCs w:val="24"/>
        </w:rPr>
        <w:t>Stockley</w:t>
      </w:r>
      <w:r w:rsidR="004D1863">
        <w:rPr>
          <w:rFonts w:eastAsia="source serif 4" w:cs="Times New Roman"/>
          <w:i/>
          <w:color w:val="000000"/>
          <w:sz w:val="24"/>
          <w:szCs w:val="24"/>
        </w:rPr>
        <w:t>’</w:t>
      </w:r>
      <w:r w:rsidRPr="004D1863">
        <w:rPr>
          <w:rFonts w:eastAsia="source serif 4" w:cs="Times New Roman"/>
          <w:i/>
          <w:color w:val="000000"/>
          <w:sz w:val="24"/>
          <w:szCs w:val="24"/>
        </w:rPr>
        <w:t>s drug interactions</w:t>
      </w:r>
      <w:r w:rsidRPr="004D1863">
        <w:rPr>
          <w:rFonts w:eastAsia="source serif 4" w:cs="Times New Roman"/>
          <w:color w:val="000000"/>
          <w:sz w:val="24"/>
          <w:szCs w:val="24"/>
        </w:rPr>
        <w:t xml:space="preserve"> (12th ed.). Pharmaceutical Press.</w:t>
      </w:r>
    </w:p>
    <w:p w14:paraId="3AC1B093" w14:textId="223CEC5F" w:rsidR="00795DD9" w:rsidRPr="004D1863" w:rsidRDefault="009E12A3" w:rsidP="009E12A3">
      <w:pPr>
        <w:numPr>
          <w:ilvl w:val="0"/>
          <w:numId w:val="2"/>
        </w:numPr>
        <w:spacing w:before="105" w:after="105" w:line="360" w:lineRule="auto"/>
        <w:rPr>
          <w:rFonts w:cs="Times New Roman"/>
        </w:rPr>
      </w:pPr>
      <w:r w:rsidRPr="004D1863">
        <w:rPr>
          <w:rFonts w:eastAsia="source serif 4" w:cs="Times New Roman"/>
          <w:color w:val="000000"/>
          <w:sz w:val="24"/>
          <w:szCs w:val="24"/>
        </w:rPr>
        <w:lastRenderedPageBreak/>
        <w:t xml:space="preserve">Rutter, P. (2021). </w:t>
      </w:r>
      <w:r w:rsidRPr="004D1863">
        <w:rPr>
          <w:rFonts w:eastAsia="source serif 4" w:cs="Times New Roman"/>
          <w:i/>
          <w:color w:val="000000"/>
          <w:sz w:val="24"/>
          <w:szCs w:val="24"/>
        </w:rPr>
        <w:t>Community pharmacy: Symptoms, diagnosis and treatment</w:t>
      </w:r>
      <w:r w:rsidRPr="004D1863">
        <w:rPr>
          <w:rFonts w:eastAsia="source serif 4" w:cs="Times New Roman"/>
          <w:color w:val="000000"/>
          <w:sz w:val="24"/>
          <w:szCs w:val="24"/>
        </w:rPr>
        <w:t xml:space="preserve"> (5th ed.). Elsevier.</w:t>
      </w:r>
    </w:p>
    <w:sectPr w:rsidR="00795DD9" w:rsidRPr="004D1863" w:rsidSect="009E12A3">
      <w:headerReference w:type="default" r:id="rId7"/>
      <w:pgSz w:w="12240" w:h="15840"/>
      <w:pgMar w:top="1365" w:right="1365" w:bottom="1365" w:left="13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CCB76" w14:textId="77777777" w:rsidR="00640E0C" w:rsidRDefault="00640E0C">
      <w:pPr>
        <w:spacing w:after="0" w:line="240" w:lineRule="auto"/>
      </w:pPr>
      <w:r>
        <w:separator/>
      </w:r>
    </w:p>
  </w:endnote>
  <w:endnote w:type="continuationSeparator" w:id="0">
    <w:p w14:paraId="5DB773E4" w14:textId="77777777" w:rsidR="00640E0C" w:rsidRDefault="00640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erif 4">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ource sans 3">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1B4A1" w14:textId="77777777" w:rsidR="00640E0C" w:rsidRDefault="00640E0C">
      <w:pPr>
        <w:spacing w:after="0" w:line="240" w:lineRule="auto"/>
      </w:pPr>
      <w:r>
        <w:separator/>
      </w:r>
    </w:p>
  </w:footnote>
  <w:footnote w:type="continuationSeparator" w:id="0">
    <w:p w14:paraId="1E14FBF9" w14:textId="77777777" w:rsidR="00640E0C" w:rsidRDefault="00640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811764"/>
      <w:docPartObj>
        <w:docPartGallery w:val="Page Numbers (Top of Page)"/>
        <w:docPartUnique/>
      </w:docPartObj>
    </w:sdtPr>
    <w:sdtEndPr>
      <w:rPr>
        <w:rFonts w:ascii="Times New Roman" w:hAnsi="Times New Roman" w:cs="Times New Roman"/>
        <w:noProof/>
      </w:rPr>
    </w:sdtEndPr>
    <w:sdtContent>
      <w:p w14:paraId="0E919237" w14:textId="77777777" w:rsidR="009E12A3" w:rsidRPr="00306B8F" w:rsidRDefault="009E12A3">
        <w:pPr>
          <w:pStyle w:val="Header"/>
          <w:jc w:val="center"/>
          <w:rPr>
            <w:rFonts w:ascii="Times New Roman" w:hAnsi="Times New Roman" w:cs="Times New Roman"/>
          </w:rPr>
        </w:pPr>
        <w:r w:rsidRPr="00306B8F">
          <w:rPr>
            <w:rFonts w:ascii="Times New Roman" w:hAnsi="Times New Roman" w:cs="Times New Roman"/>
          </w:rPr>
          <w:fldChar w:fldCharType="begin"/>
        </w:r>
        <w:r w:rsidRPr="00306B8F">
          <w:rPr>
            <w:rFonts w:ascii="Times New Roman" w:hAnsi="Times New Roman" w:cs="Times New Roman"/>
          </w:rPr>
          <w:instrText xml:space="preserve"> PAGE   \* MERGEFORMAT </w:instrText>
        </w:r>
        <w:r w:rsidRPr="00306B8F">
          <w:rPr>
            <w:rFonts w:ascii="Times New Roman" w:hAnsi="Times New Roman" w:cs="Times New Roman"/>
          </w:rPr>
          <w:fldChar w:fldCharType="separate"/>
        </w:r>
        <w:r w:rsidRPr="00306B8F">
          <w:rPr>
            <w:rFonts w:ascii="Times New Roman" w:hAnsi="Times New Roman" w:cs="Times New Roman"/>
            <w:noProof/>
          </w:rPr>
          <w:t>2</w:t>
        </w:r>
        <w:r w:rsidRPr="00306B8F">
          <w:rPr>
            <w:rFonts w:ascii="Times New Roman" w:hAnsi="Times New Roman" w:cs="Times New Roman"/>
            <w:noProof/>
          </w:rPr>
          <w:fldChar w:fldCharType="end"/>
        </w:r>
      </w:p>
    </w:sdtContent>
  </w:sdt>
  <w:p w14:paraId="01A2F4B7" w14:textId="77777777" w:rsidR="009E12A3" w:rsidRDefault="009E12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0477"/>
    <w:multiLevelType w:val="hybridMultilevel"/>
    <w:tmpl w:val="7D1278BC"/>
    <w:lvl w:ilvl="0" w:tplc="377C1B28">
      <w:start w:val="1"/>
      <w:numFmt w:val="decimal"/>
      <w:lvlText w:val="%1)"/>
      <w:lvlJc w:val="left"/>
      <w:pPr>
        <w:tabs>
          <w:tab w:val="num" w:pos="900"/>
        </w:tabs>
        <w:ind w:left="540" w:hanging="360"/>
      </w:pPr>
      <w:rPr>
        <w:rFonts w:ascii="Times New Roman" w:eastAsia="source serif 4" w:hAnsi="Times New Roman" w:cs="Times New Roman"/>
      </w:rPr>
    </w:lvl>
    <w:lvl w:ilvl="1" w:tplc="9DA8DDD4">
      <w:numFmt w:val="decimal"/>
      <w:lvlText w:val=""/>
      <w:lvlJc w:val="left"/>
    </w:lvl>
    <w:lvl w:ilvl="2" w:tplc="A9D6F304">
      <w:numFmt w:val="decimal"/>
      <w:lvlText w:val=""/>
      <w:lvlJc w:val="left"/>
    </w:lvl>
    <w:lvl w:ilvl="3" w:tplc="72ACBEDA">
      <w:numFmt w:val="decimal"/>
      <w:lvlText w:val=""/>
      <w:lvlJc w:val="left"/>
    </w:lvl>
    <w:lvl w:ilvl="4" w:tplc="5D98F8B0">
      <w:numFmt w:val="decimal"/>
      <w:lvlText w:val=""/>
      <w:lvlJc w:val="left"/>
    </w:lvl>
    <w:lvl w:ilvl="5" w:tplc="012C77DE">
      <w:numFmt w:val="decimal"/>
      <w:lvlText w:val=""/>
      <w:lvlJc w:val="left"/>
    </w:lvl>
    <w:lvl w:ilvl="6" w:tplc="FE3265C0">
      <w:numFmt w:val="decimal"/>
      <w:lvlText w:val=""/>
      <w:lvlJc w:val="left"/>
    </w:lvl>
    <w:lvl w:ilvl="7" w:tplc="09B0FA36">
      <w:numFmt w:val="decimal"/>
      <w:lvlText w:val=""/>
      <w:lvlJc w:val="left"/>
    </w:lvl>
    <w:lvl w:ilvl="8" w:tplc="B22E228A">
      <w:numFmt w:val="decimal"/>
      <w:lvlText w:val=""/>
      <w:lvlJc w:val="left"/>
    </w:lvl>
  </w:abstractNum>
  <w:abstractNum w:abstractNumId="1" w15:restartNumberingAfterBreak="0">
    <w:nsid w:val="26DF75BB"/>
    <w:multiLevelType w:val="multilevel"/>
    <w:tmpl w:val="9E163D04"/>
    <w:lvl w:ilvl="0">
      <w:start w:val="1"/>
      <w:numFmt w:val="decimal"/>
      <w:lvlText w:val="%1"/>
      <w:lvlJc w:val="left"/>
      <w:pPr>
        <w:ind w:left="360" w:hanging="360"/>
      </w:pPr>
      <w:rPr>
        <w:rFonts w:eastAsia="source serif 4" w:hint="default"/>
        <w:b/>
        <w:color w:val="000000"/>
      </w:rPr>
    </w:lvl>
    <w:lvl w:ilvl="1">
      <w:start w:val="2"/>
      <w:numFmt w:val="decimal"/>
      <w:lvlText w:val="%1.%2"/>
      <w:lvlJc w:val="left"/>
      <w:pPr>
        <w:ind w:left="360" w:hanging="360"/>
      </w:pPr>
      <w:rPr>
        <w:rFonts w:eastAsia="source serif 4" w:hint="default"/>
        <w:b/>
        <w:color w:val="000000"/>
      </w:rPr>
    </w:lvl>
    <w:lvl w:ilvl="2">
      <w:start w:val="1"/>
      <w:numFmt w:val="decimal"/>
      <w:lvlText w:val="%1.%2.%3"/>
      <w:lvlJc w:val="left"/>
      <w:pPr>
        <w:ind w:left="720" w:hanging="720"/>
      </w:pPr>
      <w:rPr>
        <w:rFonts w:eastAsia="source serif 4" w:hint="default"/>
        <w:b/>
        <w:color w:val="000000"/>
      </w:rPr>
    </w:lvl>
    <w:lvl w:ilvl="3">
      <w:start w:val="1"/>
      <w:numFmt w:val="decimal"/>
      <w:lvlText w:val="%1.%2.%3.%4"/>
      <w:lvlJc w:val="left"/>
      <w:pPr>
        <w:ind w:left="720" w:hanging="720"/>
      </w:pPr>
      <w:rPr>
        <w:rFonts w:eastAsia="source serif 4" w:hint="default"/>
        <w:b/>
        <w:color w:val="000000"/>
      </w:rPr>
    </w:lvl>
    <w:lvl w:ilvl="4">
      <w:start w:val="1"/>
      <w:numFmt w:val="decimal"/>
      <w:lvlText w:val="%1.%2.%3.%4.%5"/>
      <w:lvlJc w:val="left"/>
      <w:pPr>
        <w:ind w:left="1080" w:hanging="1080"/>
      </w:pPr>
      <w:rPr>
        <w:rFonts w:eastAsia="source serif 4" w:hint="default"/>
        <w:b/>
        <w:color w:val="000000"/>
      </w:rPr>
    </w:lvl>
    <w:lvl w:ilvl="5">
      <w:start w:val="1"/>
      <w:numFmt w:val="decimal"/>
      <w:lvlText w:val="%1.%2.%3.%4.%5.%6"/>
      <w:lvlJc w:val="left"/>
      <w:pPr>
        <w:ind w:left="1080" w:hanging="1080"/>
      </w:pPr>
      <w:rPr>
        <w:rFonts w:eastAsia="source serif 4" w:hint="default"/>
        <w:b/>
        <w:color w:val="000000"/>
      </w:rPr>
    </w:lvl>
    <w:lvl w:ilvl="6">
      <w:start w:val="1"/>
      <w:numFmt w:val="decimal"/>
      <w:lvlText w:val="%1.%2.%3.%4.%5.%6.%7"/>
      <w:lvlJc w:val="left"/>
      <w:pPr>
        <w:ind w:left="1440" w:hanging="1440"/>
      </w:pPr>
      <w:rPr>
        <w:rFonts w:eastAsia="source serif 4" w:hint="default"/>
        <w:b/>
        <w:color w:val="000000"/>
      </w:rPr>
    </w:lvl>
    <w:lvl w:ilvl="7">
      <w:start w:val="1"/>
      <w:numFmt w:val="decimal"/>
      <w:lvlText w:val="%1.%2.%3.%4.%5.%6.%7.%8"/>
      <w:lvlJc w:val="left"/>
      <w:pPr>
        <w:ind w:left="1440" w:hanging="1440"/>
      </w:pPr>
      <w:rPr>
        <w:rFonts w:eastAsia="source serif 4" w:hint="default"/>
        <w:b/>
        <w:color w:val="000000"/>
      </w:rPr>
    </w:lvl>
    <w:lvl w:ilvl="8">
      <w:start w:val="1"/>
      <w:numFmt w:val="decimal"/>
      <w:lvlText w:val="%1.%2.%3.%4.%5.%6.%7.%8.%9"/>
      <w:lvlJc w:val="left"/>
      <w:pPr>
        <w:ind w:left="1800" w:hanging="1800"/>
      </w:pPr>
      <w:rPr>
        <w:rFonts w:eastAsia="source serif 4" w:hint="default"/>
        <w:b/>
        <w:color w:val="000000"/>
      </w:rPr>
    </w:lvl>
  </w:abstractNum>
  <w:abstractNum w:abstractNumId="2" w15:restartNumberingAfterBreak="0">
    <w:nsid w:val="5569681A"/>
    <w:multiLevelType w:val="multilevel"/>
    <w:tmpl w:val="D1E264AA"/>
    <w:lvl w:ilvl="0">
      <w:start w:val="3"/>
      <w:numFmt w:val="decimal"/>
      <w:lvlText w:val="%1"/>
      <w:lvlJc w:val="left"/>
      <w:pPr>
        <w:ind w:left="360" w:hanging="360"/>
      </w:pPr>
      <w:rPr>
        <w:rFonts w:eastAsia="source serif 4" w:hint="default"/>
        <w:b/>
        <w:color w:val="000000"/>
      </w:rPr>
    </w:lvl>
    <w:lvl w:ilvl="1">
      <w:start w:val="3"/>
      <w:numFmt w:val="decimal"/>
      <w:lvlText w:val="%1.%2"/>
      <w:lvlJc w:val="left"/>
      <w:pPr>
        <w:ind w:left="360" w:hanging="360"/>
      </w:pPr>
      <w:rPr>
        <w:rFonts w:eastAsia="source serif 4" w:hint="default"/>
        <w:b/>
        <w:color w:val="000000"/>
      </w:rPr>
    </w:lvl>
    <w:lvl w:ilvl="2">
      <w:start w:val="1"/>
      <w:numFmt w:val="decimal"/>
      <w:lvlText w:val="%1.%2.%3"/>
      <w:lvlJc w:val="left"/>
      <w:pPr>
        <w:ind w:left="720" w:hanging="720"/>
      </w:pPr>
      <w:rPr>
        <w:rFonts w:eastAsia="source serif 4" w:hint="default"/>
        <w:b/>
        <w:color w:val="000000"/>
      </w:rPr>
    </w:lvl>
    <w:lvl w:ilvl="3">
      <w:start w:val="1"/>
      <w:numFmt w:val="decimal"/>
      <w:lvlText w:val="%1.%2.%3.%4"/>
      <w:lvlJc w:val="left"/>
      <w:pPr>
        <w:ind w:left="720" w:hanging="720"/>
      </w:pPr>
      <w:rPr>
        <w:rFonts w:eastAsia="source serif 4" w:hint="default"/>
        <w:b/>
        <w:color w:val="000000"/>
      </w:rPr>
    </w:lvl>
    <w:lvl w:ilvl="4">
      <w:start w:val="1"/>
      <w:numFmt w:val="decimal"/>
      <w:lvlText w:val="%1.%2.%3.%4.%5"/>
      <w:lvlJc w:val="left"/>
      <w:pPr>
        <w:ind w:left="1080" w:hanging="1080"/>
      </w:pPr>
      <w:rPr>
        <w:rFonts w:eastAsia="source serif 4" w:hint="default"/>
        <w:b/>
        <w:color w:val="000000"/>
      </w:rPr>
    </w:lvl>
    <w:lvl w:ilvl="5">
      <w:start w:val="1"/>
      <w:numFmt w:val="decimal"/>
      <w:lvlText w:val="%1.%2.%3.%4.%5.%6"/>
      <w:lvlJc w:val="left"/>
      <w:pPr>
        <w:ind w:left="1080" w:hanging="1080"/>
      </w:pPr>
      <w:rPr>
        <w:rFonts w:eastAsia="source serif 4" w:hint="default"/>
        <w:b/>
        <w:color w:val="000000"/>
      </w:rPr>
    </w:lvl>
    <w:lvl w:ilvl="6">
      <w:start w:val="1"/>
      <w:numFmt w:val="decimal"/>
      <w:lvlText w:val="%1.%2.%3.%4.%5.%6.%7"/>
      <w:lvlJc w:val="left"/>
      <w:pPr>
        <w:ind w:left="1440" w:hanging="1440"/>
      </w:pPr>
      <w:rPr>
        <w:rFonts w:eastAsia="source serif 4" w:hint="default"/>
        <w:b/>
        <w:color w:val="000000"/>
      </w:rPr>
    </w:lvl>
    <w:lvl w:ilvl="7">
      <w:start w:val="1"/>
      <w:numFmt w:val="decimal"/>
      <w:lvlText w:val="%1.%2.%3.%4.%5.%6.%7.%8"/>
      <w:lvlJc w:val="left"/>
      <w:pPr>
        <w:ind w:left="1440" w:hanging="1440"/>
      </w:pPr>
      <w:rPr>
        <w:rFonts w:eastAsia="source serif 4" w:hint="default"/>
        <w:b/>
        <w:color w:val="000000"/>
      </w:rPr>
    </w:lvl>
    <w:lvl w:ilvl="8">
      <w:start w:val="1"/>
      <w:numFmt w:val="decimal"/>
      <w:lvlText w:val="%1.%2.%3.%4.%5.%6.%7.%8.%9"/>
      <w:lvlJc w:val="left"/>
      <w:pPr>
        <w:ind w:left="1800" w:hanging="1800"/>
      </w:pPr>
      <w:rPr>
        <w:rFonts w:eastAsia="source serif 4" w:hint="default"/>
        <w:b/>
        <w:color w:val="000000"/>
      </w:rPr>
    </w:lvl>
  </w:abstractNum>
  <w:abstractNum w:abstractNumId="3" w15:restartNumberingAfterBreak="0">
    <w:nsid w:val="75A2269A"/>
    <w:multiLevelType w:val="hybridMultilevel"/>
    <w:tmpl w:val="3AB0D2DC"/>
    <w:lvl w:ilvl="0" w:tplc="D2B88756">
      <w:start w:val="1"/>
      <w:numFmt w:val="decimal"/>
      <w:lvlText w:val="%1."/>
      <w:lvlJc w:val="left"/>
      <w:pPr>
        <w:tabs>
          <w:tab w:val="num" w:pos="900"/>
        </w:tabs>
        <w:ind w:left="540" w:hanging="360"/>
      </w:pPr>
    </w:lvl>
    <w:lvl w:ilvl="1" w:tplc="7DB61330">
      <w:numFmt w:val="decimal"/>
      <w:lvlText w:val=""/>
      <w:lvlJc w:val="left"/>
    </w:lvl>
    <w:lvl w:ilvl="2" w:tplc="94FC0270">
      <w:numFmt w:val="decimal"/>
      <w:lvlText w:val=""/>
      <w:lvlJc w:val="left"/>
    </w:lvl>
    <w:lvl w:ilvl="3" w:tplc="E056FC7A">
      <w:numFmt w:val="decimal"/>
      <w:lvlText w:val=""/>
      <w:lvlJc w:val="left"/>
    </w:lvl>
    <w:lvl w:ilvl="4" w:tplc="6488326E">
      <w:numFmt w:val="decimal"/>
      <w:lvlText w:val=""/>
      <w:lvlJc w:val="left"/>
    </w:lvl>
    <w:lvl w:ilvl="5" w:tplc="F9CCCBC6">
      <w:numFmt w:val="decimal"/>
      <w:lvlText w:val=""/>
      <w:lvlJc w:val="left"/>
    </w:lvl>
    <w:lvl w:ilvl="6" w:tplc="0BDE9FE4">
      <w:numFmt w:val="decimal"/>
      <w:lvlText w:val=""/>
      <w:lvlJc w:val="left"/>
    </w:lvl>
    <w:lvl w:ilvl="7" w:tplc="9872D4A4">
      <w:numFmt w:val="decimal"/>
      <w:lvlText w:val=""/>
      <w:lvlJc w:val="left"/>
    </w:lvl>
    <w:lvl w:ilvl="8" w:tplc="5748E0D6">
      <w:numFmt w:val="decimal"/>
      <w:lvlText w:val=""/>
      <w:lvlJc w:val="left"/>
    </w:lvl>
  </w:abstractNum>
  <w:num w:numId="1" w16cid:durableId="32079072">
    <w:abstractNumId w:val="0"/>
  </w:num>
  <w:num w:numId="2" w16cid:durableId="236479709">
    <w:abstractNumId w:val="3"/>
  </w:num>
  <w:num w:numId="3" w16cid:durableId="160707091">
    <w:abstractNumId w:val="1"/>
  </w:num>
  <w:num w:numId="4" w16cid:durableId="439952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2A3"/>
    <w:rsid w:val="0013781F"/>
    <w:rsid w:val="004916FC"/>
    <w:rsid w:val="004D1863"/>
    <w:rsid w:val="00547E7C"/>
    <w:rsid w:val="00640E0C"/>
    <w:rsid w:val="006F7D8F"/>
    <w:rsid w:val="00795DD9"/>
    <w:rsid w:val="00806178"/>
    <w:rsid w:val="00924A31"/>
    <w:rsid w:val="009E12A3"/>
    <w:rsid w:val="00BD5020"/>
    <w:rsid w:val="00C724DC"/>
    <w:rsid w:val="00EA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57DAF"/>
  <w15:chartTrackingRefBased/>
  <w15:docId w15:val="{BE62DFDA-F4DC-4511-A172-AFB0B3987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2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12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2A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E12A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E12A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E12A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E12A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E12A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E12A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2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12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2A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E12A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E12A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E12A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E12A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E12A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E12A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E12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2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2A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E12A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E12A3"/>
    <w:pPr>
      <w:spacing w:before="160"/>
      <w:jc w:val="center"/>
    </w:pPr>
    <w:rPr>
      <w:i/>
      <w:iCs/>
      <w:color w:val="404040" w:themeColor="text1" w:themeTint="BF"/>
    </w:rPr>
  </w:style>
  <w:style w:type="character" w:customStyle="1" w:styleId="QuoteChar">
    <w:name w:val="Quote Char"/>
    <w:basedOn w:val="DefaultParagraphFont"/>
    <w:link w:val="Quote"/>
    <w:uiPriority w:val="29"/>
    <w:rsid w:val="009E12A3"/>
    <w:rPr>
      <w:i/>
      <w:iCs/>
      <w:color w:val="404040" w:themeColor="text1" w:themeTint="BF"/>
    </w:rPr>
  </w:style>
  <w:style w:type="paragraph" w:styleId="ListParagraph">
    <w:name w:val="List Paragraph"/>
    <w:basedOn w:val="Normal"/>
    <w:uiPriority w:val="34"/>
    <w:qFormat/>
    <w:rsid w:val="009E12A3"/>
    <w:pPr>
      <w:ind w:left="720"/>
      <w:contextualSpacing/>
    </w:pPr>
  </w:style>
  <w:style w:type="character" w:styleId="IntenseEmphasis">
    <w:name w:val="Intense Emphasis"/>
    <w:basedOn w:val="DefaultParagraphFont"/>
    <w:uiPriority w:val="21"/>
    <w:qFormat/>
    <w:rsid w:val="009E12A3"/>
    <w:rPr>
      <w:i/>
      <w:iCs/>
      <w:color w:val="2F5496" w:themeColor="accent1" w:themeShade="BF"/>
    </w:rPr>
  </w:style>
  <w:style w:type="paragraph" w:styleId="IntenseQuote">
    <w:name w:val="Intense Quote"/>
    <w:basedOn w:val="Normal"/>
    <w:next w:val="Normal"/>
    <w:link w:val="IntenseQuoteChar"/>
    <w:uiPriority w:val="30"/>
    <w:qFormat/>
    <w:rsid w:val="009E12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12A3"/>
    <w:rPr>
      <w:i/>
      <w:iCs/>
      <w:color w:val="2F5496" w:themeColor="accent1" w:themeShade="BF"/>
    </w:rPr>
  </w:style>
  <w:style w:type="character" w:styleId="IntenseReference">
    <w:name w:val="Intense Reference"/>
    <w:basedOn w:val="DefaultParagraphFont"/>
    <w:uiPriority w:val="32"/>
    <w:qFormat/>
    <w:rsid w:val="009E12A3"/>
    <w:rPr>
      <w:b/>
      <w:bCs/>
      <w:smallCaps/>
      <w:color w:val="2F5496" w:themeColor="accent1" w:themeShade="BF"/>
      <w:spacing w:val="5"/>
    </w:rPr>
  </w:style>
  <w:style w:type="paragraph" w:styleId="Header">
    <w:name w:val="header"/>
    <w:basedOn w:val="Normal"/>
    <w:link w:val="HeaderChar"/>
    <w:uiPriority w:val="99"/>
    <w:unhideWhenUsed/>
    <w:rsid w:val="009E12A3"/>
    <w:pPr>
      <w:tabs>
        <w:tab w:val="center" w:pos="4680"/>
        <w:tab w:val="right" w:pos="9360"/>
      </w:tabs>
      <w:spacing w:after="0" w:line="240" w:lineRule="auto"/>
    </w:pPr>
    <w:rPr>
      <w:rFonts w:ascii="Georgia" w:hAnsi="Aptos"/>
      <w:sz w:val="21"/>
    </w:rPr>
  </w:style>
  <w:style w:type="character" w:customStyle="1" w:styleId="HeaderChar">
    <w:name w:val="Header Char"/>
    <w:basedOn w:val="DefaultParagraphFont"/>
    <w:link w:val="Header"/>
    <w:uiPriority w:val="99"/>
    <w:rsid w:val="009E12A3"/>
    <w:rPr>
      <w:rFonts w:ascii="Georgia" w:hAnsi="Aptos"/>
      <w:sz w:val="21"/>
    </w:rPr>
  </w:style>
  <w:style w:type="table" w:styleId="TableGrid">
    <w:name w:val="Table Grid"/>
    <w:basedOn w:val="TableNormal"/>
    <w:uiPriority w:val="39"/>
    <w:rsid w:val="009E12A3"/>
    <w:pPr>
      <w:spacing w:after="0" w:line="240" w:lineRule="auto"/>
    </w:pPr>
    <w:rPr>
      <w:rFonts w:ascii="Georgia" w:hAnsi="Aptos"/>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4127</Words>
  <Characters>24231</Characters>
  <Application>Microsoft Office Word</Application>
  <DocSecurity>0</DocSecurity>
  <Lines>465</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Huu Duc</dc:creator>
  <cp:keywords/>
  <dc:description/>
  <cp:lastModifiedBy>Pham Huu Duc</cp:lastModifiedBy>
  <cp:revision>8</cp:revision>
  <dcterms:created xsi:type="dcterms:W3CDTF">2026-07-23T15:41:00Z</dcterms:created>
  <dcterms:modified xsi:type="dcterms:W3CDTF">2026-07-23T15:59:00Z</dcterms:modified>
</cp:coreProperties>
</file>