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B2FBD2" w14:textId="77777777" w:rsidR="00FC12C5" w:rsidRDefault="00000000">
      <w:pPr>
        <w:pStyle w:val="RALs-Title"/>
      </w:pPr>
      <w:r>
        <w:t>From Reproduction to Interaction: Extending ESP Listening Practices toward Communicative Listening in an ESP Course at the Diplomatic Academy of Vietnam (DAV)</w:t>
      </w:r>
    </w:p>
    <w:p w14:paraId="0A737E82" w14:textId="77777777" w:rsidR="00FC12C5" w:rsidRDefault="00000000">
      <w:pPr>
        <w:pStyle w:val="RALs-Authors"/>
      </w:pPr>
      <w:r>
        <w:rPr>
          <w:sz w:val="24"/>
        </w:rPr>
        <w:t>Giang Hoang Thi Linh</w:t>
      </w:r>
      <w:r>
        <w:rPr>
          <w:rStyle w:val="FootnoteReference"/>
        </w:rPr>
        <w:footnoteReference w:id="1"/>
      </w:r>
    </w:p>
    <w:p w14:paraId="0BC90531" w14:textId="77777777" w:rsidR="00FC12C5" w:rsidRDefault="00000000">
      <w:pPr>
        <w:pStyle w:val="RALs-HeadingsNoIndent"/>
      </w:pPr>
      <w:r>
        <w:rPr>
          <w:rFonts w:cs="Times New Roman"/>
          <w:sz w:val="24"/>
        </w:rPr>
        <w:t>Abstract</w:t>
      </w:r>
    </w:p>
    <w:p w14:paraId="39D8D29D" w14:textId="77777777" w:rsidR="00FC12C5" w:rsidRDefault="00000000">
      <w:pPr>
        <w:pStyle w:val="RALs-Normal-NoIndent"/>
        <w:spacing w:before="0" w:after="120" w:line="240" w:lineRule="auto"/>
      </w:pPr>
      <w:r>
        <w:rPr>
          <w:rFonts w:cs="Times New Roman"/>
          <w:sz w:val="24"/>
        </w:rPr>
        <w:t>Vietnam's ongoing shift toward English as an additional language for international communication has placed new demands on university English courses, particularly in English for Specific Purposes (ESP) programmes where listening instruction has traditionally emphasised comprehension and reproduction rather than communicative interaction. This pattern is especially evident at the Diplomatic Academy of Vietnam (DAV), where students engage with authentic news content on international relations, diplomacy, and economics but are rarely required to respond to it spontaneously.</w:t>
      </w:r>
    </w:p>
    <w:p w14:paraId="4E149226" w14:textId="77777777" w:rsidR="00FC12C5" w:rsidRDefault="00000000">
      <w:pPr>
        <w:pStyle w:val="RALs-Normal-NoIndent"/>
        <w:spacing w:before="0" w:after="120" w:line="240" w:lineRule="auto"/>
      </w:pPr>
      <w:r>
        <w:rPr>
          <w:rFonts w:cs="Times New Roman"/>
          <w:sz w:val="24"/>
        </w:rPr>
        <w:t>This study investigated whether a brief, interaction-oriented post-listening activity could strengthen students' listening-to-respond performance, defined as the capacity to process spoken input and produce a relevant oral response. A four-week classroom-based action research project was conducted with 30 third-year undergraduate students in one ESP II listening class at DAV. The existing reproduction-based lesson sequence was left unchanged; a short peer-questioning stage was added immediately afterward.</w:t>
      </w:r>
    </w:p>
    <w:p w14:paraId="06378FBA" w14:textId="77777777" w:rsidR="00FC12C5" w:rsidRDefault="00000000">
      <w:pPr>
        <w:pStyle w:val="RALs-Normal-NoIndent"/>
        <w:spacing w:before="0" w:after="120" w:line="240" w:lineRule="auto"/>
      </w:pPr>
      <w:r>
        <w:rPr>
          <w:rFonts w:cs="Times New Roman"/>
          <w:sz w:val="24"/>
        </w:rPr>
        <w:t xml:space="preserve">Pre-test and post-test recordings were scored on a four-category rubric assessing comprehension, response relevance, fluency, and response development. Because pre-post difference scores departed from normality, Wilcoxon signed-rank tests served as the primary inferential analysis, supported by paired-samples </w:t>
      </w:r>
      <w:r>
        <w:rPr>
          <w:rFonts w:cs="Times New Roman"/>
          <w:i/>
          <w:sz w:val="24"/>
        </w:rPr>
        <w:t>t</w:t>
      </w:r>
      <w:r>
        <w:rPr>
          <w:rFonts w:cs="Times New Roman"/>
          <w:sz w:val="24"/>
        </w:rPr>
        <w:t xml:space="preserve">-tests as a robustness check. Both tests indicated statistically significant gains across all categories and the total score (all </w:t>
      </w:r>
      <w:r>
        <w:rPr>
          <w:rFonts w:cs="Times New Roman"/>
          <w:i/>
          <w:sz w:val="24"/>
        </w:rPr>
        <w:t>p</w:t>
      </w:r>
      <w:r>
        <w:rPr>
          <w:rFonts w:cs="Times New Roman"/>
          <w:sz w:val="24"/>
        </w:rPr>
        <w:t xml:space="preserve"> &lt; .01), with effect sizes ranging from medium-to-large (</w:t>
      </w:r>
      <w:r>
        <w:rPr>
          <w:rFonts w:cs="Times New Roman"/>
          <w:i/>
          <w:sz w:val="24"/>
        </w:rPr>
        <w:t>d</w:t>
      </w:r>
      <w:r>
        <w:rPr>
          <w:rFonts w:cs="Times New Roman"/>
          <w:sz w:val="24"/>
        </w:rPr>
        <w:t xml:space="preserve"> = 0.66) to very large (</w:t>
      </w:r>
      <w:r>
        <w:rPr>
          <w:rFonts w:cs="Times New Roman"/>
          <w:i/>
          <w:sz w:val="24"/>
        </w:rPr>
        <w:t>d</w:t>
      </w:r>
      <w:r>
        <w:rPr>
          <w:rFonts w:cs="Times New Roman"/>
          <w:sz w:val="24"/>
        </w:rPr>
        <w:t xml:space="preserve"> = 2.10), the strongest gain occurring in response development. Qualitative analysis across multiple news genres corroborated this pattern, showing a consistent shift from factual recall toward explanation and elaboration. The findings suggest that minimal, curriculum-compatible interaction extensions can meaningfully advance communicative listening within reproduction-oriented ESP instruction.</w:t>
      </w:r>
    </w:p>
    <w:p w14:paraId="1C9196D5" w14:textId="77777777" w:rsidR="00FC12C5" w:rsidRDefault="00FC12C5">
      <w:pPr>
        <w:pStyle w:val="RALs-Normal-NoIndent"/>
      </w:pPr>
    </w:p>
    <w:p w14:paraId="18542F11" w14:textId="77777777" w:rsidR="00FC12C5" w:rsidRDefault="00000000">
      <w:pPr>
        <w:spacing w:before="240"/>
        <w:ind w:firstLine="284"/>
      </w:pPr>
      <w:r>
        <w:rPr>
          <w:rFonts w:cs="Times New Roman"/>
          <w:b/>
          <w:i/>
          <w:sz w:val="24"/>
        </w:rPr>
        <w:t>Keywords</w:t>
      </w:r>
      <w:r>
        <w:rPr>
          <w:rFonts w:cs="Times New Roman"/>
          <w:b/>
          <w:sz w:val="24"/>
        </w:rPr>
        <w:t xml:space="preserve">: </w:t>
      </w:r>
      <w:r>
        <w:rPr>
          <w:rFonts w:cs="Times New Roman"/>
          <w:sz w:val="24"/>
        </w:rPr>
        <w:t>ESP listening, listening-to-respond, interaction, Vietnam, communicative competence, action research</w:t>
      </w:r>
    </w:p>
    <w:p w14:paraId="709E4FCD" w14:textId="77777777" w:rsidR="00FC12C5" w:rsidRDefault="00000000">
      <w:pPr>
        <w:pStyle w:val="RALs-Heading1"/>
      </w:pPr>
      <w:r>
        <w:rPr>
          <w:rFonts w:cs="Times New Roman"/>
          <w:sz w:val="24"/>
        </w:rPr>
        <w:t>1. Introduction</w:t>
      </w:r>
    </w:p>
    <w:p w14:paraId="04686742" w14:textId="77777777" w:rsidR="00FC12C5" w:rsidRDefault="00000000">
      <w:pPr>
        <w:pStyle w:val="RALs-Normal"/>
      </w:pPr>
      <w:r>
        <w:rPr>
          <w:rFonts w:cs="Times New Roman"/>
          <w:sz w:val="24"/>
        </w:rPr>
        <w:t xml:space="preserve">Vietnam's deepening international integration has raised expectations for communicative English competence across higher education, requiring university English programmes to prepare students not merely to know the language but to use it in real academic and professional exchange. Following Canale and Swain (1980), communicative competence denotes the ability to use language appropriately and effectively, grammatically, sociolinguistically, discursively, and strategically, across authentic contexts, a standard </w:t>
      </w:r>
      <w:r>
        <w:rPr>
          <w:rFonts w:cs="Times New Roman"/>
          <w:sz w:val="24"/>
        </w:rPr>
        <w:lastRenderedPageBreak/>
        <w:t>increasingly written into Vietnamese higher-education policy even where classroom practice has been slower to follow.</w:t>
      </w:r>
    </w:p>
    <w:p w14:paraId="344E0527" w14:textId="77777777" w:rsidR="00FC12C5" w:rsidRDefault="00000000">
      <w:pPr>
        <w:pStyle w:val="RALs-Normal"/>
      </w:pPr>
      <w:r>
        <w:rPr>
          <w:rFonts w:cs="Times New Roman"/>
          <w:sz w:val="24"/>
        </w:rPr>
        <w:t>English for Specific Purposes (ESP) courses sit at the centre of this shift because they exist specifically to prepare learners for discipline-specific communication. At DAV, ESP listening courses draw on authentic, news-based material tied to international relations, diplomacy, economics, and international law, content that mirrors real diplomatic and legal communication. Students are streamed by proficiency at entry; those without an IELTS score of 6.0 or above sit an institutional placement test aligned with the Vietnamese six-level foreign-language framework, itself broadly mapped to the CEFR. Students in ESP II, the level examined here, correspond approximately to B1.</w:t>
      </w:r>
    </w:p>
    <w:p w14:paraId="30286928" w14:textId="77777777" w:rsidR="00FC12C5" w:rsidRDefault="00000000">
      <w:pPr>
        <w:pStyle w:val="RALs-Normal"/>
      </w:pPr>
      <w:r>
        <w:rPr>
          <w:rFonts w:cs="Times New Roman"/>
          <w:sz w:val="24"/>
        </w:rPr>
        <w:t>In practice, instruction at this level centres on comprehension and reproduction: students listen to authentic news and reproduce its content, in writing or speech, as accurately as possible. This builds comprehension, vocabulary, and information-processing skill, but leaves little room for learners to respond to what they hear, to interpret it, react to it, or use it communicatively. Contemporary TESOL scholarship increasingly foregrounds listening-to-respond, the capacity to process spoken input and produce a meaningful spoken reaction to it, yet bringing this into heavily structured ESP settings is not straightforward given curriculum load, assessment expectations, and learners' proficiency ceilings.</w:t>
      </w:r>
    </w:p>
    <w:p w14:paraId="19570205" w14:textId="77777777" w:rsidR="00FC12C5" w:rsidRDefault="00000000">
      <w:pPr>
        <w:pStyle w:val="RALs-Normal"/>
      </w:pPr>
      <w:r>
        <w:rPr>
          <w:rFonts w:cs="Times New Roman"/>
          <w:sz w:val="24"/>
        </w:rPr>
        <w:t>The problem motivating this study arose from the researcher's own classroom observation in ESP listening courses at DAV. Students could generally identify key information in authentic news reports, but many struggled to respond to it spontaneously: responses were often short, memorised, or lifted almost verbatim from the listening text, and students hesitated when asked to elaborate or explain cause and effect. This reflects a structural feature of the curriculum rather than an individual shortcoming, since comprehension and reproduction are heavily practised and assessed while spontaneous, meaning-based response is neither taught nor tested. A full communicative redesign was not a realistic option within the existing course structure, so the problem this study addresses is narrower: whether a small extension to existing reproduction tasks can move students toward more communicative listening behaviour without disturbing the curriculum they are already required to deliver.</w:t>
      </w:r>
    </w:p>
    <w:p w14:paraId="39F52F2B" w14:textId="77777777" w:rsidR="00FC12C5" w:rsidRDefault="00000000">
      <w:pPr>
        <w:pStyle w:val="RALs-Normal"/>
      </w:pPr>
      <w:r>
        <w:rPr>
          <w:rFonts w:cs="Times New Roman"/>
          <w:sz w:val="24"/>
        </w:rPr>
        <w:t>Accordingly, the study pursues three aims: to describe a brief, interaction-oriented post-listening activity compatible with an existing ESP reproduction-based sequence; to examine changes in listening-to-respond performance, comprehension, response relevance, fluency, and response development, across a four-week implementation; and to interpret these changes, together with classroom observation and recorded excerpts, in relation to theory and research on interaction, output, and ESP pedagogy. The study addresses the following research question:</w:t>
      </w:r>
    </w:p>
    <w:p w14:paraId="0E1F44B0" w14:textId="77777777" w:rsidR="00FC12C5" w:rsidRDefault="00000000">
      <w:pPr>
        <w:spacing w:before="0" w:after="120" w:line="480" w:lineRule="auto"/>
        <w:ind w:left="720"/>
      </w:pPr>
      <w:r>
        <w:rPr>
          <w:rFonts w:cs="Times New Roman"/>
          <w:b/>
          <w:i/>
          <w:sz w:val="24"/>
        </w:rPr>
        <w:t>To what extent can brief interaction-oriented post-listening activities enhance students' listening-to-respond performance in an ESP listening course?</w:t>
      </w:r>
    </w:p>
    <w:p w14:paraId="609AD307" w14:textId="77777777" w:rsidR="00FC12C5" w:rsidRDefault="00000000">
      <w:pPr>
        <w:pStyle w:val="RALs-Normal"/>
      </w:pPr>
      <w:r>
        <w:rPr>
          <w:rFonts w:cs="Times New Roman"/>
          <w:sz w:val="24"/>
        </w:rPr>
        <w:t xml:space="preserve">This question is framed as a matter of extent rather than a directional prediction because the study is a single-cycle, single-group action research project conducted by the class teacher within one intact class over four weeks. Under these conditions, no control group, no random </w:t>
      </w:r>
      <w:r>
        <w:rPr>
          <w:rFonts w:cs="Times New Roman"/>
          <w:sz w:val="24"/>
        </w:rPr>
        <w:lastRenderedPageBreak/>
        <w:t>assignment, teacher and researcher combined in one role, a research question is a more defensible instrument than a formal hypothesis, which would imply a confirmatory logic the design was not built to support (Burns, 2010; Mills, 2011).</w:t>
      </w:r>
    </w:p>
    <w:p w14:paraId="2E9E8B23" w14:textId="77777777" w:rsidR="00FC12C5" w:rsidRDefault="00000000">
      <w:pPr>
        <w:pStyle w:val="RALs-Heading1"/>
      </w:pPr>
      <w:r>
        <w:rPr>
          <w:rFonts w:cs="Times New Roman"/>
          <w:sz w:val="24"/>
        </w:rPr>
        <w:t>2. Literature Review</w:t>
      </w:r>
    </w:p>
    <w:p w14:paraId="134C7E28" w14:textId="77777777" w:rsidR="00FC12C5" w:rsidRDefault="00000000">
      <w:pPr>
        <w:pStyle w:val="RALs-Heading2"/>
      </w:pPr>
      <w:r>
        <w:rPr>
          <w:rFonts w:cs="Times New Roman"/>
          <w:sz w:val="24"/>
        </w:rPr>
        <w:t>2.1. ESP Listening in Higher Education</w:t>
      </w:r>
    </w:p>
    <w:p w14:paraId="78908019" w14:textId="77777777" w:rsidR="00FC12C5" w:rsidRDefault="00000000">
      <w:pPr>
        <w:pStyle w:val="RALs-Normal"/>
      </w:pPr>
      <w:r>
        <w:rPr>
          <w:rFonts w:cs="Times New Roman"/>
          <w:sz w:val="24"/>
        </w:rPr>
        <w:t>Listening sits at the centre of ESP instruction because learners must process discipline-specific input in academic and professional settings. Dudley-Evans and St John (1998) argue that ESP instruction should be built around learners' communicative needs within a specific domain, typically lectures, interviews, presentations, and authentic media. Authentic listening material builds familiarity with real-world language use and professional communication patterns (Gilmore, 2007), though the same authenticity raises the cognitive load learners must manage. Several scholars have pushed ESP listening instruction to move past comprehension testing toward communicative application: Flowerdew and Miller (2005) observe that listening instruction still prioritises information recall over interaction, and Field (2008) describes listening classrooms that position learners as passive receivers. In Vietnam and across Asian EFL contexts more broadly, listening instruction has historically emphasised test preparation and factual comprehension (Nguyen &amp; Boers, 2019), a pattern sharpened in ESP settings where anxiety about specialised content can push students toward memorisation over communicative risk-taking.</w:t>
      </w:r>
    </w:p>
    <w:p w14:paraId="5A8F286E" w14:textId="77777777" w:rsidR="00FC12C5" w:rsidRDefault="00000000">
      <w:pPr>
        <w:pStyle w:val="RALs-Heading2"/>
      </w:pPr>
      <w:r>
        <w:rPr>
          <w:rFonts w:cs="Times New Roman"/>
          <w:sz w:val="24"/>
        </w:rPr>
        <w:t>2.2. Listening-to-Respond and Communicative Listening</w:t>
      </w:r>
    </w:p>
    <w:p w14:paraId="410EECC9" w14:textId="77777777" w:rsidR="00FC12C5" w:rsidRDefault="00000000">
      <w:pPr>
        <w:pStyle w:val="RALs-Normal"/>
      </w:pPr>
      <w:r>
        <w:rPr>
          <w:rFonts w:cs="Times New Roman"/>
          <w:sz w:val="24"/>
        </w:rPr>
        <w:t>Older listening pedagogy treated listening largely as decoding followed by comprehension checks; communicative approaches instead treat listening as interpretive and interactive. Richards (2008) argues listening cannot be cleanly separated from speaking, since real communication requires listeners to act on what they hear, and Nation and Newton (2009) make a parallel case for teaching listening and speaking together through communicative tasks. Vandergrift and Goh (2012) push this further, arguing that effective listening instruction should cultivate active meaning processing and metacognitive reflection rather than comprehension testing alone; Vandergrift (2007) frames listening research in similar terms, as increasingly concerned with active meaning construction. Rost (2011) notes that response-oriented tasks push learners to process input more deeply, since they must prepare a reaction rather than select a correct answer, and Newton and Nation (2020) report that post-listening interaction can support both fluency and communicative confidence. This matters especially in ESP, where professional listening is rarely passive: diplomatic and international settings routinely require people to react, question, and explain, so listening-to-respond arguably reflects the target communicative demand more directly than comprehension testing does.</w:t>
      </w:r>
    </w:p>
    <w:p w14:paraId="749EB947" w14:textId="77777777" w:rsidR="00FC12C5" w:rsidRDefault="00000000">
      <w:pPr>
        <w:pStyle w:val="RALs-Heading2"/>
      </w:pPr>
      <w:r>
        <w:rPr>
          <w:rFonts w:cs="Times New Roman"/>
          <w:sz w:val="24"/>
        </w:rPr>
        <w:t>2.3. Interaction-Oriented Post-Listening Activities</w:t>
      </w:r>
    </w:p>
    <w:p w14:paraId="0836C5F8" w14:textId="77777777" w:rsidR="00FC12C5" w:rsidRDefault="00000000">
      <w:pPr>
        <w:pStyle w:val="RALs-Normal"/>
      </w:pPr>
      <w:r>
        <w:rPr>
          <w:rFonts w:cs="Times New Roman"/>
          <w:sz w:val="24"/>
        </w:rPr>
        <w:t xml:space="preserve">Post-listening stages give learners room to consolidate comprehension and extend what they have heard into productive language use (Underwood, 1989). Two strands of theory motivate why peer interaction specifically should help. Long's (1996) Interaction Hypothesis holds that interaction supports acquisition because learners negotiate meaning and receive </w:t>
      </w:r>
      <w:r>
        <w:rPr>
          <w:rFonts w:cs="Times New Roman"/>
          <w:sz w:val="24"/>
        </w:rPr>
        <w:lastRenderedPageBreak/>
        <w:t>opportunities for modified output; Swain (2005) argues, complementarily, that producing language pushes learners to notice gaps in what they can already say, building communicative control. Peer interaction may also lower speaking anxiety, since learners are often more comfortable experimenting and reformulating with classmates than performing directly for the teacher. None of this is straightforward where courses remain assessment-driven: classroom time is limited and students carry real anxiety about spontaneous speaking, which is precisely why a minimal, low-preparation adaptation, rather than a larger communicative overhaul, is worth testing in a setting like this one.</w:t>
      </w:r>
    </w:p>
    <w:p w14:paraId="3855613C" w14:textId="77777777" w:rsidR="00FC12C5" w:rsidRDefault="00000000">
      <w:pPr>
        <w:pStyle w:val="RALs-Heading2"/>
      </w:pPr>
      <w:r>
        <w:rPr>
          <w:rFonts w:cs="Times New Roman"/>
          <w:sz w:val="24"/>
        </w:rPr>
        <w:t>2.4. Theoretical Framework</w:t>
      </w:r>
    </w:p>
    <w:p w14:paraId="3E7FFFBB" w14:textId="77777777" w:rsidR="00FC12C5" w:rsidRDefault="00000000">
      <w:pPr>
        <w:pStyle w:val="RALs-Normal"/>
      </w:pPr>
      <w:r>
        <w:rPr>
          <w:rFonts w:cs="Times New Roman"/>
          <w:sz w:val="24"/>
        </w:rPr>
        <w:t>The theoretical framework guiding this study follows a single explanatory chain rather than a list of separate theories. Communicative Competence (Canale &amp; Swain, 1980) supplies the target construct: the goal of instruction is appropriate, effective language use across grammatical, sociolinguistic, discourse, and strategic dimensions, not comprehension accuracy alone. Long's (1996) Interaction Hypothesis supplies the mechanism for why peer questioning should help learners move toward that target, since negotiating meaning with a partner creates opportunities for modified input and output that a solitary reproduction task does not. Swain's (2005) Output Hypothesis supplies the complementary production-side mechanism: producing a spoken response, rather than merely comprehending, pushes learners to notice gaps between what they want to say and what they can currently say. Listening-to-respond operationalises this chain for classroom measurement, sitting at the intersection of Long's interactional mechanism and Swain's output mechanism, and ESP pedagogy (Dudley-Evans &amp; St John, 1998) supplies the professional-relevance rationale that justifies building the intervention around DAV's own news-based content.</w:t>
      </w:r>
    </w:p>
    <w:p w14:paraId="4F8286F8" w14:textId="77777777" w:rsidR="00FC12C5" w:rsidRDefault="00000000">
      <w:pPr>
        <w:pStyle w:val="RALs-Heading2"/>
      </w:pPr>
      <w:r>
        <w:rPr>
          <w:rFonts w:cs="Times New Roman"/>
          <w:sz w:val="24"/>
        </w:rPr>
        <w:t>2.5. Research Gap and Contribution of the Present Study</w:t>
      </w:r>
    </w:p>
    <w:p w14:paraId="5D80B05C" w14:textId="77777777" w:rsidR="00FC12C5" w:rsidRDefault="00000000">
      <w:pPr>
        <w:pStyle w:val="RALs-Normal"/>
      </w:pPr>
      <w:r>
        <w:rPr>
          <w:rFonts w:cs="Times New Roman"/>
          <w:sz w:val="24"/>
        </w:rPr>
        <w:t>ESP listening research documents that reproduction-oriented instruction dominates ESP classrooms, including in Vietnam, and explains why this persists institutionally (Dudley-Evans &amp; St John, 1998; Gilmore, 2007; Flowerdew &amp; Miller, 2005; Field, 2008; Nguyen &amp; Boers, 2019). Listening-to-respond and interaction research establishes, largely in general EFL/ESL contexts, why moving listening instruction toward interaction should support learners (Richards, 2008; Nation &amp; Newton, 2009; Vandergrift, 2007; Vandergrift &amp; Goh, 2012; Rost, 2011; Newton &amp; Nation, 2020; Long, 1996; Swain, 2005). What remains unexplored is the middle ground: whether a minimal, curriculum-embedded interaction stage that leaves existing reproduction tasks untouched can produce measurable movement toward listening-to-respond inside an ESP course structured around reproduction, in a context where wholesale communicative redesign is not realistic. The present study's contribution is this bridging step, tested statistically rather than described only in general terms.</w:t>
      </w:r>
    </w:p>
    <w:p w14:paraId="2CFA9237" w14:textId="77777777" w:rsidR="00FC12C5" w:rsidRDefault="00000000">
      <w:pPr>
        <w:pStyle w:val="RALs-Heading1"/>
      </w:pPr>
      <w:r>
        <w:rPr>
          <w:rFonts w:cs="Times New Roman"/>
          <w:sz w:val="24"/>
        </w:rPr>
        <w:t>3. Methodology</w:t>
      </w:r>
    </w:p>
    <w:p w14:paraId="23C804D3" w14:textId="77777777" w:rsidR="00FC12C5" w:rsidRDefault="00000000">
      <w:pPr>
        <w:pStyle w:val="RALs-Heading2"/>
      </w:pPr>
      <w:r>
        <w:rPr>
          <w:rFonts w:cs="Times New Roman"/>
          <w:sz w:val="24"/>
        </w:rPr>
        <w:t>3.1. Research Design</w:t>
      </w:r>
    </w:p>
    <w:p w14:paraId="4B6DD902" w14:textId="77777777" w:rsidR="00FC12C5" w:rsidRDefault="00000000">
      <w:pPr>
        <w:pStyle w:val="RALs-Normal"/>
      </w:pPr>
      <w:r>
        <w:rPr>
          <w:rFonts w:cs="Times New Roman"/>
          <w:sz w:val="24"/>
        </w:rPr>
        <w:t xml:space="preserve">The study used a classroom-based action research design, structured as a one-group pre-test/post-test comparison over a four-week intervention period. Action research was </w:t>
      </w:r>
      <w:r>
        <w:rPr>
          <w:rFonts w:cs="Times New Roman"/>
          <w:sz w:val="24"/>
        </w:rPr>
        <w:lastRenderedPageBreak/>
        <w:t>appropriate because the aim was to improve classroom practice within a real instructional context, testing whether a communicative extension could be added to an existing ESP curriculum under authentic institutional constraints, rather than to establish a causal effect under controlled experimental conditions (Burns, 2010; Mills, 2011). The single ESP II class involved was selected through convenience sampling: it was the class the researcher was already teaching that semester, which made a genuine classroom-embedded trial possible. Other ESP classes taught by the same researcher continued with regular instruction but did not function as a formal control group, since students were not randomly assigned and no parallel data were collected from them, a design limitation discussed further below.</w:t>
      </w:r>
    </w:p>
    <w:p w14:paraId="502B1112" w14:textId="77777777" w:rsidR="00FC12C5" w:rsidRDefault="00000000">
      <w:pPr>
        <w:pStyle w:val="RALs-Heading2"/>
      </w:pPr>
      <w:r>
        <w:rPr>
          <w:rFonts w:cs="Times New Roman"/>
          <w:sz w:val="24"/>
        </w:rPr>
        <w:t>3.2. Participants</w:t>
      </w:r>
    </w:p>
    <w:p w14:paraId="1F3AB63C" w14:textId="77777777" w:rsidR="00FC12C5" w:rsidRDefault="00000000">
      <w:pPr>
        <w:pStyle w:val="RALs-Normal"/>
      </w:pPr>
      <w:r>
        <w:rPr>
          <w:rFonts w:cs="Times New Roman"/>
          <w:sz w:val="24"/>
        </w:rPr>
        <w:t>Participants were 30 third-year undergraduate students in one ESP II listening class at DAV, placed at approximately B1 level under DAV's institutional procedures. Students without an internationally recognised certificate sat an institutional placement examination covering listening, grammar, vocabulary, reading, and short written responses, aligned with the Vietnamese six-level framework. Most participants had studied English through secondary school before entering university, and several had attended specialised or high-performing secondary schools, consistent with DAV's competitive admissions profile. The course met once weekly for 135-minute sessions; before the intervention, instruction had been predominantly comprehension-oriented, with limited communicative follow-up.</w:t>
      </w:r>
    </w:p>
    <w:p w14:paraId="2A6DD558" w14:textId="77777777" w:rsidR="00FC12C5" w:rsidRDefault="00000000">
      <w:pPr>
        <w:pStyle w:val="RALs-Normal"/>
      </w:pPr>
      <w:r>
        <w:rPr>
          <w:rFonts w:cs="Times New Roman"/>
          <w:sz w:val="24"/>
        </w:rPr>
        <w:t>The researcher was also the classroom teacher, a dual role that carries an inherent risk of bias, since the same person designed the intervention, taught it, and scored the outcome measure. Before data collection, students were informed of the study's purpose and gave verbal consent for anonymised use of their recordings; participation did not affect course grades. Ethical approval was granted by the faculty research committee of the English Division at DAV.</w:t>
      </w:r>
    </w:p>
    <w:p w14:paraId="529E57A0" w14:textId="77777777" w:rsidR="00FC12C5" w:rsidRDefault="00000000">
      <w:pPr>
        <w:pStyle w:val="RALs-Heading2"/>
      </w:pPr>
      <w:r>
        <w:rPr>
          <w:rFonts w:cs="Times New Roman"/>
          <w:sz w:val="24"/>
        </w:rPr>
        <w:t>3.3. Instructional Context</w:t>
      </w:r>
    </w:p>
    <w:p w14:paraId="1F9479FB" w14:textId="77777777" w:rsidR="00FC12C5" w:rsidRDefault="00000000">
      <w:pPr>
        <w:pStyle w:val="RALs-Normal"/>
      </w:pPr>
      <w:r>
        <w:rPr>
          <w:rFonts w:cs="Times New Roman"/>
          <w:sz w:val="24"/>
        </w:rPr>
        <w:t>The course covered listening material on international relations, economics, diplomacy, international law, and global affairs, using authentic sources such as BBC World News, CNN International, Al Jazeera English, and VOA Learning English. Standard practice involved listening comprehension exercises, vocabulary development, note-taking, and news reproduction, with the emphasis on comprehension and recall rather than spoken production. During the intervention, listening texts covered international trade, climate policy, regional conflict, and diplomatic relations, chosen because they matched the curriculum's existing thematic focus. Each 2.5-hour lesson followed the textbook's usual sequence, pre-listening preparation, listening comprehension, vocabulary consolidation, note-taking, and news reproduction, and the intervention was built to sit inside this structure rather than compress or replace any part of it.</w:t>
      </w:r>
    </w:p>
    <w:p w14:paraId="1E185865" w14:textId="77777777" w:rsidR="00FC12C5" w:rsidRDefault="00000000">
      <w:pPr>
        <w:pStyle w:val="RALs-Heading2"/>
      </w:pPr>
      <w:r>
        <w:rPr>
          <w:rFonts w:cs="Times New Roman"/>
          <w:sz w:val="24"/>
        </w:rPr>
        <w:t>3.4. Intervention</w:t>
      </w:r>
    </w:p>
    <w:p w14:paraId="2703D5BD" w14:textId="77777777" w:rsidR="00FC12C5" w:rsidRDefault="00000000">
      <w:pPr>
        <w:pStyle w:val="RALs-Normal"/>
      </w:pPr>
      <w:r>
        <w:rPr>
          <w:rFonts w:cs="Times New Roman"/>
          <w:sz w:val="24"/>
        </w:rPr>
        <w:t xml:space="preserve">The intervention added a brief, interaction-oriented post-listening stage immediately after the standard reproduction task, without replacing any existing activity. A typical lesson </w:t>
      </w:r>
      <w:r>
        <w:rPr>
          <w:rFonts w:cs="Times New Roman"/>
          <w:sz w:val="24"/>
        </w:rPr>
        <w:lastRenderedPageBreak/>
        <w:t>followed this sequence: warm-up and vocabulary preparation; authentic news listening and comprehension tasks; vocabulary consolidation and note-taking; oral or written news reproduction; pair questioning and listening-to-respond activity; and teacher summary. After reproduction, students worked in pairs, one answering follow-up questions while the partner asked, using teacher-provided prompts; roles rotated so both students practised questioning and responding. Prompts moved from factual clarification in the first two weeks to more elaborated, causal-reasoning prompts in the final two weeks (e.g., What happened? Why is it important? How are people reacting? What may happen next?), matched to text structure. The teacher circulated, took brief observation notes, and intervened only occasionally, keeping corrective feedback deliberately light so as not to suppress spontaneous response. The interaction stage lasted roughly three to seven minutes per lesson.</w:t>
      </w:r>
    </w:p>
    <w:p w14:paraId="592B6C3B" w14:textId="77777777" w:rsidR="00FC12C5" w:rsidRDefault="00000000">
      <w:pPr>
        <w:pStyle w:val="RALs-TableCaption"/>
      </w:pPr>
      <w:r>
        <w:rPr>
          <w:rFonts w:cs="Times New Roman"/>
          <w:b/>
          <w:sz w:val="24"/>
        </w:rPr>
        <w:t>Table 1</w:t>
      </w:r>
    </w:p>
    <w:p w14:paraId="71E3F297" w14:textId="77777777" w:rsidR="00FC12C5" w:rsidRDefault="00000000">
      <w:pPr>
        <w:pStyle w:val="RALs-TableCaption"/>
        <w:ind w:left="0" w:firstLine="0"/>
      </w:pPr>
      <w:r>
        <w:rPr>
          <w:rFonts w:cs="Times New Roman"/>
          <w:i/>
          <w:sz w:val="24"/>
        </w:rPr>
        <w:t>Sample Lesson Structure During the Intervention</w:t>
      </w:r>
    </w:p>
    <w:tbl>
      <w:tblPr>
        <w:tblW w:w="0" w:type="auto"/>
        <w:tblLayout w:type="fixed"/>
        <w:tblLook w:val="04A0" w:firstRow="1" w:lastRow="0" w:firstColumn="1" w:lastColumn="0" w:noHBand="0" w:noVBand="1"/>
      </w:tblPr>
      <w:tblGrid>
        <w:gridCol w:w="1872"/>
        <w:gridCol w:w="4752"/>
        <w:gridCol w:w="1872"/>
      </w:tblGrid>
      <w:tr w:rsidR="00FC12C5" w14:paraId="708253EF" w14:textId="77777777">
        <w:tc>
          <w:tcPr>
            <w:tcW w:w="1872" w:type="dxa"/>
            <w:tcBorders>
              <w:top w:val="single" w:sz="4" w:space="0" w:color="auto"/>
              <w:bottom w:val="single" w:sz="4" w:space="0" w:color="auto"/>
            </w:tcBorders>
          </w:tcPr>
          <w:p w14:paraId="50DE7EEB" w14:textId="77777777" w:rsidR="00FC12C5" w:rsidRDefault="00000000">
            <w:pPr>
              <w:spacing w:before="0" w:after="0" w:line="220" w:lineRule="atLeast"/>
              <w:ind w:firstLine="0"/>
              <w:jc w:val="left"/>
            </w:pPr>
            <w:r>
              <w:rPr>
                <w:rFonts w:cs="Times New Roman"/>
                <w:b/>
              </w:rPr>
              <w:t>Stage</w:t>
            </w:r>
          </w:p>
        </w:tc>
        <w:tc>
          <w:tcPr>
            <w:tcW w:w="4752" w:type="dxa"/>
            <w:tcBorders>
              <w:top w:val="single" w:sz="4" w:space="0" w:color="auto"/>
              <w:bottom w:val="single" w:sz="4" w:space="0" w:color="auto"/>
            </w:tcBorders>
          </w:tcPr>
          <w:p w14:paraId="02B7E527" w14:textId="77777777" w:rsidR="00FC12C5" w:rsidRDefault="00000000">
            <w:pPr>
              <w:spacing w:before="0" w:after="0" w:line="220" w:lineRule="atLeast"/>
              <w:ind w:firstLine="0"/>
              <w:jc w:val="left"/>
            </w:pPr>
            <w:r>
              <w:rPr>
                <w:rFonts w:cs="Times New Roman"/>
                <w:b/>
              </w:rPr>
              <w:t>Activity</w:t>
            </w:r>
          </w:p>
        </w:tc>
        <w:tc>
          <w:tcPr>
            <w:tcW w:w="1872" w:type="dxa"/>
            <w:tcBorders>
              <w:top w:val="single" w:sz="4" w:space="0" w:color="auto"/>
              <w:bottom w:val="single" w:sz="4" w:space="0" w:color="auto"/>
            </w:tcBorders>
          </w:tcPr>
          <w:p w14:paraId="63DEAC3C" w14:textId="77777777" w:rsidR="00FC12C5" w:rsidRDefault="00000000">
            <w:pPr>
              <w:spacing w:before="0" w:after="0" w:line="220" w:lineRule="atLeast"/>
              <w:ind w:firstLine="0"/>
              <w:jc w:val="left"/>
            </w:pPr>
            <w:r>
              <w:rPr>
                <w:rFonts w:cs="Times New Roman"/>
                <w:b/>
              </w:rPr>
              <w:t>Approximate Time</w:t>
            </w:r>
          </w:p>
        </w:tc>
      </w:tr>
      <w:tr w:rsidR="00FC12C5" w14:paraId="758F2163" w14:textId="77777777">
        <w:tc>
          <w:tcPr>
            <w:tcW w:w="1872" w:type="dxa"/>
          </w:tcPr>
          <w:p w14:paraId="52DAFC5F" w14:textId="77777777" w:rsidR="00FC12C5" w:rsidRDefault="00000000">
            <w:pPr>
              <w:spacing w:before="0" w:after="0" w:line="220" w:lineRule="atLeast"/>
              <w:ind w:firstLine="0"/>
              <w:jc w:val="left"/>
            </w:pPr>
            <w:r>
              <w:rPr>
                <w:rFonts w:cs="Times New Roman"/>
              </w:rPr>
              <w:t>Warm-up</w:t>
            </w:r>
          </w:p>
        </w:tc>
        <w:tc>
          <w:tcPr>
            <w:tcW w:w="4752" w:type="dxa"/>
          </w:tcPr>
          <w:p w14:paraId="3610AECA" w14:textId="77777777" w:rsidR="00FC12C5" w:rsidRDefault="00000000">
            <w:pPr>
              <w:spacing w:before="0" w:after="0" w:line="220" w:lineRule="atLeast"/>
              <w:ind w:firstLine="0"/>
              <w:jc w:val="left"/>
            </w:pPr>
            <w:r>
              <w:rPr>
                <w:rFonts w:cs="Times New Roman"/>
              </w:rPr>
              <w:t>Topic discussion and activation of background knowledge</w:t>
            </w:r>
          </w:p>
        </w:tc>
        <w:tc>
          <w:tcPr>
            <w:tcW w:w="1872" w:type="dxa"/>
          </w:tcPr>
          <w:p w14:paraId="390E52E6" w14:textId="77777777" w:rsidR="00FC12C5" w:rsidRDefault="00000000">
            <w:pPr>
              <w:spacing w:before="0" w:after="0" w:line="220" w:lineRule="atLeast"/>
              <w:ind w:firstLine="0"/>
              <w:jc w:val="left"/>
            </w:pPr>
            <w:r>
              <w:rPr>
                <w:rFonts w:cs="Times New Roman"/>
              </w:rPr>
              <w:t>15 minutes</w:t>
            </w:r>
          </w:p>
        </w:tc>
      </w:tr>
      <w:tr w:rsidR="00FC12C5" w14:paraId="341F7075" w14:textId="77777777">
        <w:tc>
          <w:tcPr>
            <w:tcW w:w="1872" w:type="dxa"/>
          </w:tcPr>
          <w:p w14:paraId="0F00B905" w14:textId="77777777" w:rsidR="00FC12C5" w:rsidRDefault="00000000">
            <w:pPr>
              <w:spacing w:before="0" w:after="0" w:line="220" w:lineRule="atLeast"/>
              <w:ind w:firstLine="0"/>
              <w:jc w:val="left"/>
            </w:pPr>
            <w:r>
              <w:rPr>
                <w:rFonts w:cs="Times New Roman"/>
              </w:rPr>
              <w:t>Pre-listening</w:t>
            </w:r>
          </w:p>
        </w:tc>
        <w:tc>
          <w:tcPr>
            <w:tcW w:w="4752" w:type="dxa"/>
          </w:tcPr>
          <w:p w14:paraId="29C6B794" w14:textId="77777777" w:rsidR="00FC12C5" w:rsidRDefault="00000000">
            <w:pPr>
              <w:spacing w:before="0" w:after="0" w:line="220" w:lineRule="atLeast"/>
              <w:ind w:firstLine="0"/>
              <w:jc w:val="left"/>
            </w:pPr>
            <w:r>
              <w:rPr>
                <w:rFonts w:cs="Times New Roman"/>
              </w:rPr>
              <w:t>Vocabulary preview and prediction activities</w:t>
            </w:r>
          </w:p>
        </w:tc>
        <w:tc>
          <w:tcPr>
            <w:tcW w:w="1872" w:type="dxa"/>
          </w:tcPr>
          <w:p w14:paraId="477D7C89" w14:textId="77777777" w:rsidR="00FC12C5" w:rsidRDefault="00000000">
            <w:pPr>
              <w:spacing w:before="0" w:after="0" w:line="220" w:lineRule="atLeast"/>
              <w:ind w:firstLine="0"/>
              <w:jc w:val="left"/>
            </w:pPr>
            <w:r>
              <w:rPr>
                <w:rFonts w:cs="Times New Roman"/>
              </w:rPr>
              <w:t>25 minutes</w:t>
            </w:r>
          </w:p>
        </w:tc>
      </w:tr>
      <w:tr w:rsidR="00FC12C5" w14:paraId="70768714" w14:textId="77777777">
        <w:tc>
          <w:tcPr>
            <w:tcW w:w="1872" w:type="dxa"/>
          </w:tcPr>
          <w:p w14:paraId="352A066E" w14:textId="77777777" w:rsidR="00FC12C5" w:rsidRDefault="00000000">
            <w:pPr>
              <w:spacing w:before="0" w:after="0" w:line="220" w:lineRule="atLeast"/>
              <w:ind w:firstLine="0"/>
              <w:jc w:val="left"/>
            </w:pPr>
            <w:r>
              <w:rPr>
                <w:rFonts w:cs="Times New Roman"/>
              </w:rPr>
              <w:t>Listening</w:t>
            </w:r>
          </w:p>
        </w:tc>
        <w:tc>
          <w:tcPr>
            <w:tcW w:w="4752" w:type="dxa"/>
          </w:tcPr>
          <w:p w14:paraId="28458035" w14:textId="77777777" w:rsidR="00FC12C5" w:rsidRDefault="00000000">
            <w:pPr>
              <w:spacing w:before="0" w:after="0" w:line="220" w:lineRule="atLeast"/>
              <w:ind w:firstLine="0"/>
              <w:jc w:val="left"/>
            </w:pPr>
            <w:r>
              <w:rPr>
                <w:rFonts w:cs="Times New Roman"/>
              </w:rPr>
              <w:t>Authentic news listening and comprehension tasks</w:t>
            </w:r>
          </w:p>
        </w:tc>
        <w:tc>
          <w:tcPr>
            <w:tcW w:w="1872" w:type="dxa"/>
          </w:tcPr>
          <w:p w14:paraId="0D54275B" w14:textId="77777777" w:rsidR="00FC12C5" w:rsidRDefault="00000000">
            <w:pPr>
              <w:spacing w:before="0" w:after="0" w:line="220" w:lineRule="atLeast"/>
              <w:ind w:firstLine="0"/>
              <w:jc w:val="left"/>
            </w:pPr>
            <w:r>
              <w:rPr>
                <w:rFonts w:cs="Times New Roman"/>
              </w:rPr>
              <w:t>40 minutes</w:t>
            </w:r>
          </w:p>
        </w:tc>
      </w:tr>
      <w:tr w:rsidR="00FC12C5" w14:paraId="57506FDA" w14:textId="77777777">
        <w:tc>
          <w:tcPr>
            <w:tcW w:w="1872" w:type="dxa"/>
          </w:tcPr>
          <w:p w14:paraId="0E28ECE0" w14:textId="77777777" w:rsidR="00FC12C5" w:rsidRDefault="00000000">
            <w:pPr>
              <w:spacing w:before="0" w:after="0" w:line="220" w:lineRule="atLeast"/>
              <w:ind w:firstLine="0"/>
              <w:jc w:val="left"/>
            </w:pPr>
            <w:r>
              <w:rPr>
                <w:rFonts w:cs="Times New Roman"/>
              </w:rPr>
              <w:t>Reproduction</w:t>
            </w:r>
          </w:p>
        </w:tc>
        <w:tc>
          <w:tcPr>
            <w:tcW w:w="4752" w:type="dxa"/>
          </w:tcPr>
          <w:p w14:paraId="53140259" w14:textId="77777777" w:rsidR="00FC12C5" w:rsidRDefault="00000000">
            <w:pPr>
              <w:spacing w:before="0" w:after="0" w:line="220" w:lineRule="atLeast"/>
              <w:ind w:firstLine="0"/>
              <w:jc w:val="left"/>
            </w:pPr>
            <w:r>
              <w:rPr>
                <w:rFonts w:cs="Times New Roman"/>
              </w:rPr>
              <w:t>Oral or written news reproduction</w:t>
            </w:r>
          </w:p>
        </w:tc>
        <w:tc>
          <w:tcPr>
            <w:tcW w:w="1872" w:type="dxa"/>
          </w:tcPr>
          <w:p w14:paraId="41AAFA48" w14:textId="77777777" w:rsidR="00FC12C5" w:rsidRDefault="00000000">
            <w:pPr>
              <w:spacing w:before="0" w:after="0" w:line="220" w:lineRule="atLeast"/>
              <w:ind w:firstLine="0"/>
              <w:jc w:val="left"/>
            </w:pPr>
            <w:r>
              <w:rPr>
                <w:rFonts w:cs="Times New Roman"/>
              </w:rPr>
              <w:t>25 minutes</w:t>
            </w:r>
          </w:p>
        </w:tc>
      </w:tr>
      <w:tr w:rsidR="00FC12C5" w14:paraId="505940C6" w14:textId="77777777">
        <w:tc>
          <w:tcPr>
            <w:tcW w:w="1872" w:type="dxa"/>
          </w:tcPr>
          <w:p w14:paraId="43DFD3EA" w14:textId="77777777" w:rsidR="00FC12C5" w:rsidRDefault="00000000">
            <w:pPr>
              <w:spacing w:before="0" w:after="0" w:line="220" w:lineRule="atLeast"/>
              <w:ind w:firstLine="0"/>
              <w:jc w:val="left"/>
            </w:pPr>
            <w:r>
              <w:rPr>
                <w:rFonts w:cs="Times New Roman"/>
              </w:rPr>
              <w:t>Interaction extension</w:t>
            </w:r>
          </w:p>
        </w:tc>
        <w:tc>
          <w:tcPr>
            <w:tcW w:w="4752" w:type="dxa"/>
          </w:tcPr>
          <w:p w14:paraId="7CD18A0D" w14:textId="77777777" w:rsidR="00FC12C5" w:rsidRDefault="00000000">
            <w:pPr>
              <w:spacing w:before="0" w:after="0" w:line="220" w:lineRule="atLeast"/>
              <w:ind w:firstLine="0"/>
              <w:jc w:val="left"/>
            </w:pPr>
            <w:r>
              <w:rPr>
                <w:rFonts w:cs="Times New Roman"/>
              </w:rPr>
              <w:t>Pair questioning and listening-to-respond activity</w:t>
            </w:r>
          </w:p>
        </w:tc>
        <w:tc>
          <w:tcPr>
            <w:tcW w:w="1872" w:type="dxa"/>
          </w:tcPr>
          <w:p w14:paraId="0DAA10F5" w14:textId="77777777" w:rsidR="00FC12C5" w:rsidRDefault="00000000">
            <w:pPr>
              <w:spacing w:before="0" w:after="0" w:line="220" w:lineRule="atLeast"/>
              <w:ind w:firstLine="0"/>
              <w:jc w:val="left"/>
            </w:pPr>
            <w:r>
              <w:rPr>
                <w:rFonts w:cs="Times New Roman"/>
              </w:rPr>
              <w:t>3–7 minutes</w:t>
            </w:r>
          </w:p>
        </w:tc>
      </w:tr>
      <w:tr w:rsidR="00FC12C5" w14:paraId="615B351C" w14:textId="77777777">
        <w:tc>
          <w:tcPr>
            <w:tcW w:w="1872" w:type="dxa"/>
            <w:tcBorders>
              <w:bottom w:val="single" w:sz="4" w:space="0" w:color="auto"/>
            </w:tcBorders>
          </w:tcPr>
          <w:p w14:paraId="0B16C77F" w14:textId="77777777" w:rsidR="00FC12C5" w:rsidRDefault="00000000">
            <w:pPr>
              <w:spacing w:before="0" w:after="0" w:line="220" w:lineRule="atLeast"/>
              <w:ind w:firstLine="0"/>
              <w:jc w:val="left"/>
            </w:pPr>
            <w:r>
              <w:rPr>
                <w:rFonts w:cs="Times New Roman"/>
              </w:rPr>
              <w:t>Wrap-up</w:t>
            </w:r>
          </w:p>
        </w:tc>
        <w:tc>
          <w:tcPr>
            <w:tcW w:w="4752" w:type="dxa"/>
            <w:tcBorders>
              <w:bottom w:val="single" w:sz="4" w:space="0" w:color="auto"/>
            </w:tcBorders>
          </w:tcPr>
          <w:p w14:paraId="03F00545" w14:textId="77777777" w:rsidR="00FC12C5" w:rsidRDefault="00000000">
            <w:pPr>
              <w:spacing w:before="0" w:after="0" w:line="220" w:lineRule="atLeast"/>
              <w:ind w:firstLine="0"/>
              <w:jc w:val="left"/>
            </w:pPr>
            <w:r>
              <w:rPr>
                <w:rFonts w:cs="Times New Roman"/>
              </w:rPr>
              <w:t>Teacher summary and clarification</w:t>
            </w:r>
          </w:p>
        </w:tc>
        <w:tc>
          <w:tcPr>
            <w:tcW w:w="1872" w:type="dxa"/>
            <w:tcBorders>
              <w:bottom w:val="single" w:sz="4" w:space="0" w:color="auto"/>
            </w:tcBorders>
          </w:tcPr>
          <w:p w14:paraId="2A06C909" w14:textId="77777777" w:rsidR="00FC12C5" w:rsidRDefault="00000000">
            <w:pPr>
              <w:spacing w:before="0" w:after="0" w:line="220" w:lineRule="atLeast"/>
              <w:ind w:firstLine="0"/>
              <w:jc w:val="left"/>
            </w:pPr>
            <w:r>
              <w:rPr>
                <w:rFonts w:cs="Times New Roman"/>
              </w:rPr>
              <w:t>10 minutes</w:t>
            </w:r>
          </w:p>
        </w:tc>
      </w:tr>
    </w:tbl>
    <w:p w14:paraId="03116105" w14:textId="77777777" w:rsidR="00FC12C5" w:rsidRDefault="00FC12C5">
      <w:pPr>
        <w:pStyle w:val="RALs-Normal"/>
        <w:ind w:firstLine="0"/>
      </w:pPr>
    </w:p>
    <w:p w14:paraId="4CC3BB3B" w14:textId="77777777" w:rsidR="00FC12C5" w:rsidRDefault="00000000">
      <w:pPr>
        <w:pStyle w:val="RALs-Heading2"/>
      </w:pPr>
      <w:r>
        <w:rPr>
          <w:rFonts w:cs="Times New Roman"/>
          <w:sz w:val="24"/>
        </w:rPr>
        <w:t>3.5. Data Collection</w:t>
      </w:r>
    </w:p>
    <w:p w14:paraId="0BF2AC0B" w14:textId="77777777" w:rsidR="00FC12C5" w:rsidRDefault="00000000">
      <w:pPr>
        <w:pStyle w:val="RALs-Normal"/>
      </w:pPr>
      <w:r>
        <w:rPr>
          <w:rFonts w:cs="Times New Roman"/>
          <w:sz w:val="24"/>
        </w:rPr>
        <w:t>Pre-test and post-test listening-to-respond tasks were administered before and after the four-week intervention. Students listened to a short news report, took brief notes, and recorded oral responses to two follow-up questions, without preparing full scripts in advance; each response lasted roughly 45–60 seconds. Recordings were scored by the researcher using the rubric described below. A second independent rater was not involved, so inter-rater reliability could not be established, a limitation addressed in the Discussion. The researcher also kept brief observation notes on participation patterns, hesitation, and interactional difficulties during the pair activities, used to support interpretation of the qualitative findings.</w:t>
      </w:r>
    </w:p>
    <w:p w14:paraId="77BED1CC" w14:textId="77777777" w:rsidR="00FC12C5" w:rsidRDefault="00000000">
      <w:pPr>
        <w:pStyle w:val="RALs-Heading2"/>
      </w:pPr>
      <w:r>
        <w:rPr>
          <w:rFonts w:cs="Times New Roman"/>
          <w:sz w:val="24"/>
        </w:rPr>
        <w:t>3.6. Assessment Rubric</w:t>
      </w:r>
    </w:p>
    <w:p w14:paraId="6E837AF7" w14:textId="77777777" w:rsidR="00FC12C5" w:rsidRDefault="00000000">
      <w:pPr>
        <w:pStyle w:val="RALs-Normal"/>
      </w:pPr>
      <w:r>
        <w:rPr>
          <w:rFonts w:cs="Times New Roman"/>
          <w:sz w:val="24"/>
        </w:rPr>
        <w:t>Recordings were scored on a four-category analytic rubric, Comprehension, Response Relevance, Fluency, and Response Development, each rated on a five-point scale (Table 2).</w:t>
      </w:r>
    </w:p>
    <w:p w14:paraId="4511394F" w14:textId="77777777" w:rsidR="00FC12C5" w:rsidRDefault="00000000">
      <w:pPr>
        <w:pStyle w:val="RALs-TableCaption"/>
      </w:pPr>
      <w:r>
        <w:rPr>
          <w:rFonts w:cs="Times New Roman"/>
          <w:b/>
          <w:sz w:val="24"/>
        </w:rPr>
        <w:t>Table 2</w:t>
      </w:r>
    </w:p>
    <w:p w14:paraId="40D074F9" w14:textId="77777777" w:rsidR="00FC12C5" w:rsidRDefault="00000000">
      <w:pPr>
        <w:pStyle w:val="RALs-TableCaption"/>
        <w:ind w:left="0" w:firstLine="0"/>
      </w:pPr>
      <w:r>
        <w:rPr>
          <w:rFonts w:cs="Times New Roman"/>
          <w:i/>
          <w:sz w:val="24"/>
        </w:rPr>
        <w:t>Summary of Analytic Rubric Descriptors</w:t>
      </w:r>
    </w:p>
    <w:tbl>
      <w:tblPr>
        <w:tblW w:w="0" w:type="auto"/>
        <w:tblLayout w:type="fixed"/>
        <w:tblLook w:val="04A0" w:firstRow="1" w:lastRow="0" w:firstColumn="1" w:lastColumn="0" w:noHBand="0" w:noVBand="1"/>
      </w:tblPr>
      <w:tblGrid>
        <w:gridCol w:w="1728"/>
        <w:gridCol w:w="2448"/>
        <w:gridCol w:w="2448"/>
        <w:gridCol w:w="2448"/>
      </w:tblGrid>
      <w:tr w:rsidR="00FC12C5" w14:paraId="38F1247D" w14:textId="77777777">
        <w:tc>
          <w:tcPr>
            <w:tcW w:w="1728" w:type="dxa"/>
            <w:tcBorders>
              <w:top w:val="single" w:sz="4" w:space="0" w:color="auto"/>
              <w:bottom w:val="single" w:sz="4" w:space="0" w:color="auto"/>
            </w:tcBorders>
          </w:tcPr>
          <w:p w14:paraId="1824562B" w14:textId="77777777" w:rsidR="00FC12C5" w:rsidRDefault="00000000">
            <w:pPr>
              <w:spacing w:before="0" w:after="0" w:line="220" w:lineRule="atLeast"/>
              <w:ind w:firstLine="0"/>
              <w:jc w:val="left"/>
            </w:pPr>
            <w:r>
              <w:rPr>
                <w:rFonts w:cs="Times New Roman"/>
                <w:b/>
              </w:rPr>
              <w:t>Category</w:t>
            </w:r>
          </w:p>
        </w:tc>
        <w:tc>
          <w:tcPr>
            <w:tcW w:w="2448" w:type="dxa"/>
            <w:tcBorders>
              <w:top w:val="single" w:sz="4" w:space="0" w:color="auto"/>
              <w:bottom w:val="single" w:sz="4" w:space="0" w:color="auto"/>
            </w:tcBorders>
          </w:tcPr>
          <w:p w14:paraId="450A5DB4" w14:textId="77777777" w:rsidR="00FC12C5" w:rsidRDefault="00000000">
            <w:pPr>
              <w:spacing w:before="0" w:after="0" w:line="220" w:lineRule="atLeast"/>
              <w:ind w:firstLine="0"/>
              <w:jc w:val="left"/>
            </w:pPr>
            <w:r>
              <w:rPr>
                <w:rFonts w:cs="Times New Roman"/>
                <w:b/>
              </w:rPr>
              <w:t>Score 1</w:t>
            </w:r>
          </w:p>
        </w:tc>
        <w:tc>
          <w:tcPr>
            <w:tcW w:w="2448" w:type="dxa"/>
            <w:tcBorders>
              <w:top w:val="single" w:sz="4" w:space="0" w:color="auto"/>
              <w:bottom w:val="single" w:sz="4" w:space="0" w:color="auto"/>
            </w:tcBorders>
          </w:tcPr>
          <w:p w14:paraId="39B99111" w14:textId="77777777" w:rsidR="00FC12C5" w:rsidRDefault="00000000">
            <w:pPr>
              <w:spacing w:before="0" w:after="0" w:line="220" w:lineRule="atLeast"/>
              <w:ind w:firstLine="0"/>
              <w:jc w:val="left"/>
            </w:pPr>
            <w:r>
              <w:rPr>
                <w:rFonts w:cs="Times New Roman"/>
                <w:b/>
              </w:rPr>
              <w:t>Score 3</w:t>
            </w:r>
          </w:p>
        </w:tc>
        <w:tc>
          <w:tcPr>
            <w:tcW w:w="2448" w:type="dxa"/>
            <w:tcBorders>
              <w:top w:val="single" w:sz="4" w:space="0" w:color="auto"/>
              <w:bottom w:val="single" w:sz="4" w:space="0" w:color="auto"/>
            </w:tcBorders>
          </w:tcPr>
          <w:p w14:paraId="1EFF0861" w14:textId="77777777" w:rsidR="00FC12C5" w:rsidRDefault="00000000">
            <w:pPr>
              <w:spacing w:before="0" w:after="0" w:line="220" w:lineRule="atLeast"/>
              <w:ind w:firstLine="0"/>
              <w:jc w:val="left"/>
            </w:pPr>
            <w:r>
              <w:rPr>
                <w:rFonts w:cs="Times New Roman"/>
                <w:b/>
              </w:rPr>
              <w:t>Score 5</w:t>
            </w:r>
          </w:p>
        </w:tc>
      </w:tr>
      <w:tr w:rsidR="00FC12C5" w14:paraId="3DC08DB4" w14:textId="77777777">
        <w:tc>
          <w:tcPr>
            <w:tcW w:w="1728" w:type="dxa"/>
          </w:tcPr>
          <w:p w14:paraId="1611B28B" w14:textId="77777777" w:rsidR="00FC12C5" w:rsidRDefault="00000000">
            <w:pPr>
              <w:spacing w:before="0" w:after="0" w:line="220" w:lineRule="atLeast"/>
              <w:ind w:firstLine="0"/>
              <w:jc w:val="left"/>
            </w:pPr>
            <w:r>
              <w:rPr>
                <w:rFonts w:cs="Times New Roman"/>
              </w:rPr>
              <w:t>Comprehension</w:t>
            </w:r>
          </w:p>
        </w:tc>
        <w:tc>
          <w:tcPr>
            <w:tcW w:w="2448" w:type="dxa"/>
          </w:tcPr>
          <w:p w14:paraId="3FFB3DE3" w14:textId="77777777" w:rsidR="00FC12C5" w:rsidRDefault="00000000">
            <w:pPr>
              <w:spacing w:before="0" w:after="0" w:line="220" w:lineRule="atLeast"/>
              <w:ind w:firstLine="0"/>
              <w:jc w:val="left"/>
            </w:pPr>
            <w:r>
              <w:rPr>
                <w:rFonts w:cs="Times New Roman"/>
              </w:rPr>
              <w:t>Limited understanding of main ideas</w:t>
            </w:r>
          </w:p>
        </w:tc>
        <w:tc>
          <w:tcPr>
            <w:tcW w:w="2448" w:type="dxa"/>
          </w:tcPr>
          <w:p w14:paraId="2481FA91" w14:textId="77777777" w:rsidR="00FC12C5" w:rsidRDefault="00000000">
            <w:pPr>
              <w:spacing w:before="0" w:after="0" w:line="220" w:lineRule="atLeast"/>
              <w:ind w:firstLine="0"/>
              <w:jc w:val="left"/>
            </w:pPr>
            <w:r>
              <w:rPr>
                <w:rFonts w:cs="Times New Roman"/>
              </w:rPr>
              <w:t>Understands main ideas with some missing details</w:t>
            </w:r>
          </w:p>
        </w:tc>
        <w:tc>
          <w:tcPr>
            <w:tcW w:w="2448" w:type="dxa"/>
          </w:tcPr>
          <w:p w14:paraId="297662FF" w14:textId="77777777" w:rsidR="00FC12C5" w:rsidRDefault="00000000">
            <w:pPr>
              <w:spacing w:before="0" w:after="0" w:line="220" w:lineRule="atLeast"/>
              <w:ind w:firstLine="0"/>
              <w:jc w:val="left"/>
            </w:pPr>
            <w:r>
              <w:rPr>
                <w:rFonts w:cs="Times New Roman"/>
              </w:rPr>
              <w:t>Accurate understanding of main ideas and supporting details</w:t>
            </w:r>
          </w:p>
        </w:tc>
      </w:tr>
      <w:tr w:rsidR="00FC12C5" w14:paraId="457303E0" w14:textId="77777777">
        <w:tc>
          <w:tcPr>
            <w:tcW w:w="1728" w:type="dxa"/>
          </w:tcPr>
          <w:p w14:paraId="1F090DA8" w14:textId="77777777" w:rsidR="00FC12C5" w:rsidRDefault="00000000">
            <w:pPr>
              <w:spacing w:before="0" w:after="0" w:line="220" w:lineRule="atLeast"/>
              <w:ind w:firstLine="0"/>
              <w:jc w:val="left"/>
            </w:pPr>
            <w:r>
              <w:rPr>
                <w:rFonts w:cs="Times New Roman"/>
              </w:rPr>
              <w:t>Response Relevance</w:t>
            </w:r>
          </w:p>
        </w:tc>
        <w:tc>
          <w:tcPr>
            <w:tcW w:w="2448" w:type="dxa"/>
          </w:tcPr>
          <w:p w14:paraId="395DA2A6" w14:textId="77777777" w:rsidR="00FC12C5" w:rsidRDefault="00000000">
            <w:pPr>
              <w:spacing w:before="0" w:after="0" w:line="220" w:lineRule="atLeast"/>
              <w:ind w:firstLine="0"/>
              <w:jc w:val="left"/>
            </w:pPr>
            <w:r>
              <w:rPr>
                <w:rFonts w:cs="Times New Roman"/>
              </w:rPr>
              <w:t>Responses minimally connected to questions</w:t>
            </w:r>
          </w:p>
        </w:tc>
        <w:tc>
          <w:tcPr>
            <w:tcW w:w="2448" w:type="dxa"/>
          </w:tcPr>
          <w:p w14:paraId="5835921F" w14:textId="77777777" w:rsidR="00FC12C5" w:rsidRDefault="00000000">
            <w:pPr>
              <w:spacing w:before="0" w:after="0" w:line="220" w:lineRule="atLeast"/>
              <w:ind w:firstLine="0"/>
              <w:jc w:val="left"/>
            </w:pPr>
            <w:r>
              <w:rPr>
                <w:rFonts w:cs="Times New Roman"/>
              </w:rPr>
              <w:t>Responses generally relevant but occasionally unclear</w:t>
            </w:r>
          </w:p>
        </w:tc>
        <w:tc>
          <w:tcPr>
            <w:tcW w:w="2448" w:type="dxa"/>
          </w:tcPr>
          <w:p w14:paraId="1A33849C" w14:textId="77777777" w:rsidR="00FC12C5" w:rsidRDefault="00000000">
            <w:pPr>
              <w:spacing w:before="0" w:after="0" w:line="220" w:lineRule="atLeast"/>
              <w:ind w:firstLine="0"/>
              <w:jc w:val="left"/>
            </w:pPr>
            <w:r>
              <w:rPr>
                <w:rFonts w:cs="Times New Roman"/>
              </w:rPr>
              <w:t>Responses consistently relevant and appropriate</w:t>
            </w:r>
          </w:p>
        </w:tc>
      </w:tr>
      <w:tr w:rsidR="00FC12C5" w14:paraId="33E58285" w14:textId="77777777">
        <w:tc>
          <w:tcPr>
            <w:tcW w:w="1728" w:type="dxa"/>
          </w:tcPr>
          <w:p w14:paraId="686892D9" w14:textId="77777777" w:rsidR="00FC12C5" w:rsidRDefault="00000000">
            <w:pPr>
              <w:spacing w:before="0" w:after="0" w:line="220" w:lineRule="atLeast"/>
              <w:ind w:firstLine="0"/>
              <w:jc w:val="left"/>
            </w:pPr>
            <w:r>
              <w:rPr>
                <w:rFonts w:cs="Times New Roman"/>
              </w:rPr>
              <w:lastRenderedPageBreak/>
              <w:t>Fluency</w:t>
            </w:r>
          </w:p>
        </w:tc>
        <w:tc>
          <w:tcPr>
            <w:tcW w:w="2448" w:type="dxa"/>
          </w:tcPr>
          <w:p w14:paraId="0ED66CF2" w14:textId="77777777" w:rsidR="00FC12C5" w:rsidRDefault="00000000">
            <w:pPr>
              <w:spacing w:before="0" w:after="0" w:line="220" w:lineRule="atLeast"/>
              <w:ind w:firstLine="0"/>
              <w:jc w:val="left"/>
            </w:pPr>
            <w:r>
              <w:rPr>
                <w:rFonts w:cs="Times New Roman"/>
              </w:rPr>
              <w:t>Frequent pauses and fragmented speech</w:t>
            </w:r>
          </w:p>
        </w:tc>
        <w:tc>
          <w:tcPr>
            <w:tcW w:w="2448" w:type="dxa"/>
          </w:tcPr>
          <w:p w14:paraId="531E38C9" w14:textId="77777777" w:rsidR="00FC12C5" w:rsidRDefault="00000000">
            <w:pPr>
              <w:spacing w:before="0" w:after="0" w:line="220" w:lineRule="atLeast"/>
              <w:ind w:firstLine="0"/>
              <w:jc w:val="left"/>
            </w:pPr>
            <w:r>
              <w:rPr>
                <w:rFonts w:cs="Times New Roman"/>
              </w:rPr>
              <w:t>Some hesitation but generally understandable</w:t>
            </w:r>
          </w:p>
        </w:tc>
        <w:tc>
          <w:tcPr>
            <w:tcW w:w="2448" w:type="dxa"/>
          </w:tcPr>
          <w:p w14:paraId="49754BB0" w14:textId="77777777" w:rsidR="00FC12C5" w:rsidRDefault="00000000">
            <w:pPr>
              <w:spacing w:before="0" w:after="0" w:line="220" w:lineRule="atLeast"/>
              <w:ind w:firstLine="0"/>
              <w:jc w:val="left"/>
            </w:pPr>
            <w:r>
              <w:rPr>
                <w:rFonts w:cs="Times New Roman"/>
              </w:rPr>
              <w:t>Smooth and sustained speech with minimal hesitation</w:t>
            </w:r>
          </w:p>
        </w:tc>
      </w:tr>
      <w:tr w:rsidR="00FC12C5" w14:paraId="4FB4A2D0" w14:textId="77777777">
        <w:tc>
          <w:tcPr>
            <w:tcW w:w="1728" w:type="dxa"/>
            <w:tcBorders>
              <w:bottom w:val="single" w:sz="4" w:space="0" w:color="auto"/>
            </w:tcBorders>
          </w:tcPr>
          <w:p w14:paraId="06CCEB28" w14:textId="77777777" w:rsidR="00FC12C5" w:rsidRDefault="00000000">
            <w:pPr>
              <w:spacing w:before="0" w:after="0" w:line="220" w:lineRule="atLeast"/>
              <w:ind w:firstLine="0"/>
              <w:jc w:val="left"/>
            </w:pPr>
            <w:r>
              <w:rPr>
                <w:rFonts w:cs="Times New Roman"/>
              </w:rPr>
              <w:t>Response Development</w:t>
            </w:r>
          </w:p>
        </w:tc>
        <w:tc>
          <w:tcPr>
            <w:tcW w:w="2448" w:type="dxa"/>
            <w:tcBorders>
              <w:bottom w:val="single" w:sz="4" w:space="0" w:color="auto"/>
            </w:tcBorders>
          </w:tcPr>
          <w:p w14:paraId="7E6611E7" w14:textId="77777777" w:rsidR="00FC12C5" w:rsidRDefault="00000000">
            <w:pPr>
              <w:spacing w:before="0" w:after="0" w:line="220" w:lineRule="atLeast"/>
              <w:ind w:firstLine="0"/>
              <w:jc w:val="left"/>
            </w:pPr>
            <w:r>
              <w:rPr>
                <w:rFonts w:cs="Times New Roman"/>
              </w:rPr>
              <w:t>Very short or repetitive responses</w:t>
            </w:r>
          </w:p>
        </w:tc>
        <w:tc>
          <w:tcPr>
            <w:tcW w:w="2448" w:type="dxa"/>
            <w:tcBorders>
              <w:bottom w:val="single" w:sz="4" w:space="0" w:color="auto"/>
            </w:tcBorders>
          </w:tcPr>
          <w:p w14:paraId="2CC9C9D9" w14:textId="77777777" w:rsidR="00FC12C5" w:rsidRDefault="00000000">
            <w:pPr>
              <w:spacing w:before="0" w:after="0" w:line="220" w:lineRule="atLeast"/>
              <w:ind w:firstLine="0"/>
              <w:jc w:val="left"/>
            </w:pPr>
            <w:r>
              <w:rPr>
                <w:rFonts w:cs="Times New Roman"/>
              </w:rPr>
              <w:t>Some explanation or elaboration provided</w:t>
            </w:r>
          </w:p>
        </w:tc>
        <w:tc>
          <w:tcPr>
            <w:tcW w:w="2448" w:type="dxa"/>
            <w:tcBorders>
              <w:bottom w:val="single" w:sz="4" w:space="0" w:color="auto"/>
            </w:tcBorders>
          </w:tcPr>
          <w:p w14:paraId="54515848" w14:textId="77777777" w:rsidR="00FC12C5" w:rsidRDefault="00000000">
            <w:pPr>
              <w:spacing w:before="0" w:after="0" w:line="220" w:lineRule="atLeast"/>
              <w:ind w:firstLine="0"/>
              <w:jc w:val="left"/>
            </w:pPr>
            <w:r>
              <w:rPr>
                <w:rFonts w:cs="Times New Roman"/>
              </w:rPr>
              <w:t>Responses extended with clear explanation and supporting ideas</w:t>
            </w:r>
          </w:p>
        </w:tc>
      </w:tr>
    </w:tbl>
    <w:p w14:paraId="5FD6EB8A" w14:textId="77777777" w:rsidR="00FC12C5" w:rsidRDefault="00FC12C5">
      <w:pPr>
        <w:pStyle w:val="RALs-Normal"/>
        <w:ind w:firstLine="0"/>
      </w:pPr>
    </w:p>
    <w:p w14:paraId="5316EF23" w14:textId="77777777" w:rsidR="00FC12C5" w:rsidRDefault="00000000">
      <w:pPr>
        <w:pStyle w:val="RALs-Normal"/>
      </w:pPr>
      <w:r>
        <w:rPr>
          <w:rFonts w:cs="Times New Roman"/>
          <w:sz w:val="24"/>
        </w:rPr>
        <w:t>The rubric was developed by the researcher directly from the constructs central to the study's theoretical framework, since no published instrument targeted listening-to-respond specifically for an ESP setting. Comprehension descriptors reflect established listening-assessment criteria describing accuracy of understanding of main ideas and supporting detail (Field, 2008; Flowerdew &amp; Miller, 2005). Response Relevance and Response Development descriptors were written to capture the interactional and output dimensions emphasised by Long (1996) and Swain (2005): whether a response addressed the question asked, and whether it was extended with explanation rather than left at bare recall. Fluency descriptors reflect the broader communicative competence construct (Canale &amp; Swain, 1980), specifically its emphasis on effective, connected spoken performance rather than accuracy alone. Score-point descriptors were written in plain, behaviourally anchored language so that a single classroom rater could apply them consistently across recordings.</w:t>
      </w:r>
    </w:p>
    <w:p w14:paraId="31E10209" w14:textId="77777777" w:rsidR="00FC12C5" w:rsidRDefault="00000000">
      <w:pPr>
        <w:pStyle w:val="RALs-Normal"/>
      </w:pPr>
      <w:r>
        <w:rPr>
          <w:rFonts w:cs="Times New Roman"/>
          <w:sz w:val="24"/>
        </w:rPr>
        <w:t>Conceptual grounding of this kind, rather than statistical validation, is the basis on which the rubric's appropriateness for this study rests. No formal expert panel review, pilot validation, or psychometric analysis, such as a reliability coefficient or factor analysis, was conducted, and a single rater scored all recordings, so no inter-rater reliability statistic exists. For a small-scale classroom action research project designed to trial a pedagogical adjustment rather than to produce a standardised instrument, this level of instrument development is consistent with the exploratory purpose of the study.</w:t>
      </w:r>
    </w:p>
    <w:p w14:paraId="2017D176" w14:textId="77777777" w:rsidR="00FC12C5" w:rsidRDefault="00000000">
      <w:pPr>
        <w:pStyle w:val="RALs-Heading2"/>
      </w:pPr>
      <w:r>
        <w:rPr>
          <w:rFonts w:cs="Times New Roman"/>
          <w:sz w:val="24"/>
        </w:rPr>
        <w:t>3.7. Delimitations of the Study</w:t>
      </w:r>
    </w:p>
    <w:p w14:paraId="4CCB6C91" w14:textId="77777777" w:rsidR="00FC12C5" w:rsidRDefault="00000000">
      <w:pPr>
        <w:pStyle w:val="RALs-Normal"/>
      </w:pPr>
      <w:r>
        <w:rPr>
          <w:rFonts w:cs="Times New Roman"/>
          <w:sz w:val="24"/>
        </w:rPr>
        <w:t xml:space="preserve">The scope of this study was deliberately bounded, and these boundaries should be read as intentional design decisions rather than as unplanned gaps, which are discussed separately under Limitations. The study examined one intact ESP II class at one institution because the design required a genuine classroom-embedded trial, led by the students' own teacher, rather than an artificial or borrowed setting; investigating multiple classes was beyond the scope of a single-cycle action research project of this kind. The study examined listening-to-respond performance specifically, rather than general oral proficiency or listening comprehension in isolation, because this construct most directly reflects the interactional demand the intervention was designed to strengthen. Only authentic news-based listening lessons already used in the ESP II syllabus were included, so that the intervention could be evaluated under the exact instructional conditions the course normally provides, rather than under specially constructed materials that might not transfer to regular practice. Finally, the intervention was limited to a brief interaction-oriented post-listening questioning stage rather than a broader communicative task, such as role play or extended discussion, because the guiding concern was whether a minimal, low-preparation adaptation could be absorbed into an existing reproduction-based </w:t>
      </w:r>
      <w:r>
        <w:rPr>
          <w:rFonts w:cs="Times New Roman"/>
          <w:sz w:val="24"/>
        </w:rPr>
        <w:lastRenderedPageBreak/>
        <w:t>lesson without displacing it; broader tasks would have required curriculum time this study was not designed to test.</w:t>
      </w:r>
    </w:p>
    <w:p w14:paraId="3310C234" w14:textId="77777777" w:rsidR="00FC12C5" w:rsidRDefault="00000000">
      <w:pPr>
        <w:pStyle w:val="RALs-Heading2"/>
      </w:pPr>
      <w:r>
        <w:rPr>
          <w:rFonts w:cs="Times New Roman"/>
          <w:sz w:val="24"/>
        </w:rPr>
        <w:t>3.8. Data Analysis</w:t>
      </w:r>
    </w:p>
    <w:p w14:paraId="24F72254" w14:textId="77777777" w:rsidR="00FC12C5" w:rsidRDefault="00000000">
      <w:pPr>
        <w:pStyle w:val="RALs-Normal"/>
      </w:pPr>
      <w:r>
        <w:rPr>
          <w:rFonts w:cs="Times New Roman"/>
          <w:sz w:val="24"/>
        </w:rPr>
        <w:t xml:space="preserve">Scores for each rubric category were entered into Microsoft Excel for both the pre-test and post-test, and descriptive statistics, means, standard deviations, and mean differences, were computed for each category and the total score. Prior to inferential testing, the assumption of normality was checked by applying the Shapiro-Wilk test to the pre-post difference scores for each category and the total score, since paired-samples </w:t>
      </w:r>
      <w:r>
        <w:rPr>
          <w:rFonts w:cs="Times New Roman"/>
          <w:i/>
          <w:sz w:val="24"/>
        </w:rPr>
        <w:t>t</w:t>
      </w:r>
      <w:r>
        <w:rPr>
          <w:rFonts w:cs="Times New Roman"/>
          <w:sz w:val="24"/>
        </w:rPr>
        <w:t xml:space="preserve">-tests assume that these difference scores are approximately normally distributed. In every case, the Shapiro-Wilk test indicated a significant departure from normality, </w:t>
      </w:r>
      <w:r>
        <w:rPr>
          <w:rFonts w:cs="Times New Roman"/>
          <w:i/>
          <w:sz w:val="24"/>
        </w:rPr>
        <w:t>W</w:t>
      </w:r>
      <w:r>
        <w:rPr>
          <w:rFonts w:cs="Times New Roman"/>
          <w:sz w:val="24"/>
        </w:rPr>
        <w:t xml:space="preserve"> ranging from 0.58 to 0.84, </w:t>
      </w:r>
      <w:r>
        <w:rPr>
          <w:rFonts w:cs="Times New Roman"/>
          <w:i/>
          <w:sz w:val="24"/>
        </w:rPr>
        <w:t>p</w:t>
      </w:r>
      <w:r>
        <w:rPr>
          <w:rFonts w:cs="Times New Roman"/>
          <w:sz w:val="24"/>
        </w:rPr>
        <w:t xml:space="preserve"> &lt; .001, consistent with the bounded, discrete nature of a five-point rubric applied to a sample of this size.</w:t>
      </w:r>
    </w:p>
    <w:p w14:paraId="37ECB766" w14:textId="77777777" w:rsidR="00FC12C5" w:rsidRDefault="00000000">
      <w:pPr>
        <w:pStyle w:val="RALs-Normal"/>
      </w:pPr>
      <w:r>
        <w:rPr>
          <w:rFonts w:cs="Times New Roman"/>
          <w:sz w:val="24"/>
        </w:rPr>
        <w:t xml:space="preserve">Because this assumption was not satisfied, the non-parametric Wilcoxon signed-rank test served as the primary inferential analysis comparing pre-test and post-test scores for each category and the total score. Paired-samples </w:t>
      </w:r>
      <w:r>
        <w:rPr>
          <w:rFonts w:cs="Times New Roman"/>
          <w:i/>
          <w:sz w:val="24"/>
        </w:rPr>
        <w:t>t</w:t>
      </w:r>
      <w:r>
        <w:rPr>
          <w:rFonts w:cs="Times New Roman"/>
          <w:sz w:val="24"/>
        </w:rPr>
        <w:t xml:space="preserve">-tests were also computed and are reported alongside the Wilcoxon results as a supplementary robustness check; because both tests converged on the same conclusion for every comparison, this convergence increases confidence that the pattern of significant gains is not an artefact of the specific test chosen. Cohen's </w:t>
      </w:r>
      <w:r>
        <w:rPr>
          <w:rFonts w:cs="Times New Roman"/>
          <w:i/>
          <w:sz w:val="24"/>
        </w:rPr>
        <w:t>d</w:t>
      </w:r>
      <w:r>
        <w:rPr>
          <w:rFonts w:cs="Times New Roman"/>
          <w:sz w:val="24"/>
        </w:rPr>
        <w:t xml:space="preserve"> for paired samples (the mean difference divided by the standard deviation of the difference scores) was computed for each comparison as a standardised, scale-independent measure of the size of the change, interpreted using Cohen's (1988) conventional benchmarks (0.2 = small, 0.5 = medium, 0.8 = large). All statistics were computed using JASP.</w:t>
      </w:r>
    </w:p>
    <w:p w14:paraId="0F449774" w14:textId="77777777" w:rsidR="00FC12C5" w:rsidRDefault="00000000">
      <w:pPr>
        <w:pStyle w:val="RALs-Normal"/>
      </w:pPr>
      <w:r>
        <w:rPr>
          <w:rFonts w:cs="Times New Roman"/>
          <w:sz w:val="24"/>
        </w:rPr>
        <w:t>Qualitative analysis involved examining representative excerpts from student recordings and classroom observation notes, organised by recurring news-text types and question types used throughout the intervention, to identify patterns in explanation, causal reasoning, elaboration, and response relevance.</w:t>
      </w:r>
    </w:p>
    <w:p w14:paraId="5572F6FC" w14:textId="77777777" w:rsidR="00FC12C5" w:rsidRDefault="00000000">
      <w:pPr>
        <w:pStyle w:val="RALs-Heading1"/>
      </w:pPr>
      <w:r>
        <w:rPr>
          <w:rFonts w:cs="Times New Roman"/>
          <w:sz w:val="24"/>
        </w:rPr>
        <w:t>4. Results</w:t>
      </w:r>
    </w:p>
    <w:p w14:paraId="367A0414" w14:textId="77777777" w:rsidR="00FC12C5" w:rsidRDefault="00000000">
      <w:pPr>
        <w:pStyle w:val="RALs-Heading2"/>
      </w:pPr>
      <w:r>
        <w:rPr>
          <w:rFonts w:cs="Times New Roman"/>
          <w:sz w:val="24"/>
        </w:rPr>
        <w:t>4.1. Descriptive Statistics</w:t>
      </w:r>
    </w:p>
    <w:p w14:paraId="01FB47A4" w14:textId="77777777" w:rsidR="00FC12C5" w:rsidRDefault="00000000">
      <w:pPr>
        <w:pStyle w:val="RALs-Normal"/>
      </w:pPr>
      <w:r>
        <w:rPr>
          <w:rFonts w:cs="Times New Roman"/>
          <w:sz w:val="24"/>
        </w:rPr>
        <w:t>All 30 students completed both the pre-test and post-test tasks. Table 3 presents the mean scores, standard deviations, and mean differences for each rubric category and the total score.</w:t>
      </w:r>
    </w:p>
    <w:p w14:paraId="1FF7FFEC" w14:textId="77777777" w:rsidR="00FC12C5" w:rsidRDefault="00000000">
      <w:pPr>
        <w:pStyle w:val="RALs-TableCaption"/>
      </w:pPr>
      <w:r>
        <w:rPr>
          <w:rFonts w:cs="Times New Roman"/>
          <w:b/>
          <w:sz w:val="24"/>
        </w:rPr>
        <w:t>Table 3</w:t>
      </w:r>
    </w:p>
    <w:p w14:paraId="0821D410" w14:textId="77777777" w:rsidR="00FC12C5" w:rsidRDefault="00000000">
      <w:pPr>
        <w:pStyle w:val="RALs-TableCaption"/>
        <w:ind w:left="0" w:firstLine="0"/>
      </w:pPr>
      <w:r>
        <w:rPr>
          <w:rFonts w:cs="Times New Roman"/>
          <w:i/>
          <w:sz w:val="24"/>
        </w:rPr>
        <w:t>Descriptive Statistics for Pre-Test and Post-Test Scores (N = 30)</w:t>
      </w:r>
    </w:p>
    <w:tbl>
      <w:tblPr>
        <w:tblW w:w="0" w:type="auto"/>
        <w:tblLayout w:type="fixed"/>
        <w:tblLook w:val="04A0" w:firstRow="1" w:lastRow="0" w:firstColumn="1" w:lastColumn="0" w:noHBand="0" w:noVBand="1"/>
      </w:tblPr>
      <w:tblGrid>
        <w:gridCol w:w="2592"/>
        <w:gridCol w:w="2160"/>
        <w:gridCol w:w="2160"/>
        <w:gridCol w:w="2016"/>
      </w:tblGrid>
      <w:tr w:rsidR="00FC12C5" w14:paraId="7C42CC83" w14:textId="77777777">
        <w:tc>
          <w:tcPr>
            <w:tcW w:w="2592" w:type="dxa"/>
            <w:tcBorders>
              <w:top w:val="single" w:sz="4" w:space="0" w:color="auto"/>
              <w:bottom w:val="single" w:sz="4" w:space="0" w:color="auto"/>
            </w:tcBorders>
          </w:tcPr>
          <w:p w14:paraId="14D10D55" w14:textId="77777777" w:rsidR="00FC12C5" w:rsidRDefault="00000000">
            <w:pPr>
              <w:spacing w:before="0" w:after="0" w:line="220" w:lineRule="atLeast"/>
              <w:ind w:firstLine="0"/>
              <w:jc w:val="left"/>
            </w:pPr>
            <w:r>
              <w:rPr>
                <w:rFonts w:cs="Times New Roman"/>
                <w:b/>
              </w:rPr>
              <w:t>Category</w:t>
            </w:r>
          </w:p>
        </w:tc>
        <w:tc>
          <w:tcPr>
            <w:tcW w:w="2160" w:type="dxa"/>
            <w:tcBorders>
              <w:top w:val="single" w:sz="4" w:space="0" w:color="auto"/>
              <w:bottom w:val="single" w:sz="4" w:space="0" w:color="auto"/>
            </w:tcBorders>
          </w:tcPr>
          <w:p w14:paraId="32F92D1A" w14:textId="77777777" w:rsidR="00FC12C5" w:rsidRDefault="00000000">
            <w:pPr>
              <w:spacing w:before="0" w:after="0" w:line="220" w:lineRule="atLeast"/>
              <w:ind w:firstLine="0"/>
              <w:jc w:val="left"/>
            </w:pPr>
            <w:r>
              <w:rPr>
                <w:rFonts w:cs="Times New Roman"/>
                <w:b/>
              </w:rPr>
              <w:t>Pre-test M (SD)</w:t>
            </w:r>
          </w:p>
        </w:tc>
        <w:tc>
          <w:tcPr>
            <w:tcW w:w="2160" w:type="dxa"/>
            <w:tcBorders>
              <w:top w:val="single" w:sz="4" w:space="0" w:color="auto"/>
              <w:bottom w:val="single" w:sz="4" w:space="0" w:color="auto"/>
            </w:tcBorders>
          </w:tcPr>
          <w:p w14:paraId="1C441344" w14:textId="77777777" w:rsidR="00FC12C5" w:rsidRDefault="00000000">
            <w:pPr>
              <w:spacing w:before="0" w:after="0" w:line="220" w:lineRule="atLeast"/>
              <w:ind w:firstLine="0"/>
              <w:jc w:val="left"/>
            </w:pPr>
            <w:r>
              <w:rPr>
                <w:rFonts w:cs="Times New Roman"/>
                <w:b/>
              </w:rPr>
              <w:t>Post-test M (SD)</w:t>
            </w:r>
          </w:p>
        </w:tc>
        <w:tc>
          <w:tcPr>
            <w:tcW w:w="2016" w:type="dxa"/>
            <w:tcBorders>
              <w:top w:val="single" w:sz="4" w:space="0" w:color="auto"/>
              <w:bottom w:val="single" w:sz="4" w:space="0" w:color="auto"/>
            </w:tcBorders>
          </w:tcPr>
          <w:p w14:paraId="7AA3E2DA" w14:textId="77777777" w:rsidR="00FC12C5" w:rsidRDefault="00000000">
            <w:pPr>
              <w:spacing w:before="0" w:after="0" w:line="220" w:lineRule="atLeast"/>
              <w:ind w:firstLine="0"/>
              <w:jc w:val="left"/>
            </w:pPr>
            <w:r>
              <w:rPr>
                <w:rFonts w:cs="Times New Roman"/>
                <w:b/>
              </w:rPr>
              <w:t>Mean Difference</w:t>
            </w:r>
          </w:p>
        </w:tc>
      </w:tr>
      <w:tr w:rsidR="00FC12C5" w14:paraId="6FF86F8F" w14:textId="77777777">
        <w:tc>
          <w:tcPr>
            <w:tcW w:w="2592" w:type="dxa"/>
          </w:tcPr>
          <w:p w14:paraId="29ACBF98" w14:textId="77777777" w:rsidR="00FC12C5" w:rsidRDefault="00000000">
            <w:pPr>
              <w:spacing w:before="0" w:after="0" w:line="220" w:lineRule="atLeast"/>
              <w:ind w:firstLine="0"/>
              <w:jc w:val="left"/>
            </w:pPr>
            <w:r>
              <w:rPr>
                <w:rFonts w:cs="Times New Roman"/>
              </w:rPr>
              <w:t>Comprehension</w:t>
            </w:r>
          </w:p>
        </w:tc>
        <w:tc>
          <w:tcPr>
            <w:tcW w:w="2160" w:type="dxa"/>
          </w:tcPr>
          <w:p w14:paraId="633EE363" w14:textId="77777777" w:rsidR="00FC12C5" w:rsidRDefault="00000000">
            <w:pPr>
              <w:spacing w:before="0" w:after="0" w:line="220" w:lineRule="atLeast"/>
              <w:ind w:firstLine="0"/>
              <w:jc w:val="left"/>
            </w:pPr>
            <w:r>
              <w:rPr>
                <w:rFonts w:cs="Times New Roman"/>
              </w:rPr>
              <w:t>3.37 (0.61)</w:t>
            </w:r>
          </w:p>
        </w:tc>
        <w:tc>
          <w:tcPr>
            <w:tcW w:w="2160" w:type="dxa"/>
          </w:tcPr>
          <w:p w14:paraId="7EA63D81" w14:textId="77777777" w:rsidR="00FC12C5" w:rsidRDefault="00000000">
            <w:pPr>
              <w:spacing w:before="0" w:after="0" w:line="220" w:lineRule="atLeast"/>
              <w:ind w:firstLine="0"/>
              <w:jc w:val="left"/>
            </w:pPr>
            <w:r>
              <w:rPr>
                <w:rFonts w:cs="Times New Roman"/>
              </w:rPr>
              <w:t>3.70 (0.60)</w:t>
            </w:r>
          </w:p>
        </w:tc>
        <w:tc>
          <w:tcPr>
            <w:tcW w:w="2016" w:type="dxa"/>
          </w:tcPr>
          <w:p w14:paraId="4A927752" w14:textId="77777777" w:rsidR="00FC12C5" w:rsidRDefault="00000000">
            <w:pPr>
              <w:spacing w:before="0" w:after="0" w:line="220" w:lineRule="atLeast"/>
              <w:ind w:firstLine="0"/>
              <w:jc w:val="left"/>
            </w:pPr>
            <w:r>
              <w:rPr>
                <w:rFonts w:cs="Times New Roman"/>
              </w:rPr>
              <w:t>0.33</w:t>
            </w:r>
          </w:p>
        </w:tc>
      </w:tr>
      <w:tr w:rsidR="00FC12C5" w14:paraId="087EDCEA" w14:textId="77777777">
        <w:tc>
          <w:tcPr>
            <w:tcW w:w="2592" w:type="dxa"/>
          </w:tcPr>
          <w:p w14:paraId="28DCBAEF" w14:textId="77777777" w:rsidR="00FC12C5" w:rsidRDefault="00000000">
            <w:pPr>
              <w:spacing w:before="0" w:after="0" w:line="220" w:lineRule="atLeast"/>
              <w:ind w:firstLine="0"/>
              <w:jc w:val="left"/>
            </w:pPr>
            <w:r>
              <w:rPr>
                <w:rFonts w:cs="Times New Roman"/>
              </w:rPr>
              <w:t>Response Relevance</w:t>
            </w:r>
          </w:p>
        </w:tc>
        <w:tc>
          <w:tcPr>
            <w:tcW w:w="2160" w:type="dxa"/>
          </w:tcPr>
          <w:p w14:paraId="36FC3193" w14:textId="77777777" w:rsidR="00FC12C5" w:rsidRDefault="00000000">
            <w:pPr>
              <w:spacing w:before="0" w:after="0" w:line="220" w:lineRule="atLeast"/>
              <w:ind w:firstLine="0"/>
              <w:jc w:val="left"/>
            </w:pPr>
            <w:r>
              <w:rPr>
                <w:rFonts w:cs="Times New Roman"/>
              </w:rPr>
              <w:t>3.03 (0.67)</w:t>
            </w:r>
          </w:p>
        </w:tc>
        <w:tc>
          <w:tcPr>
            <w:tcW w:w="2160" w:type="dxa"/>
          </w:tcPr>
          <w:p w14:paraId="0406AA93" w14:textId="77777777" w:rsidR="00FC12C5" w:rsidRDefault="00000000">
            <w:pPr>
              <w:spacing w:before="0" w:after="0" w:line="220" w:lineRule="atLeast"/>
              <w:ind w:firstLine="0"/>
              <w:jc w:val="left"/>
            </w:pPr>
            <w:r>
              <w:rPr>
                <w:rFonts w:cs="Times New Roman"/>
              </w:rPr>
              <w:t>3.47 (0.63)</w:t>
            </w:r>
          </w:p>
        </w:tc>
        <w:tc>
          <w:tcPr>
            <w:tcW w:w="2016" w:type="dxa"/>
          </w:tcPr>
          <w:p w14:paraId="0ECA7889" w14:textId="77777777" w:rsidR="00FC12C5" w:rsidRDefault="00000000">
            <w:pPr>
              <w:spacing w:before="0" w:after="0" w:line="220" w:lineRule="atLeast"/>
              <w:ind w:firstLine="0"/>
              <w:jc w:val="left"/>
            </w:pPr>
            <w:r>
              <w:rPr>
                <w:rFonts w:cs="Times New Roman"/>
              </w:rPr>
              <w:t>0.43</w:t>
            </w:r>
          </w:p>
        </w:tc>
      </w:tr>
      <w:tr w:rsidR="00FC12C5" w14:paraId="6D418142" w14:textId="77777777">
        <w:tc>
          <w:tcPr>
            <w:tcW w:w="2592" w:type="dxa"/>
          </w:tcPr>
          <w:p w14:paraId="05EDB8E1" w14:textId="77777777" w:rsidR="00FC12C5" w:rsidRDefault="00000000">
            <w:pPr>
              <w:spacing w:before="0" w:after="0" w:line="220" w:lineRule="atLeast"/>
              <w:ind w:firstLine="0"/>
              <w:jc w:val="left"/>
            </w:pPr>
            <w:r>
              <w:rPr>
                <w:rFonts w:cs="Times New Roman"/>
              </w:rPr>
              <w:t>Fluency</w:t>
            </w:r>
          </w:p>
        </w:tc>
        <w:tc>
          <w:tcPr>
            <w:tcW w:w="2160" w:type="dxa"/>
          </w:tcPr>
          <w:p w14:paraId="0BDA483D" w14:textId="77777777" w:rsidR="00FC12C5" w:rsidRDefault="00000000">
            <w:pPr>
              <w:spacing w:before="0" w:after="0" w:line="220" w:lineRule="atLeast"/>
              <w:ind w:firstLine="0"/>
              <w:jc w:val="left"/>
            </w:pPr>
            <w:r>
              <w:rPr>
                <w:rFonts w:cs="Times New Roman"/>
              </w:rPr>
              <w:t>2.87 (0.68)</w:t>
            </w:r>
          </w:p>
        </w:tc>
        <w:tc>
          <w:tcPr>
            <w:tcW w:w="2160" w:type="dxa"/>
          </w:tcPr>
          <w:p w14:paraId="5011FDFD" w14:textId="77777777" w:rsidR="00FC12C5" w:rsidRDefault="00000000">
            <w:pPr>
              <w:spacing w:before="0" w:after="0" w:line="220" w:lineRule="atLeast"/>
              <w:ind w:firstLine="0"/>
              <w:jc w:val="left"/>
            </w:pPr>
            <w:r>
              <w:rPr>
                <w:rFonts w:cs="Times New Roman"/>
              </w:rPr>
              <w:t>3.23 (0.68)</w:t>
            </w:r>
          </w:p>
        </w:tc>
        <w:tc>
          <w:tcPr>
            <w:tcW w:w="2016" w:type="dxa"/>
          </w:tcPr>
          <w:p w14:paraId="5D49A4BB" w14:textId="77777777" w:rsidR="00FC12C5" w:rsidRDefault="00000000">
            <w:pPr>
              <w:spacing w:before="0" w:after="0" w:line="220" w:lineRule="atLeast"/>
              <w:ind w:firstLine="0"/>
              <w:jc w:val="left"/>
            </w:pPr>
            <w:r>
              <w:rPr>
                <w:rFonts w:cs="Times New Roman"/>
              </w:rPr>
              <w:t>0.37</w:t>
            </w:r>
          </w:p>
        </w:tc>
      </w:tr>
      <w:tr w:rsidR="00FC12C5" w14:paraId="790D36DF" w14:textId="77777777">
        <w:tc>
          <w:tcPr>
            <w:tcW w:w="2592" w:type="dxa"/>
          </w:tcPr>
          <w:p w14:paraId="0508AD54" w14:textId="77777777" w:rsidR="00FC12C5" w:rsidRDefault="00000000">
            <w:pPr>
              <w:spacing w:before="0" w:after="0" w:line="220" w:lineRule="atLeast"/>
              <w:ind w:firstLine="0"/>
              <w:jc w:val="left"/>
            </w:pPr>
            <w:r>
              <w:rPr>
                <w:rFonts w:cs="Times New Roman"/>
              </w:rPr>
              <w:t>Response Development</w:t>
            </w:r>
          </w:p>
        </w:tc>
        <w:tc>
          <w:tcPr>
            <w:tcW w:w="2160" w:type="dxa"/>
          </w:tcPr>
          <w:p w14:paraId="38EE15CE" w14:textId="77777777" w:rsidR="00FC12C5" w:rsidRDefault="00000000">
            <w:pPr>
              <w:spacing w:before="0" w:after="0" w:line="220" w:lineRule="atLeast"/>
              <w:ind w:firstLine="0"/>
              <w:jc w:val="left"/>
            </w:pPr>
            <w:r>
              <w:rPr>
                <w:rFonts w:cs="Times New Roman"/>
              </w:rPr>
              <w:t>2.53 (0.68)</w:t>
            </w:r>
          </w:p>
        </w:tc>
        <w:tc>
          <w:tcPr>
            <w:tcW w:w="2160" w:type="dxa"/>
          </w:tcPr>
          <w:p w14:paraId="20C752B5" w14:textId="77777777" w:rsidR="00FC12C5" w:rsidRDefault="00000000">
            <w:pPr>
              <w:spacing w:before="0" w:after="0" w:line="220" w:lineRule="atLeast"/>
              <w:ind w:firstLine="0"/>
              <w:jc w:val="left"/>
            </w:pPr>
            <w:r>
              <w:rPr>
                <w:rFonts w:cs="Times New Roman"/>
              </w:rPr>
              <w:t>3.23 (0.63)</w:t>
            </w:r>
          </w:p>
        </w:tc>
        <w:tc>
          <w:tcPr>
            <w:tcW w:w="2016" w:type="dxa"/>
          </w:tcPr>
          <w:p w14:paraId="19BCBF8D" w14:textId="77777777" w:rsidR="00FC12C5" w:rsidRDefault="00000000">
            <w:pPr>
              <w:spacing w:before="0" w:after="0" w:line="220" w:lineRule="atLeast"/>
              <w:ind w:firstLine="0"/>
              <w:jc w:val="left"/>
            </w:pPr>
            <w:r>
              <w:rPr>
                <w:rFonts w:cs="Times New Roman"/>
              </w:rPr>
              <w:t>0.70</w:t>
            </w:r>
          </w:p>
        </w:tc>
      </w:tr>
      <w:tr w:rsidR="00FC12C5" w14:paraId="591729B1" w14:textId="77777777">
        <w:tc>
          <w:tcPr>
            <w:tcW w:w="2592" w:type="dxa"/>
            <w:tcBorders>
              <w:bottom w:val="single" w:sz="4" w:space="0" w:color="auto"/>
            </w:tcBorders>
          </w:tcPr>
          <w:p w14:paraId="0AFF0120" w14:textId="77777777" w:rsidR="00FC12C5" w:rsidRDefault="00000000">
            <w:pPr>
              <w:spacing w:before="0" w:after="0" w:line="220" w:lineRule="atLeast"/>
              <w:ind w:firstLine="0"/>
              <w:jc w:val="left"/>
            </w:pPr>
            <w:r>
              <w:rPr>
                <w:rFonts w:cs="Times New Roman"/>
              </w:rPr>
              <w:t>Total Score (/20)</w:t>
            </w:r>
          </w:p>
        </w:tc>
        <w:tc>
          <w:tcPr>
            <w:tcW w:w="2160" w:type="dxa"/>
            <w:tcBorders>
              <w:bottom w:val="single" w:sz="4" w:space="0" w:color="auto"/>
            </w:tcBorders>
          </w:tcPr>
          <w:p w14:paraId="73DAE2B1" w14:textId="77777777" w:rsidR="00FC12C5" w:rsidRDefault="00000000">
            <w:pPr>
              <w:spacing w:before="0" w:after="0" w:line="220" w:lineRule="atLeast"/>
              <w:ind w:firstLine="0"/>
              <w:jc w:val="left"/>
            </w:pPr>
            <w:r>
              <w:rPr>
                <w:rFonts w:cs="Times New Roman"/>
              </w:rPr>
              <w:t>11.80 (2.38)</w:t>
            </w:r>
          </w:p>
        </w:tc>
        <w:tc>
          <w:tcPr>
            <w:tcW w:w="2160" w:type="dxa"/>
            <w:tcBorders>
              <w:bottom w:val="single" w:sz="4" w:space="0" w:color="auto"/>
            </w:tcBorders>
          </w:tcPr>
          <w:p w14:paraId="2F3797BD" w14:textId="77777777" w:rsidR="00FC12C5" w:rsidRDefault="00000000">
            <w:pPr>
              <w:spacing w:before="0" w:after="0" w:line="220" w:lineRule="atLeast"/>
              <w:ind w:firstLine="0"/>
              <w:jc w:val="left"/>
            </w:pPr>
            <w:r>
              <w:rPr>
                <w:rFonts w:cs="Times New Roman"/>
              </w:rPr>
              <w:t>13.63 (2.25)</w:t>
            </w:r>
          </w:p>
        </w:tc>
        <w:tc>
          <w:tcPr>
            <w:tcW w:w="2016" w:type="dxa"/>
            <w:tcBorders>
              <w:bottom w:val="single" w:sz="4" w:space="0" w:color="auto"/>
            </w:tcBorders>
          </w:tcPr>
          <w:p w14:paraId="02C4F5D2" w14:textId="77777777" w:rsidR="00FC12C5" w:rsidRDefault="00000000">
            <w:pPr>
              <w:spacing w:before="0" w:after="0" w:line="220" w:lineRule="atLeast"/>
              <w:ind w:firstLine="0"/>
              <w:jc w:val="left"/>
            </w:pPr>
            <w:r>
              <w:rPr>
                <w:rFonts w:cs="Times New Roman"/>
              </w:rPr>
              <w:t>1.83</w:t>
            </w:r>
          </w:p>
        </w:tc>
      </w:tr>
    </w:tbl>
    <w:p w14:paraId="68A7522D" w14:textId="77777777" w:rsidR="00FC12C5" w:rsidRDefault="00FC12C5">
      <w:pPr>
        <w:pStyle w:val="RALs-Normal"/>
        <w:ind w:firstLine="0"/>
      </w:pPr>
    </w:p>
    <w:p w14:paraId="7608883F" w14:textId="77777777" w:rsidR="00FC12C5" w:rsidRDefault="00000000">
      <w:pPr>
        <w:pStyle w:val="RALs-Normal"/>
      </w:pPr>
      <w:r>
        <w:rPr>
          <w:rFonts w:cs="Times New Roman"/>
          <w:sz w:val="24"/>
        </w:rPr>
        <w:lastRenderedPageBreak/>
        <w:t>Scores improved across all four categories, with the largest raw gain in Response Development (0.70), followed by Response Relevance (0.43), Fluency (0.37), and Comprehension (0.33), consistent with an intervention targeting interaction and explanation specifically, layered onto a curriculum that had already trained comprehension and reproduction intensively.</w:t>
      </w:r>
    </w:p>
    <w:p w14:paraId="405FDB6A" w14:textId="77777777" w:rsidR="00FC12C5" w:rsidRDefault="00000000">
      <w:pPr>
        <w:pStyle w:val="RALs-Heading2"/>
      </w:pPr>
      <w:r>
        <w:rPr>
          <w:rFonts w:cs="Times New Roman"/>
          <w:sz w:val="24"/>
        </w:rPr>
        <w:t>4.2. Inferential Statistics</w:t>
      </w:r>
    </w:p>
    <w:p w14:paraId="3871352B" w14:textId="77777777" w:rsidR="00FC12C5" w:rsidRDefault="00000000">
      <w:pPr>
        <w:pStyle w:val="RALs-Normal"/>
      </w:pPr>
      <w:r>
        <w:rPr>
          <w:rFonts w:cs="Times New Roman"/>
          <w:sz w:val="24"/>
        </w:rPr>
        <w:t xml:space="preserve">Shapiro-Wilk tests on the pre-post difference scores indicated a significant departure from normality for every category and the total score (Comprehension: </w:t>
      </w:r>
      <w:r>
        <w:rPr>
          <w:rFonts w:cs="Times New Roman"/>
          <w:i/>
          <w:sz w:val="24"/>
        </w:rPr>
        <w:t>W</w:t>
      </w:r>
      <w:r>
        <w:rPr>
          <w:rFonts w:cs="Times New Roman"/>
          <w:sz w:val="24"/>
        </w:rPr>
        <w:t xml:space="preserve"> = 0.60, </w:t>
      </w:r>
      <w:r>
        <w:rPr>
          <w:rFonts w:cs="Times New Roman"/>
          <w:i/>
          <w:sz w:val="24"/>
        </w:rPr>
        <w:t>p</w:t>
      </w:r>
      <w:r>
        <w:rPr>
          <w:rFonts w:cs="Times New Roman"/>
          <w:sz w:val="24"/>
        </w:rPr>
        <w:t xml:space="preserve"> &lt; .001; Response Relevance: </w:t>
      </w:r>
      <w:r>
        <w:rPr>
          <w:rFonts w:cs="Times New Roman"/>
          <w:i/>
          <w:sz w:val="24"/>
        </w:rPr>
        <w:t>W</w:t>
      </w:r>
      <w:r>
        <w:rPr>
          <w:rFonts w:cs="Times New Roman"/>
          <w:sz w:val="24"/>
        </w:rPr>
        <w:t xml:space="preserve"> = 0.63, </w:t>
      </w:r>
      <w:r>
        <w:rPr>
          <w:rFonts w:cs="Times New Roman"/>
          <w:i/>
          <w:sz w:val="24"/>
        </w:rPr>
        <w:t>p</w:t>
      </w:r>
      <w:r>
        <w:rPr>
          <w:rFonts w:cs="Times New Roman"/>
          <w:sz w:val="24"/>
        </w:rPr>
        <w:t xml:space="preserve"> &lt; .001; Fluency: </w:t>
      </w:r>
      <w:r>
        <w:rPr>
          <w:rFonts w:cs="Times New Roman"/>
          <w:i/>
          <w:sz w:val="24"/>
        </w:rPr>
        <w:t>W</w:t>
      </w:r>
      <w:r>
        <w:rPr>
          <w:rFonts w:cs="Times New Roman"/>
          <w:sz w:val="24"/>
        </w:rPr>
        <w:t xml:space="preserve"> = 0.72, </w:t>
      </w:r>
      <w:r>
        <w:rPr>
          <w:rFonts w:cs="Times New Roman"/>
          <w:i/>
          <w:sz w:val="24"/>
        </w:rPr>
        <w:t>p</w:t>
      </w:r>
      <w:r>
        <w:rPr>
          <w:rFonts w:cs="Times New Roman"/>
          <w:sz w:val="24"/>
        </w:rPr>
        <w:t xml:space="preserve"> &lt; .001; Response Development: </w:t>
      </w:r>
      <w:r>
        <w:rPr>
          <w:rFonts w:cs="Times New Roman"/>
          <w:i/>
          <w:sz w:val="24"/>
        </w:rPr>
        <w:t>W</w:t>
      </w:r>
      <w:r>
        <w:rPr>
          <w:rFonts w:cs="Times New Roman"/>
          <w:sz w:val="24"/>
        </w:rPr>
        <w:t xml:space="preserve"> = 0.58, </w:t>
      </w:r>
      <w:r>
        <w:rPr>
          <w:rFonts w:cs="Times New Roman"/>
          <w:i/>
          <w:sz w:val="24"/>
        </w:rPr>
        <w:t>p</w:t>
      </w:r>
      <w:r>
        <w:rPr>
          <w:rFonts w:cs="Times New Roman"/>
          <w:sz w:val="24"/>
        </w:rPr>
        <w:t xml:space="preserve"> &lt; .001; Total: </w:t>
      </w:r>
      <w:r>
        <w:rPr>
          <w:rFonts w:cs="Times New Roman"/>
          <w:i/>
          <w:sz w:val="24"/>
        </w:rPr>
        <w:t>W</w:t>
      </w:r>
      <w:r>
        <w:rPr>
          <w:rFonts w:cs="Times New Roman"/>
          <w:sz w:val="24"/>
        </w:rPr>
        <w:t xml:space="preserve"> = 0.84, </w:t>
      </w:r>
      <w:r>
        <w:rPr>
          <w:rFonts w:cs="Times New Roman"/>
          <w:i/>
          <w:sz w:val="24"/>
        </w:rPr>
        <w:t>p</w:t>
      </w:r>
      <w:r>
        <w:rPr>
          <w:rFonts w:cs="Times New Roman"/>
          <w:sz w:val="24"/>
        </w:rPr>
        <w:t xml:space="preserve"> &lt; .001). Consistent with this violation, Wilcoxon signed-rank tests served as the primary inferential analysis (Table 4).</w:t>
      </w:r>
    </w:p>
    <w:p w14:paraId="6A118D48" w14:textId="77777777" w:rsidR="00FC12C5" w:rsidRDefault="00000000">
      <w:pPr>
        <w:pStyle w:val="RALs-TableCaption"/>
      </w:pPr>
      <w:r>
        <w:rPr>
          <w:rFonts w:cs="Times New Roman"/>
          <w:b/>
          <w:sz w:val="24"/>
        </w:rPr>
        <w:t>Table 4</w:t>
      </w:r>
    </w:p>
    <w:p w14:paraId="3E65FB1E" w14:textId="77777777" w:rsidR="00FC12C5" w:rsidRDefault="00000000">
      <w:pPr>
        <w:pStyle w:val="RALs-TableCaption"/>
        <w:ind w:left="0" w:firstLine="0"/>
      </w:pPr>
      <w:r>
        <w:rPr>
          <w:rFonts w:cs="Times New Roman"/>
          <w:i/>
          <w:sz w:val="24"/>
        </w:rPr>
        <w:t>Wilcoxon Signed-Rank Test Results and Effect Sizes (N = 30)</w:t>
      </w:r>
    </w:p>
    <w:tbl>
      <w:tblPr>
        <w:tblW w:w="0" w:type="auto"/>
        <w:tblLayout w:type="fixed"/>
        <w:tblLook w:val="04A0" w:firstRow="1" w:lastRow="0" w:firstColumn="1" w:lastColumn="0" w:noHBand="0" w:noVBand="1"/>
      </w:tblPr>
      <w:tblGrid>
        <w:gridCol w:w="2592"/>
        <w:gridCol w:w="1584"/>
        <w:gridCol w:w="1584"/>
        <w:gridCol w:w="1584"/>
        <w:gridCol w:w="1584"/>
      </w:tblGrid>
      <w:tr w:rsidR="00FC12C5" w14:paraId="52686B2F" w14:textId="77777777">
        <w:tc>
          <w:tcPr>
            <w:tcW w:w="2592" w:type="dxa"/>
            <w:tcBorders>
              <w:top w:val="single" w:sz="4" w:space="0" w:color="auto"/>
              <w:bottom w:val="single" w:sz="4" w:space="0" w:color="auto"/>
            </w:tcBorders>
          </w:tcPr>
          <w:p w14:paraId="695F8051" w14:textId="77777777" w:rsidR="00FC12C5" w:rsidRDefault="00000000">
            <w:pPr>
              <w:spacing w:before="0" w:after="0" w:line="220" w:lineRule="atLeast"/>
              <w:ind w:firstLine="0"/>
              <w:jc w:val="left"/>
            </w:pPr>
            <w:r>
              <w:rPr>
                <w:rFonts w:cs="Times New Roman"/>
                <w:b/>
              </w:rPr>
              <w:t>Category</w:t>
            </w:r>
          </w:p>
        </w:tc>
        <w:tc>
          <w:tcPr>
            <w:tcW w:w="1584" w:type="dxa"/>
            <w:tcBorders>
              <w:top w:val="single" w:sz="4" w:space="0" w:color="auto"/>
              <w:bottom w:val="single" w:sz="4" w:space="0" w:color="auto"/>
            </w:tcBorders>
          </w:tcPr>
          <w:p w14:paraId="0FCA9C23" w14:textId="77777777" w:rsidR="00FC12C5" w:rsidRDefault="00000000">
            <w:pPr>
              <w:spacing w:before="0" w:after="0" w:line="220" w:lineRule="atLeast"/>
              <w:ind w:firstLine="0"/>
              <w:jc w:val="left"/>
            </w:pPr>
            <w:r>
              <w:rPr>
                <w:rFonts w:cs="Times New Roman"/>
                <w:b/>
              </w:rPr>
              <w:t>z</w:t>
            </w:r>
          </w:p>
        </w:tc>
        <w:tc>
          <w:tcPr>
            <w:tcW w:w="1584" w:type="dxa"/>
            <w:tcBorders>
              <w:top w:val="single" w:sz="4" w:space="0" w:color="auto"/>
              <w:bottom w:val="single" w:sz="4" w:space="0" w:color="auto"/>
            </w:tcBorders>
          </w:tcPr>
          <w:p w14:paraId="6AD4B617" w14:textId="77777777" w:rsidR="00FC12C5" w:rsidRDefault="00000000">
            <w:pPr>
              <w:spacing w:before="0" w:after="0" w:line="220" w:lineRule="atLeast"/>
              <w:ind w:firstLine="0"/>
              <w:jc w:val="left"/>
            </w:pPr>
            <w:r>
              <w:rPr>
                <w:rFonts w:cs="Times New Roman"/>
                <w:b/>
              </w:rPr>
              <w:t>p</w:t>
            </w:r>
          </w:p>
        </w:tc>
        <w:tc>
          <w:tcPr>
            <w:tcW w:w="1584" w:type="dxa"/>
            <w:tcBorders>
              <w:top w:val="single" w:sz="4" w:space="0" w:color="auto"/>
              <w:bottom w:val="single" w:sz="4" w:space="0" w:color="auto"/>
            </w:tcBorders>
          </w:tcPr>
          <w:p w14:paraId="7D5A8637" w14:textId="77777777" w:rsidR="00FC12C5" w:rsidRDefault="00000000">
            <w:pPr>
              <w:spacing w:before="0" w:after="0" w:line="220" w:lineRule="atLeast"/>
              <w:ind w:firstLine="0"/>
              <w:jc w:val="left"/>
            </w:pPr>
            <w:r>
              <w:rPr>
                <w:rFonts w:cs="Times New Roman"/>
                <w:b/>
              </w:rPr>
              <w:t>r</w:t>
            </w:r>
          </w:p>
        </w:tc>
        <w:tc>
          <w:tcPr>
            <w:tcW w:w="1584" w:type="dxa"/>
            <w:tcBorders>
              <w:top w:val="single" w:sz="4" w:space="0" w:color="auto"/>
              <w:bottom w:val="single" w:sz="4" w:space="0" w:color="auto"/>
            </w:tcBorders>
          </w:tcPr>
          <w:p w14:paraId="14DBE18C" w14:textId="77777777" w:rsidR="00FC12C5" w:rsidRDefault="00000000">
            <w:pPr>
              <w:spacing w:before="0" w:after="0" w:line="220" w:lineRule="atLeast"/>
              <w:ind w:firstLine="0"/>
              <w:jc w:val="left"/>
            </w:pPr>
            <w:r>
              <w:rPr>
                <w:rFonts w:cs="Times New Roman"/>
                <w:b/>
              </w:rPr>
              <w:t>Cohen's d</w:t>
            </w:r>
          </w:p>
        </w:tc>
      </w:tr>
      <w:tr w:rsidR="00FC12C5" w14:paraId="64C2C335" w14:textId="77777777">
        <w:tc>
          <w:tcPr>
            <w:tcW w:w="2592" w:type="dxa"/>
          </w:tcPr>
          <w:p w14:paraId="0AE4D42D" w14:textId="77777777" w:rsidR="00FC12C5" w:rsidRDefault="00000000">
            <w:pPr>
              <w:spacing w:before="0" w:after="0" w:line="220" w:lineRule="atLeast"/>
              <w:ind w:firstLine="0"/>
              <w:jc w:val="left"/>
            </w:pPr>
            <w:r>
              <w:rPr>
                <w:rFonts w:cs="Times New Roman"/>
              </w:rPr>
              <w:t>Comprehension</w:t>
            </w:r>
          </w:p>
        </w:tc>
        <w:tc>
          <w:tcPr>
            <w:tcW w:w="1584" w:type="dxa"/>
          </w:tcPr>
          <w:p w14:paraId="07AC7D9F" w14:textId="77777777" w:rsidR="00FC12C5" w:rsidRDefault="00000000">
            <w:pPr>
              <w:spacing w:before="0" w:after="0" w:line="220" w:lineRule="atLeast"/>
              <w:ind w:firstLine="0"/>
              <w:jc w:val="left"/>
            </w:pPr>
            <w:r>
              <w:rPr>
                <w:rFonts w:cs="Times New Roman"/>
              </w:rPr>
              <w:t>-2.80</w:t>
            </w:r>
          </w:p>
        </w:tc>
        <w:tc>
          <w:tcPr>
            <w:tcW w:w="1584" w:type="dxa"/>
          </w:tcPr>
          <w:p w14:paraId="7F5BE3DF" w14:textId="77777777" w:rsidR="00FC12C5" w:rsidRDefault="00000000">
            <w:pPr>
              <w:spacing w:before="0" w:after="0" w:line="220" w:lineRule="atLeast"/>
              <w:ind w:firstLine="0"/>
              <w:jc w:val="left"/>
            </w:pPr>
            <w:r>
              <w:rPr>
                <w:rFonts w:cs="Times New Roman"/>
              </w:rPr>
              <w:t>.002</w:t>
            </w:r>
          </w:p>
        </w:tc>
        <w:tc>
          <w:tcPr>
            <w:tcW w:w="1584" w:type="dxa"/>
          </w:tcPr>
          <w:p w14:paraId="0341DB2D" w14:textId="77777777" w:rsidR="00FC12C5" w:rsidRDefault="00000000">
            <w:pPr>
              <w:spacing w:before="0" w:after="0" w:line="220" w:lineRule="atLeast"/>
              <w:ind w:firstLine="0"/>
              <w:jc w:val="left"/>
            </w:pPr>
            <w:r>
              <w:rPr>
                <w:rFonts w:cs="Times New Roman"/>
              </w:rPr>
              <w:t>.89</w:t>
            </w:r>
          </w:p>
        </w:tc>
        <w:tc>
          <w:tcPr>
            <w:tcW w:w="1584" w:type="dxa"/>
          </w:tcPr>
          <w:p w14:paraId="1081F5E3" w14:textId="77777777" w:rsidR="00FC12C5" w:rsidRDefault="00000000">
            <w:pPr>
              <w:spacing w:before="0" w:after="0" w:line="220" w:lineRule="atLeast"/>
              <w:ind w:firstLine="0"/>
              <w:jc w:val="left"/>
            </w:pPr>
            <w:r>
              <w:rPr>
                <w:rFonts w:cs="Times New Roman"/>
              </w:rPr>
              <w:t>0.70</w:t>
            </w:r>
          </w:p>
        </w:tc>
      </w:tr>
      <w:tr w:rsidR="00FC12C5" w14:paraId="0B0CF95F" w14:textId="77777777">
        <w:tc>
          <w:tcPr>
            <w:tcW w:w="2592" w:type="dxa"/>
          </w:tcPr>
          <w:p w14:paraId="1EC7AC83" w14:textId="77777777" w:rsidR="00FC12C5" w:rsidRDefault="00000000">
            <w:pPr>
              <w:spacing w:before="0" w:after="0" w:line="220" w:lineRule="atLeast"/>
              <w:ind w:firstLine="0"/>
              <w:jc w:val="left"/>
            </w:pPr>
            <w:r>
              <w:rPr>
                <w:rFonts w:cs="Times New Roman"/>
              </w:rPr>
              <w:t>Response Relevance</w:t>
            </w:r>
          </w:p>
        </w:tc>
        <w:tc>
          <w:tcPr>
            <w:tcW w:w="1584" w:type="dxa"/>
          </w:tcPr>
          <w:p w14:paraId="6D31D269" w14:textId="77777777" w:rsidR="00FC12C5" w:rsidRDefault="00000000">
            <w:pPr>
              <w:spacing w:before="0" w:after="0" w:line="220" w:lineRule="atLeast"/>
              <w:ind w:firstLine="0"/>
              <w:jc w:val="left"/>
            </w:pPr>
            <w:r>
              <w:rPr>
                <w:rFonts w:cs="Times New Roman"/>
              </w:rPr>
              <w:t>-3.18</w:t>
            </w:r>
          </w:p>
        </w:tc>
        <w:tc>
          <w:tcPr>
            <w:tcW w:w="1584" w:type="dxa"/>
          </w:tcPr>
          <w:p w14:paraId="2B620885" w14:textId="77777777" w:rsidR="00FC12C5" w:rsidRDefault="00000000">
            <w:pPr>
              <w:spacing w:before="0" w:after="0" w:line="220" w:lineRule="atLeast"/>
              <w:ind w:firstLine="0"/>
              <w:jc w:val="left"/>
            </w:pPr>
            <w:r>
              <w:rPr>
                <w:rFonts w:cs="Times New Roman"/>
              </w:rPr>
              <w:t>&lt;.001</w:t>
            </w:r>
          </w:p>
        </w:tc>
        <w:tc>
          <w:tcPr>
            <w:tcW w:w="1584" w:type="dxa"/>
          </w:tcPr>
          <w:p w14:paraId="6AEDB240" w14:textId="77777777" w:rsidR="00FC12C5" w:rsidRDefault="00000000">
            <w:pPr>
              <w:spacing w:before="0" w:after="0" w:line="220" w:lineRule="atLeast"/>
              <w:ind w:firstLine="0"/>
              <w:jc w:val="left"/>
            </w:pPr>
            <w:r>
              <w:rPr>
                <w:rFonts w:cs="Times New Roman"/>
              </w:rPr>
              <w:t>.88</w:t>
            </w:r>
          </w:p>
        </w:tc>
        <w:tc>
          <w:tcPr>
            <w:tcW w:w="1584" w:type="dxa"/>
          </w:tcPr>
          <w:p w14:paraId="3BDC3C95" w14:textId="77777777" w:rsidR="00FC12C5" w:rsidRDefault="00000000">
            <w:pPr>
              <w:spacing w:before="0" w:after="0" w:line="220" w:lineRule="atLeast"/>
              <w:ind w:firstLine="0"/>
              <w:jc w:val="left"/>
            </w:pPr>
            <w:r>
              <w:rPr>
                <w:rFonts w:cs="Times New Roman"/>
              </w:rPr>
              <w:t>0.86</w:t>
            </w:r>
          </w:p>
        </w:tc>
      </w:tr>
      <w:tr w:rsidR="00FC12C5" w14:paraId="7062F03A" w14:textId="77777777">
        <w:tc>
          <w:tcPr>
            <w:tcW w:w="2592" w:type="dxa"/>
          </w:tcPr>
          <w:p w14:paraId="0BC771CE" w14:textId="77777777" w:rsidR="00FC12C5" w:rsidRDefault="00000000">
            <w:pPr>
              <w:spacing w:before="0" w:after="0" w:line="220" w:lineRule="atLeast"/>
              <w:ind w:firstLine="0"/>
              <w:jc w:val="left"/>
            </w:pPr>
            <w:r>
              <w:rPr>
                <w:rFonts w:cs="Times New Roman"/>
              </w:rPr>
              <w:t>Fluency</w:t>
            </w:r>
          </w:p>
        </w:tc>
        <w:tc>
          <w:tcPr>
            <w:tcW w:w="1584" w:type="dxa"/>
          </w:tcPr>
          <w:p w14:paraId="7D659977" w14:textId="77777777" w:rsidR="00FC12C5" w:rsidRDefault="00000000">
            <w:pPr>
              <w:spacing w:before="0" w:after="0" w:line="220" w:lineRule="atLeast"/>
              <w:ind w:firstLine="0"/>
              <w:jc w:val="left"/>
            </w:pPr>
            <w:r>
              <w:rPr>
                <w:rFonts w:cs="Times New Roman"/>
              </w:rPr>
              <w:t>-2.69</w:t>
            </w:r>
          </w:p>
        </w:tc>
        <w:tc>
          <w:tcPr>
            <w:tcW w:w="1584" w:type="dxa"/>
          </w:tcPr>
          <w:p w14:paraId="3DBD5BD2" w14:textId="77777777" w:rsidR="00FC12C5" w:rsidRDefault="00000000">
            <w:pPr>
              <w:spacing w:before="0" w:after="0" w:line="220" w:lineRule="atLeast"/>
              <w:ind w:firstLine="0"/>
              <w:jc w:val="left"/>
            </w:pPr>
            <w:r>
              <w:rPr>
                <w:rFonts w:cs="Times New Roman"/>
              </w:rPr>
              <w:t>.003</w:t>
            </w:r>
          </w:p>
        </w:tc>
        <w:tc>
          <w:tcPr>
            <w:tcW w:w="1584" w:type="dxa"/>
          </w:tcPr>
          <w:p w14:paraId="24786F37" w14:textId="77777777" w:rsidR="00FC12C5" w:rsidRDefault="00000000">
            <w:pPr>
              <w:spacing w:before="0" w:after="0" w:line="220" w:lineRule="atLeast"/>
              <w:ind w:firstLine="0"/>
              <w:jc w:val="left"/>
            </w:pPr>
            <w:r>
              <w:rPr>
                <w:rFonts w:cs="Times New Roman"/>
              </w:rPr>
              <w:t>.75</w:t>
            </w:r>
          </w:p>
        </w:tc>
        <w:tc>
          <w:tcPr>
            <w:tcW w:w="1584" w:type="dxa"/>
          </w:tcPr>
          <w:p w14:paraId="3B4F6859" w14:textId="77777777" w:rsidR="00FC12C5" w:rsidRDefault="00000000">
            <w:pPr>
              <w:spacing w:before="0" w:after="0" w:line="220" w:lineRule="atLeast"/>
              <w:ind w:firstLine="0"/>
              <w:jc w:val="left"/>
            </w:pPr>
            <w:r>
              <w:rPr>
                <w:rFonts w:cs="Times New Roman"/>
              </w:rPr>
              <w:t>0.66</w:t>
            </w:r>
          </w:p>
        </w:tc>
      </w:tr>
      <w:tr w:rsidR="00FC12C5" w14:paraId="191EB052" w14:textId="77777777">
        <w:tc>
          <w:tcPr>
            <w:tcW w:w="2592" w:type="dxa"/>
          </w:tcPr>
          <w:p w14:paraId="1EA6CF5E" w14:textId="77777777" w:rsidR="00FC12C5" w:rsidRDefault="00000000">
            <w:pPr>
              <w:spacing w:before="0" w:after="0" w:line="220" w:lineRule="atLeast"/>
              <w:ind w:firstLine="0"/>
              <w:jc w:val="left"/>
            </w:pPr>
            <w:r>
              <w:rPr>
                <w:rFonts w:cs="Times New Roman"/>
              </w:rPr>
              <w:t>Response Development</w:t>
            </w:r>
          </w:p>
        </w:tc>
        <w:tc>
          <w:tcPr>
            <w:tcW w:w="1584" w:type="dxa"/>
          </w:tcPr>
          <w:p w14:paraId="006E0B04" w14:textId="77777777" w:rsidR="00FC12C5" w:rsidRDefault="00000000">
            <w:pPr>
              <w:spacing w:before="0" w:after="0" w:line="220" w:lineRule="atLeast"/>
              <w:ind w:firstLine="0"/>
              <w:jc w:val="left"/>
            </w:pPr>
            <w:r>
              <w:rPr>
                <w:rFonts w:cs="Times New Roman"/>
              </w:rPr>
              <w:t>-4.02</w:t>
            </w:r>
          </w:p>
        </w:tc>
        <w:tc>
          <w:tcPr>
            <w:tcW w:w="1584" w:type="dxa"/>
          </w:tcPr>
          <w:p w14:paraId="18A93EF8" w14:textId="77777777" w:rsidR="00FC12C5" w:rsidRDefault="00000000">
            <w:pPr>
              <w:spacing w:before="0" w:after="0" w:line="220" w:lineRule="atLeast"/>
              <w:ind w:firstLine="0"/>
              <w:jc w:val="left"/>
            </w:pPr>
            <w:r>
              <w:rPr>
                <w:rFonts w:cs="Times New Roman"/>
              </w:rPr>
              <w:t>&lt;.001</w:t>
            </w:r>
          </w:p>
        </w:tc>
        <w:tc>
          <w:tcPr>
            <w:tcW w:w="1584" w:type="dxa"/>
          </w:tcPr>
          <w:p w14:paraId="2FE17182" w14:textId="77777777" w:rsidR="00FC12C5" w:rsidRDefault="00000000">
            <w:pPr>
              <w:spacing w:before="0" w:after="0" w:line="220" w:lineRule="atLeast"/>
              <w:ind w:firstLine="0"/>
              <w:jc w:val="left"/>
            </w:pPr>
            <w:r>
              <w:rPr>
                <w:rFonts w:cs="Times New Roman"/>
              </w:rPr>
              <w:t>.88</w:t>
            </w:r>
          </w:p>
        </w:tc>
        <w:tc>
          <w:tcPr>
            <w:tcW w:w="1584" w:type="dxa"/>
          </w:tcPr>
          <w:p w14:paraId="76CC5D28" w14:textId="77777777" w:rsidR="00FC12C5" w:rsidRDefault="00000000">
            <w:pPr>
              <w:spacing w:before="0" w:after="0" w:line="220" w:lineRule="atLeast"/>
              <w:ind w:firstLine="0"/>
              <w:jc w:val="left"/>
            </w:pPr>
            <w:r>
              <w:rPr>
                <w:rFonts w:cs="Times New Roman"/>
              </w:rPr>
              <w:t>1.50</w:t>
            </w:r>
          </w:p>
        </w:tc>
      </w:tr>
      <w:tr w:rsidR="00FC12C5" w14:paraId="648E1DB2" w14:textId="77777777">
        <w:tc>
          <w:tcPr>
            <w:tcW w:w="2592" w:type="dxa"/>
            <w:tcBorders>
              <w:bottom w:val="single" w:sz="4" w:space="0" w:color="auto"/>
            </w:tcBorders>
          </w:tcPr>
          <w:p w14:paraId="495F017F" w14:textId="77777777" w:rsidR="00FC12C5" w:rsidRDefault="00000000">
            <w:pPr>
              <w:spacing w:before="0" w:after="0" w:line="220" w:lineRule="atLeast"/>
              <w:ind w:firstLine="0"/>
              <w:jc w:val="left"/>
            </w:pPr>
            <w:r>
              <w:rPr>
                <w:rFonts w:cs="Times New Roman"/>
              </w:rPr>
              <w:t>Total Score</w:t>
            </w:r>
          </w:p>
        </w:tc>
        <w:tc>
          <w:tcPr>
            <w:tcW w:w="1584" w:type="dxa"/>
            <w:tcBorders>
              <w:bottom w:val="single" w:sz="4" w:space="0" w:color="auto"/>
            </w:tcBorders>
          </w:tcPr>
          <w:p w14:paraId="5CC93875" w14:textId="77777777" w:rsidR="00FC12C5" w:rsidRDefault="00000000">
            <w:pPr>
              <w:spacing w:before="0" w:after="0" w:line="220" w:lineRule="atLeast"/>
              <w:ind w:firstLine="0"/>
              <w:jc w:val="left"/>
            </w:pPr>
            <w:r>
              <w:rPr>
                <w:rFonts w:cs="Times New Roman"/>
              </w:rPr>
              <w:t>-4.54</w:t>
            </w:r>
          </w:p>
        </w:tc>
        <w:tc>
          <w:tcPr>
            <w:tcW w:w="1584" w:type="dxa"/>
            <w:tcBorders>
              <w:bottom w:val="single" w:sz="4" w:space="0" w:color="auto"/>
            </w:tcBorders>
          </w:tcPr>
          <w:p w14:paraId="2E87B9BF" w14:textId="77777777" w:rsidR="00FC12C5" w:rsidRDefault="00000000">
            <w:pPr>
              <w:spacing w:before="0" w:after="0" w:line="220" w:lineRule="atLeast"/>
              <w:ind w:firstLine="0"/>
              <w:jc w:val="left"/>
            </w:pPr>
            <w:r>
              <w:rPr>
                <w:rFonts w:cs="Times New Roman"/>
              </w:rPr>
              <w:t>&lt;.001</w:t>
            </w:r>
          </w:p>
        </w:tc>
        <w:tc>
          <w:tcPr>
            <w:tcW w:w="1584" w:type="dxa"/>
            <w:tcBorders>
              <w:bottom w:val="single" w:sz="4" w:space="0" w:color="auto"/>
            </w:tcBorders>
          </w:tcPr>
          <w:p w14:paraId="27ED94AD" w14:textId="77777777" w:rsidR="00FC12C5" w:rsidRDefault="00000000">
            <w:pPr>
              <w:spacing w:before="0" w:after="0" w:line="220" w:lineRule="atLeast"/>
              <w:ind w:firstLine="0"/>
              <w:jc w:val="left"/>
            </w:pPr>
            <w:r>
              <w:rPr>
                <w:rFonts w:cs="Times New Roman"/>
              </w:rPr>
              <w:t>.87</w:t>
            </w:r>
          </w:p>
        </w:tc>
        <w:tc>
          <w:tcPr>
            <w:tcW w:w="1584" w:type="dxa"/>
            <w:tcBorders>
              <w:bottom w:val="single" w:sz="4" w:space="0" w:color="auto"/>
            </w:tcBorders>
          </w:tcPr>
          <w:p w14:paraId="606D84D7" w14:textId="77777777" w:rsidR="00FC12C5" w:rsidRDefault="00000000">
            <w:pPr>
              <w:spacing w:before="0" w:after="0" w:line="220" w:lineRule="atLeast"/>
              <w:ind w:firstLine="0"/>
              <w:jc w:val="left"/>
            </w:pPr>
            <w:r>
              <w:rPr>
                <w:rFonts w:cs="Times New Roman"/>
              </w:rPr>
              <w:t>2.10</w:t>
            </w:r>
          </w:p>
        </w:tc>
      </w:tr>
    </w:tbl>
    <w:p w14:paraId="3B161D97" w14:textId="77777777" w:rsidR="00FC12C5" w:rsidRDefault="00FC12C5">
      <w:pPr>
        <w:pStyle w:val="RALs-Normal"/>
        <w:ind w:firstLine="0"/>
      </w:pPr>
    </w:p>
    <w:p w14:paraId="5A7A0138" w14:textId="77777777" w:rsidR="00FC12C5" w:rsidRDefault="00000000">
      <w:pPr>
        <w:pStyle w:val="RALs-Normal"/>
      </w:pPr>
      <w:r>
        <w:rPr>
          <w:rFonts w:cs="Times New Roman"/>
          <w:sz w:val="24"/>
        </w:rPr>
        <w:t>All five comparisons were statistically significant, indicating that the improvement from pre-test to post-test was unlikely to reflect chance variation. Effect sizes ranged from medium-to-large for Fluency (</w:t>
      </w:r>
      <w:r>
        <w:rPr>
          <w:rFonts w:cs="Times New Roman"/>
          <w:i/>
          <w:sz w:val="24"/>
        </w:rPr>
        <w:t>d</w:t>
      </w:r>
      <w:r>
        <w:rPr>
          <w:rFonts w:cs="Times New Roman"/>
          <w:sz w:val="24"/>
        </w:rPr>
        <w:t xml:space="preserve"> = 0.66) and Comprehension (</w:t>
      </w:r>
      <w:r>
        <w:rPr>
          <w:rFonts w:cs="Times New Roman"/>
          <w:i/>
          <w:sz w:val="24"/>
        </w:rPr>
        <w:t>d</w:t>
      </w:r>
      <w:r>
        <w:rPr>
          <w:rFonts w:cs="Times New Roman"/>
          <w:sz w:val="24"/>
        </w:rPr>
        <w:t xml:space="preserve"> = 0.70) to large for Response Relevance (</w:t>
      </w:r>
      <w:r>
        <w:rPr>
          <w:rFonts w:cs="Times New Roman"/>
          <w:i/>
          <w:sz w:val="24"/>
        </w:rPr>
        <w:t>d</w:t>
      </w:r>
      <w:r>
        <w:rPr>
          <w:rFonts w:cs="Times New Roman"/>
          <w:sz w:val="24"/>
        </w:rPr>
        <w:t xml:space="preserve"> = 0.86) and very large for Response Development (</w:t>
      </w:r>
      <w:r>
        <w:rPr>
          <w:rFonts w:cs="Times New Roman"/>
          <w:i/>
          <w:sz w:val="24"/>
        </w:rPr>
        <w:t>d</w:t>
      </w:r>
      <w:r>
        <w:rPr>
          <w:rFonts w:cs="Times New Roman"/>
          <w:sz w:val="24"/>
        </w:rPr>
        <w:t xml:space="preserve"> = 1.50) and the total score (</w:t>
      </w:r>
      <w:r>
        <w:rPr>
          <w:rFonts w:cs="Times New Roman"/>
          <w:i/>
          <w:sz w:val="24"/>
        </w:rPr>
        <w:t>d</w:t>
      </w:r>
      <w:r>
        <w:rPr>
          <w:rFonts w:cs="Times New Roman"/>
          <w:sz w:val="24"/>
        </w:rPr>
        <w:t xml:space="preserve"> = 2.10); the corresponding rank-biserial correlations (</w:t>
      </w:r>
      <w:r>
        <w:rPr>
          <w:rFonts w:cs="Times New Roman"/>
          <w:i/>
          <w:sz w:val="24"/>
        </w:rPr>
        <w:t>r</w:t>
      </w:r>
      <w:r>
        <w:rPr>
          <w:rFonts w:cs="Times New Roman"/>
          <w:sz w:val="24"/>
        </w:rPr>
        <w:t xml:space="preserve"> = .75-.89) point to the same conclusion.</w:t>
      </w:r>
    </w:p>
    <w:p w14:paraId="158DB99B" w14:textId="77777777" w:rsidR="00FC12C5" w:rsidRDefault="00000000">
      <w:pPr>
        <w:pStyle w:val="RALs-Normal"/>
      </w:pPr>
      <w:r>
        <w:rPr>
          <w:rFonts w:cs="Times New Roman"/>
          <w:sz w:val="24"/>
        </w:rPr>
        <w:t xml:space="preserve">Paired-samples </w:t>
      </w:r>
      <w:r>
        <w:rPr>
          <w:rFonts w:cs="Times New Roman"/>
          <w:i/>
          <w:sz w:val="24"/>
        </w:rPr>
        <w:t>t</w:t>
      </w:r>
      <w:r>
        <w:rPr>
          <w:rFonts w:cs="Times New Roman"/>
          <w:sz w:val="24"/>
        </w:rPr>
        <w:t>-tests, reported in Table 5 as a supplementary robustness check, converged with the Wilcoxon results for every comparison, and the 95% confidence intervals for the mean difference excluded zero in every case.</w:t>
      </w:r>
    </w:p>
    <w:p w14:paraId="7916373D" w14:textId="77777777" w:rsidR="00FC12C5" w:rsidRDefault="00000000">
      <w:pPr>
        <w:pStyle w:val="RALs-TableCaption"/>
      </w:pPr>
      <w:r>
        <w:rPr>
          <w:rFonts w:cs="Times New Roman"/>
          <w:b/>
          <w:sz w:val="24"/>
        </w:rPr>
        <w:t>Table 5</w:t>
      </w:r>
    </w:p>
    <w:p w14:paraId="64520762" w14:textId="77777777" w:rsidR="00FC12C5" w:rsidRDefault="00000000">
      <w:pPr>
        <w:pStyle w:val="RALs-TableCaption"/>
        <w:ind w:left="0" w:firstLine="0"/>
      </w:pPr>
      <w:r>
        <w:rPr>
          <w:rFonts w:cs="Times New Roman"/>
          <w:i/>
          <w:sz w:val="24"/>
        </w:rPr>
        <w:t>Paired-Samples t-Test Results (Supplementary Robustness Check, N = 30)</w:t>
      </w:r>
    </w:p>
    <w:tbl>
      <w:tblPr>
        <w:tblW w:w="0" w:type="auto"/>
        <w:tblLayout w:type="fixed"/>
        <w:tblLook w:val="04A0" w:firstRow="1" w:lastRow="0" w:firstColumn="1" w:lastColumn="0" w:noHBand="0" w:noVBand="1"/>
      </w:tblPr>
      <w:tblGrid>
        <w:gridCol w:w="2880"/>
        <w:gridCol w:w="1872"/>
        <w:gridCol w:w="1584"/>
        <w:gridCol w:w="2592"/>
      </w:tblGrid>
      <w:tr w:rsidR="00FC12C5" w14:paraId="016E7F6A" w14:textId="77777777">
        <w:tc>
          <w:tcPr>
            <w:tcW w:w="2880" w:type="dxa"/>
            <w:tcBorders>
              <w:top w:val="single" w:sz="4" w:space="0" w:color="auto"/>
              <w:bottom w:val="single" w:sz="4" w:space="0" w:color="auto"/>
            </w:tcBorders>
          </w:tcPr>
          <w:p w14:paraId="39F22DEB" w14:textId="77777777" w:rsidR="00FC12C5" w:rsidRDefault="00000000">
            <w:pPr>
              <w:spacing w:before="0" w:after="0" w:line="220" w:lineRule="atLeast"/>
              <w:ind w:firstLine="0"/>
              <w:jc w:val="left"/>
            </w:pPr>
            <w:r>
              <w:rPr>
                <w:rFonts w:cs="Times New Roman"/>
                <w:b/>
              </w:rPr>
              <w:t>Category</w:t>
            </w:r>
          </w:p>
        </w:tc>
        <w:tc>
          <w:tcPr>
            <w:tcW w:w="1872" w:type="dxa"/>
            <w:tcBorders>
              <w:top w:val="single" w:sz="4" w:space="0" w:color="auto"/>
              <w:bottom w:val="single" w:sz="4" w:space="0" w:color="auto"/>
            </w:tcBorders>
          </w:tcPr>
          <w:p w14:paraId="1AD858C1" w14:textId="77777777" w:rsidR="00FC12C5" w:rsidRDefault="00000000">
            <w:pPr>
              <w:spacing w:before="0" w:after="0" w:line="220" w:lineRule="atLeast"/>
              <w:ind w:firstLine="0"/>
              <w:jc w:val="left"/>
            </w:pPr>
            <w:r>
              <w:rPr>
                <w:rFonts w:cs="Times New Roman"/>
                <w:b/>
              </w:rPr>
              <w:t>t(29)</w:t>
            </w:r>
          </w:p>
        </w:tc>
        <w:tc>
          <w:tcPr>
            <w:tcW w:w="1584" w:type="dxa"/>
            <w:tcBorders>
              <w:top w:val="single" w:sz="4" w:space="0" w:color="auto"/>
              <w:bottom w:val="single" w:sz="4" w:space="0" w:color="auto"/>
            </w:tcBorders>
          </w:tcPr>
          <w:p w14:paraId="78D1A96B" w14:textId="77777777" w:rsidR="00FC12C5" w:rsidRDefault="00000000">
            <w:pPr>
              <w:spacing w:before="0" w:after="0" w:line="220" w:lineRule="atLeast"/>
              <w:ind w:firstLine="0"/>
              <w:jc w:val="left"/>
            </w:pPr>
            <w:r>
              <w:rPr>
                <w:rFonts w:cs="Times New Roman"/>
                <w:b/>
              </w:rPr>
              <w:t>p</w:t>
            </w:r>
          </w:p>
        </w:tc>
        <w:tc>
          <w:tcPr>
            <w:tcW w:w="2592" w:type="dxa"/>
            <w:tcBorders>
              <w:top w:val="single" w:sz="4" w:space="0" w:color="auto"/>
              <w:bottom w:val="single" w:sz="4" w:space="0" w:color="auto"/>
            </w:tcBorders>
          </w:tcPr>
          <w:p w14:paraId="1E5D6EC0" w14:textId="77777777" w:rsidR="00FC12C5" w:rsidRDefault="00000000">
            <w:pPr>
              <w:spacing w:before="0" w:after="0" w:line="220" w:lineRule="atLeast"/>
              <w:ind w:firstLine="0"/>
              <w:jc w:val="left"/>
            </w:pPr>
            <w:r>
              <w:rPr>
                <w:rFonts w:cs="Times New Roman"/>
                <w:b/>
              </w:rPr>
              <w:t>95% CI for MD</w:t>
            </w:r>
          </w:p>
        </w:tc>
      </w:tr>
      <w:tr w:rsidR="00FC12C5" w14:paraId="533477BF" w14:textId="77777777">
        <w:tc>
          <w:tcPr>
            <w:tcW w:w="2880" w:type="dxa"/>
          </w:tcPr>
          <w:p w14:paraId="071AB9D0" w14:textId="77777777" w:rsidR="00FC12C5" w:rsidRDefault="00000000">
            <w:pPr>
              <w:spacing w:before="0" w:after="0" w:line="220" w:lineRule="atLeast"/>
              <w:ind w:firstLine="0"/>
              <w:jc w:val="left"/>
            </w:pPr>
            <w:r>
              <w:rPr>
                <w:rFonts w:cs="Times New Roman"/>
              </w:rPr>
              <w:t>Comprehension</w:t>
            </w:r>
          </w:p>
        </w:tc>
        <w:tc>
          <w:tcPr>
            <w:tcW w:w="1872" w:type="dxa"/>
          </w:tcPr>
          <w:p w14:paraId="27570BCD" w14:textId="77777777" w:rsidR="00FC12C5" w:rsidRDefault="00000000">
            <w:pPr>
              <w:spacing w:before="0" w:after="0" w:line="220" w:lineRule="atLeast"/>
              <w:ind w:firstLine="0"/>
              <w:jc w:val="left"/>
            </w:pPr>
            <w:r>
              <w:rPr>
                <w:rFonts w:cs="Times New Roman"/>
              </w:rPr>
              <w:t>3.81</w:t>
            </w:r>
          </w:p>
        </w:tc>
        <w:tc>
          <w:tcPr>
            <w:tcW w:w="1584" w:type="dxa"/>
          </w:tcPr>
          <w:p w14:paraId="516C6F08" w14:textId="77777777" w:rsidR="00FC12C5" w:rsidRDefault="00000000">
            <w:pPr>
              <w:spacing w:before="0" w:after="0" w:line="220" w:lineRule="atLeast"/>
              <w:ind w:firstLine="0"/>
              <w:jc w:val="left"/>
            </w:pPr>
            <w:r>
              <w:rPr>
                <w:rFonts w:cs="Times New Roman"/>
              </w:rPr>
              <w:t>&lt;.001</w:t>
            </w:r>
          </w:p>
        </w:tc>
        <w:tc>
          <w:tcPr>
            <w:tcW w:w="2592" w:type="dxa"/>
          </w:tcPr>
          <w:p w14:paraId="47EC66E7" w14:textId="77777777" w:rsidR="00FC12C5" w:rsidRDefault="00000000">
            <w:pPr>
              <w:spacing w:before="0" w:after="0" w:line="220" w:lineRule="atLeast"/>
              <w:ind w:firstLine="0"/>
              <w:jc w:val="left"/>
            </w:pPr>
            <w:r>
              <w:rPr>
                <w:rFonts w:cs="Times New Roman"/>
              </w:rPr>
              <w:t>[0.15, 0.51]</w:t>
            </w:r>
          </w:p>
        </w:tc>
      </w:tr>
      <w:tr w:rsidR="00FC12C5" w14:paraId="4062420C" w14:textId="77777777">
        <w:tc>
          <w:tcPr>
            <w:tcW w:w="2880" w:type="dxa"/>
          </w:tcPr>
          <w:p w14:paraId="1EE2AD56" w14:textId="77777777" w:rsidR="00FC12C5" w:rsidRDefault="00000000">
            <w:pPr>
              <w:spacing w:before="0" w:after="0" w:line="220" w:lineRule="atLeast"/>
              <w:ind w:firstLine="0"/>
              <w:jc w:val="left"/>
            </w:pPr>
            <w:r>
              <w:rPr>
                <w:rFonts w:cs="Times New Roman"/>
              </w:rPr>
              <w:t>Response Relevance</w:t>
            </w:r>
          </w:p>
        </w:tc>
        <w:tc>
          <w:tcPr>
            <w:tcW w:w="1872" w:type="dxa"/>
          </w:tcPr>
          <w:p w14:paraId="792072A3" w14:textId="77777777" w:rsidR="00FC12C5" w:rsidRDefault="00000000">
            <w:pPr>
              <w:spacing w:before="0" w:after="0" w:line="220" w:lineRule="atLeast"/>
              <w:ind w:firstLine="0"/>
              <w:jc w:val="left"/>
            </w:pPr>
            <w:r>
              <w:rPr>
                <w:rFonts w:cs="Times New Roman"/>
              </w:rPr>
              <w:t>4.71</w:t>
            </w:r>
          </w:p>
        </w:tc>
        <w:tc>
          <w:tcPr>
            <w:tcW w:w="1584" w:type="dxa"/>
          </w:tcPr>
          <w:p w14:paraId="6CDAD278" w14:textId="77777777" w:rsidR="00FC12C5" w:rsidRDefault="00000000">
            <w:pPr>
              <w:spacing w:before="0" w:after="0" w:line="220" w:lineRule="atLeast"/>
              <w:ind w:firstLine="0"/>
              <w:jc w:val="left"/>
            </w:pPr>
            <w:r>
              <w:rPr>
                <w:rFonts w:cs="Times New Roman"/>
              </w:rPr>
              <w:t>&lt;.001</w:t>
            </w:r>
          </w:p>
        </w:tc>
        <w:tc>
          <w:tcPr>
            <w:tcW w:w="2592" w:type="dxa"/>
          </w:tcPr>
          <w:p w14:paraId="21C93E28" w14:textId="77777777" w:rsidR="00FC12C5" w:rsidRDefault="00000000">
            <w:pPr>
              <w:spacing w:before="0" w:after="0" w:line="220" w:lineRule="atLeast"/>
              <w:ind w:firstLine="0"/>
              <w:jc w:val="left"/>
            </w:pPr>
            <w:r>
              <w:rPr>
                <w:rFonts w:cs="Times New Roman"/>
              </w:rPr>
              <w:t>[0.25, 0.62]</w:t>
            </w:r>
          </w:p>
        </w:tc>
      </w:tr>
      <w:tr w:rsidR="00FC12C5" w14:paraId="12540C10" w14:textId="77777777">
        <w:tc>
          <w:tcPr>
            <w:tcW w:w="2880" w:type="dxa"/>
          </w:tcPr>
          <w:p w14:paraId="148CA512" w14:textId="77777777" w:rsidR="00FC12C5" w:rsidRDefault="00000000">
            <w:pPr>
              <w:spacing w:before="0" w:after="0" w:line="220" w:lineRule="atLeast"/>
              <w:ind w:firstLine="0"/>
              <w:jc w:val="left"/>
            </w:pPr>
            <w:r>
              <w:rPr>
                <w:rFonts w:cs="Times New Roman"/>
              </w:rPr>
              <w:t>Fluency</w:t>
            </w:r>
          </w:p>
        </w:tc>
        <w:tc>
          <w:tcPr>
            <w:tcW w:w="1872" w:type="dxa"/>
          </w:tcPr>
          <w:p w14:paraId="72A56DCA" w14:textId="77777777" w:rsidR="00FC12C5" w:rsidRDefault="00000000">
            <w:pPr>
              <w:spacing w:before="0" w:after="0" w:line="220" w:lineRule="atLeast"/>
              <w:ind w:firstLine="0"/>
              <w:jc w:val="left"/>
            </w:pPr>
            <w:r>
              <w:rPr>
                <w:rFonts w:cs="Times New Roman"/>
              </w:rPr>
              <w:t>3.61</w:t>
            </w:r>
          </w:p>
        </w:tc>
        <w:tc>
          <w:tcPr>
            <w:tcW w:w="1584" w:type="dxa"/>
          </w:tcPr>
          <w:p w14:paraId="4F71DECF" w14:textId="77777777" w:rsidR="00FC12C5" w:rsidRDefault="00000000">
            <w:pPr>
              <w:spacing w:before="0" w:after="0" w:line="220" w:lineRule="atLeast"/>
              <w:ind w:firstLine="0"/>
              <w:jc w:val="left"/>
            </w:pPr>
            <w:r>
              <w:rPr>
                <w:rFonts w:cs="Times New Roman"/>
              </w:rPr>
              <w:t>.001</w:t>
            </w:r>
          </w:p>
        </w:tc>
        <w:tc>
          <w:tcPr>
            <w:tcW w:w="2592" w:type="dxa"/>
          </w:tcPr>
          <w:p w14:paraId="5E7D91ED" w14:textId="77777777" w:rsidR="00FC12C5" w:rsidRDefault="00000000">
            <w:pPr>
              <w:spacing w:before="0" w:after="0" w:line="220" w:lineRule="atLeast"/>
              <w:ind w:firstLine="0"/>
              <w:jc w:val="left"/>
            </w:pPr>
            <w:r>
              <w:rPr>
                <w:rFonts w:cs="Times New Roman"/>
              </w:rPr>
              <w:t>[0.16, 0.57]</w:t>
            </w:r>
          </w:p>
        </w:tc>
      </w:tr>
      <w:tr w:rsidR="00FC12C5" w14:paraId="2A5040CA" w14:textId="77777777">
        <w:tc>
          <w:tcPr>
            <w:tcW w:w="2880" w:type="dxa"/>
          </w:tcPr>
          <w:p w14:paraId="3D5F88EC" w14:textId="77777777" w:rsidR="00FC12C5" w:rsidRDefault="00000000">
            <w:pPr>
              <w:spacing w:before="0" w:after="0" w:line="220" w:lineRule="atLeast"/>
              <w:ind w:firstLine="0"/>
              <w:jc w:val="left"/>
            </w:pPr>
            <w:r>
              <w:rPr>
                <w:rFonts w:cs="Times New Roman"/>
              </w:rPr>
              <w:t>Response Development</w:t>
            </w:r>
          </w:p>
        </w:tc>
        <w:tc>
          <w:tcPr>
            <w:tcW w:w="1872" w:type="dxa"/>
          </w:tcPr>
          <w:p w14:paraId="151487AD" w14:textId="77777777" w:rsidR="00FC12C5" w:rsidRDefault="00000000">
            <w:pPr>
              <w:spacing w:before="0" w:after="0" w:line="220" w:lineRule="atLeast"/>
              <w:ind w:firstLine="0"/>
              <w:jc w:val="left"/>
            </w:pPr>
            <w:r>
              <w:rPr>
                <w:rFonts w:cs="Times New Roman"/>
              </w:rPr>
              <w:t>8.23</w:t>
            </w:r>
          </w:p>
        </w:tc>
        <w:tc>
          <w:tcPr>
            <w:tcW w:w="1584" w:type="dxa"/>
          </w:tcPr>
          <w:p w14:paraId="4FA5A554" w14:textId="77777777" w:rsidR="00FC12C5" w:rsidRDefault="00000000">
            <w:pPr>
              <w:spacing w:before="0" w:after="0" w:line="220" w:lineRule="atLeast"/>
              <w:ind w:firstLine="0"/>
              <w:jc w:val="left"/>
            </w:pPr>
            <w:r>
              <w:rPr>
                <w:rFonts w:cs="Times New Roman"/>
              </w:rPr>
              <w:t>&lt;.001</w:t>
            </w:r>
          </w:p>
        </w:tc>
        <w:tc>
          <w:tcPr>
            <w:tcW w:w="2592" w:type="dxa"/>
          </w:tcPr>
          <w:p w14:paraId="20C46B2C" w14:textId="77777777" w:rsidR="00FC12C5" w:rsidRDefault="00000000">
            <w:pPr>
              <w:spacing w:before="0" w:after="0" w:line="220" w:lineRule="atLeast"/>
              <w:ind w:firstLine="0"/>
              <w:jc w:val="left"/>
            </w:pPr>
            <w:r>
              <w:rPr>
                <w:rFonts w:cs="Times New Roman"/>
              </w:rPr>
              <w:t>[0.53, 0.87]</w:t>
            </w:r>
          </w:p>
        </w:tc>
      </w:tr>
      <w:tr w:rsidR="00FC12C5" w14:paraId="01FFCE5F" w14:textId="77777777">
        <w:tc>
          <w:tcPr>
            <w:tcW w:w="2880" w:type="dxa"/>
            <w:tcBorders>
              <w:bottom w:val="single" w:sz="4" w:space="0" w:color="auto"/>
            </w:tcBorders>
          </w:tcPr>
          <w:p w14:paraId="63D25C00" w14:textId="77777777" w:rsidR="00FC12C5" w:rsidRDefault="00000000">
            <w:pPr>
              <w:spacing w:before="0" w:after="0" w:line="220" w:lineRule="atLeast"/>
              <w:ind w:firstLine="0"/>
              <w:jc w:val="left"/>
            </w:pPr>
            <w:r>
              <w:rPr>
                <w:rFonts w:cs="Times New Roman"/>
              </w:rPr>
              <w:t>Total Score</w:t>
            </w:r>
          </w:p>
        </w:tc>
        <w:tc>
          <w:tcPr>
            <w:tcW w:w="1872" w:type="dxa"/>
            <w:tcBorders>
              <w:bottom w:val="single" w:sz="4" w:space="0" w:color="auto"/>
            </w:tcBorders>
          </w:tcPr>
          <w:p w14:paraId="182044F1" w14:textId="77777777" w:rsidR="00FC12C5" w:rsidRDefault="00000000">
            <w:pPr>
              <w:spacing w:before="0" w:after="0" w:line="220" w:lineRule="atLeast"/>
              <w:ind w:firstLine="0"/>
              <w:jc w:val="left"/>
            </w:pPr>
            <w:r>
              <w:rPr>
                <w:rFonts w:cs="Times New Roman"/>
              </w:rPr>
              <w:t>11.49</w:t>
            </w:r>
          </w:p>
        </w:tc>
        <w:tc>
          <w:tcPr>
            <w:tcW w:w="1584" w:type="dxa"/>
            <w:tcBorders>
              <w:bottom w:val="single" w:sz="4" w:space="0" w:color="auto"/>
            </w:tcBorders>
          </w:tcPr>
          <w:p w14:paraId="29019C55" w14:textId="77777777" w:rsidR="00FC12C5" w:rsidRDefault="00000000">
            <w:pPr>
              <w:spacing w:before="0" w:after="0" w:line="220" w:lineRule="atLeast"/>
              <w:ind w:firstLine="0"/>
              <w:jc w:val="left"/>
            </w:pPr>
            <w:r>
              <w:rPr>
                <w:rFonts w:cs="Times New Roman"/>
              </w:rPr>
              <w:t>&lt;.001</w:t>
            </w:r>
          </w:p>
        </w:tc>
        <w:tc>
          <w:tcPr>
            <w:tcW w:w="2592" w:type="dxa"/>
            <w:tcBorders>
              <w:bottom w:val="single" w:sz="4" w:space="0" w:color="auto"/>
            </w:tcBorders>
          </w:tcPr>
          <w:p w14:paraId="3DD726FF" w14:textId="77777777" w:rsidR="00FC12C5" w:rsidRDefault="00000000">
            <w:pPr>
              <w:spacing w:before="0" w:after="0" w:line="220" w:lineRule="atLeast"/>
              <w:ind w:firstLine="0"/>
              <w:jc w:val="left"/>
            </w:pPr>
            <w:r>
              <w:rPr>
                <w:rFonts w:cs="Times New Roman"/>
              </w:rPr>
              <w:t>[1.51, 2.16]</w:t>
            </w:r>
          </w:p>
        </w:tc>
      </w:tr>
    </w:tbl>
    <w:p w14:paraId="4D9CBBCC" w14:textId="77777777" w:rsidR="00FC12C5" w:rsidRDefault="00FC12C5">
      <w:pPr>
        <w:pStyle w:val="RALs-Normal"/>
        <w:ind w:firstLine="0"/>
      </w:pPr>
    </w:p>
    <w:p w14:paraId="10DD5E2D" w14:textId="77777777" w:rsidR="00FC12C5" w:rsidRDefault="00000000">
      <w:pPr>
        <w:pStyle w:val="RALs-Normal"/>
      </w:pPr>
      <w:r>
        <w:rPr>
          <w:rFonts w:cs="Times New Roman"/>
          <w:sz w:val="24"/>
        </w:rPr>
        <w:t>Convergence across parametric and non-parametric tests strengthens confidence that the observed gains reflect a genuine pattern in the data rather than an artefact of a particular statistical procedure. The two categories showing the largest effect sizes, Response Development (</w:t>
      </w:r>
      <w:r>
        <w:rPr>
          <w:rFonts w:cs="Times New Roman"/>
          <w:i/>
          <w:sz w:val="24"/>
        </w:rPr>
        <w:t>d</w:t>
      </w:r>
      <w:r>
        <w:rPr>
          <w:rFonts w:cs="Times New Roman"/>
          <w:sz w:val="24"/>
        </w:rPr>
        <w:t xml:space="preserve"> = 1.50) and the total score (</w:t>
      </w:r>
      <w:r>
        <w:rPr>
          <w:rFonts w:cs="Times New Roman"/>
          <w:i/>
          <w:sz w:val="24"/>
        </w:rPr>
        <w:t>d</w:t>
      </w:r>
      <w:r>
        <w:rPr>
          <w:rFonts w:cs="Times New Roman"/>
          <w:sz w:val="24"/>
        </w:rPr>
        <w:t xml:space="preserve"> = 2.10), indicate that the intervention's clearest </w:t>
      </w:r>
      <w:r>
        <w:rPr>
          <w:rFonts w:cs="Times New Roman"/>
          <w:sz w:val="24"/>
        </w:rPr>
        <w:lastRenderedPageBreak/>
        <w:t>influence was on students' capacity to elaborate on and explain what they had heard, rather than on comprehension accuracy alone, a distinction developed further in the Discussion.</w:t>
      </w:r>
    </w:p>
    <w:p w14:paraId="17729F65" w14:textId="77777777" w:rsidR="00FC12C5" w:rsidRDefault="00000000">
      <w:pPr>
        <w:pStyle w:val="RALs-Heading2"/>
      </w:pPr>
      <w:r>
        <w:rPr>
          <w:rFonts w:cs="Times New Roman"/>
          <w:sz w:val="24"/>
        </w:rPr>
        <w:t>4.3. Qualitative Findings</w:t>
      </w:r>
    </w:p>
    <w:p w14:paraId="23599E44" w14:textId="77777777" w:rsidR="00FC12C5" w:rsidRDefault="00000000">
      <w:pPr>
        <w:pStyle w:val="RALs-Normal"/>
      </w:pPr>
      <w:r>
        <w:rPr>
          <w:rFonts w:cs="Times New Roman"/>
          <w:sz w:val="24"/>
        </w:rPr>
        <w:t>Three cross-cutting patterns emerged when recordings and observation notes were analysed thematically across the recurring news genres used throughout the intervention, rather than lesson by lesson. Responses moved from recall toward explanation, became more closely anchored to the partner's question than to the source text, and this shift recurred across genres with different communicative demands rather than being confined to one or two familiar topics. Each pattern is illustrated below with excerpts drawn from more than one lesson of the relevant type.</w:t>
      </w:r>
    </w:p>
    <w:p w14:paraId="40194F80" w14:textId="77777777" w:rsidR="00FC12C5" w:rsidRDefault="00000000">
      <w:pPr>
        <w:pStyle w:val="RALs-Normal"/>
      </w:pPr>
      <w:r>
        <w:rPr>
          <w:rFonts w:cs="Times New Roman"/>
          <w:sz w:val="24"/>
        </w:rPr>
        <w:t>The most consistent pattern was a shift from bare recall toward causal explanation, visible in both breaking-news and policy-related lessons, such as coverage of the Ever Given's grounding in the Suez Canal and of the Regional Comprehensive Economic Partnership (RCEP). Prompts for this kind of content, including What happened?, Why is this important?, and What could happen next?, were designed to move students from reporting an event to interpreting its significance. Before the intervention, responses of this type were typically limited to bare fact: one pre-test response to the Suez Canal report stated only that “the ship blocked the canal. Trade stopped,” and a comparable pre-test response to RCEP reduced the agreement to a label, “RCEP is a trade agreement.” Post-test responses to similar content added an explanatory clause in both cases: “The ship blocked the canal, so many ships could not pass. This affected transportation and world trade,” and “RCEP is a trade agreement and it can help countries recover their economies after the pandemic.” Because this shift recurred across two unrelated genres rather than in a single lesson, it illustrates the Response Development gain reported in Table 4 and points to a general change in how students used spoken input rather than a response tied to one topic.</w:t>
      </w:r>
    </w:p>
    <w:p w14:paraId="260BAF34" w14:textId="77777777" w:rsidR="00FC12C5" w:rsidRDefault="00000000">
      <w:pPr>
        <w:pStyle w:val="RALs-Normal"/>
      </w:pPr>
      <w:r>
        <w:rPr>
          <w:rFonts w:cs="Times New Roman"/>
          <w:sz w:val="24"/>
        </w:rPr>
        <w:t>A second pattern was closer alignment between responses and the partner's specific question rather than the original listening text, evident in both economic-news and organisational-decision lessons, such as coverage of sanctions affecting Russian seafood exports and of a Volkswagen labour dispute. Prompts of this kind, including How did this affect different people or countries?, Who benefited or was disadvantaged?, and Do you agree with the decision? Why?, asked students to reason about consequence or to take a position rather than restate content. Early responses to both genres tended to restate the reported fact without engaging the interactional question, reflecting adequate Comprehension but weaker Response Relevance. By the later weeks, students more often addressed the partner's follow-up directly, for instance distinguishing which countries' exporters were affected in the sanctions lessons, and linking a company's decision to its effect on workers before offering a judgement in the labour-dispute lessons. This convergence across an explanatory and an evaluative genre is broadly consistent with the negotiation-of-meaning mechanism proposed by Long (1996), in which the partner's question, rather than the source text, increasingly shapes what a learner says next.</w:t>
      </w:r>
    </w:p>
    <w:p w14:paraId="294D1F3B" w14:textId="77777777" w:rsidR="00FC12C5" w:rsidRDefault="00000000">
      <w:pPr>
        <w:pStyle w:val="RALs-Normal"/>
      </w:pPr>
      <w:r>
        <w:rPr>
          <w:rFonts w:cs="Times New Roman"/>
          <w:sz w:val="24"/>
        </w:rPr>
        <w:t xml:space="preserve">A third pattern, cutting across the first two, was that neither shift appeared confined to a single genre or question type. Explanatory gains were observed in both factual (breaking </w:t>
      </w:r>
      <w:r>
        <w:rPr>
          <w:rFonts w:cs="Times New Roman"/>
          <w:sz w:val="24"/>
        </w:rPr>
        <w:lastRenderedPageBreak/>
        <w:t>news) and policy-oriented (international agreements) content, and relevance gains were observed in both economic and evaluative (organisational-decision) content. Taken together, this suggests a change in listening-to-respond behaviour that extended across the kinds of authentic material the course already used, rather than an improvement specific to one or two familiar lessons.</w:t>
      </w:r>
    </w:p>
    <w:p w14:paraId="0EB3DCE6" w14:textId="77777777" w:rsidR="00FC12C5" w:rsidRDefault="00000000">
      <w:pPr>
        <w:pStyle w:val="RALs-Normal"/>
      </w:pPr>
      <w:r>
        <w:rPr>
          <w:rFonts w:cs="Times New Roman"/>
          <w:sz w:val="24"/>
        </w:rPr>
        <w:t>Considered together, this pattern is broadly consistent with the quantitative gains reported above: the largest effect sizes were observed for Response Development and Response Relevance, the two categories most directly reflected in the qualitative shifts described here. Given the study's design, this convergence does not by itself establish that the intervention caused the change, but it does support a fuller reading of the results than either the statistical or the qualitative evidence would offer alone, since the shift toward explanation and relevance appears to have been distributed across genres rather than isolated to particular lessons.</w:t>
      </w:r>
    </w:p>
    <w:p w14:paraId="252E1B74" w14:textId="77777777" w:rsidR="00FC12C5" w:rsidRDefault="00000000">
      <w:pPr>
        <w:pStyle w:val="RALs-Heading1"/>
      </w:pPr>
      <w:r>
        <w:rPr>
          <w:rFonts w:cs="Times New Roman"/>
          <w:sz w:val="24"/>
        </w:rPr>
        <w:t>5. Discussion</w:t>
      </w:r>
    </w:p>
    <w:p w14:paraId="74DFF7F2" w14:textId="77777777" w:rsidR="00FC12C5" w:rsidRDefault="00000000">
      <w:pPr>
        <w:pStyle w:val="RALs-Heading2"/>
      </w:pPr>
      <w:r>
        <w:rPr>
          <w:rFonts w:cs="Times New Roman"/>
          <w:sz w:val="24"/>
        </w:rPr>
        <w:t>5.1. Differential Gains Across Rubric Categories</w:t>
      </w:r>
    </w:p>
    <w:p w14:paraId="4F37F1B4" w14:textId="77777777" w:rsidR="00FC12C5" w:rsidRDefault="00000000">
      <w:pPr>
        <w:pStyle w:val="RALs-Normal"/>
      </w:pPr>
      <w:r>
        <w:rPr>
          <w:rFonts w:cs="Times New Roman"/>
          <w:sz w:val="24"/>
        </w:rPr>
        <w:t>One consistent finding across the quantitative and qualitative evidence is that the intervention shifted the character of students' listening-to-respond performance from factual reporting toward explanation, and did so across genres rather than within a single familiar lesson. This pattern is broadly consistent with Swain's (2005) Output Hypothesis: requiring a spoken response, rather than comprehension alone, is the condition under which learners are thought to notice gaps between what they understand and what they can currently articulate, and Response Development, the category most directly tied to that mechanism, produced the largest effect size observed (</w:t>
      </w:r>
      <w:r>
        <w:rPr>
          <w:rFonts w:cs="Times New Roman"/>
          <w:i/>
          <w:sz w:val="24"/>
        </w:rPr>
        <w:t>d</w:t>
      </w:r>
      <w:r>
        <w:rPr>
          <w:rFonts w:cs="Times New Roman"/>
          <w:sz w:val="24"/>
        </w:rPr>
        <w:t xml:space="preserve"> = 1.50). Response Relevance improved almost as strongly (</w:t>
      </w:r>
      <w:r>
        <w:rPr>
          <w:rFonts w:cs="Times New Roman"/>
          <w:i/>
          <w:sz w:val="24"/>
        </w:rPr>
        <w:t>d</w:t>
      </w:r>
      <w:r>
        <w:rPr>
          <w:rFonts w:cs="Times New Roman"/>
          <w:sz w:val="24"/>
        </w:rPr>
        <w:t xml:space="preserve"> = 0.86), a result perhaps better explained by Long's (1996) Interaction Hypothesis than by output alone, since negotiating meaning with a peer gives students real-time signals about whether a response addresses the question, a mechanism visible in the qualitative shift from restating the listening text toward answering a partner's specific follow-up.</w:t>
      </w:r>
    </w:p>
    <w:p w14:paraId="30406AB9" w14:textId="77777777" w:rsidR="00FC12C5" w:rsidRDefault="00000000">
      <w:pPr>
        <w:pStyle w:val="RALs-Normal"/>
      </w:pPr>
      <w:r>
        <w:rPr>
          <w:rFonts w:cs="Times New Roman"/>
          <w:sz w:val="24"/>
        </w:rPr>
        <w:t>By comparison, Comprehension showed the smallest, though still significant, effect (</w:t>
      </w:r>
      <w:r>
        <w:rPr>
          <w:rFonts w:cs="Times New Roman"/>
          <w:i/>
          <w:sz w:val="24"/>
        </w:rPr>
        <w:t>d</w:t>
      </w:r>
      <w:r>
        <w:rPr>
          <w:rFonts w:cs="Times New Roman"/>
          <w:sz w:val="24"/>
        </w:rPr>
        <w:t xml:space="preserve"> = 0.70). This is not a surprising result: the existing curriculum had already trained comprehension and reproduction intensively, consistent with Nguyen and Boers's (2019) account of Vietnamese and broader Asian EFL contexts, where listening instruction has long emphasised test preparation and factual comprehension, precisely the skill this cohort had already practised. Fluency showed a similar pattern (</w:t>
      </w:r>
      <w:r>
        <w:rPr>
          <w:rFonts w:cs="Times New Roman"/>
          <w:i/>
          <w:sz w:val="24"/>
        </w:rPr>
        <w:t>d</w:t>
      </w:r>
      <w:r>
        <w:rPr>
          <w:rFonts w:cs="Times New Roman"/>
          <w:sz w:val="24"/>
        </w:rPr>
        <w:t xml:space="preserve"> = 0.66), plausibly because the intervention targeted relevance and elaboration rather than fluency directly, and because four weeks is a short period in which to expect observable change in spontaneous speech at approximately B1 level. Read together, these differential effects, largest where the intervention's mechanism was most direct, offer a more precise account of what changed than the total score alone.</w:t>
      </w:r>
    </w:p>
    <w:p w14:paraId="324AF700" w14:textId="77777777" w:rsidR="00FC12C5" w:rsidRDefault="00000000">
      <w:pPr>
        <w:pStyle w:val="RALs-Heading2"/>
      </w:pPr>
      <w:r>
        <w:rPr>
          <w:rFonts w:cs="Times New Roman"/>
          <w:sz w:val="24"/>
        </w:rPr>
        <w:t>5.2. Extending ESP Listening Research through Minimal Interaction</w:t>
      </w:r>
    </w:p>
    <w:p w14:paraId="17C09A8A" w14:textId="53C852B7" w:rsidR="00B57696" w:rsidRDefault="00B57696">
      <w:pPr>
        <w:pStyle w:val="RALs-Normal"/>
        <w:rPr>
          <w:rFonts w:cs="Times New Roman"/>
          <w:sz w:val="24"/>
        </w:rPr>
      </w:pPr>
      <w:r w:rsidRPr="00B57696">
        <w:rPr>
          <w:rFonts w:cs="Times New Roman"/>
          <w:sz w:val="24"/>
        </w:rPr>
        <w:t xml:space="preserve">One finding that deserves particular attention is that the largest improvements occurred in Response Development and Response Relevance rather than in Comprehension. In other </w:t>
      </w:r>
      <w:r w:rsidRPr="00B57696">
        <w:rPr>
          <w:rFonts w:cs="Times New Roman"/>
          <w:sz w:val="24"/>
        </w:rPr>
        <w:lastRenderedPageBreak/>
        <w:t xml:space="preserve">words, students did not simply become better at understanding the listening texts; they became more willing to explain, interpret, and respond to what they had heard. This distinction helps position the </w:t>
      </w:r>
      <w:proofErr w:type="gramStart"/>
      <w:r w:rsidRPr="00B57696">
        <w:rPr>
          <w:rFonts w:cs="Times New Roman"/>
          <w:sz w:val="24"/>
        </w:rPr>
        <w:t>study</w:t>
      </w:r>
      <w:proofErr w:type="gramEnd"/>
      <w:r w:rsidRPr="00B57696">
        <w:rPr>
          <w:rFonts w:cs="Times New Roman"/>
          <w:sz w:val="24"/>
        </w:rPr>
        <w:t xml:space="preserve"> within existing ESP listening research. While previous studies have shown that reproduction activities support comprehension and information organisation</w:t>
      </w:r>
      <w:r>
        <w:rPr>
          <w:rFonts w:cs="Times New Roman"/>
          <w:sz w:val="24"/>
        </w:rPr>
        <w:t xml:space="preserve"> (Dudley-Evans &amp; St John, 1998; Flowerdew &amp; Miller, 2005; Field, 2008; Long, 1996; Swain, 2005; Vandergrift &amp; Goh, 2012)</w:t>
      </w:r>
      <w:r w:rsidRPr="00B57696">
        <w:rPr>
          <w:rFonts w:cs="Times New Roman"/>
          <w:sz w:val="24"/>
        </w:rPr>
        <w:t xml:space="preserve">, relatively few have examined whether a brief interaction stage can build on those strengths without changing the overall lesson structure. </w:t>
      </w:r>
    </w:p>
    <w:p w14:paraId="00F292E5" w14:textId="0084D482" w:rsidR="00FC12C5" w:rsidRDefault="00000000">
      <w:pPr>
        <w:pStyle w:val="RALs-Normal"/>
      </w:pPr>
      <w:r>
        <w:rPr>
          <w:rFonts w:cs="Times New Roman"/>
          <w:sz w:val="24"/>
        </w:rPr>
        <w:t>The present findings offer preliminary support that it can: reproduction and interaction need not be framed as competing approaches to listening instruction. Reproduction continues to do what Field (2008) and Flowerdew and Miller (2005) describe it as already doing well, supporting comprehension and information organisation, while a short interaction stage appears to do complementary work, encouraging communicative use of that information, in line with Richards's (2008) argument that listening and speaking are not easily separated in instruction.</w:t>
      </w:r>
    </w:p>
    <w:p w14:paraId="74FA1123" w14:textId="77777777" w:rsidR="00FC12C5" w:rsidRDefault="00000000">
      <w:pPr>
        <w:pStyle w:val="RALs-Normal"/>
      </w:pPr>
      <w:r>
        <w:rPr>
          <w:rFonts w:cs="Times New Roman"/>
          <w:sz w:val="24"/>
        </w:rPr>
        <w:t>Such a complementary relationship may matter most where a full communicative redesign is hardest to justify. In assessment-driven ESP programmes, where curriculum time and assessment weightings are fixed, a three-to-seven-minute addition seems more likely to be adopted and sustained than a larger structural change would be. For ESP teachers in similar positions, the practical question this study speaks to is less whether to replace reproduction with communicative tasks than what minimal addition might create room for response, a question addressed here with one tested, low-cost example rather than a general prescription.</w:t>
      </w:r>
    </w:p>
    <w:p w14:paraId="38706387" w14:textId="77777777" w:rsidR="00FC12C5" w:rsidRDefault="00000000">
      <w:pPr>
        <w:pStyle w:val="RALs-Heading2"/>
      </w:pPr>
      <w:r>
        <w:rPr>
          <w:rFonts w:cs="Times New Roman"/>
          <w:sz w:val="24"/>
        </w:rPr>
        <w:t>5.3. Relevance to Vietnam's Shift toward Communicative English</w:t>
      </w:r>
    </w:p>
    <w:p w14:paraId="4AA70224" w14:textId="77777777" w:rsidR="00FC12C5" w:rsidRDefault="00000000">
      <w:pPr>
        <w:pStyle w:val="RALs-Normal"/>
      </w:pPr>
      <w:r>
        <w:rPr>
          <w:rFonts w:cs="Times New Roman"/>
          <w:sz w:val="24"/>
        </w:rPr>
        <w:t>Beyond the immediate classroom, these findings speak to a broader transition underway in Vietnamese higher education, in which English instruction is gradually repositioning English less as a subject mastered for examinations and more as an additional language for academic and professional use. Vandergrift and Goh (2012) argue that this kind of transition requires listening instruction to build active meaning processing and metacognitive engagement gradually rather than in short bursts, and the present study offers one classroom-tested mechanism for incremental progress toward that goal without waiting for curriculum-wide reform. Because DAV's ESP listening courses are built on internationally oriented content, diplomacy, law, and economics, where responding to spoken input is arguably a professional requirement rather than a general communicative skill, the case for narrowing the gap with communicative competence (Canale &amp; Swain, 1980) may be stronger here than in general English contexts.</w:t>
      </w:r>
    </w:p>
    <w:p w14:paraId="0409FF97" w14:textId="77777777" w:rsidR="00FC12C5" w:rsidRDefault="00000000">
      <w:pPr>
        <w:pStyle w:val="RALs-Heading2"/>
      </w:pPr>
      <w:r>
        <w:rPr>
          <w:rFonts w:cs="Times New Roman"/>
          <w:sz w:val="24"/>
        </w:rPr>
        <w:t>5.4. Limitations</w:t>
      </w:r>
    </w:p>
    <w:p w14:paraId="0E9EF589" w14:textId="28CFC7C7" w:rsidR="00FC12C5" w:rsidRDefault="00000000">
      <w:pPr>
        <w:pStyle w:val="RALs-Normal"/>
      </w:pPr>
      <w:r>
        <w:rPr>
          <w:rFonts w:cs="Times New Roman"/>
          <w:sz w:val="24"/>
        </w:rPr>
        <w:t xml:space="preserve">Several limitations bound these findings. The study drew on a single class at a single institution, so results cannot be generalised without further testing. The absence of a control group means the gains reported are consistent with the intervention rather than proof of it. The researcher's dual role as teacher and rater introduces a structural source of bias, and reliance on a single rater means no inter-rater reliability statistic could be established. The four-week window is sufficient to detect an initial shift but not to establish durability, since no delayed </w:t>
      </w:r>
      <w:r>
        <w:rPr>
          <w:rFonts w:cs="Times New Roman"/>
          <w:sz w:val="24"/>
        </w:rPr>
        <w:lastRenderedPageBreak/>
        <w:t xml:space="preserve">post-test was administered. </w:t>
      </w:r>
      <w:r w:rsidR="00B57696" w:rsidRPr="00B57696">
        <w:rPr>
          <w:rFonts w:cs="Times New Roman"/>
          <w:sz w:val="24"/>
        </w:rPr>
        <w:t>These limitations should be considered when interpreting the findings. At the same time, the consistency between the quantitative results and the classroom evidence provides reasonable confidence that the observed changes reflected meaningful developments in students' listening-to-respond performance.</w:t>
      </w:r>
    </w:p>
    <w:p w14:paraId="033E4CA9" w14:textId="77777777" w:rsidR="00FC12C5" w:rsidRDefault="00000000">
      <w:pPr>
        <w:pStyle w:val="RALs-Heading1"/>
      </w:pPr>
      <w:r>
        <w:rPr>
          <w:rFonts w:cs="Times New Roman"/>
          <w:sz w:val="24"/>
        </w:rPr>
        <w:t>6. Conclusion</w:t>
      </w:r>
    </w:p>
    <w:p w14:paraId="080F923D" w14:textId="77777777" w:rsidR="00FC12C5" w:rsidRDefault="00000000">
      <w:pPr>
        <w:pStyle w:val="RALs-Normal"/>
      </w:pPr>
      <w:r>
        <w:rPr>
          <w:rFonts w:cs="Times New Roman"/>
          <w:sz w:val="24"/>
        </w:rPr>
        <w:t xml:space="preserve">The present study asked whether a brief, interaction-oriented post-listening activity could strengthen students' listening-to-respond performance in an ESP listening course at the Diplomatic Academy of Vietnam. Wilcoxon signed-rank tests, corroborated by paired-samples </w:t>
      </w:r>
      <w:r>
        <w:rPr>
          <w:rFonts w:cs="Times New Roman"/>
          <w:i/>
          <w:sz w:val="24"/>
        </w:rPr>
        <w:t>t</w:t>
      </w:r>
      <w:r>
        <w:rPr>
          <w:rFonts w:cs="Times New Roman"/>
          <w:sz w:val="24"/>
        </w:rPr>
        <w:t>-tests, showed statistically significant gains across comprehension, response relevance, fluency, and response development, with effect sizes ranging from medium-to-large to very large, and qualitative evidence across multiple news genres, breaking news, economic reporting, international agreements, and organisational decisions, pointed to the same underlying shift: from factual recall toward explanation, causal reasoning, and reasoned opinion.</w:t>
      </w:r>
    </w:p>
    <w:p w14:paraId="5869F365" w14:textId="77777777" w:rsidR="00FC12C5" w:rsidRDefault="00000000">
      <w:pPr>
        <w:pStyle w:val="RALs-Normal"/>
      </w:pPr>
      <w:r>
        <w:rPr>
          <w:rFonts w:cs="Times New Roman"/>
          <w:sz w:val="24"/>
        </w:rPr>
        <w:t>Read against Canale and Swain's (1980) communicative competence framework and the interactional and output mechanisms proposed by Long (1996) and Swain (2005), this pattern suggests that reproduction-based ESP listening instruction does not need to be abandoned in order to move toward communicative goals; it can instead be extended. A brief interaction-oriented stage, added after an unchanged reproduction task, appears sufficient to convert a comprehension exercise into a modest bridge toward communicative listening. For ESP teachers working within fixed curricula and assessment structures, of the kind common across Vietnamese higher education, this offers one practical, evidence-based option that does not require institutional redesign to implement.</w:t>
      </w:r>
    </w:p>
    <w:p w14:paraId="73AB543A" w14:textId="77777777" w:rsidR="00FC12C5" w:rsidRDefault="00000000">
      <w:pPr>
        <w:pStyle w:val="RALs-Normal"/>
      </w:pPr>
      <w:r>
        <w:rPr>
          <w:rFonts w:cs="Times New Roman"/>
          <w:sz w:val="24"/>
        </w:rPr>
        <w:t>The broader implication is a modest one: even within reproduction-bound ESP classrooms, a few minutes of structured interaction may be enough to turn listening into a starting point for communication rather than an endpoint in itself.</w:t>
      </w:r>
    </w:p>
    <w:p w14:paraId="24ACDE1E" w14:textId="77777777" w:rsidR="00D60DAF" w:rsidRDefault="00D60DAF">
      <w:pPr>
        <w:pStyle w:val="RALs-Heading1"/>
        <w:jc w:val="both"/>
        <w:rPr>
          <w:rFonts w:cs="Times New Roman"/>
          <w:sz w:val="24"/>
        </w:rPr>
      </w:pPr>
      <w:r w:rsidRPr="00D60DAF">
        <w:rPr>
          <w:rFonts w:cs="Times New Roman"/>
          <w:sz w:val="24"/>
        </w:rPr>
        <w:t xml:space="preserve">Declaration of AI Use  </w:t>
      </w:r>
    </w:p>
    <w:p w14:paraId="277C39F2" w14:textId="241D2038" w:rsidR="00D60DAF" w:rsidRPr="00D60DAF" w:rsidRDefault="00D60DAF" w:rsidP="00D60DAF">
      <w:pPr>
        <w:pStyle w:val="RALs-Normal"/>
        <w:rPr>
          <w:rFonts w:cs="Times New Roman"/>
          <w:sz w:val="24"/>
        </w:rPr>
      </w:pPr>
      <w:r w:rsidRPr="00D60DAF">
        <w:rPr>
          <w:rFonts w:cs="Times New Roman"/>
          <w:sz w:val="24"/>
        </w:rPr>
        <w:t>During the preparation of this manuscript, the author used Claude and ChatGPT to improve the</w:t>
      </w:r>
      <w:r>
        <w:rPr>
          <w:rFonts w:cs="Times New Roman"/>
          <w:sz w:val="24"/>
        </w:rPr>
        <w:t xml:space="preserve"> </w:t>
      </w:r>
      <w:r w:rsidRPr="00D60DAF">
        <w:rPr>
          <w:rFonts w:cs="Times New Roman"/>
          <w:sz w:val="24"/>
        </w:rPr>
        <w:t>stylistic clarity, readability, and grammatical accuracy of the text. The underlying conceptual framework, classroom intervention design, data collection, statistical analyses, and qualitative interpretations were executed entirely by the author, who maintains full accountability for the integrity of the final content</w:t>
      </w:r>
      <w:r>
        <w:rPr>
          <w:rFonts w:cs="Times New Roman"/>
          <w:sz w:val="24"/>
        </w:rPr>
        <w:t>.</w:t>
      </w:r>
    </w:p>
    <w:p w14:paraId="0ECB313B" w14:textId="199FEE0D" w:rsidR="00FC12C5" w:rsidRDefault="00000000">
      <w:pPr>
        <w:pStyle w:val="RALs-Heading1"/>
        <w:jc w:val="both"/>
      </w:pPr>
      <w:r>
        <w:rPr>
          <w:rFonts w:cs="Times New Roman"/>
          <w:sz w:val="24"/>
        </w:rPr>
        <w:t>References</w:t>
      </w:r>
    </w:p>
    <w:p w14:paraId="242C5729" w14:textId="77777777" w:rsidR="00FC12C5" w:rsidRDefault="00000000">
      <w:pPr>
        <w:pStyle w:val="RALs-ReferencesList"/>
      </w:pPr>
      <w:r>
        <w:rPr>
          <w:rFonts w:cs="Times New Roman"/>
          <w:sz w:val="24"/>
        </w:rPr>
        <w:t xml:space="preserve">Burns, A. (2010). </w:t>
      </w:r>
      <w:r>
        <w:rPr>
          <w:rFonts w:cs="Times New Roman"/>
          <w:i/>
          <w:sz w:val="24"/>
        </w:rPr>
        <w:t>Doing action research in English language teaching: A guide for practitioners</w:t>
      </w:r>
      <w:r>
        <w:rPr>
          <w:rFonts w:cs="Times New Roman"/>
          <w:sz w:val="24"/>
        </w:rPr>
        <w:t>. Routledge.</w:t>
      </w:r>
    </w:p>
    <w:p w14:paraId="5418989C" w14:textId="77777777" w:rsidR="00FC12C5" w:rsidRDefault="00000000">
      <w:pPr>
        <w:pStyle w:val="RALs-ReferencesList"/>
      </w:pPr>
      <w:r>
        <w:rPr>
          <w:rFonts w:cs="Times New Roman"/>
          <w:sz w:val="24"/>
        </w:rPr>
        <w:t xml:space="preserve">Canale, M., &amp; Swain, M. (1980). Theoretical bases of communicative approaches to second language teaching and testing. </w:t>
      </w:r>
      <w:r>
        <w:rPr>
          <w:rFonts w:cs="Times New Roman"/>
          <w:i/>
          <w:sz w:val="24"/>
        </w:rPr>
        <w:t>Applied Linguistics, 1</w:t>
      </w:r>
      <w:r>
        <w:rPr>
          <w:rFonts w:cs="Times New Roman"/>
          <w:sz w:val="24"/>
        </w:rPr>
        <w:t>(1), 1–47. https://doi.org/10.1093/applin/I.1.1</w:t>
      </w:r>
    </w:p>
    <w:p w14:paraId="4EA374E8" w14:textId="77777777" w:rsidR="00FC12C5" w:rsidRDefault="00000000">
      <w:pPr>
        <w:pStyle w:val="RALs-ReferencesList"/>
      </w:pPr>
      <w:r>
        <w:rPr>
          <w:rFonts w:cs="Times New Roman"/>
          <w:sz w:val="24"/>
        </w:rPr>
        <w:lastRenderedPageBreak/>
        <w:t xml:space="preserve">Cohen, J. (1988). </w:t>
      </w:r>
      <w:r>
        <w:rPr>
          <w:rFonts w:cs="Times New Roman"/>
          <w:i/>
          <w:sz w:val="24"/>
        </w:rPr>
        <w:t>Statistical power analysis for the behavioral sciences</w:t>
      </w:r>
      <w:r>
        <w:rPr>
          <w:rFonts w:cs="Times New Roman"/>
          <w:sz w:val="24"/>
        </w:rPr>
        <w:t xml:space="preserve"> (2nd ed.). Lawrence Erlbaum Associates.</w:t>
      </w:r>
    </w:p>
    <w:p w14:paraId="6FC8D91F" w14:textId="77777777" w:rsidR="00FC12C5" w:rsidRDefault="00000000">
      <w:pPr>
        <w:pStyle w:val="RALs-ReferencesList"/>
      </w:pPr>
      <w:r>
        <w:rPr>
          <w:rFonts w:cs="Times New Roman"/>
          <w:sz w:val="24"/>
        </w:rPr>
        <w:t xml:space="preserve">Dudley-Evans, T., &amp; St John, M. J. (1998). </w:t>
      </w:r>
      <w:r>
        <w:rPr>
          <w:rFonts w:cs="Times New Roman"/>
          <w:i/>
          <w:sz w:val="24"/>
        </w:rPr>
        <w:t>Developments in English for specific purposes: A multi-disciplinary approach</w:t>
      </w:r>
      <w:r>
        <w:rPr>
          <w:rFonts w:cs="Times New Roman"/>
          <w:sz w:val="24"/>
        </w:rPr>
        <w:t>. Cambridge University Press.</w:t>
      </w:r>
    </w:p>
    <w:p w14:paraId="073E693C" w14:textId="77777777" w:rsidR="00FC12C5" w:rsidRDefault="00000000">
      <w:pPr>
        <w:pStyle w:val="RALs-ReferencesList"/>
      </w:pPr>
      <w:r>
        <w:rPr>
          <w:rFonts w:cs="Times New Roman"/>
          <w:sz w:val="24"/>
        </w:rPr>
        <w:t xml:space="preserve">Field, J. (2008). </w:t>
      </w:r>
      <w:r>
        <w:rPr>
          <w:rFonts w:cs="Times New Roman"/>
          <w:i/>
          <w:sz w:val="24"/>
        </w:rPr>
        <w:t>Listening in the language classroom</w:t>
      </w:r>
      <w:r>
        <w:rPr>
          <w:rFonts w:cs="Times New Roman"/>
          <w:sz w:val="24"/>
        </w:rPr>
        <w:t>. Cambridge University Press.</w:t>
      </w:r>
    </w:p>
    <w:p w14:paraId="0057D6BA" w14:textId="77777777" w:rsidR="00FC12C5" w:rsidRDefault="00000000">
      <w:pPr>
        <w:pStyle w:val="RALs-ReferencesList"/>
      </w:pPr>
      <w:r>
        <w:rPr>
          <w:rFonts w:cs="Times New Roman"/>
          <w:sz w:val="24"/>
        </w:rPr>
        <w:t xml:space="preserve">Flowerdew, J., &amp; Miller, L. (2005). </w:t>
      </w:r>
      <w:r>
        <w:rPr>
          <w:rFonts w:cs="Times New Roman"/>
          <w:i/>
          <w:sz w:val="24"/>
        </w:rPr>
        <w:t>Second language listening: Theory and practice</w:t>
      </w:r>
      <w:r>
        <w:rPr>
          <w:rFonts w:cs="Times New Roman"/>
          <w:sz w:val="24"/>
        </w:rPr>
        <w:t>. Cambridge University Press.</w:t>
      </w:r>
    </w:p>
    <w:p w14:paraId="44D54C53" w14:textId="77777777" w:rsidR="00FC12C5" w:rsidRDefault="00000000">
      <w:pPr>
        <w:pStyle w:val="RALs-ReferencesList"/>
      </w:pPr>
      <w:r>
        <w:rPr>
          <w:rFonts w:cs="Times New Roman"/>
          <w:sz w:val="24"/>
        </w:rPr>
        <w:t xml:space="preserve">Gilmore, A. (2007). Authentic materials and authenticity in foreign language learning. </w:t>
      </w:r>
      <w:r>
        <w:rPr>
          <w:rFonts w:cs="Times New Roman"/>
          <w:i/>
          <w:sz w:val="24"/>
        </w:rPr>
        <w:t>Language Teaching, 40</w:t>
      </w:r>
      <w:r>
        <w:rPr>
          <w:rFonts w:cs="Times New Roman"/>
          <w:sz w:val="24"/>
        </w:rPr>
        <w:t>(2), 97–118. https://doi.org/10.1017/S0261444807004144</w:t>
      </w:r>
    </w:p>
    <w:p w14:paraId="45DDF32E" w14:textId="77777777" w:rsidR="00FC12C5" w:rsidRDefault="00000000">
      <w:pPr>
        <w:pStyle w:val="RALs-ReferencesList"/>
      </w:pPr>
      <w:r>
        <w:rPr>
          <w:rFonts w:cs="Times New Roman"/>
          <w:sz w:val="24"/>
        </w:rPr>
        <w:t xml:space="preserve">Long, M. H. (1996). The role of the linguistic environment in second language acquisition. In W. C. Ritchie &amp; T. K. Bhatia (Eds.), </w:t>
      </w:r>
      <w:r>
        <w:rPr>
          <w:rFonts w:cs="Times New Roman"/>
          <w:i/>
          <w:sz w:val="24"/>
        </w:rPr>
        <w:t>Handbook of second language acquisition</w:t>
      </w:r>
      <w:r>
        <w:rPr>
          <w:rFonts w:cs="Times New Roman"/>
          <w:sz w:val="24"/>
        </w:rPr>
        <w:t xml:space="preserve"> (pp. 413–468). Academic Press.</w:t>
      </w:r>
    </w:p>
    <w:p w14:paraId="6EC70A91" w14:textId="77777777" w:rsidR="00FC12C5" w:rsidRDefault="00000000">
      <w:pPr>
        <w:pStyle w:val="RALs-ReferencesList"/>
      </w:pPr>
      <w:r>
        <w:rPr>
          <w:rFonts w:cs="Times New Roman"/>
          <w:sz w:val="24"/>
        </w:rPr>
        <w:t xml:space="preserve">Mills, G. E. (2011). </w:t>
      </w:r>
      <w:r>
        <w:rPr>
          <w:rFonts w:cs="Times New Roman"/>
          <w:i/>
          <w:sz w:val="24"/>
        </w:rPr>
        <w:t>Action research: A guide for the teacher researcher</w:t>
      </w:r>
      <w:r>
        <w:rPr>
          <w:rFonts w:cs="Times New Roman"/>
          <w:sz w:val="24"/>
        </w:rPr>
        <w:t xml:space="preserve"> (4th ed.). Pearson.</w:t>
      </w:r>
    </w:p>
    <w:p w14:paraId="64ED5B3A" w14:textId="77777777" w:rsidR="00FC12C5" w:rsidRDefault="00000000">
      <w:pPr>
        <w:pStyle w:val="RALs-ReferencesList"/>
      </w:pPr>
      <w:r>
        <w:rPr>
          <w:rFonts w:cs="Times New Roman"/>
          <w:sz w:val="24"/>
        </w:rPr>
        <w:t xml:space="preserve">Nation, I. S. P., &amp; Newton, J. (2009). </w:t>
      </w:r>
      <w:r>
        <w:rPr>
          <w:rFonts w:cs="Times New Roman"/>
          <w:i/>
          <w:sz w:val="24"/>
        </w:rPr>
        <w:t>Teaching ESL/EFL listening and speaking</w:t>
      </w:r>
      <w:r>
        <w:rPr>
          <w:rFonts w:cs="Times New Roman"/>
          <w:sz w:val="24"/>
        </w:rPr>
        <w:t>. Routledge.</w:t>
      </w:r>
    </w:p>
    <w:p w14:paraId="00D1B856" w14:textId="77777777" w:rsidR="00FC12C5" w:rsidRDefault="00000000">
      <w:pPr>
        <w:pStyle w:val="RALs-ReferencesList"/>
      </w:pPr>
      <w:r>
        <w:rPr>
          <w:rFonts w:cs="Times New Roman"/>
          <w:sz w:val="24"/>
        </w:rPr>
        <w:t xml:space="preserve">Newton, J. M., &amp; Nation, I. S. P. (2020). </w:t>
      </w:r>
      <w:r>
        <w:rPr>
          <w:rFonts w:cs="Times New Roman"/>
          <w:i/>
          <w:sz w:val="24"/>
        </w:rPr>
        <w:t>Teaching ESL/EFL listening and speaking</w:t>
      </w:r>
      <w:r>
        <w:rPr>
          <w:rFonts w:cs="Times New Roman"/>
          <w:sz w:val="24"/>
        </w:rPr>
        <w:t xml:space="preserve"> (2nd ed.). Routledge.</w:t>
      </w:r>
    </w:p>
    <w:p w14:paraId="08995CD0" w14:textId="77777777" w:rsidR="00FC12C5" w:rsidRDefault="00000000">
      <w:pPr>
        <w:pStyle w:val="RALs-ReferencesList"/>
      </w:pPr>
      <w:r>
        <w:rPr>
          <w:rFonts w:cs="Times New Roman"/>
          <w:sz w:val="24"/>
        </w:rPr>
        <w:t xml:space="preserve">Nguyen, C.-D., &amp; Boers, F. (2019). The effect of content retelling on vocabulary uptake from a TED Talk. </w:t>
      </w:r>
      <w:r>
        <w:rPr>
          <w:rFonts w:cs="Times New Roman"/>
          <w:i/>
          <w:sz w:val="24"/>
        </w:rPr>
        <w:t>TESOL Quarterly, 53</w:t>
      </w:r>
      <w:r>
        <w:rPr>
          <w:rFonts w:cs="Times New Roman"/>
          <w:sz w:val="24"/>
        </w:rPr>
        <w:t>(1), 5–29. https://doi.org/10.1002/tesq.441</w:t>
      </w:r>
    </w:p>
    <w:p w14:paraId="7E8A596C" w14:textId="77777777" w:rsidR="00FC12C5" w:rsidRDefault="00000000">
      <w:pPr>
        <w:pStyle w:val="RALs-ReferencesList"/>
      </w:pPr>
      <w:r>
        <w:rPr>
          <w:rFonts w:cs="Times New Roman"/>
          <w:sz w:val="24"/>
        </w:rPr>
        <w:t xml:space="preserve">Richards, J. C. (2008). </w:t>
      </w:r>
      <w:r>
        <w:rPr>
          <w:rFonts w:cs="Times New Roman"/>
          <w:i/>
          <w:sz w:val="24"/>
        </w:rPr>
        <w:t>Teaching listening and speaking: From theory to practice</w:t>
      </w:r>
      <w:r>
        <w:rPr>
          <w:rFonts w:cs="Times New Roman"/>
          <w:sz w:val="24"/>
        </w:rPr>
        <w:t>. Cambridge University Press.</w:t>
      </w:r>
    </w:p>
    <w:p w14:paraId="1C9582FA" w14:textId="77777777" w:rsidR="00FC12C5" w:rsidRDefault="00000000">
      <w:pPr>
        <w:pStyle w:val="RALs-ReferencesList"/>
      </w:pPr>
      <w:r>
        <w:rPr>
          <w:rFonts w:cs="Times New Roman"/>
          <w:sz w:val="24"/>
        </w:rPr>
        <w:t xml:space="preserve">Rost, M. (2011). </w:t>
      </w:r>
      <w:r>
        <w:rPr>
          <w:rFonts w:cs="Times New Roman"/>
          <w:i/>
          <w:sz w:val="24"/>
        </w:rPr>
        <w:t>Teaching and researching listening</w:t>
      </w:r>
      <w:r>
        <w:rPr>
          <w:rFonts w:cs="Times New Roman"/>
          <w:sz w:val="24"/>
        </w:rPr>
        <w:t xml:space="preserve"> (2nd ed.). Routledge.</w:t>
      </w:r>
    </w:p>
    <w:p w14:paraId="2ECE80EC" w14:textId="77777777" w:rsidR="00FC12C5" w:rsidRDefault="00000000">
      <w:pPr>
        <w:pStyle w:val="RALs-ReferencesList"/>
      </w:pPr>
      <w:r>
        <w:rPr>
          <w:rFonts w:cs="Times New Roman"/>
          <w:sz w:val="24"/>
        </w:rPr>
        <w:t xml:space="preserve">Swain, M. (2005). The output hypothesis: Theory and research. In E. Hinkel (Ed.), </w:t>
      </w:r>
      <w:r>
        <w:rPr>
          <w:rFonts w:cs="Times New Roman"/>
          <w:i/>
          <w:sz w:val="24"/>
        </w:rPr>
        <w:t>Handbook of research in second language teaching and learning</w:t>
      </w:r>
      <w:r>
        <w:rPr>
          <w:rFonts w:cs="Times New Roman"/>
          <w:sz w:val="24"/>
        </w:rPr>
        <w:t xml:space="preserve"> (pp. 471–484). Lawrence Erlbaum Associates.</w:t>
      </w:r>
    </w:p>
    <w:p w14:paraId="433497E1" w14:textId="77777777" w:rsidR="00FC12C5" w:rsidRDefault="00000000">
      <w:pPr>
        <w:pStyle w:val="RALs-ReferencesList"/>
      </w:pPr>
      <w:r>
        <w:rPr>
          <w:rFonts w:cs="Times New Roman"/>
          <w:sz w:val="24"/>
        </w:rPr>
        <w:t xml:space="preserve">Underwood, M. (1989). </w:t>
      </w:r>
      <w:r>
        <w:rPr>
          <w:rFonts w:cs="Times New Roman"/>
          <w:i/>
          <w:sz w:val="24"/>
        </w:rPr>
        <w:t>Teaching listening</w:t>
      </w:r>
      <w:r>
        <w:rPr>
          <w:rFonts w:cs="Times New Roman"/>
          <w:sz w:val="24"/>
        </w:rPr>
        <w:t>. Longman.</w:t>
      </w:r>
    </w:p>
    <w:p w14:paraId="53B36AC7" w14:textId="77777777" w:rsidR="00FC12C5" w:rsidRDefault="00000000">
      <w:pPr>
        <w:pStyle w:val="RALs-ReferencesList"/>
      </w:pPr>
      <w:r>
        <w:rPr>
          <w:rFonts w:cs="Times New Roman"/>
          <w:sz w:val="24"/>
        </w:rPr>
        <w:t xml:space="preserve">Vandergrift, L. (2007). Recent developments in second and foreign language listening comprehension research. </w:t>
      </w:r>
      <w:r>
        <w:rPr>
          <w:rFonts w:cs="Times New Roman"/>
          <w:i/>
          <w:sz w:val="24"/>
        </w:rPr>
        <w:t>Language Teaching, 40</w:t>
      </w:r>
      <w:r>
        <w:rPr>
          <w:rFonts w:cs="Times New Roman"/>
          <w:sz w:val="24"/>
        </w:rPr>
        <w:t>(3), 191–210. https://doi.org/10.1017/S0261444807004338</w:t>
      </w:r>
    </w:p>
    <w:p w14:paraId="25143E8B" w14:textId="77777777" w:rsidR="00FC12C5" w:rsidRDefault="00000000">
      <w:pPr>
        <w:pStyle w:val="RALs-ReferencesList"/>
      </w:pPr>
      <w:r>
        <w:rPr>
          <w:rFonts w:cs="Times New Roman"/>
          <w:sz w:val="24"/>
        </w:rPr>
        <w:t xml:space="preserve">Vandergrift, L., &amp; Goh, C. C. M. (2012). </w:t>
      </w:r>
      <w:r>
        <w:rPr>
          <w:rFonts w:cs="Times New Roman"/>
          <w:i/>
          <w:sz w:val="24"/>
        </w:rPr>
        <w:t>Teaching and learning second language listening: Metacognition in action</w:t>
      </w:r>
      <w:r>
        <w:rPr>
          <w:rFonts w:cs="Times New Roman"/>
          <w:sz w:val="24"/>
        </w:rPr>
        <w:t>. Routledge.</w:t>
      </w:r>
    </w:p>
    <w:p w14:paraId="14B023B4" w14:textId="77777777" w:rsidR="00FC12C5" w:rsidRDefault="00000000">
      <w:pPr>
        <w:pStyle w:val="RALs-HeadingsNoIndent"/>
      </w:pPr>
      <w:r>
        <w:rPr>
          <w:rFonts w:cs="Times New Roman"/>
          <w:sz w:val="24"/>
        </w:rPr>
        <w:t>Bionote</w:t>
      </w:r>
    </w:p>
    <w:p w14:paraId="445675A0" w14:textId="77777777" w:rsidR="00FC12C5" w:rsidRDefault="00000000">
      <w:pPr>
        <w:pStyle w:val="RALs-Normal-NoIndent"/>
      </w:pPr>
      <w:r>
        <w:rPr>
          <w:rFonts w:cs="Times New Roman"/>
          <w:sz w:val="24"/>
        </w:rPr>
        <w:t>Giang Hoang Thi Linh is a lecturer of English for Specific Purposes at the Diplomatic Academy of Vietnam. Her teaching and research interests include ESP pedagogy, listening instruction, communicative language teaching, and classroom-based action research in Vietnamese higher education contexts.</w:t>
      </w:r>
    </w:p>
    <w:sectPr w:rsidR="00FC12C5" w:rsidSect="00316775">
      <w:footnotePr>
        <w:numRestart w:val="eachPage"/>
      </w:footnotePr>
      <w:pgSz w:w="11906" w:h="16838" w:code="9"/>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56EFD7" w14:textId="77777777" w:rsidR="002C0006" w:rsidRDefault="002C0006" w:rsidP="00722EDE">
      <w:pPr>
        <w:spacing w:before="0" w:after="0" w:line="240" w:lineRule="auto"/>
      </w:pPr>
      <w:r>
        <w:separator/>
      </w:r>
    </w:p>
  </w:endnote>
  <w:endnote w:type="continuationSeparator" w:id="0">
    <w:p w14:paraId="2D3FBF60" w14:textId="77777777" w:rsidR="002C0006" w:rsidRDefault="002C0006" w:rsidP="00722ED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 Zar">
    <w:altName w:val="Arial"/>
    <w:charset w:val="B2"/>
    <w:family w:val="auto"/>
    <w:pitch w:val="variable"/>
    <w:sig w:usb0="00002001" w:usb1="80000000" w:usb2="00000008" w:usb3="00000000" w:csb0="00000040" w:csb1="00000000"/>
  </w:font>
  <w:font w:name="Garamond">
    <w:panose1 w:val="020204040303010108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E3A2B4" w14:textId="77777777" w:rsidR="002C0006" w:rsidRDefault="002C0006" w:rsidP="00722EDE">
      <w:pPr>
        <w:spacing w:before="0" w:after="0" w:line="240" w:lineRule="auto"/>
      </w:pPr>
      <w:r>
        <w:separator/>
      </w:r>
    </w:p>
  </w:footnote>
  <w:footnote w:type="continuationSeparator" w:id="0">
    <w:p w14:paraId="79A9ECF8" w14:textId="77777777" w:rsidR="002C0006" w:rsidRDefault="002C0006" w:rsidP="00722EDE">
      <w:pPr>
        <w:spacing w:before="0" w:after="0" w:line="240" w:lineRule="auto"/>
      </w:pPr>
      <w:r>
        <w:continuationSeparator/>
      </w:r>
    </w:p>
  </w:footnote>
  <w:footnote w:id="1">
    <w:p w14:paraId="40A14480" w14:textId="77777777" w:rsidR="00722EDE" w:rsidRPr="00D00215" w:rsidRDefault="00722EDE" w:rsidP="00AD7745">
      <w:pPr>
        <w:pStyle w:val="FootnoteText"/>
        <w:rPr>
          <w:rFonts w:cs="Times New Roman"/>
        </w:rPr>
      </w:pPr>
      <w:r w:rsidRPr="00D00215">
        <w:rPr>
          <w:rStyle w:val="FootnoteReference"/>
          <w:rFonts w:cs="Times New Roman"/>
        </w:rPr>
        <w:footnoteRef/>
      </w:r>
      <w:r w:rsidRPr="00D00215">
        <w:rPr>
          <w:rFonts w:cs="Times New Roman"/>
        </w:rPr>
        <w:t xml:space="preserve"> Lecturer, English Faculty, Diplomatic Academy of Vietnam, Hanoi, Vietnam.</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907A5C"/>
    <w:multiLevelType w:val="hybridMultilevel"/>
    <w:tmpl w:val="86C46D0E"/>
    <w:lvl w:ilvl="0" w:tplc="294C960C">
      <w:start w:val="1"/>
      <w:numFmt w:val="decimal"/>
      <w:pStyle w:val="RALs-List"/>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51DF14F8"/>
    <w:multiLevelType w:val="multilevel"/>
    <w:tmpl w:val="60284C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567039388">
    <w:abstractNumId w:val="0"/>
  </w:num>
  <w:num w:numId="2" w16cid:durableId="127863353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oNotDisplayPageBoundaries/>
  <w:hideSpellingErrors/>
  <w:hideGrammaticalErrors/>
  <w:proofState w:grammar="clean"/>
  <w:defaultTabStop w:val="720"/>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trQ0N7A0MjcyMrQwM7FQ0lEKTi0uzszPAykwrgUAnDZwhSwAAAA="/>
  </w:docVars>
  <w:rsids>
    <w:rsidRoot w:val="009A2266"/>
    <w:rsid w:val="000255FB"/>
    <w:rsid w:val="000452F9"/>
    <w:rsid w:val="0008495B"/>
    <w:rsid w:val="00097731"/>
    <w:rsid w:val="000D02DA"/>
    <w:rsid w:val="00100186"/>
    <w:rsid w:val="00101195"/>
    <w:rsid w:val="00102373"/>
    <w:rsid w:val="00105F23"/>
    <w:rsid w:val="001D1F3F"/>
    <w:rsid w:val="00210506"/>
    <w:rsid w:val="00230B4C"/>
    <w:rsid w:val="002334D9"/>
    <w:rsid w:val="0024049F"/>
    <w:rsid w:val="002639BD"/>
    <w:rsid w:val="00263F22"/>
    <w:rsid w:val="002835DB"/>
    <w:rsid w:val="00291EBB"/>
    <w:rsid w:val="002C0006"/>
    <w:rsid w:val="002E660C"/>
    <w:rsid w:val="00316775"/>
    <w:rsid w:val="00352213"/>
    <w:rsid w:val="00352D49"/>
    <w:rsid w:val="00374F3D"/>
    <w:rsid w:val="00385D90"/>
    <w:rsid w:val="003943D0"/>
    <w:rsid w:val="003C1DED"/>
    <w:rsid w:val="003E053B"/>
    <w:rsid w:val="003E395E"/>
    <w:rsid w:val="003E7F04"/>
    <w:rsid w:val="00486E01"/>
    <w:rsid w:val="00492B4B"/>
    <w:rsid w:val="00531702"/>
    <w:rsid w:val="00534412"/>
    <w:rsid w:val="0055247B"/>
    <w:rsid w:val="0055635B"/>
    <w:rsid w:val="005D200D"/>
    <w:rsid w:val="005E6521"/>
    <w:rsid w:val="005F4AE4"/>
    <w:rsid w:val="005F63DC"/>
    <w:rsid w:val="0060356B"/>
    <w:rsid w:val="00622A07"/>
    <w:rsid w:val="006505BE"/>
    <w:rsid w:val="00660CAB"/>
    <w:rsid w:val="006A0AE2"/>
    <w:rsid w:val="006D5B06"/>
    <w:rsid w:val="006F01BE"/>
    <w:rsid w:val="00722EDE"/>
    <w:rsid w:val="007270FC"/>
    <w:rsid w:val="00731225"/>
    <w:rsid w:val="007507FE"/>
    <w:rsid w:val="00762AAD"/>
    <w:rsid w:val="007B54D6"/>
    <w:rsid w:val="0084425D"/>
    <w:rsid w:val="00871571"/>
    <w:rsid w:val="00881C36"/>
    <w:rsid w:val="00906B59"/>
    <w:rsid w:val="00934FC5"/>
    <w:rsid w:val="00942596"/>
    <w:rsid w:val="00943C2F"/>
    <w:rsid w:val="00950C30"/>
    <w:rsid w:val="009627F9"/>
    <w:rsid w:val="009A2266"/>
    <w:rsid w:val="00A01970"/>
    <w:rsid w:val="00A43867"/>
    <w:rsid w:val="00A6273B"/>
    <w:rsid w:val="00AA0B64"/>
    <w:rsid w:val="00AB1BE1"/>
    <w:rsid w:val="00AB40B0"/>
    <w:rsid w:val="00AD29B9"/>
    <w:rsid w:val="00AD7745"/>
    <w:rsid w:val="00AE1120"/>
    <w:rsid w:val="00B13FAF"/>
    <w:rsid w:val="00B57696"/>
    <w:rsid w:val="00BA7885"/>
    <w:rsid w:val="00C47E23"/>
    <w:rsid w:val="00C51D2A"/>
    <w:rsid w:val="00C863B2"/>
    <w:rsid w:val="00C86B20"/>
    <w:rsid w:val="00CD3D29"/>
    <w:rsid w:val="00CD5CC3"/>
    <w:rsid w:val="00D27A4B"/>
    <w:rsid w:val="00D3302B"/>
    <w:rsid w:val="00D60DAF"/>
    <w:rsid w:val="00DC5B1A"/>
    <w:rsid w:val="00DC5BCF"/>
    <w:rsid w:val="00DD1C98"/>
    <w:rsid w:val="00DD7139"/>
    <w:rsid w:val="00DE422F"/>
    <w:rsid w:val="00E40940"/>
    <w:rsid w:val="00E60357"/>
    <w:rsid w:val="00EB35B5"/>
    <w:rsid w:val="00EC1FC8"/>
    <w:rsid w:val="00EE6618"/>
    <w:rsid w:val="00F03E1A"/>
    <w:rsid w:val="00F63596"/>
    <w:rsid w:val="00F80056"/>
    <w:rsid w:val="00F80631"/>
    <w:rsid w:val="00FB2BFF"/>
    <w:rsid w:val="00FC12C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78DDB6"/>
  <w15:chartTrackingRefBased/>
  <w15:docId w15:val="{DD5760AE-0898-44F4-9D35-40A16B4035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2EDE"/>
    <w:pPr>
      <w:spacing w:before="120" w:after="60" w:line="276" w:lineRule="auto"/>
      <w:ind w:firstLine="720"/>
      <w:jc w:val="both"/>
    </w:pPr>
    <w:rPr>
      <w:rFonts w:ascii="Times New Roman" w:eastAsia="Times New Roman" w:hAnsi="Times New Roman" w:cs="B Zar"/>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ALs-Authors">
    <w:name w:val="RALs-Authors"/>
    <w:basedOn w:val="Normal"/>
    <w:next w:val="RALs-HeadingsNoIndent"/>
    <w:qFormat/>
    <w:rsid w:val="00722EDE"/>
    <w:pPr>
      <w:spacing w:after="120" w:line="240" w:lineRule="auto"/>
      <w:jc w:val="center"/>
    </w:pPr>
    <w:rPr>
      <w:rFonts w:cs="Times New Roman"/>
      <w:i/>
      <w:szCs w:val="20"/>
      <w:lang w:bidi="fa-IR"/>
    </w:rPr>
  </w:style>
  <w:style w:type="paragraph" w:customStyle="1" w:styleId="RALs-Title">
    <w:name w:val="RALs-Title"/>
    <w:basedOn w:val="Normal"/>
    <w:next w:val="Normal"/>
    <w:link w:val="RALs-TitleChar"/>
    <w:qFormat/>
    <w:rsid w:val="00722EDE"/>
    <w:pPr>
      <w:spacing w:after="0"/>
      <w:ind w:firstLine="0"/>
      <w:jc w:val="center"/>
      <w:outlineLvl w:val="0"/>
    </w:pPr>
    <w:rPr>
      <w:rFonts w:cs="Times New Roman"/>
      <w:b/>
      <w:sz w:val="28"/>
      <w:szCs w:val="28"/>
      <w:lang w:val="x-none" w:eastAsia="x-none" w:bidi="fa-IR"/>
    </w:rPr>
  </w:style>
  <w:style w:type="character" w:customStyle="1" w:styleId="RALs-TitleChar">
    <w:name w:val="RALs-Title Char"/>
    <w:link w:val="RALs-Title"/>
    <w:rsid w:val="00722EDE"/>
    <w:rPr>
      <w:rFonts w:ascii="Times New Roman" w:eastAsia="Times New Roman" w:hAnsi="Times New Roman" w:cs="Times New Roman"/>
      <w:b/>
      <w:sz w:val="28"/>
      <w:szCs w:val="28"/>
      <w:lang w:val="x-none" w:eastAsia="x-none" w:bidi="fa-IR"/>
    </w:rPr>
  </w:style>
  <w:style w:type="paragraph" w:customStyle="1" w:styleId="RALs-PersianText">
    <w:name w:val="RALs-PersianText"/>
    <w:basedOn w:val="Normal"/>
    <w:qFormat/>
    <w:rsid w:val="00722EDE"/>
    <w:pPr>
      <w:bidi/>
      <w:spacing w:line="240" w:lineRule="auto"/>
      <w:ind w:left="567" w:firstLine="0"/>
    </w:pPr>
    <w:rPr>
      <w:lang w:bidi="fa-IR"/>
    </w:rPr>
  </w:style>
  <w:style w:type="paragraph" w:customStyle="1" w:styleId="RALs-ReferencesList">
    <w:name w:val="RALs-ReferencesList"/>
    <w:basedOn w:val="Normal"/>
    <w:qFormat/>
    <w:rsid w:val="00722EDE"/>
    <w:pPr>
      <w:spacing w:after="100"/>
      <w:ind w:left="426" w:hanging="426"/>
    </w:pPr>
    <w:rPr>
      <w:szCs w:val="20"/>
    </w:rPr>
  </w:style>
  <w:style w:type="paragraph" w:customStyle="1" w:styleId="RALs-BlockQuote">
    <w:name w:val="RALs-BlockQuote"/>
    <w:basedOn w:val="Normal"/>
    <w:next w:val="Normal"/>
    <w:qFormat/>
    <w:rsid w:val="00722EDE"/>
    <w:pPr>
      <w:spacing w:after="120"/>
      <w:ind w:left="754" w:firstLine="0"/>
    </w:pPr>
  </w:style>
  <w:style w:type="paragraph" w:styleId="Header">
    <w:name w:val="header"/>
    <w:basedOn w:val="Normal"/>
    <w:link w:val="HeaderChar"/>
    <w:uiPriority w:val="99"/>
    <w:unhideWhenUsed/>
    <w:rsid w:val="00722EDE"/>
    <w:pPr>
      <w:tabs>
        <w:tab w:val="center" w:pos="4680"/>
        <w:tab w:val="right" w:pos="9360"/>
      </w:tabs>
      <w:spacing w:after="0" w:line="240" w:lineRule="auto"/>
    </w:pPr>
  </w:style>
  <w:style w:type="character" w:customStyle="1" w:styleId="HeaderChar">
    <w:name w:val="Header Char"/>
    <w:basedOn w:val="DefaultParagraphFont"/>
    <w:link w:val="Header"/>
    <w:uiPriority w:val="99"/>
    <w:rsid w:val="00722EDE"/>
    <w:rPr>
      <w:rFonts w:ascii="Times New Roman" w:eastAsia="Times New Roman" w:hAnsi="Times New Roman" w:cs="B Zar"/>
      <w:sz w:val="20"/>
    </w:rPr>
  </w:style>
  <w:style w:type="paragraph" w:styleId="Footer">
    <w:name w:val="footer"/>
    <w:aliases w:val="RALs-"/>
    <w:basedOn w:val="FootnoteText"/>
    <w:link w:val="FooterChar"/>
    <w:uiPriority w:val="99"/>
    <w:unhideWhenUsed/>
    <w:rsid w:val="00722EDE"/>
    <w:pPr>
      <w:ind w:firstLine="0"/>
    </w:pPr>
  </w:style>
  <w:style w:type="character" w:customStyle="1" w:styleId="FooterChar">
    <w:name w:val="Footer Char"/>
    <w:aliases w:val="RALs- Char"/>
    <w:basedOn w:val="DefaultParagraphFont"/>
    <w:link w:val="Footer"/>
    <w:uiPriority w:val="99"/>
    <w:rsid w:val="00722EDE"/>
    <w:rPr>
      <w:rFonts w:ascii="Times New Roman" w:eastAsia="Times New Roman" w:hAnsi="Times New Roman" w:cs="B Zar"/>
      <w:sz w:val="20"/>
      <w:szCs w:val="20"/>
    </w:rPr>
  </w:style>
  <w:style w:type="paragraph" w:customStyle="1" w:styleId="RALs-Heading1">
    <w:name w:val="RALs-Heading1"/>
    <w:basedOn w:val="Normal"/>
    <w:next w:val="Normal"/>
    <w:qFormat/>
    <w:rsid w:val="00722EDE"/>
    <w:pPr>
      <w:keepNext/>
      <w:spacing w:before="240" w:after="0"/>
      <w:ind w:left="284" w:hanging="284"/>
      <w:jc w:val="center"/>
    </w:pPr>
    <w:rPr>
      <w:b/>
      <w:bCs/>
    </w:rPr>
  </w:style>
  <w:style w:type="paragraph" w:customStyle="1" w:styleId="RALs-Heading2">
    <w:name w:val="RALs-Heading2"/>
    <w:basedOn w:val="Normal"/>
    <w:next w:val="Normal"/>
    <w:qFormat/>
    <w:rsid w:val="00722EDE"/>
    <w:pPr>
      <w:keepNext/>
      <w:spacing w:before="180"/>
      <w:ind w:left="284" w:hanging="284"/>
    </w:pPr>
    <w:rPr>
      <w:b/>
      <w:bCs/>
      <w:i/>
      <w:iCs/>
    </w:rPr>
  </w:style>
  <w:style w:type="paragraph" w:customStyle="1" w:styleId="RALs-Heading3">
    <w:name w:val="RALs-Heading3"/>
    <w:basedOn w:val="Normal"/>
    <w:next w:val="Normal"/>
    <w:qFormat/>
    <w:rsid w:val="00722EDE"/>
    <w:pPr>
      <w:keepNext/>
      <w:ind w:left="284" w:hanging="284"/>
    </w:pPr>
    <w:rPr>
      <w:i/>
      <w:iCs/>
    </w:rPr>
  </w:style>
  <w:style w:type="paragraph" w:customStyle="1" w:styleId="RALs-HeadingsNoIndent">
    <w:name w:val="RALs-HeadingsNoIndent"/>
    <w:basedOn w:val="Normal"/>
    <w:next w:val="RALs-Normal-NoIndent"/>
    <w:qFormat/>
    <w:rsid w:val="00722EDE"/>
    <w:pPr>
      <w:keepNext/>
      <w:spacing w:before="240"/>
      <w:ind w:firstLine="0"/>
    </w:pPr>
    <w:rPr>
      <w:b/>
      <w:bCs/>
    </w:rPr>
  </w:style>
  <w:style w:type="paragraph" w:customStyle="1" w:styleId="RALs-List">
    <w:name w:val="RALs-List"/>
    <w:basedOn w:val="ListParagraph"/>
    <w:qFormat/>
    <w:rsid w:val="00722EDE"/>
    <w:pPr>
      <w:numPr>
        <w:numId w:val="1"/>
      </w:numPr>
      <w:tabs>
        <w:tab w:val="num" w:pos="360"/>
      </w:tabs>
      <w:spacing w:before="40"/>
      <w:ind w:left="1434" w:hanging="357"/>
      <w:contextualSpacing w:val="0"/>
    </w:pPr>
  </w:style>
  <w:style w:type="character" w:styleId="Hyperlink">
    <w:name w:val="Hyperlink"/>
    <w:basedOn w:val="DefaultParagraphFont"/>
    <w:uiPriority w:val="99"/>
    <w:unhideWhenUsed/>
    <w:rsid w:val="00722EDE"/>
    <w:rPr>
      <w:color w:val="0563C1" w:themeColor="hyperlink"/>
      <w:u w:val="single"/>
    </w:rPr>
  </w:style>
  <w:style w:type="paragraph" w:styleId="FootnoteText">
    <w:name w:val="footnote text"/>
    <w:aliases w:val="RALs"/>
    <w:basedOn w:val="Normal"/>
    <w:link w:val="FootnoteTextChar"/>
    <w:uiPriority w:val="99"/>
    <w:unhideWhenUsed/>
    <w:rsid w:val="00722EDE"/>
    <w:pPr>
      <w:spacing w:before="0" w:after="0" w:line="240" w:lineRule="auto"/>
      <w:ind w:left="142" w:hanging="142"/>
    </w:pPr>
    <w:rPr>
      <w:szCs w:val="20"/>
    </w:rPr>
  </w:style>
  <w:style w:type="character" w:customStyle="1" w:styleId="FootnoteTextChar">
    <w:name w:val="Footnote Text Char"/>
    <w:aliases w:val="RALs Char"/>
    <w:basedOn w:val="DefaultParagraphFont"/>
    <w:link w:val="FootnoteText"/>
    <w:uiPriority w:val="99"/>
    <w:rsid w:val="00722EDE"/>
    <w:rPr>
      <w:rFonts w:ascii="Times New Roman" w:eastAsia="Times New Roman" w:hAnsi="Times New Roman" w:cs="B Zar"/>
      <w:sz w:val="20"/>
      <w:szCs w:val="20"/>
    </w:rPr>
  </w:style>
  <w:style w:type="character" w:styleId="FootnoteReference">
    <w:name w:val="footnote reference"/>
    <w:basedOn w:val="DefaultParagraphFont"/>
    <w:uiPriority w:val="99"/>
    <w:semiHidden/>
    <w:unhideWhenUsed/>
    <w:rsid w:val="00722EDE"/>
    <w:rPr>
      <w:vertAlign w:val="superscript"/>
    </w:rPr>
  </w:style>
  <w:style w:type="paragraph" w:customStyle="1" w:styleId="RALs-Heading4">
    <w:name w:val="RALs-Heading4"/>
    <w:basedOn w:val="Normal"/>
    <w:next w:val="Normal"/>
    <w:qFormat/>
    <w:rsid w:val="00722EDE"/>
    <w:pPr>
      <w:keepNext/>
      <w:spacing w:before="180"/>
      <w:ind w:left="284" w:hanging="284"/>
    </w:pPr>
    <w:rPr>
      <w:i/>
      <w:iCs/>
    </w:rPr>
  </w:style>
  <w:style w:type="paragraph" w:customStyle="1" w:styleId="RALs-Heading5">
    <w:name w:val="RALs-Heading5"/>
    <w:basedOn w:val="Normal"/>
    <w:next w:val="Normal"/>
    <w:qFormat/>
    <w:rsid w:val="00722EDE"/>
    <w:pPr>
      <w:keepNext/>
      <w:spacing w:before="180"/>
      <w:ind w:left="284" w:hanging="284"/>
    </w:pPr>
  </w:style>
  <w:style w:type="paragraph" w:customStyle="1" w:styleId="RALs-TableCaption">
    <w:name w:val="RALs-TableCaption"/>
    <w:basedOn w:val="Normal"/>
    <w:next w:val="RALs-Normal-NoIndent"/>
    <w:qFormat/>
    <w:rsid w:val="00722EDE"/>
    <w:pPr>
      <w:keepNext/>
      <w:ind w:left="720" w:hanging="720"/>
    </w:pPr>
  </w:style>
  <w:style w:type="table" w:customStyle="1" w:styleId="RALs-APA-Table">
    <w:name w:val="RALs-APA-Table"/>
    <w:basedOn w:val="TableNormal"/>
    <w:uiPriority w:val="99"/>
    <w:rsid w:val="00722EDE"/>
    <w:pPr>
      <w:spacing w:after="0" w:line="240" w:lineRule="auto"/>
      <w:jc w:val="center"/>
    </w:pPr>
    <w:rPr>
      <w:rFonts w:ascii="Garamond" w:eastAsia="SimSun" w:hAnsi="Garamond" w:cs="Arial"/>
      <w:sz w:val="20"/>
      <w:szCs w:val="20"/>
    </w:rPr>
    <w:tblPr>
      <w:tblBorders>
        <w:top w:val="single" w:sz="4" w:space="0" w:color="auto"/>
        <w:bottom w:val="single" w:sz="4" w:space="0" w:color="auto"/>
      </w:tblBorders>
    </w:tblPr>
    <w:tcPr>
      <w:vAlign w:val="center"/>
    </w:tcPr>
    <w:tblStylePr w:type="firstRow">
      <w:pPr>
        <w:wordWrap/>
        <w:jc w:val="left"/>
      </w:pPr>
      <w:rPr>
        <w:b w:val="0"/>
      </w:rPr>
      <w:tblPr/>
      <w:tcPr>
        <w:tcBorders>
          <w:top w:val="single" w:sz="4" w:space="0" w:color="auto"/>
          <w:bottom w:val="single" w:sz="4" w:space="0" w:color="auto"/>
        </w:tcBorders>
      </w:tcPr>
    </w:tblStylePr>
  </w:style>
  <w:style w:type="paragraph" w:customStyle="1" w:styleId="RALs-TableText">
    <w:name w:val="RALs-TableText"/>
    <w:basedOn w:val="Normal"/>
    <w:qFormat/>
    <w:rsid w:val="00722EDE"/>
    <w:pPr>
      <w:spacing w:before="0" w:after="0"/>
      <w:ind w:firstLine="0"/>
    </w:pPr>
    <w:rPr>
      <w:szCs w:val="20"/>
    </w:rPr>
  </w:style>
  <w:style w:type="paragraph" w:customStyle="1" w:styleId="RALs-Normal-NoIndent">
    <w:name w:val="RALs-Normal-NoIndent"/>
    <w:basedOn w:val="Normal"/>
    <w:qFormat/>
    <w:rsid w:val="00722EDE"/>
    <w:pPr>
      <w:ind w:firstLine="0"/>
    </w:pPr>
  </w:style>
  <w:style w:type="paragraph" w:customStyle="1" w:styleId="RALs-FigureCaption">
    <w:name w:val="RALs-FigureCaption"/>
    <w:basedOn w:val="RALs-TableCaption"/>
    <w:next w:val="RALs-Normal"/>
    <w:qFormat/>
    <w:rsid w:val="00722EDE"/>
    <w:pPr>
      <w:ind w:left="0" w:firstLine="0"/>
      <w:jc w:val="center"/>
    </w:pPr>
  </w:style>
  <w:style w:type="paragraph" w:customStyle="1" w:styleId="RALs-Normal">
    <w:name w:val="RALs-Normal"/>
    <w:basedOn w:val="Normal"/>
    <w:qFormat/>
    <w:rsid w:val="00722EDE"/>
  </w:style>
  <w:style w:type="paragraph" w:customStyle="1" w:styleId="RALs-TableNote">
    <w:name w:val="RALs-TableNote"/>
    <w:basedOn w:val="Normal"/>
    <w:qFormat/>
    <w:rsid w:val="00722EDE"/>
    <w:pPr>
      <w:spacing w:before="40"/>
      <w:ind w:firstLine="0"/>
    </w:pPr>
    <w:rPr>
      <w:sz w:val="18"/>
      <w:szCs w:val="20"/>
    </w:rPr>
  </w:style>
  <w:style w:type="paragraph" w:styleId="ListParagraph">
    <w:name w:val="List Paragraph"/>
    <w:basedOn w:val="Normal"/>
    <w:uiPriority w:val="34"/>
    <w:qFormat/>
    <w:rsid w:val="00722EDE"/>
    <w:pPr>
      <w:ind w:left="720"/>
      <w:contextualSpacing/>
    </w:pPr>
  </w:style>
  <w:style w:type="paragraph" w:styleId="NormalWeb">
    <w:name w:val="Normal (Web)"/>
    <w:basedOn w:val="Normal"/>
    <w:uiPriority w:val="99"/>
    <w:unhideWhenUsed/>
    <w:rsid w:val="00881C36"/>
    <w:pPr>
      <w:spacing w:before="100" w:beforeAutospacing="1" w:after="100" w:afterAutospacing="1" w:line="240" w:lineRule="auto"/>
      <w:ind w:firstLine="0"/>
      <w:jc w:val="left"/>
    </w:pPr>
    <w:rPr>
      <w:rFonts w:cs="Times New Roman"/>
      <w:sz w:val="24"/>
      <w:szCs w:val="24"/>
    </w:rPr>
  </w:style>
  <w:style w:type="table" w:customStyle="1" w:styleId="LightShading1">
    <w:name w:val="Light Shading1"/>
    <w:basedOn w:val="TableNormal"/>
    <w:uiPriority w:val="60"/>
    <w:rsid w:val="0084425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688895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4703BF-37CB-4CA1-9821-13C788B80D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14</Pages>
  <Words>6413</Words>
  <Characters>36560</Characters>
  <Application>Microsoft Office Word</Application>
  <DocSecurity>0</DocSecurity>
  <Lines>304</Lines>
  <Paragraphs>85</Paragraphs>
  <ScaleCrop>false</ScaleCrop>
  <Company/>
  <LinksUpToDate>false</LinksUpToDate>
  <CharactersWithSpaces>42888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dc:creator>
  <cp:keywords/>
  <dc:description/>
  <cp:lastModifiedBy>Hoàng Thị Linh Giang KTA</cp:lastModifiedBy>
  <cp:revision>2</cp:revision>
  <dcterms:created xsi:type="dcterms:W3CDTF">2026-07-06T14:41:00Z</dcterms:created>
  <dcterms:modified xsi:type="dcterms:W3CDTF">2026-07-06T14:41:00Z</dcterms:modified>
</cp:coreProperties>
</file>