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6A703" w14:textId="0C4AD23A" w:rsidR="000E1B01" w:rsidRDefault="0047324F">
      <w:pPr>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BRIDGING THE RHETORICAL GAP: THE CONDITIONAL ROLE OF PERCEIVED DISCURSIVE PROXIMITY IN LEARNING AUTHORIAL VOICE FROM MODEL TEXTS</w:t>
      </w:r>
    </w:p>
    <w:p w14:paraId="6813F2BC" w14:textId="3CCB84E4" w:rsidR="00266ECA" w:rsidRPr="0047324F" w:rsidRDefault="00266ECA" w:rsidP="00266ECA">
      <w:pPr>
        <w:numPr>
          <w:ilvl w:val="0"/>
          <w:numId w:val="1"/>
        </w:numPr>
        <w:rPr>
          <w:rFonts w:ascii="Times New Roman" w:eastAsia="Times New Roman" w:hAnsi="Times New Roman" w:cs="Times New Roman"/>
          <w:i/>
          <w:iCs/>
          <w:sz w:val="24"/>
          <w:szCs w:val="24"/>
          <w:lang w:val="en-US"/>
        </w:rPr>
      </w:pPr>
      <w:r w:rsidRPr="0047324F">
        <w:rPr>
          <w:rFonts w:ascii="Times New Roman" w:eastAsia="Times New Roman" w:hAnsi="Times New Roman" w:cs="Times New Roman"/>
          <w:i/>
          <w:iCs/>
          <w:sz w:val="24"/>
          <w:szCs w:val="24"/>
          <w:lang w:val="en-US"/>
        </w:rPr>
        <w:t xml:space="preserve">Tran Huu Thien, </w:t>
      </w:r>
      <w:r w:rsidRPr="0047324F">
        <w:rPr>
          <w:rFonts w:ascii="Times New Roman" w:eastAsia="Times New Roman" w:hAnsi="Times New Roman" w:cs="Times New Roman"/>
          <w:i/>
          <w:iCs/>
          <w:sz w:val="24"/>
          <w:szCs w:val="24"/>
          <w:lang w:val="en-US"/>
        </w:rPr>
        <w:t>International Uninversity. VNU – HCMC, email:</w:t>
      </w:r>
      <w:r w:rsidRPr="0047324F">
        <w:rPr>
          <w:rFonts w:ascii="Times New Roman" w:eastAsiaTheme="minorHAnsi" w:hAnsi="Times New Roman" w:cs="Times New Roman"/>
          <w:i/>
          <w:iCs/>
          <w:sz w:val="24"/>
          <w:szCs w:val="24"/>
          <w:lang w:val="vi-VN"/>
        </w:rPr>
        <w:t xml:space="preserve"> </w:t>
      </w:r>
      <w:r w:rsidRPr="0047324F">
        <w:rPr>
          <w:rFonts w:ascii="Times New Roman" w:eastAsia="Times New Roman" w:hAnsi="Times New Roman" w:cs="Times New Roman"/>
          <w:i/>
          <w:iCs/>
          <w:sz w:val="24"/>
          <w:szCs w:val="24"/>
          <w:lang w:val="vi-VN"/>
        </w:rPr>
        <w:t>Email:</w:t>
      </w:r>
      <w:r w:rsidRPr="0047324F">
        <w:rPr>
          <w:rFonts w:ascii="Times New Roman" w:eastAsia="Times New Roman" w:hAnsi="Times New Roman" w:cs="Times New Roman"/>
          <w:i/>
          <w:iCs/>
          <w:sz w:val="24"/>
          <w:szCs w:val="24"/>
          <w:lang w:val="fr-FR"/>
        </w:rPr>
        <w:t xml:space="preserve"> ENENIU22111@student.hcmiu.edu.vn</w:t>
      </w:r>
      <w:r w:rsidRPr="0047324F">
        <w:rPr>
          <w:rFonts w:ascii="Times New Roman" w:eastAsia="Times New Roman" w:hAnsi="Times New Roman" w:cs="Times New Roman"/>
          <w:i/>
          <w:iCs/>
          <w:sz w:val="24"/>
          <w:szCs w:val="24"/>
          <w:lang w:val="vi-VN"/>
        </w:rPr>
        <w:t xml:space="preserve"> </w:t>
      </w:r>
      <w:r w:rsidRPr="0047324F">
        <w:rPr>
          <w:rFonts w:ascii="Times New Roman" w:eastAsia="Times New Roman" w:hAnsi="Times New Roman" w:cs="Times New Roman"/>
          <w:i/>
          <w:iCs/>
          <w:sz w:val="24"/>
          <w:szCs w:val="24"/>
          <w:lang w:val="fr-FR"/>
        </w:rPr>
        <w:t xml:space="preserve">                            </w:t>
      </w:r>
    </w:p>
    <w:p w14:paraId="423BED99" w14:textId="6E55AE7D" w:rsidR="00266ECA" w:rsidRPr="0047324F" w:rsidRDefault="00266ECA" w:rsidP="00266ECA">
      <w:pPr>
        <w:numPr>
          <w:ilvl w:val="0"/>
          <w:numId w:val="1"/>
        </w:numPr>
        <w:rPr>
          <w:rFonts w:ascii="Times New Roman" w:eastAsia="Times New Roman" w:hAnsi="Times New Roman" w:cs="Times New Roman"/>
          <w:i/>
          <w:iCs/>
          <w:sz w:val="24"/>
          <w:szCs w:val="24"/>
          <w:lang w:val="en-US"/>
        </w:rPr>
      </w:pPr>
      <w:r w:rsidRPr="0047324F">
        <w:rPr>
          <w:rFonts w:ascii="Times New Roman" w:eastAsia="Times New Roman" w:hAnsi="Times New Roman" w:cs="Times New Roman"/>
          <w:i/>
          <w:iCs/>
          <w:sz w:val="24"/>
          <w:szCs w:val="24"/>
          <w:lang w:val="en-US"/>
        </w:rPr>
        <w:t>Pham Huu Duc, International Uninversity. VNU – HCMC, email: phduc@hcmiu.edu.vn</w:t>
      </w:r>
    </w:p>
    <w:p w14:paraId="3D56E942" w14:textId="77777777" w:rsidR="00266ECA" w:rsidRPr="00266ECA" w:rsidRDefault="00266ECA">
      <w:pPr>
        <w:jc w:val="center"/>
        <w:rPr>
          <w:rFonts w:ascii="Times New Roman" w:eastAsia="Times New Roman" w:hAnsi="Times New Roman" w:cs="Times New Roman"/>
          <w:b/>
          <w:bCs/>
          <w:sz w:val="24"/>
          <w:szCs w:val="24"/>
          <w:lang w:val="en-US"/>
        </w:rPr>
      </w:pPr>
    </w:p>
    <w:p w14:paraId="4BC1FFCC" w14:textId="77777777" w:rsidR="000E1B01" w:rsidRDefault="000E1B01">
      <w:pPr>
        <w:jc w:val="center"/>
        <w:rPr>
          <w:rFonts w:ascii="Times New Roman" w:eastAsia="Times New Roman" w:hAnsi="Times New Roman" w:cs="Times New Roman"/>
          <w:b/>
          <w:bCs/>
          <w:sz w:val="24"/>
          <w:szCs w:val="24"/>
        </w:rPr>
      </w:pPr>
    </w:p>
    <w:p w14:paraId="6C7F098D" w14:textId="77777777" w:rsidR="000E1B01"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ABSTRACT</w:t>
      </w:r>
    </w:p>
    <w:p w14:paraId="609E5B42" w14:textId="77777777" w:rsidR="000E1B01" w:rsidRDefault="000E1B01">
      <w:pPr>
        <w:jc w:val="center"/>
        <w:rPr>
          <w:rFonts w:ascii="Times New Roman" w:eastAsia="Times New Roman" w:hAnsi="Times New Roman" w:cs="Times New Roman"/>
          <w:b/>
          <w:bCs/>
          <w:sz w:val="24"/>
          <w:szCs w:val="24"/>
        </w:rPr>
      </w:pPr>
    </w:p>
    <w:p w14:paraId="361FE8B1" w14:textId="77777777" w:rsidR="000E1B01" w:rsidRDefault="00000000">
      <w:pPr>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This study examines how L2 learners perceive metadiscourse as a usable resource for academic writing after exposure to model texts. Although previous research has shown that exposure can help learners notice discourse features, less is known about whether learners see these features as understandable, relevant, and reusable in their own writing. A </w:t>
      </w:r>
      <w:r>
        <w:rPr>
          <w:rFonts w:ascii="Times New Roman" w:eastAsia="Times New Roman" w:hAnsi="Times New Roman" w:cs="Times New Roman"/>
          <w:sz w:val="24"/>
          <w:szCs w:val="24"/>
          <w:lang w:val="en-US"/>
        </w:rPr>
        <w:t xml:space="preserve">controlled </w:t>
      </w:r>
      <w:r>
        <w:rPr>
          <w:rFonts w:ascii="Times New Roman" w:eastAsia="Times New Roman" w:hAnsi="Times New Roman" w:cs="Times New Roman"/>
          <w:sz w:val="24"/>
          <w:szCs w:val="24"/>
        </w:rPr>
        <w:t xml:space="preserve">post-exposure </w:t>
      </w:r>
      <w:r>
        <w:rPr>
          <w:rFonts w:ascii="Times New Roman" w:eastAsia="Times New Roman" w:hAnsi="Times New Roman" w:cs="Times New Roman"/>
          <w:sz w:val="24"/>
          <w:szCs w:val="24"/>
          <w:lang w:val="en-US"/>
        </w:rPr>
        <w:t>between-subject design</w:t>
      </w:r>
      <w:r>
        <w:rPr>
          <w:rFonts w:ascii="Times New Roman" w:eastAsia="Times New Roman" w:hAnsi="Times New Roman" w:cs="Times New Roman"/>
          <w:sz w:val="24"/>
          <w:szCs w:val="24"/>
        </w:rPr>
        <w:t xml:space="preserve"> was conducted with 190 Vietnamese university students who read one of three model texts differing in metadiscourse visibility. Data included Likert-scale measures of elaborative processing (ELAB), perceived discursive proximity (PDP), perceived metadiscourse uptake (PMU), and open-ended responses. Quantitative findings showed that text condition and PDP positively predicted PMU, whereas ELAB negatively predicted PMU. Qualitative findings suggested that learners evaluated texts through academic authority, accessibility, complexity, and reader guidance. The familiar metadiscourse condition was perceived as the most accessible and reusable. The study reconceptualizes metadiscourse learning as an issue of perceived usability rather than simple exposure and highlights discourse accessibility as an important factor in L2 academic writing.</w:t>
      </w:r>
    </w:p>
    <w:p w14:paraId="36419D4D" w14:textId="0EF1D695" w:rsidR="00266ECA" w:rsidRPr="00266ECA" w:rsidRDefault="00266ECA" w:rsidP="00266ECA">
      <w:pPr>
        <w:jc w:val="both"/>
        <w:rPr>
          <w:rFonts w:ascii="Times New Roman" w:eastAsia="Times New Roman" w:hAnsi="Times New Roman" w:cs="Times New Roman"/>
          <w:i/>
          <w:iCs/>
          <w:sz w:val="24"/>
          <w:szCs w:val="24"/>
          <w:lang w:val="en-US"/>
        </w:rPr>
      </w:pPr>
      <w:r w:rsidRPr="00266ECA">
        <w:rPr>
          <w:rFonts w:ascii="Times New Roman" w:eastAsia="Times New Roman" w:hAnsi="Times New Roman" w:cs="Times New Roman"/>
          <w:b/>
          <w:bCs/>
          <w:sz w:val="24"/>
          <w:szCs w:val="24"/>
          <w:lang w:val="en-US"/>
        </w:rPr>
        <w:t>Keywords</w:t>
      </w:r>
      <w:r>
        <w:rPr>
          <w:rFonts w:ascii="Times New Roman" w:eastAsia="Times New Roman" w:hAnsi="Times New Roman" w:cs="Times New Roman"/>
          <w:sz w:val="24"/>
          <w:szCs w:val="24"/>
          <w:lang w:val="en-US"/>
        </w:rPr>
        <w:t xml:space="preserve">: </w:t>
      </w:r>
      <w:r w:rsidR="0047324F" w:rsidRPr="00266ECA">
        <w:rPr>
          <w:rFonts w:ascii="Times New Roman" w:eastAsia="Times New Roman" w:hAnsi="Times New Roman" w:cs="Times New Roman"/>
          <w:i/>
          <w:iCs/>
          <w:sz w:val="24"/>
          <w:szCs w:val="24"/>
          <w:lang w:val="en-US"/>
        </w:rPr>
        <w:t xml:space="preserve">discursive proximity, elaborative processing, </w:t>
      </w:r>
      <w:r w:rsidR="0047324F">
        <w:rPr>
          <w:rFonts w:ascii="Times New Roman" w:eastAsia="Times New Roman" w:hAnsi="Times New Roman" w:cs="Times New Roman"/>
          <w:i/>
          <w:iCs/>
          <w:sz w:val="24"/>
          <w:szCs w:val="24"/>
          <w:lang w:val="en-US"/>
        </w:rPr>
        <w:t>L</w:t>
      </w:r>
      <w:r w:rsidR="0047324F" w:rsidRPr="00266ECA">
        <w:rPr>
          <w:rFonts w:ascii="Times New Roman" w:eastAsia="Times New Roman" w:hAnsi="Times New Roman" w:cs="Times New Roman"/>
          <w:i/>
          <w:iCs/>
          <w:sz w:val="24"/>
          <w:szCs w:val="24"/>
          <w:lang w:val="en-US"/>
        </w:rPr>
        <w:t>2 academic writing, metadiscourse, model texts, perceived usability</w:t>
      </w:r>
    </w:p>
    <w:p w14:paraId="542F13B2" w14:textId="0E3C5E95" w:rsidR="00266ECA" w:rsidRPr="00266ECA" w:rsidRDefault="00266ECA">
      <w:pPr>
        <w:ind w:firstLine="720"/>
        <w:jc w:val="both"/>
        <w:rPr>
          <w:rFonts w:ascii="Times New Roman" w:eastAsia="Times New Roman" w:hAnsi="Times New Roman" w:cs="Times New Roman"/>
          <w:i/>
          <w:iCs/>
          <w:sz w:val="24"/>
          <w:szCs w:val="24"/>
          <w:lang w:val="en-US"/>
        </w:rPr>
      </w:pPr>
    </w:p>
    <w:p w14:paraId="012E8F7E" w14:textId="77777777" w:rsidR="000E1B01" w:rsidRDefault="000E1B01">
      <w:pPr>
        <w:ind w:firstLine="720"/>
        <w:rPr>
          <w:rFonts w:ascii="Times New Roman" w:eastAsia="Times New Roman" w:hAnsi="Times New Roman" w:cs="Times New Roman"/>
          <w:sz w:val="24"/>
          <w:szCs w:val="24"/>
        </w:rPr>
      </w:pPr>
    </w:p>
    <w:p w14:paraId="7243894C" w14:textId="07E5A6AA" w:rsidR="000E1B01"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INTRODUCTION</w:t>
      </w:r>
    </w:p>
    <w:p w14:paraId="23F70F1D" w14:textId="77777777" w:rsidR="000E1B01" w:rsidRDefault="000E1B01">
      <w:pPr>
        <w:jc w:val="both"/>
        <w:rPr>
          <w:rFonts w:ascii="Times New Roman" w:eastAsia="Times New Roman" w:hAnsi="Times New Roman" w:cs="Times New Roman"/>
          <w:sz w:val="24"/>
          <w:szCs w:val="24"/>
        </w:rPr>
      </w:pPr>
    </w:p>
    <w:p w14:paraId="5097F3C6" w14:textId="1B42376C" w:rsidR="000E1B01" w:rsidRDefault="00000000" w:rsidP="0047324F">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Academic writing requires writers not only to present information but also to organize arguments, express stance, and guide readers through the development of ideas. These functions are commonly realized through metadiscourse, a set of linguistic resources that enables writers to manage writer-reader interaction and position themselves within disciplinary communities (Hyland, 2005, 2009, 2017). In second language (L2) writing contexts, metadiscourse plays a particularly important role because learners must acquire not only linguistic forms but also the rhetorical conventions through which academic knowledge is communicated and evaluated.</w:t>
      </w:r>
      <w:r w:rsidR="0047324F">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To support this process, writing instruction frequently employs model texts. Within genre-based approaches, model texts are used to make rhetorical practices visible by illustrating how writers employ transitions, hedges, self-mentions, engagement markers, and other discourse resources to achieve communicative purposes (Swales, 1990; Tardy, 2006; Yasuda, 2011). Exposure to such texts is often assumed to facilitate learning through observation and imitation. However, the pedagogical value of model texts may depend </w:t>
      </w:r>
      <w:r>
        <w:rPr>
          <w:rFonts w:ascii="Times New Roman" w:eastAsia="Times New Roman" w:hAnsi="Times New Roman" w:cs="Times New Roman"/>
          <w:sz w:val="24"/>
          <w:szCs w:val="24"/>
        </w:rPr>
        <w:lastRenderedPageBreak/>
        <w:t>on more than the visibility of discourse features. Learners may notice metadiscourse forms without fully understanding their rhetorical functions or perceiving them as relevant to their own writing.</w:t>
      </w:r>
    </w:p>
    <w:p w14:paraId="706FC546"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issue reflects a broader shift in metadiscourse research. Earlier frameworks distinguished textual and interpersonal functions of metadiscourse (Crismore &amp; Vande Kopple, 1988), whereas more recent interactional approaches emphasize how metadiscourse functions as a resource for negotiating relationships between writers and readers (Hyland, 2005, 2017). From this perspective, learning metadiscourse involves more than recognizing linguistic markers. It also requires understanding when, why, and under what circumstances those resources can be effectively used. Consequently, the challenge facing L2 learners may not simply be one of exposure but one of perceived usability.</w:t>
      </w:r>
    </w:p>
    <w:p w14:paraId="0AF0002D"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Genre research further highlights this concern. Although model texts can increase awareness of rhetorical resources, learners often experience difficulty transferring those resources into their own writing (Tardy, 2006; Tardy et al., 2020). This difficulty has been linked to conditional knowledge, namely, understanding when and how discourse resources should be applied in new rhetorical situations. As a result, the transition from noticing to meaningful uptake remains insufficiently understood.</w:t>
      </w:r>
    </w:p>
    <w:p w14:paraId="344367A2"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present study addresses this gap by examining learners’ perceptions of metadiscourse after exposure to model texts that vary in metadiscourse visibility. Rather than focusing on writing performance, the study investigates how learners evaluate the accessibility, relevance, and potential usability of metadiscourse as a resource for future writing. Three constructs are central to this investigation: Elaborative Processing (ELAB), which captures learners’ perceived engagement with model-text discourse; Perceived Discursive Proximity (PDP), which reflects the extent to which academic discourse appears understandable and accessible; and Perceived Metadiscourse Uptake (PMU), which represents learners’ perceived readiness to understand and reuse metadiscourse resources.</w:t>
      </w:r>
    </w:p>
    <w:p w14:paraId="1FD6716A" w14:textId="77777777" w:rsidR="000E1B01" w:rsidRDefault="00000000" w:rsidP="0047324F">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By examining the relationships among model-text condition, ELAB, PDP, Need for Cognition (NCS), and PMU, this study reconceptualizes metadiscourse learning as an issue of perceived usability rather than simple exposure. In doing so, it contributes to ongoing discussions in L2 writing, genre learning, and metadiscourse research by highlighting the role of discourse accessibility in shaping learners’ perceptions of academic writing resources.</w:t>
      </w:r>
    </w:p>
    <w:p w14:paraId="00C9B126" w14:textId="77777777" w:rsidR="000E1B01" w:rsidRDefault="000E1B01">
      <w:pPr>
        <w:jc w:val="both"/>
        <w:rPr>
          <w:rFonts w:ascii="Times New Roman" w:eastAsia="Times New Roman" w:hAnsi="Times New Roman" w:cs="Times New Roman"/>
          <w:sz w:val="24"/>
          <w:szCs w:val="24"/>
        </w:rPr>
      </w:pPr>
    </w:p>
    <w:p w14:paraId="549DB6C6" w14:textId="2A6F2C7C" w:rsidR="000E1B01"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LITERATURE REVIEW</w:t>
      </w:r>
    </w:p>
    <w:p w14:paraId="4179BE12" w14:textId="77777777" w:rsidR="000E1B01" w:rsidRDefault="000E1B01">
      <w:pPr>
        <w:jc w:val="both"/>
        <w:rPr>
          <w:rFonts w:ascii="Times New Roman" w:eastAsia="Times New Roman" w:hAnsi="Times New Roman" w:cs="Times New Roman"/>
          <w:sz w:val="24"/>
          <w:szCs w:val="24"/>
        </w:rPr>
      </w:pPr>
    </w:p>
    <w:p w14:paraId="767D8C4E" w14:textId="77777777" w:rsidR="000E1B01" w:rsidRDefault="00000000">
      <w:pPr>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2.1 Metadiscourse in L2 Academic Writing</w:t>
      </w:r>
    </w:p>
    <w:p w14:paraId="497C8F63"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Academic writing is increasingly viewed as an interactional activity in which writers organize knowledge, express stance, and guide readers toward preferred interpretations. Within this perspective, metadiscourse has become a central concept because it enables writers to manage writer-reader interaction and construct an academic identity (Hyland, 2005, 2009, 2017). Rather than functioning as mere textual markers, metadiscourse resources help writers establish credibility, negotiate commitment, and signal awareness of readers’ interpretive needs.</w:t>
      </w:r>
    </w:p>
    <w:p w14:paraId="4A9596F7"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Early frameworks distinguished between textual and interpersonal dimensions of metadiscourse (Crismore &amp; Vande Kopple, 1988). While these classifications provided useful </w:t>
      </w:r>
      <w:r>
        <w:rPr>
          <w:rFonts w:ascii="Times New Roman" w:eastAsia="Times New Roman" w:hAnsi="Times New Roman" w:cs="Times New Roman"/>
          <w:sz w:val="24"/>
          <w:szCs w:val="24"/>
        </w:rPr>
        <w:lastRenderedPageBreak/>
        <w:t>analytical categories, later research emphasized the rhetorical and interactional functions of metadiscourse. Hyland (2005, 2017), for example, argues that features such as transitions, hedges, boosters, self-mentions, and engagement markers should be understood as resources through which writers position themselves and manage relationships with readers. Consequently, metadiscourse is not simply a matter of textual organization but a means of participating in disciplinary discourse communities.</w:t>
      </w:r>
    </w:p>
    <w:p w14:paraId="67CD5EF0"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interactional perspective is particularly relevant in L2 writing contexts. Learners may recognize metadiscourse forms but still struggle to understand their rhetorical significance or use them appropriately in academic writing. Moreover, metadiscourse conventions vary across disciplines and communicative contexts, making effective use dependent on more than grammatical knowledge alone (Cao &amp; Hu, 2014). The challenge for learners therefore involves not only recognizing discourse resources but also understanding their communicative value.</w:t>
      </w:r>
    </w:p>
    <w:p w14:paraId="4CC01BE4" w14:textId="77777777" w:rsidR="000E1B01" w:rsidRDefault="000E1B01">
      <w:pPr>
        <w:jc w:val="both"/>
        <w:rPr>
          <w:rFonts w:ascii="Times New Roman" w:eastAsia="Times New Roman" w:hAnsi="Times New Roman" w:cs="Times New Roman"/>
          <w:sz w:val="24"/>
          <w:szCs w:val="24"/>
        </w:rPr>
      </w:pPr>
    </w:p>
    <w:p w14:paraId="00FAD997" w14:textId="77777777" w:rsidR="000E1B01" w:rsidRDefault="00000000">
      <w:pPr>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2.2 Model Texts and Genre-Based Writing Instruction</w:t>
      </w:r>
    </w:p>
    <w:p w14:paraId="327A2E94"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Model texts occupy a central role in genre-based writing instruction because they make rhetorical practices visible to learners. Swales (1990) argues that genres provide recurring solutions to communicative problems, while model texts illustrate how these solutions are realized through language. Similarly, Yasuda (2011) demonstrates that genre-based instruction helps learners connect linguistic choices with rhetorical purposes, encouraging deeper engagement with academic discourse.</w:t>
      </w:r>
    </w:p>
    <w:p w14:paraId="1459AA81"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However, genre learning involves more than exposure to exemplary texts. Tardy (2006) proposes that genre acquisition develops through multiple pathways, including instruction, feedback, participation, and textual exposure. Learners may successfully identify rhetorical features in model texts yet encounter difficulties when attempting to transfer those features into their own writing. This challenge reflects the complexity of genre knowledge, which includes not only formal knowledge of textual features but also rhetorical and contextual knowledge (Tardy et al., 2020).</w:t>
      </w:r>
    </w:p>
    <w:p w14:paraId="4EEEC176"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particularly important component of genre knowledge is conditional knowledge, or knowledge of when and how discourse resources should be applied in new situations. Learners may understand what a hedge or transition does within a model text while remaining uncertain about its appropriate use in their own writing. Consequently, visibility does not automatically translate into usability. Model texts may make discourse resources observable, but learners must still perceive those resources as meaningful and available for future use.</w:t>
      </w:r>
    </w:p>
    <w:p w14:paraId="38809C9A" w14:textId="77777777" w:rsidR="000E1B01" w:rsidRDefault="000E1B01">
      <w:pPr>
        <w:jc w:val="both"/>
        <w:rPr>
          <w:rFonts w:ascii="Times New Roman" w:eastAsia="Times New Roman" w:hAnsi="Times New Roman" w:cs="Times New Roman"/>
          <w:sz w:val="24"/>
          <w:szCs w:val="24"/>
        </w:rPr>
      </w:pPr>
    </w:p>
    <w:p w14:paraId="3904A21A" w14:textId="77777777" w:rsidR="000E1B01" w:rsidRDefault="00000000">
      <w:pPr>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2.3 Elaborative Processing and Its Limits in L2 Writing</w:t>
      </w:r>
    </w:p>
    <w:p w14:paraId="01CB9757"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Elaboration Likelihood Model (ELM) offers a useful framework for understanding how learners process model texts. According to Petty and Cacioppo (1986), elaboration refers to careful consideration of message content and argument quality. Higher levels of elaboration are generally associated with deeper cognitive engagement and more stable judgments.</w:t>
      </w:r>
    </w:p>
    <w:p w14:paraId="7A799A8D"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Applied to L2 writing, elaborative processing may indicate attention to rhetorical meaning, argument structure, and discourse organization. Learners who actively analyze how writers construct claims or guide readers may be more likely to notice metadiscourse resources. However, elaboration may also reflect cognitive effort and processing difficulty rather than </w:t>
      </w:r>
      <w:r>
        <w:rPr>
          <w:rFonts w:ascii="Times New Roman" w:eastAsia="Times New Roman" w:hAnsi="Times New Roman" w:cs="Times New Roman"/>
          <w:sz w:val="24"/>
          <w:szCs w:val="24"/>
        </w:rPr>
        <w:lastRenderedPageBreak/>
        <w:t>successful understanding. Self-reported engagement can therefore capture both productive attention and increased processing burden (Petty et al., 2009).</w:t>
      </w:r>
    </w:p>
    <w:p w14:paraId="262B0B0A"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on writing motivation and self-regulation further suggests that effort and learning outcomes are not always positively related (Hayes, 2018). Learners may invest substantial cognitive effort because a text is difficult rather than because it is accessible. Consequently, elaborative processing should be interpreted cautiously when examining perceptions of metadiscourse learning.</w:t>
      </w:r>
    </w:p>
    <w:p w14:paraId="5C5333C1" w14:textId="77777777" w:rsidR="000E1B01" w:rsidRDefault="000E1B01">
      <w:pPr>
        <w:jc w:val="both"/>
        <w:rPr>
          <w:rFonts w:ascii="Times New Roman" w:eastAsia="Times New Roman" w:hAnsi="Times New Roman" w:cs="Times New Roman"/>
          <w:sz w:val="24"/>
          <w:szCs w:val="24"/>
        </w:rPr>
      </w:pPr>
    </w:p>
    <w:p w14:paraId="7EF56AFF" w14:textId="77777777" w:rsidR="000E1B01" w:rsidRDefault="00000000">
      <w:pPr>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2.4 Perceived Discursive Proximity as a Usability Construct</w:t>
      </w:r>
    </w:p>
    <w:p w14:paraId="2816AA74"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explain why some discourse resources appear more usable than others, this study introduces the construct of Perceived Discursive Proximity (PDP). PDP refers to learners’ perceptions that academic discourse is understandable, relevant, and potentially usable for their own writing. The construct focuses on perceived accessibility rather than actual proficiency and seeks to explain how learners evaluate discourse resources after exposure to model texts.</w:t>
      </w:r>
    </w:p>
    <w:p w14:paraId="0895FAB0"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theoretical foundations of PDP draw on academic literacies, sociocultural theory, and motivational research. Within the academic literacies tradition, literacy is viewed as a socially situated practice involving identity, power, and participation rather than merely the acquisition of skills (Street, 1984; Lea &amp; Street, 1998). Students may possess linguistic knowledge yet still experience difficulty because academic discourse appears distant from their own communicative practices. PDP builds on this insight by focusing on learners’ perceptions of access to discourse practices.</w:t>
      </w:r>
    </w:p>
    <w:p w14:paraId="7CBEDD8B"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Sociocultural theory provides a complementary perspective. Vygotsky (1978) argues that learning occurs through participation in socially mediated activities, while Lantolf and Thorne (2006) emphasize the importance of mediation in language development. From this perspective, model texts function as mediational resources that can either reduce or reinforce perceived distance between learners and academic discourse. PDP therefore reflects learners’ judgments regarding the extent to which discourse resources fall within their perceived range of participation.</w:t>
      </w:r>
    </w:p>
    <w:p w14:paraId="414612C2"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Motivational theories further suggest that learners are more likely to internalize resources they perceive as personally meaningful and relevant (Ryan &amp; Deci, 2000). Even highly valued discourse practices may fail to support learning if they appear inaccessible or disconnected from learners’ identities. PDP captures this evaluative dimension by examining whether academic discourse feels close enough to be appropriated.</w:t>
      </w:r>
    </w:p>
    <w:p w14:paraId="384A80A8"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Importantly, PDP differs from several related constructs. Unlike self-efficacy, PDP concerns perceived alignment with discourse rather than confidence in performance. A learner may believe they can complete a writing task while simultaneously perceiving the discourse of a model text as distant and difficult to emulate. PDP also differs from perceived difficulty, which focuses primarily on task complexity, and from task value, which concerns usefulness or importance. Instead, PDP specifically addresses learners’ perceptions of discourse accessibility and potential usability.</w:t>
      </w:r>
    </w:p>
    <w:p w14:paraId="1D368141" w14:textId="77777777" w:rsidR="000E1B01" w:rsidRDefault="000E1B01">
      <w:pPr>
        <w:jc w:val="both"/>
        <w:rPr>
          <w:rFonts w:ascii="Times New Roman" w:eastAsia="Times New Roman" w:hAnsi="Times New Roman" w:cs="Times New Roman"/>
          <w:sz w:val="24"/>
          <w:szCs w:val="24"/>
        </w:rPr>
      </w:pPr>
    </w:p>
    <w:p w14:paraId="4F095462" w14:textId="77777777" w:rsidR="000E1B01" w:rsidRDefault="00000000">
      <w:pPr>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2.5 Previous Studies</w:t>
      </w:r>
    </w:p>
    <w:p w14:paraId="33F70F2A"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on L2 writing has increasingly emphasized the roles of identity, motivation, and discourse participation. Casanave (2019) highlights how learners negotiate academic </w:t>
      </w:r>
      <w:r>
        <w:rPr>
          <w:rFonts w:ascii="Times New Roman" w:eastAsia="Times New Roman" w:hAnsi="Times New Roman" w:cs="Times New Roman"/>
          <w:sz w:val="24"/>
          <w:szCs w:val="24"/>
        </w:rPr>
        <w:lastRenderedPageBreak/>
        <w:t>identities, while Lehman (2018) demonstrates the importance of belonging and participation in academic communities. Studies by Dewaele and Dewaele (2018) and Han and Hiver (2018), further illustrate how engagement and learning are shaped by contextual and affective factors.</w:t>
      </w:r>
    </w:p>
    <w:p w14:paraId="280D96C0"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Despite these developments, relatively little research has examined learners’ perceptions of metadiscourse as a usable resource immediately following exposure to model texts. Existing studies have largely focused on noticing, awareness, or textual analysis rather than learners’ evaluations of accessibility and potential reuse. Consequently, the relationship between discourse visibility and perceived usability remains insufficiently understood.</w:t>
      </w:r>
    </w:p>
    <w:p w14:paraId="2C5D0B15" w14:textId="77777777" w:rsidR="000E1B01" w:rsidRDefault="000E1B01">
      <w:pPr>
        <w:jc w:val="both"/>
        <w:rPr>
          <w:rFonts w:ascii="Times New Roman" w:eastAsia="Times New Roman" w:hAnsi="Times New Roman" w:cs="Times New Roman"/>
          <w:sz w:val="24"/>
          <w:szCs w:val="24"/>
        </w:rPr>
      </w:pPr>
    </w:p>
    <w:p w14:paraId="087EFB79" w14:textId="77777777" w:rsidR="000E1B01" w:rsidRDefault="00000000">
      <w:pPr>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2.6 Conceptual Framework</w:t>
      </w:r>
    </w:p>
    <w:p w14:paraId="0A821871"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present study integrates insights from metadiscourse research, genre theory, cognitive processing, and sociocultural perspectives to explain perceived metadiscourse uptake. Model-text condition represents variation in metadiscourse visibility, ranging from minimal to familiar and advanced forms of discourse support. Elaborative Processing (ELAB) reflects learners’ perceived engagement with rhetorical meaning, while Perceived Discursive Proximity (PDP) captures discourse accessibility. Need for Cognition (NCS) is included as a dispositional cognitive factor. Perceived Metadiscourse Uptake (PMU) serves as the outcome variable representing learners’ perceived readiness to understand and reuse metadiscourse resources.</w:t>
      </w:r>
    </w:p>
    <w:p w14:paraId="3BF06577"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examine these relationships, the study employs a conditional process framework. Model-text condition is treated as the independent variable, ELAB as a mediator, PMU as the dependent variable, PDP as the first moderator, and NCS as the second moderator. This framework allows the study to investigate not only whether model texts influence uptake but also how discourse accessibility and cognitive tendencies shape that relationship. Through this perspective, metadiscourse learning is conceptualized as a process of perceived usability rather than simple exposure.</w:t>
      </w:r>
    </w:p>
    <w:p w14:paraId="10716BD6" w14:textId="77777777" w:rsidR="000E1B01" w:rsidRDefault="000E1B01">
      <w:pPr>
        <w:jc w:val="both"/>
        <w:rPr>
          <w:rFonts w:ascii="Times New Roman" w:eastAsia="Times New Roman" w:hAnsi="Times New Roman" w:cs="Times New Roman"/>
          <w:sz w:val="24"/>
          <w:szCs w:val="24"/>
        </w:rPr>
      </w:pPr>
    </w:p>
    <w:p w14:paraId="6A42AFE8" w14:textId="5B9F6533" w:rsidR="000E1B01"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METHODOLOGY</w:t>
      </w:r>
    </w:p>
    <w:p w14:paraId="1B6335D8" w14:textId="77777777" w:rsidR="000E1B01" w:rsidRDefault="000E1B01">
      <w:pPr>
        <w:jc w:val="both"/>
        <w:rPr>
          <w:rFonts w:ascii="Times New Roman" w:eastAsia="Times New Roman" w:hAnsi="Times New Roman" w:cs="Times New Roman"/>
          <w:sz w:val="24"/>
          <w:szCs w:val="24"/>
        </w:rPr>
      </w:pPr>
    </w:p>
    <w:p w14:paraId="48155BC9" w14:textId="77777777" w:rsidR="000E1B01" w:rsidRDefault="00000000">
      <w:pPr>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3.1 Research Design</w:t>
      </w:r>
    </w:p>
    <w:p w14:paraId="766F1053"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study employed a controlled post-exposure mixed-methods design to examine learners’ perceptions of metadiscourse after exposure to model texts with different levels of metadiscourse visibility. The design combined quantitative survey data with qualitative open-ended responses, allowing the study to capture both measurable patterns and learners’ interpretations of academic discourse (Creswell &amp; Creswell, 2018; Johnson et al., 2007). Rather than examining actual writing performance, the study focused on learners’ immediate perceptions following exposure to model texts. Consequently, Perceived Metadiscourse Uptake (PMU) was conceptualized as a perception-based indicator of readiness to use metadiscourse rather than evidence of successful transfer into writing.</w:t>
      </w:r>
    </w:p>
    <w:p w14:paraId="1DD225FB" w14:textId="77777777" w:rsidR="000E1B01" w:rsidRDefault="000E1B01">
      <w:pPr>
        <w:jc w:val="both"/>
        <w:rPr>
          <w:rFonts w:ascii="Times New Roman" w:eastAsia="Times New Roman" w:hAnsi="Times New Roman" w:cs="Times New Roman"/>
          <w:sz w:val="24"/>
          <w:szCs w:val="24"/>
        </w:rPr>
      </w:pPr>
    </w:p>
    <w:p w14:paraId="2207E255" w14:textId="77777777" w:rsidR="000E1B01" w:rsidRDefault="00000000">
      <w:pPr>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3.2 Participants</w:t>
      </w:r>
    </w:p>
    <w:p w14:paraId="238289AF"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Participants were 190 Vietnamese undergraduate students enrolled in English-medium courses at a university in Vietnam. All participants had previously completed introductory academic writing instruction and therefore shared comparable levels of familiarity with </w:t>
      </w:r>
      <w:r>
        <w:rPr>
          <w:rFonts w:ascii="Times New Roman" w:eastAsia="Times New Roman" w:hAnsi="Times New Roman" w:cs="Times New Roman"/>
          <w:sz w:val="24"/>
          <w:szCs w:val="24"/>
        </w:rPr>
        <w:lastRenderedPageBreak/>
        <w:t>argumentative writing conventions. Students were randomly assigned to one of three model-text conditions. Random assignment was employed to reduce selection bias and enhance comparability across groups (Mackey &amp; Gass, 2022).</w:t>
      </w:r>
    </w:p>
    <w:p w14:paraId="61E8B7E5" w14:textId="77777777" w:rsidR="000E1B01" w:rsidRDefault="000E1B01">
      <w:pPr>
        <w:jc w:val="both"/>
        <w:rPr>
          <w:rFonts w:ascii="Times New Roman" w:eastAsia="Times New Roman" w:hAnsi="Times New Roman" w:cs="Times New Roman"/>
          <w:sz w:val="24"/>
          <w:szCs w:val="24"/>
        </w:rPr>
      </w:pPr>
    </w:p>
    <w:p w14:paraId="37E3A44F" w14:textId="77777777" w:rsidR="000E1B01" w:rsidRDefault="00000000">
      <w:pPr>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3.3 Materials</w:t>
      </w:r>
    </w:p>
    <w:p w14:paraId="3323358E"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Three argumentative model texts were developed specifically for the study. The texts addressed the same topic and followed an equivalent argumentative structure but differed in the visibility of metadiscourse resources. Text 1 contained minimal explicit metadiscourse, reducing overt stance and engagement markers. Text 2 incorporated familiar and highly visible features such as transitions, self-reference, and reader-oriented guidance. Text 3 employed more advanced and implicit forms of metadiscourse, including hedging and indirect positioning strategies.</w:t>
      </w:r>
    </w:p>
    <w:p w14:paraId="68CA4DAB"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design of the materials was informed by genre-based writing research, which emphasizes the pedagogical value of model texts in making rhetorical practices visible (Swales, 1990; Tardy, 2006; Yasuda, 2011). By manipulating metadiscourse visibility while holding topic and structure constant, the study sought to isolate the influence of discourse accessibility on learners’ perceptions.</w:t>
      </w:r>
    </w:p>
    <w:p w14:paraId="34128518" w14:textId="77777777" w:rsidR="000E1B01" w:rsidRDefault="000E1B01">
      <w:pPr>
        <w:jc w:val="both"/>
        <w:rPr>
          <w:rFonts w:ascii="Times New Roman" w:eastAsia="Times New Roman" w:hAnsi="Times New Roman" w:cs="Times New Roman"/>
          <w:sz w:val="24"/>
          <w:szCs w:val="24"/>
        </w:rPr>
      </w:pPr>
    </w:p>
    <w:p w14:paraId="4588B9BE" w14:textId="77777777" w:rsidR="000E1B01" w:rsidRDefault="00000000">
      <w:pPr>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3.4 Instruments</w:t>
      </w:r>
    </w:p>
    <w:p w14:paraId="294A8791"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Four perception-based constructs were measured through Likert-scale questionnaires. Elaborative Processing (ELAB) was assessed using six items adapted from the Elaboration Likelihood Model and measured learners’ perceived engagement with rhetorical meaning and textual organization (Petty &amp; Cacioppo, 1986; Petty et al., 2009). Perceived Discursive Proximity (PDP) was measured through seven items developed for this study to assess learners’ perceptions of discourse accessibility, interpretability, and potential usability. The construct was theoretically informed by academic literacies, sociocultural theory, and self-determination theory (Lea &amp; Street, 1998; Ryan &amp; Deci, 2000; Vygotsky, 1978).</w:t>
      </w:r>
    </w:p>
    <w:p w14:paraId="3D70BAD5" w14:textId="12EC8838" w:rsidR="000E1B01" w:rsidRDefault="00000000" w:rsidP="0047324F">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Perceived Metadiscourse Uptake (PMU) assessed learners’ beliefs regarding their ability to understand and potentially reuse metadiscourse resources in future writing. Finally, Need for Cognition (NCS) measured participants’ dispositional tendency to engage in effortful cognitive activity and was included as an individual-difference variable (Petty et al., 2009).</w:t>
      </w:r>
      <w:r w:rsidR="0047324F">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In addition, participants completed several open-ended questions concerning memorable textual features, perceived academic quality, reader guidance, and the usability of discourse resources. These responses provided qualitative insights into learners’ interpretations of the model texts.</w:t>
      </w:r>
    </w:p>
    <w:p w14:paraId="28BC4A1B" w14:textId="77777777" w:rsidR="000E1B01" w:rsidRDefault="000E1B01">
      <w:pPr>
        <w:jc w:val="both"/>
        <w:rPr>
          <w:rFonts w:ascii="Times New Roman" w:eastAsia="Times New Roman" w:hAnsi="Times New Roman" w:cs="Times New Roman"/>
          <w:sz w:val="24"/>
          <w:szCs w:val="24"/>
        </w:rPr>
      </w:pPr>
    </w:p>
    <w:p w14:paraId="5A73C7A5" w14:textId="77777777" w:rsidR="000E1B01" w:rsidRDefault="00000000">
      <w:pPr>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3.5 Data Analysis</w:t>
      </w:r>
    </w:p>
    <w:p w14:paraId="26BEFCFA"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Data analysis proceeded in several stages. First, reliability and construct validity were assessed through Cronbach’s alpha, McDonald’s omega, and Confirmatory Factor Analysis (CFA). CFA was conducted to evaluate the measurement properties of ELAB, PDP, PMU, and NCS before proceeding to subsequent analyses (Brown, 2015; Kline, 2023).</w:t>
      </w:r>
    </w:p>
    <w:p w14:paraId="07FBDC37"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Second, multiple regression analyses were performed to examine relationships among the study variables. Model-text condition, ELAB, PDP, and NCS were entered as predictors, while PMU served as the outcome variable. This analysis allowed the study to evaluate the </w:t>
      </w:r>
      <w:r>
        <w:rPr>
          <w:rFonts w:ascii="Times New Roman" w:eastAsia="Times New Roman" w:hAnsi="Times New Roman" w:cs="Times New Roman"/>
          <w:sz w:val="24"/>
          <w:szCs w:val="24"/>
        </w:rPr>
        <w:lastRenderedPageBreak/>
        <w:t>relative contribution of discourse accessibility, cognitive engagement, and learner characteristics to perceived metadiscourse uptake (Hayes, 2014).</w:t>
      </w:r>
    </w:p>
    <w:p w14:paraId="643BD1D7"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Third, a moderated mediation analysis was conducted using PROCESS Model 63 (Hayes, 2014). In this model, model-text condition was specified as the independent variable, ELAB as the mediator, and PMU as the dependent variable. PDP functioned as the first moderator and NCS as the second moderator. This framework enabled the study to investigate whether the indirect effect of model-text condition on perceived uptake through elaborative processing varied according to learners’ perceptions of discourse accessibility and their tendency toward cognitive engagement.</w:t>
      </w:r>
    </w:p>
    <w:p w14:paraId="65EE1738"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Finally, qualitative responses were analyzed using thematic coding procedures (Braun &amp; Clarke, 2006, 2022). Coding focused on recurring themes related to academic authority, accessibility, complexity, reader guidance, and discourse usability. To enhance trustworthiness, coding decisions were documented through an audit trail and supported by representative participant excerpts.</w:t>
      </w:r>
    </w:p>
    <w:p w14:paraId="79FDB1AE" w14:textId="77777777" w:rsidR="000E1B01" w:rsidRDefault="000E1B01">
      <w:pPr>
        <w:jc w:val="both"/>
        <w:rPr>
          <w:rFonts w:ascii="Times New Roman" w:eastAsia="Times New Roman" w:hAnsi="Times New Roman" w:cs="Times New Roman"/>
          <w:sz w:val="24"/>
          <w:szCs w:val="24"/>
        </w:rPr>
      </w:pPr>
    </w:p>
    <w:p w14:paraId="14966776" w14:textId="3DB5EBC3" w:rsidR="000E1B01"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RESULTS</w:t>
      </w:r>
    </w:p>
    <w:p w14:paraId="690BC819" w14:textId="77777777" w:rsidR="000E1B01" w:rsidRDefault="000E1B01">
      <w:pPr>
        <w:jc w:val="both"/>
        <w:rPr>
          <w:rFonts w:ascii="Times New Roman" w:eastAsia="Times New Roman" w:hAnsi="Times New Roman" w:cs="Times New Roman"/>
          <w:sz w:val="24"/>
          <w:szCs w:val="24"/>
        </w:rPr>
      </w:pPr>
    </w:p>
    <w:p w14:paraId="040843B3" w14:textId="77777777" w:rsidR="000E1B01" w:rsidRDefault="00000000">
      <w:pPr>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4.1 Quantitative Results</w:t>
      </w:r>
    </w:p>
    <w:p w14:paraId="4C19CA9F"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Confirmatory Factor Analysis (CFA) was conducted to evaluate the measurement properties of the four constructs. Although several fit indices suggested acceptable approximation (χ²/df = 2.129; RMSEA = .077), the overall measurement model demonstrated only moderate fit (CFI = .820; TLI = .798; SRMR = .087). Consequently, subsequent analyses were conducted using observed composite scores rather than latent variables.</w:t>
      </w:r>
    </w:p>
    <w:p w14:paraId="147F1021"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Table 1 presents the results of the multiple regression and conditional process analyses. Model-text condition significantly predicted Perceived Metadiscourse Uptake (PMU) (b = .473, p &lt; .001), indicating that learners exposed to different model texts reported different levels of perceived uptake. Perceived Discursive Proximity (PDP) also emerged as a strong positive predictor of PMU (b = .486, p &lt; .001), suggesting that learners who perceived academic discourse as more understandable and accessible were more likely to report readiness to reuse metadiscourse resources.</w:t>
      </w:r>
    </w:p>
    <w:p w14:paraId="65EF6405" w14:textId="28CFD00F" w:rsidR="000E1B01" w:rsidRPr="00913738" w:rsidRDefault="00000000" w:rsidP="00913738">
      <w:pPr>
        <w:ind w:firstLine="720"/>
        <w:jc w:val="both"/>
        <w:rPr>
          <w:rFonts w:ascii="Times New Roman" w:eastAsia="Times New Roman" w:hAnsi="Times New Roman" w:cs="Times New Roman"/>
          <w:sz w:val="24"/>
          <w:szCs w:val="24"/>
        </w:rPr>
      </w:pPr>
      <w:r w:rsidRPr="00913738">
        <w:rPr>
          <w:rFonts w:ascii="Times New Roman" w:eastAsia="Gungsuh" w:hAnsi="Times New Roman" w:cs="Times New Roman"/>
          <w:sz w:val="24"/>
          <w:szCs w:val="24"/>
        </w:rPr>
        <w:t>In contrast, Elaborative Processing (ELAB) negatively predicted PMU (b = −.451, p &lt; .001). Rather than indicating successful engagement, higher levels of self-reported elaboration may reflect increased processing effort or difficulty when interpreting model-text discourse. Need for Cognition (NCS) showed a smaller but significant positive effect on PMU (b = .154, p = .019).</w:t>
      </w:r>
      <w:r w:rsidR="00913738">
        <w:rPr>
          <w:rFonts w:ascii="Times New Roman" w:eastAsia="Times New Roman" w:hAnsi="Times New Roman" w:cs="Times New Roman"/>
          <w:sz w:val="24"/>
          <w:szCs w:val="24"/>
          <w:lang w:val="en-US"/>
        </w:rPr>
        <w:t xml:space="preserve"> </w:t>
      </w:r>
      <w:r w:rsidRPr="00913738">
        <w:rPr>
          <w:rFonts w:ascii="Times New Roman" w:eastAsia="Gungsuh" w:hAnsi="Times New Roman" w:cs="Times New Roman"/>
          <w:sz w:val="24"/>
          <w:szCs w:val="24"/>
        </w:rPr>
        <w:t>The interaction between model-text condition and PDP was also significant (b = −.252, p &lt; .001), suggesting that the influence of discourse accessibility varied across different text conditions. However, interactions involving ELAB and NCS did not reach statistical significance.</w:t>
      </w:r>
    </w:p>
    <w:p w14:paraId="2BDD0B07" w14:textId="77777777" w:rsidR="000E1B01" w:rsidRDefault="000E1B01">
      <w:pPr>
        <w:jc w:val="both"/>
        <w:rPr>
          <w:rFonts w:ascii="Times New Roman" w:eastAsia="Times New Roman" w:hAnsi="Times New Roman" w:cs="Times New Roman"/>
          <w:sz w:val="24"/>
          <w:szCs w:val="24"/>
        </w:rPr>
      </w:pPr>
    </w:p>
    <w:p w14:paraId="2E405D51" w14:textId="77777777" w:rsidR="00913738" w:rsidRDefault="00913738">
      <w:pPr>
        <w:jc w:val="both"/>
        <w:rPr>
          <w:rFonts w:ascii="Times New Roman" w:eastAsia="Times New Roman" w:hAnsi="Times New Roman" w:cs="Times New Roman"/>
          <w:i/>
          <w:iCs/>
          <w:sz w:val="24"/>
          <w:szCs w:val="24"/>
          <w:lang w:val="en-US"/>
        </w:rPr>
      </w:pPr>
    </w:p>
    <w:p w14:paraId="5C64847E" w14:textId="77777777" w:rsidR="00913738" w:rsidRDefault="00913738">
      <w:pPr>
        <w:jc w:val="both"/>
        <w:rPr>
          <w:rFonts w:ascii="Times New Roman" w:eastAsia="Times New Roman" w:hAnsi="Times New Roman" w:cs="Times New Roman"/>
          <w:i/>
          <w:iCs/>
          <w:sz w:val="24"/>
          <w:szCs w:val="24"/>
          <w:lang w:val="en-US"/>
        </w:rPr>
      </w:pPr>
    </w:p>
    <w:p w14:paraId="696AD915" w14:textId="77777777" w:rsidR="00913738" w:rsidRDefault="00913738">
      <w:pPr>
        <w:jc w:val="both"/>
        <w:rPr>
          <w:rFonts w:ascii="Times New Roman" w:eastAsia="Times New Roman" w:hAnsi="Times New Roman" w:cs="Times New Roman"/>
          <w:i/>
          <w:iCs/>
          <w:sz w:val="24"/>
          <w:szCs w:val="24"/>
          <w:lang w:val="en-US"/>
        </w:rPr>
      </w:pPr>
    </w:p>
    <w:p w14:paraId="60DE6EDD" w14:textId="77777777" w:rsidR="00913738" w:rsidRDefault="00913738">
      <w:pPr>
        <w:jc w:val="both"/>
        <w:rPr>
          <w:rFonts w:ascii="Times New Roman" w:eastAsia="Times New Roman" w:hAnsi="Times New Roman" w:cs="Times New Roman"/>
          <w:i/>
          <w:iCs/>
          <w:sz w:val="24"/>
          <w:szCs w:val="24"/>
          <w:lang w:val="en-US"/>
        </w:rPr>
      </w:pPr>
    </w:p>
    <w:p w14:paraId="27D077E2" w14:textId="77777777" w:rsidR="00913738" w:rsidRDefault="00913738">
      <w:pPr>
        <w:jc w:val="both"/>
        <w:rPr>
          <w:rFonts w:ascii="Times New Roman" w:eastAsia="Times New Roman" w:hAnsi="Times New Roman" w:cs="Times New Roman"/>
          <w:i/>
          <w:iCs/>
          <w:sz w:val="24"/>
          <w:szCs w:val="24"/>
          <w:lang w:val="en-US"/>
        </w:rPr>
      </w:pPr>
    </w:p>
    <w:p w14:paraId="59FCE502" w14:textId="504FFE02" w:rsidR="000E1B01" w:rsidRDefault="00000000">
      <w:pPr>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lastRenderedPageBreak/>
        <w:t>Table 1. Measurement and Regression Results</w:t>
      </w:r>
    </w:p>
    <w:p w14:paraId="55EA52EB" w14:textId="77777777" w:rsidR="000E1B01" w:rsidRDefault="000E1B01">
      <w:pPr>
        <w:jc w:val="both"/>
        <w:rPr>
          <w:rFonts w:ascii="Times New Roman" w:eastAsia="Times New Roman" w:hAnsi="Times New Roman" w:cs="Times New Roman"/>
          <w:sz w:val="24"/>
          <w:szCs w:val="24"/>
        </w:rPr>
      </w:pPr>
    </w:p>
    <w:tbl>
      <w:tblPr>
        <w:tblStyle w:val="Style10"/>
        <w:tblW w:w="9025"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275"/>
        <w:gridCol w:w="1926"/>
        <w:gridCol w:w="1011"/>
        <w:gridCol w:w="1078"/>
        <w:gridCol w:w="1105"/>
        <w:gridCol w:w="1630"/>
      </w:tblGrid>
      <w:tr w:rsidR="000E1B01" w14:paraId="0AE33A12" w14:textId="77777777">
        <w:trPr>
          <w:trHeight w:val="725"/>
        </w:trPr>
        <w:tc>
          <w:tcPr>
            <w:tcW w:w="227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7BEF5E" w14:textId="77777777" w:rsidR="000E1B01" w:rsidRPr="00913738" w:rsidRDefault="00000000">
            <w:pPr>
              <w:spacing w:line="480" w:lineRule="auto"/>
              <w:jc w:val="center"/>
              <w:rPr>
                <w:rFonts w:ascii="Times New Roman" w:eastAsia="Times New Roman" w:hAnsi="Times New Roman" w:cs="Times New Roman"/>
                <w:b/>
                <w:bCs/>
              </w:rPr>
            </w:pPr>
            <w:r w:rsidRPr="00913738">
              <w:rPr>
                <w:rFonts w:ascii="Times New Roman" w:eastAsia="Times New Roman" w:hAnsi="Times New Roman" w:cs="Times New Roman"/>
                <w:b/>
                <w:bCs/>
              </w:rPr>
              <w:t>Analysis / Predictor</w:t>
            </w:r>
          </w:p>
        </w:tc>
        <w:tc>
          <w:tcPr>
            <w:tcW w:w="192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429AB580" w14:textId="77777777" w:rsidR="000E1B01" w:rsidRPr="00913738" w:rsidRDefault="00000000">
            <w:pPr>
              <w:spacing w:line="480" w:lineRule="auto"/>
              <w:jc w:val="center"/>
              <w:rPr>
                <w:rFonts w:ascii="Times New Roman" w:eastAsia="Times New Roman" w:hAnsi="Times New Roman" w:cs="Times New Roman"/>
                <w:b/>
                <w:bCs/>
              </w:rPr>
            </w:pPr>
            <w:r w:rsidRPr="00913738">
              <w:rPr>
                <w:rFonts w:ascii="Times New Roman" w:eastAsia="Times New Roman" w:hAnsi="Times New Roman" w:cs="Times New Roman"/>
                <w:b/>
                <w:bCs/>
              </w:rPr>
              <w:t>b / Value</w:t>
            </w:r>
          </w:p>
        </w:tc>
        <w:tc>
          <w:tcPr>
            <w:tcW w:w="1011"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4431CCDC" w14:textId="77777777" w:rsidR="000E1B01" w:rsidRPr="00913738" w:rsidRDefault="00000000">
            <w:pPr>
              <w:spacing w:line="480" w:lineRule="auto"/>
              <w:jc w:val="center"/>
              <w:rPr>
                <w:rFonts w:ascii="Times New Roman" w:eastAsia="Times New Roman" w:hAnsi="Times New Roman" w:cs="Times New Roman"/>
                <w:b/>
                <w:bCs/>
              </w:rPr>
            </w:pPr>
            <w:r w:rsidRPr="00913738">
              <w:rPr>
                <w:rFonts w:ascii="Times New Roman" w:eastAsia="Times New Roman" w:hAnsi="Times New Roman" w:cs="Times New Roman"/>
                <w:b/>
                <w:bCs/>
              </w:rPr>
              <w:t>SE</w:t>
            </w:r>
          </w:p>
        </w:tc>
        <w:tc>
          <w:tcPr>
            <w:tcW w:w="1078"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458CFA33" w14:textId="77777777" w:rsidR="000E1B01" w:rsidRPr="00913738" w:rsidRDefault="00000000">
            <w:pPr>
              <w:spacing w:line="480" w:lineRule="auto"/>
              <w:jc w:val="center"/>
              <w:rPr>
                <w:rFonts w:ascii="Times New Roman" w:eastAsia="Times New Roman" w:hAnsi="Times New Roman" w:cs="Times New Roman"/>
                <w:b/>
                <w:bCs/>
              </w:rPr>
            </w:pPr>
            <w:r w:rsidRPr="00913738">
              <w:rPr>
                <w:rFonts w:ascii="Times New Roman" w:eastAsia="Times New Roman" w:hAnsi="Times New Roman" w:cs="Times New Roman"/>
                <w:b/>
                <w:bCs/>
              </w:rPr>
              <w:t>t</w:t>
            </w:r>
          </w:p>
        </w:tc>
        <w:tc>
          <w:tcPr>
            <w:tcW w:w="110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4C674E0B" w14:textId="77777777" w:rsidR="000E1B01" w:rsidRPr="00913738" w:rsidRDefault="00000000">
            <w:pPr>
              <w:spacing w:line="480" w:lineRule="auto"/>
              <w:jc w:val="center"/>
              <w:rPr>
                <w:rFonts w:ascii="Times New Roman" w:eastAsia="Times New Roman" w:hAnsi="Times New Roman" w:cs="Times New Roman"/>
                <w:b/>
                <w:bCs/>
              </w:rPr>
            </w:pPr>
            <w:r w:rsidRPr="00913738">
              <w:rPr>
                <w:rFonts w:ascii="Times New Roman" w:eastAsia="Times New Roman" w:hAnsi="Times New Roman" w:cs="Times New Roman"/>
                <w:b/>
                <w:bCs/>
              </w:rPr>
              <w:t>p</w:t>
            </w:r>
          </w:p>
        </w:tc>
        <w:tc>
          <w:tcPr>
            <w:tcW w:w="1629"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3229DBD5" w14:textId="77777777" w:rsidR="000E1B01" w:rsidRPr="00913738" w:rsidRDefault="00000000">
            <w:pPr>
              <w:spacing w:line="480" w:lineRule="auto"/>
              <w:jc w:val="center"/>
              <w:rPr>
                <w:rFonts w:ascii="Times New Roman" w:eastAsia="Times New Roman" w:hAnsi="Times New Roman" w:cs="Times New Roman"/>
                <w:b/>
                <w:bCs/>
              </w:rPr>
            </w:pPr>
            <w:r w:rsidRPr="00913738">
              <w:rPr>
                <w:rFonts w:ascii="Times New Roman" w:eastAsia="Times New Roman" w:hAnsi="Times New Roman" w:cs="Times New Roman"/>
                <w:b/>
                <w:bCs/>
              </w:rPr>
              <w:t>95% CI</w:t>
            </w:r>
          </w:p>
        </w:tc>
      </w:tr>
      <w:tr w:rsidR="000E1B01" w14:paraId="25349FD7" w14:textId="77777777">
        <w:trPr>
          <w:trHeight w:val="725"/>
        </w:trPr>
        <w:tc>
          <w:tcPr>
            <w:tcW w:w="2274"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A378726" w14:textId="77777777" w:rsidR="000E1B01" w:rsidRPr="00913738" w:rsidRDefault="00000000">
            <w:pPr>
              <w:spacing w:line="480" w:lineRule="auto"/>
              <w:jc w:val="both"/>
              <w:rPr>
                <w:rFonts w:ascii="Times New Roman" w:eastAsia="Times New Roman" w:hAnsi="Times New Roman" w:cs="Times New Roman"/>
                <w:b/>
                <w:bCs/>
              </w:rPr>
            </w:pPr>
            <w:r w:rsidRPr="00913738">
              <w:rPr>
                <w:rFonts w:ascii="Times New Roman" w:eastAsia="Times New Roman" w:hAnsi="Times New Roman" w:cs="Times New Roman"/>
                <w:b/>
                <w:bCs/>
              </w:rPr>
              <w:t>Measurement model</w:t>
            </w:r>
          </w:p>
        </w:tc>
        <w:tc>
          <w:tcPr>
            <w:tcW w:w="1925" w:type="dxa"/>
            <w:tcBorders>
              <w:top w:val="nil"/>
              <w:left w:val="nil"/>
              <w:bottom w:val="single" w:sz="4" w:space="0" w:color="000000"/>
              <w:right w:val="single" w:sz="4" w:space="0" w:color="000000"/>
            </w:tcBorders>
            <w:tcMar>
              <w:top w:w="100" w:type="dxa"/>
              <w:left w:w="100" w:type="dxa"/>
              <w:bottom w:w="100" w:type="dxa"/>
              <w:right w:w="100" w:type="dxa"/>
            </w:tcMar>
          </w:tcPr>
          <w:p w14:paraId="4F48A900"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 xml:space="preserve"> </w:t>
            </w:r>
          </w:p>
        </w:tc>
        <w:tc>
          <w:tcPr>
            <w:tcW w:w="1011" w:type="dxa"/>
            <w:tcBorders>
              <w:top w:val="nil"/>
              <w:left w:val="nil"/>
              <w:bottom w:val="single" w:sz="4" w:space="0" w:color="000000"/>
              <w:right w:val="single" w:sz="4" w:space="0" w:color="000000"/>
            </w:tcBorders>
            <w:tcMar>
              <w:top w:w="100" w:type="dxa"/>
              <w:left w:w="100" w:type="dxa"/>
              <w:bottom w:w="100" w:type="dxa"/>
              <w:right w:w="100" w:type="dxa"/>
            </w:tcMar>
          </w:tcPr>
          <w:p w14:paraId="318849EE"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 xml:space="preserve"> </w:t>
            </w:r>
          </w:p>
        </w:tc>
        <w:tc>
          <w:tcPr>
            <w:tcW w:w="1078" w:type="dxa"/>
            <w:tcBorders>
              <w:top w:val="nil"/>
              <w:left w:val="nil"/>
              <w:bottom w:val="single" w:sz="4" w:space="0" w:color="000000"/>
              <w:right w:val="single" w:sz="4" w:space="0" w:color="000000"/>
            </w:tcBorders>
            <w:tcMar>
              <w:top w:w="100" w:type="dxa"/>
              <w:left w:w="100" w:type="dxa"/>
              <w:bottom w:w="100" w:type="dxa"/>
              <w:right w:w="100" w:type="dxa"/>
            </w:tcMar>
          </w:tcPr>
          <w:p w14:paraId="5488FCA3"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 xml:space="preserve"> </w:t>
            </w:r>
          </w:p>
        </w:tc>
        <w:tc>
          <w:tcPr>
            <w:tcW w:w="1105" w:type="dxa"/>
            <w:tcBorders>
              <w:top w:val="nil"/>
              <w:left w:val="nil"/>
              <w:bottom w:val="single" w:sz="4" w:space="0" w:color="000000"/>
              <w:right w:val="single" w:sz="4" w:space="0" w:color="000000"/>
            </w:tcBorders>
            <w:tcMar>
              <w:top w:w="100" w:type="dxa"/>
              <w:left w:w="100" w:type="dxa"/>
              <w:bottom w:w="100" w:type="dxa"/>
              <w:right w:w="100" w:type="dxa"/>
            </w:tcMar>
          </w:tcPr>
          <w:p w14:paraId="2650D681"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 xml:space="preserve"> </w:t>
            </w:r>
          </w:p>
        </w:tc>
        <w:tc>
          <w:tcPr>
            <w:tcW w:w="1629" w:type="dxa"/>
            <w:tcBorders>
              <w:top w:val="nil"/>
              <w:left w:val="nil"/>
              <w:bottom w:val="single" w:sz="4" w:space="0" w:color="000000"/>
              <w:right w:val="single" w:sz="4" w:space="0" w:color="000000"/>
            </w:tcBorders>
            <w:tcMar>
              <w:top w:w="100" w:type="dxa"/>
              <w:left w:w="100" w:type="dxa"/>
              <w:bottom w:w="100" w:type="dxa"/>
              <w:right w:w="100" w:type="dxa"/>
            </w:tcMar>
          </w:tcPr>
          <w:p w14:paraId="0641CBD0"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 xml:space="preserve"> </w:t>
            </w:r>
          </w:p>
        </w:tc>
      </w:tr>
      <w:tr w:rsidR="000E1B01" w14:paraId="531F5340" w14:textId="77777777">
        <w:trPr>
          <w:trHeight w:val="725"/>
        </w:trPr>
        <w:tc>
          <w:tcPr>
            <w:tcW w:w="2274"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EE4B433" w14:textId="77777777" w:rsidR="000E1B01" w:rsidRPr="00913738" w:rsidRDefault="00000000">
            <w:pPr>
              <w:spacing w:line="480" w:lineRule="auto"/>
              <w:jc w:val="both"/>
              <w:rPr>
                <w:rFonts w:ascii="Times New Roman" w:eastAsia="Times New Roman" w:hAnsi="Times New Roman" w:cs="Times New Roman"/>
              </w:rPr>
            </w:pPr>
            <w:r w:rsidRPr="00913738">
              <w:rPr>
                <w:rFonts w:ascii="Times New Roman" w:eastAsia="Times New Roman" w:hAnsi="Times New Roman" w:cs="Times New Roman"/>
              </w:rPr>
              <w:t>χ²(df)</w:t>
            </w:r>
          </w:p>
        </w:tc>
        <w:tc>
          <w:tcPr>
            <w:tcW w:w="1925" w:type="dxa"/>
            <w:tcBorders>
              <w:top w:val="nil"/>
              <w:left w:val="nil"/>
              <w:bottom w:val="single" w:sz="4" w:space="0" w:color="000000"/>
              <w:right w:val="single" w:sz="4" w:space="0" w:color="000000"/>
            </w:tcBorders>
            <w:tcMar>
              <w:top w:w="100" w:type="dxa"/>
              <w:left w:w="100" w:type="dxa"/>
              <w:bottom w:w="100" w:type="dxa"/>
              <w:right w:w="100" w:type="dxa"/>
            </w:tcMar>
          </w:tcPr>
          <w:p w14:paraId="56E1F21A"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523.750(246)</w:t>
            </w:r>
          </w:p>
        </w:tc>
        <w:tc>
          <w:tcPr>
            <w:tcW w:w="1011" w:type="dxa"/>
            <w:tcBorders>
              <w:top w:val="nil"/>
              <w:left w:val="nil"/>
              <w:bottom w:val="single" w:sz="4" w:space="0" w:color="000000"/>
              <w:right w:val="single" w:sz="4" w:space="0" w:color="000000"/>
            </w:tcBorders>
            <w:tcMar>
              <w:top w:w="100" w:type="dxa"/>
              <w:left w:w="100" w:type="dxa"/>
              <w:bottom w:w="100" w:type="dxa"/>
              <w:right w:w="100" w:type="dxa"/>
            </w:tcMar>
          </w:tcPr>
          <w:p w14:paraId="3511A6BD"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w:t>
            </w:r>
          </w:p>
        </w:tc>
        <w:tc>
          <w:tcPr>
            <w:tcW w:w="1078" w:type="dxa"/>
            <w:tcBorders>
              <w:top w:val="nil"/>
              <w:left w:val="nil"/>
              <w:bottom w:val="single" w:sz="4" w:space="0" w:color="000000"/>
              <w:right w:val="single" w:sz="4" w:space="0" w:color="000000"/>
            </w:tcBorders>
            <w:tcMar>
              <w:top w:w="100" w:type="dxa"/>
              <w:left w:w="100" w:type="dxa"/>
              <w:bottom w:w="100" w:type="dxa"/>
              <w:right w:w="100" w:type="dxa"/>
            </w:tcMar>
          </w:tcPr>
          <w:p w14:paraId="01366B98"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w:t>
            </w:r>
          </w:p>
        </w:tc>
        <w:tc>
          <w:tcPr>
            <w:tcW w:w="1105" w:type="dxa"/>
            <w:tcBorders>
              <w:top w:val="nil"/>
              <w:left w:val="nil"/>
              <w:bottom w:val="single" w:sz="4" w:space="0" w:color="000000"/>
              <w:right w:val="single" w:sz="4" w:space="0" w:color="000000"/>
            </w:tcBorders>
            <w:tcMar>
              <w:top w:w="100" w:type="dxa"/>
              <w:left w:w="100" w:type="dxa"/>
              <w:bottom w:w="100" w:type="dxa"/>
              <w:right w:w="100" w:type="dxa"/>
            </w:tcMar>
          </w:tcPr>
          <w:p w14:paraId="1FCA4BE9"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&lt; 0.001</w:t>
            </w:r>
          </w:p>
        </w:tc>
        <w:tc>
          <w:tcPr>
            <w:tcW w:w="1629" w:type="dxa"/>
            <w:tcBorders>
              <w:top w:val="nil"/>
              <w:left w:val="nil"/>
              <w:bottom w:val="single" w:sz="4" w:space="0" w:color="000000"/>
              <w:right w:val="single" w:sz="4" w:space="0" w:color="000000"/>
            </w:tcBorders>
            <w:tcMar>
              <w:top w:w="100" w:type="dxa"/>
              <w:left w:w="100" w:type="dxa"/>
              <w:bottom w:w="100" w:type="dxa"/>
              <w:right w:w="100" w:type="dxa"/>
            </w:tcMar>
          </w:tcPr>
          <w:p w14:paraId="2ECEEB22"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w:t>
            </w:r>
          </w:p>
        </w:tc>
      </w:tr>
      <w:tr w:rsidR="000E1B01" w14:paraId="730EC74D" w14:textId="77777777">
        <w:trPr>
          <w:trHeight w:val="725"/>
        </w:trPr>
        <w:tc>
          <w:tcPr>
            <w:tcW w:w="2274"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3C9A2EA" w14:textId="77777777" w:rsidR="000E1B01" w:rsidRPr="00913738" w:rsidRDefault="00000000">
            <w:pPr>
              <w:spacing w:line="480" w:lineRule="auto"/>
              <w:jc w:val="both"/>
              <w:rPr>
                <w:rFonts w:ascii="Times New Roman" w:eastAsia="Times New Roman" w:hAnsi="Times New Roman" w:cs="Times New Roman"/>
              </w:rPr>
            </w:pPr>
            <w:r w:rsidRPr="00913738">
              <w:rPr>
                <w:rFonts w:ascii="Times New Roman" w:eastAsia="Times New Roman" w:hAnsi="Times New Roman" w:cs="Times New Roman"/>
              </w:rPr>
              <w:t>χ²/df</w:t>
            </w:r>
          </w:p>
        </w:tc>
        <w:tc>
          <w:tcPr>
            <w:tcW w:w="1925" w:type="dxa"/>
            <w:tcBorders>
              <w:top w:val="nil"/>
              <w:left w:val="nil"/>
              <w:bottom w:val="single" w:sz="4" w:space="0" w:color="000000"/>
              <w:right w:val="single" w:sz="4" w:space="0" w:color="000000"/>
            </w:tcBorders>
            <w:tcMar>
              <w:top w:w="100" w:type="dxa"/>
              <w:left w:w="100" w:type="dxa"/>
              <w:bottom w:w="100" w:type="dxa"/>
              <w:right w:w="100" w:type="dxa"/>
            </w:tcMar>
          </w:tcPr>
          <w:p w14:paraId="197BD94E"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2.129</w:t>
            </w:r>
          </w:p>
        </w:tc>
        <w:tc>
          <w:tcPr>
            <w:tcW w:w="1011" w:type="dxa"/>
            <w:tcBorders>
              <w:top w:val="nil"/>
              <w:left w:val="nil"/>
              <w:bottom w:val="single" w:sz="4" w:space="0" w:color="000000"/>
              <w:right w:val="single" w:sz="4" w:space="0" w:color="000000"/>
            </w:tcBorders>
            <w:tcMar>
              <w:top w:w="100" w:type="dxa"/>
              <w:left w:w="100" w:type="dxa"/>
              <w:bottom w:w="100" w:type="dxa"/>
              <w:right w:w="100" w:type="dxa"/>
            </w:tcMar>
          </w:tcPr>
          <w:p w14:paraId="3F4C4733"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w:t>
            </w:r>
          </w:p>
        </w:tc>
        <w:tc>
          <w:tcPr>
            <w:tcW w:w="1078" w:type="dxa"/>
            <w:tcBorders>
              <w:top w:val="nil"/>
              <w:left w:val="nil"/>
              <w:bottom w:val="single" w:sz="4" w:space="0" w:color="000000"/>
              <w:right w:val="single" w:sz="4" w:space="0" w:color="000000"/>
            </w:tcBorders>
            <w:tcMar>
              <w:top w:w="100" w:type="dxa"/>
              <w:left w:w="100" w:type="dxa"/>
              <w:bottom w:w="100" w:type="dxa"/>
              <w:right w:w="100" w:type="dxa"/>
            </w:tcMar>
          </w:tcPr>
          <w:p w14:paraId="6C543C67"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w:t>
            </w:r>
          </w:p>
        </w:tc>
        <w:tc>
          <w:tcPr>
            <w:tcW w:w="1105" w:type="dxa"/>
            <w:tcBorders>
              <w:top w:val="nil"/>
              <w:left w:val="nil"/>
              <w:bottom w:val="single" w:sz="4" w:space="0" w:color="000000"/>
              <w:right w:val="single" w:sz="4" w:space="0" w:color="000000"/>
            </w:tcBorders>
            <w:tcMar>
              <w:top w:w="100" w:type="dxa"/>
              <w:left w:w="100" w:type="dxa"/>
              <w:bottom w:w="100" w:type="dxa"/>
              <w:right w:w="100" w:type="dxa"/>
            </w:tcMar>
          </w:tcPr>
          <w:p w14:paraId="769E2331"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w:t>
            </w:r>
          </w:p>
        </w:tc>
        <w:tc>
          <w:tcPr>
            <w:tcW w:w="1629" w:type="dxa"/>
            <w:tcBorders>
              <w:top w:val="nil"/>
              <w:left w:val="nil"/>
              <w:bottom w:val="single" w:sz="4" w:space="0" w:color="000000"/>
              <w:right w:val="single" w:sz="4" w:space="0" w:color="000000"/>
            </w:tcBorders>
            <w:tcMar>
              <w:top w:w="100" w:type="dxa"/>
              <w:left w:w="100" w:type="dxa"/>
              <w:bottom w:w="100" w:type="dxa"/>
              <w:right w:w="100" w:type="dxa"/>
            </w:tcMar>
          </w:tcPr>
          <w:p w14:paraId="2BB8FEAC"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w:t>
            </w:r>
          </w:p>
        </w:tc>
      </w:tr>
      <w:tr w:rsidR="000E1B01" w14:paraId="7463090C" w14:textId="77777777">
        <w:trPr>
          <w:trHeight w:val="1205"/>
        </w:trPr>
        <w:tc>
          <w:tcPr>
            <w:tcW w:w="2274"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900C55E" w14:textId="77777777" w:rsidR="000E1B01" w:rsidRPr="00913738" w:rsidRDefault="00000000">
            <w:pPr>
              <w:spacing w:line="480" w:lineRule="auto"/>
              <w:jc w:val="both"/>
              <w:rPr>
                <w:rFonts w:ascii="Times New Roman" w:eastAsia="Times New Roman" w:hAnsi="Times New Roman" w:cs="Times New Roman"/>
              </w:rPr>
            </w:pPr>
            <w:r w:rsidRPr="00913738">
              <w:rPr>
                <w:rFonts w:ascii="Times New Roman" w:eastAsia="Times New Roman" w:hAnsi="Times New Roman" w:cs="Times New Roman"/>
              </w:rPr>
              <w:t>CFI / TLI / RMSEA / SRMR</w:t>
            </w:r>
          </w:p>
        </w:tc>
        <w:tc>
          <w:tcPr>
            <w:tcW w:w="1925" w:type="dxa"/>
            <w:tcBorders>
              <w:top w:val="nil"/>
              <w:left w:val="nil"/>
              <w:bottom w:val="single" w:sz="4" w:space="0" w:color="000000"/>
              <w:right w:val="single" w:sz="4" w:space="0" w:color="000000"/>
            </w:tcBorders>
            <w:tcMar>
              <w:top w:w="100" w:type="dxa"/>
              <w:left w:w="100" w:type="dxa"/>
              <w:bottom w:w="100" w:type="dxa"/>
              <w:right w:w="100" w:type="dxa"/>
            </w:tcMar>
          </w:tcPr>
          <w:p w14:paraId="4DA06C4F"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0.820 / 0.798 / 0.077 / 0.087</w:t>
            </w:r>
          </w:p>
        </w:tc>
        <w:tc>
          <w:tcPr>
            <w:tcW w:w="1011" w:type="dxa"/>
            <w:tcBorders>
              <w:top w:val="nil"/>
              <w:left w:val="nil"/>
              <w:bottom w:val="single" w:sz="4" w:space="0" w:color="000000"/>
              <w:right w:val="single" w:sz="4" w:space="0" w:color="000000"/>
            </w:tcBorders>
            <w:tcMar>
              <w:top w:w="100" w:type="dxa"/>
              <w:left w:w="100" w:type="dxa"/>
              <w:bottom w:w="100" w:type="dxa"/>
              <w:right w:w="100" w:type="dxa"/>
            </w:tcMar>
          </w:tcPr>
          <w:p w14:paraId="1E67DF47"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w:t>
            </w:r>
          </w:p>
        </w:tc>
        <w:tc>
          <w:tcPr>
            <w:tcW w:w="1078" w:type="dxa"/>
            <w:tcBorders>
              <w:top w:val="nil"/>
              <w:left w:val="nil"/>
              <w:bottom w:val="single" w:sz="4" w:space="0" w:color="000000"/>
              <w:right w:val="single" w:sz="4" w:space="0" w:color="000000"/>
            </w:tcBorders>
            <w:tcMar>
              <w:top w:w="100" w:type="dxa"/>
              <w:left w:w="100" w:type="dxa"/>
              <w:bottom w:w="100" w:type="dxa"/>
              <w:right w:w="100" w:type="dxa"/>
            </w:tcMar>
          </w:tcPr>
          <w:p w14:paraId="11ED72B3"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w:t>
            </w:r>
          </w:p>
        </w:tc>
        <w:tc>
          <w:tcPr>
            <w:tcW w:w="1105" w:type="dxa"/>
            <w:tcBorders>
              <w:top w:val="nil"/>
              <w:left w:val="nil"/>
              <w:bottom w:val="single" w:sz="4" w:space="0" w:color="000000"/>
              <w:right w:val="single" w:sz="4" w:space="0" w:color="000000"/>
            </w:tcBorders>
            <w:tcMar>
              <w:top w:w="100" w:type="dxa"/>
              <w:left w:w="100" w:type="dxa"/>
              <w:bottom w:w="100" w:type="dxa"/>
              <w:right w:w="100" w:type="dxa"/>
            </w:tcMar>
          </w:tcPr>
          <w:p w14:paraId="5D55F094"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w:t>
            </w:r>
          </w:p>
        </w:tc>
        <w:tc>
          <w:tcPr>
            <w:tcW w:w="1629" w:type="dxa"/>
            <w:tcBorders>
              <w:top w:val="nil"/>
              <w:left w:val="nil"/>
              <w:bottom w:val="single" w:sz="4" w:space="0" w:color="000000"/>
              <w:right w:val="single" w:sz="4" w:space="0" w:color="000000"/>
            </w:tcBorders>
            <w:tcMar>
              <w:top w:w="100" w:type="dxa"/>
              <w:left w:w="100" w:type="dxa"/>
              <w:bottom w:w="100" w:type="dxa"/>
              <w:right w:w="100" w:type="dxa"/>
            </w:tcMar>
          </w:tcPr>
          <w:p w14:paraId="44FB3668"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w:t>
            </w:r>
          </w:p>
        </w:tc>
      </w:tr>
      <w:tr w:rsidR="000E1B01" w14:paraId="236E6B0C" w14:textId="77777777">
        <w:trPr>
          <w:trHeight w:val="725"/>
        </w:trPr>
        <w:tc>
          <w:tcPr>
            <w:tcW w:w="2274"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65F0653" w14:textId="77777777" w:rsidR="000E1B01" w:rsidRPr="00913738" w:rsidRDefault="00000000">
            <w:pPr>
              <w:spacing w:line="480" w:lineRule="auto"/>
              <w:jc w:val="both"/>
              <w:rPr>
                <w:rFonts w:ascii="Times New Roman" w:eastAsia="Times New Roman" w:hAnsi="Times New Roman" w:cs="Times New Roman"/>
                <w:b/>
                <w:bCs/>
              </w:rPr>
            </w:pPr>
            <w:r w:rsidRPr="00913738">
              <w:rPr>
                <w:rFonts w:ascii="Times New Roman" w:eastAsia="Times New Roman" w:hAnsi="Times New Roman" w:cs="Times New Roman"/>
                <w:b/>
                <w:bCs/>
              </w:rPr>
              <w:t>ELAB model</w:t>
            </w:r>
          </w:p>
        </w:tc>
        <w:tc>
          <w:tcPr>
            <w:tcW w:w="1925" w:type="dxa"/>
            <w:tcBorders>
              <w:top w:val="nil"/>
              <w:left w:val="nil"/>
              <w:bottom w:val="single" w:sz="4" w:space="0" w:color="000000"/>
              <w:right w:val="single" w:sz="4" w:space="0" w:color="000000"/>
            </w:tcBorders>
            <w:tcMar>
              <w:top w:w="100" w:type="dxa"/>
              <w:left w:w="100" w:type="dxa"/>
              <w:bottom w:w="100" w:type="dxa"/>
              <w:right w:w="100" w:type="dxa"/>
            </w:tcMar>
          </w:tcPr>
          <w:p w14:paraId="56826675"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 xml:space="preserve"> </w:t>
            </w:r>
          </w:p>
        </w:tc>
        <w:tc>
          <w:tcPr>
            <w:tcW w:w="1011" w:type="dxa"/>
            <w:tcBorders>
              <w:top w:val="nil"/>
              <w:left w:val="nil"/>
              <w:bottom w:val="single" w:sz="4" w:space="0" w:color="000000"/>
              <w:right w:val="single" w:sz="4" w:space="0" w:color="000000"/>
            </w:tcBorders>
            <w:tcMar>
              <w:top w:w="100" w:type="dxa"/>
              <w:left w:w="100" w:type="dxa"/>
              <w:bottom w:w="100" w:type="dxa"/>
              <w:right w:w="100" w:type="dxa"/>
            </w:tcMar>
          </w:tcPr>
          <w:p w14:paraId="63A17B35"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 xml:space="preserve"> </w:t>
            </w:r>
          </w:p>
        </w:tc>
        <w:tc>
          <w:tcPr>
            <w:tcW w:w="1078" w:type="dxa"/>
            <w:tcBorders>
              <w:top w:val="nil"/>
              <w:left w:val="nil"/>
              <w:bottom w:val="single" w:sz="4" w:space="0" w:color="000000"/>
              <w:right w:val="single" w:sz="4" w:space="0" w:color="000000"/>
            </w:tcBorders>
            <w:tcMar>
              <w:top w:w="100" w:type="dxa"/>
              <w:left w:w="100" w:type="dxa"/>
              <w:bottom w:w="100" w:type="dxa"/>
              <w:right w:w="100" w:type="dxa"/>
            </w:tcMar>
          </w:tcPr>
          <w:p w14:paraId="45007EE3"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 xml:space="preserve"> </w:t>
            </w:r>
          </w:p>
        </w:tc>
        <w:tc>
          <w:tcPr>
            <w:tcW w:w="1105" w:type="dxa"/>
            <w:tcBorders>
              <w:top w:val="nil"/>
              <w:left w:val="nil"/>
              <w:bottom w:val="single" w:sz="4" w:space="0" w:color="000000"/>
              <w:right w:val="single" w:sz="4" w:space="0" w:color="000000"/>
            </w:tcBorders>
            <w:tcMar>
              <w:top w:w="100" w:type="dxa"/>
              <w:left w:w="100" w:type="dxa"/>
              <w:bottom w:w="100" w:type="dxa"/>
              <w:right w:w="100" w:type="dxa"/>
            </w:tcMar>
          </w:tcPr>
          <w:p w14:paraId="3F10B41D"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 xml:space="preserve"> </w:t>
            </w:r>
          </w:p>
        </w:tc>
        <w:tc>
          <w:tcPr>
            <w:tcW w:w="1629" w:type="dxa"/>
            <w:tcBorders>
              <w:top w:val="nil"/>
              <w:left w:val="nil"/>
              <w:bottom w:val="single" w:sz="4" w:space="0" w:color="000000"/>
              <w:right w:val="single" w:sz="4" w:space="0" w:color="000000"/>
            </w:tcBorders>
            <w:tcMar>
              <w:top w:w="100" w:type="dxa"/>
              <w:left w:w="100" w:type="dxa"/>
              <w:bottom w:w="100" w:type="dxa"/>
              <w:right w:w="100" w:type="dxa"/>
            </w:tcMar>
          </w:tcPr>
          <w:p w14:paraId="7EDA9AB7"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 xml:space="preserve"> </w:t>
            </w:r>
          </w:p>
        </w:tc>
      </w:tr>
      <w:tr w:rsidR="000E1B01" w14:paraId="10D06714" w14:textId="77777777">
        <w:trPr>
          <w:trHeight w:val="1205"/>
        </w:trPr>
        <w:tc>
          <w:tcPr>
            <w:tcW w:w="2274"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E0D7BE8" w14:textId="77777777" w:rsidR="000E1B01" w:rsidRPr="00913738" w:rsidRDefault="00000000">
            <w:pPr>
              <w:spacing w:line="480" w:lineRule="auto"/>
              <w:jc w:val="both"/>
              <w:rPr>
                <w:rFonts w:ascii="Times New Roman" w:eastAsia="Times New Roman" w:hAnsi="Times New Roman" w:cs="Times New Roman"/>
              </w:rPr>
            </w:pPr>
            <w:r w:rsidRPr="00913738">
              <w:rPr>
                <w:rFonts w:ascii="Times New Roman" w:eastAsia="Times New Roman" w:hAnsi="Times New Roman" w:cs="Times New Roman"/>
              </w:rPr>
              <w:t>Text</w:t>
            </w:r>
          </w:p>
        </w:tc>
        <w:tc>
          <w:tcPr>
            <w:tcW w:w="1925" w:type="dxa"/>
            <w:tcBorders>
              <w:top w:val="nil"/>
              <w:left w:val="nil"/>
              <w:bottom w:val="single" w:sz="4" w:space="0" w:color="000000"/>
              <w:right w:val="single" w:sz="4" w:space="0" w:color="000000"/>
            </w:tcBorders>
            <w:tcMar>
              <w:top w:w="100" w:type="dxa"/>
              <w:left w:w="100" w:type="dxa"/>
              <w:bottom w:w="100" w:type="dxa"/>
              <w:right w:w="100" w:type="dxa"/>
            </w:tcMar>
          </w:tcPr>
          <w:p w14:paraId="4657573C"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Gungsuh" w:hAnsi="Times New Roman" w:cs="Times New Roman"/>
              </w:rPr>
              <w:t>−0.167</w:t>
            </w:r>
          </w:p>
        </w:tc>
        <w:tc>
          <w:tcPr>
            <w:tcW w:w="1011" w:type="dxa"/>
            <w:tcBorders>
              <w:top w:val="nil"/>
              <w:left w:val="nil"/>
              <w:bottom w:val="single" w:sz="4" w:space="0" w:color="000000"/>
              <w:right w:val="single" w:sz="4" w:space="0" w:color="000000"/>
            </w:tcBorders>
            <w:tcMar>
              <w:top w:w="100" w:type="dxa"/>
              <w:left w:w="100" w:type="dxa"/>
              <w:bottom w:w="100" w:type="dxa"/>
              <w:right w:w="100" w:type="dxa"/>
            </w:tcMar>
          </w:tcPr>
          <w:p w14:paraId="1FBA7E7A"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0.056</w:t>
            </w:r>
          </w:p>
        </w:tc>
        <w:tc>
          <w:tcPr>
            <w:tcW w:w="1078" w:type="dxa"/>
            <w:tcBorders>
              <w:top w:val="nil"/>
              <w:left w:val="nil"/>
              <w:bottom w:val="single" w:sz="4" w:space="0" w:color="000000"/>
              <w:right w:val="single" w:sz="4" w:space="0" w:color="000000"/>
            </w:tcBorders>
            <w:tcMar>
              <w:top w:w="100" w:type="dxa"/>
              <w:left w:w="100" w:type="dxa"/>
              <w:bottom w:w="100" w:type="dxa"/>
              <w:right w:w="100" w:type="dxa"/>
            </w:tcMar>
          </w:tcPr>
          <w:p w14:paraId="5092D474"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Gungsuh" w:hAnsi="Times New Roman" w:cs="Times New Roman"/>
              </w:rPr>
              <w:t>−2.961</w:t>
            </w:r>
          </w:p>
        </w:tc>
        <w:tc>
          <w:tcPr>
            <w:tcW w:w="1105" w:type="dxa"/>
            <w:tcBorders>
              <w:top w:val="nil"/>
              <w:left w:val="nil"/>
              <w:bottom w:val="single" w:sz="4" w:space="0" w:color="000000"/>
              <w:right w:val="single" w:sz="4" w:space="0" w:color="000000"/>
            </w:tcBorders>
            <w:tcMar>
              <w:top w:w="100" w:type="dxa"/>
              <w:left w:w="100" w:type="dxa"/>
              <w:bottom w:w="100" w:type="dxa"/>
              <w:right w:w="100" w:type="dxa"/>
            </w:tcMar>
          </w:tcPr>
          <w:p w14:paraId="2BED4095"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0.003</w:t>
            </w:r>
          </w:p>
        </w:tc>
        <w:tc>
          <w:tcPr>
            <w:tcW w:w="1629" w:type="dxa"/>
            <w:tcBorders>
              <w:top w:val="nil"/>
              <w:left w:val="nil"/>
              <w:bottom w:val="single" w:sz="4" w:space="0" w:color="000000"/>
              <w:right w:val="single" w:sz="4" w:space="0" w:color="000000"/>
            </w:tcBorders>
            <w:tcMar>
              <w:top w:w="100" w:type="dxa"/>
              <w:left w:w="100" w:type="dxa"/>
              <w:bottom w:w="100" w:type="dxa"/>
              <w:right w:w="100" w:type="dxa"/>
            </w:tcMar>
          </w:tcPr>
          <w:p w14:paraId="47D350D2"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Gungsuh" w:hAnsi="Times New Roman" w:cs="Times New Roman"/>
              </w:rPr>
              <w:t>[−0.278, −0.055]</w:t>
            </w:r>
          </w:p>
        </w:tc>
      </w:tr>
      <w:tr w:rsidR="000E1B01" w14:paraId="3CDAFE0A" w14:textId="77777777">
        <w:trPr>
          <w:trHeight w:val="725"/>
        </w:trPr>
        <w:tc>
          <w:tcPr>
            <w:tcW w:w="2274"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60F1520" w14:textId="77777777" w:rsidR="000E1B01" w:rsidRPr="00913738" w:rsidRDefault="00000000">
            <w:pPr>
              <w:spacing w:line="480" w:lineRule="auto"/>
              <w:jc w:val="both"/>
              <w:rPr>
                <w:rFonts w:ascii="Times New Roman" w:eastAsia="Times New Roman" w:hAnsi="Times New Roman" w:cs="Times New Roman"/>
              </w:rPr>
            </w:pPr>
            <w:r w:rsidRPr="00913738">
              <w:rPr>
                <w:rFonts w:ascii="Times New Roman" w:eastAsia="Times New Roman" w:hAnsi="Times New Roman" w:cs="Times New Roman"/>
              </w:rPr>
              <w:t>PDP</w:t>
            </w:r>
          </w:p>
        </w:tc>
        <w:tc>
          <w:tcPr>
            <w:tcW w:w="1925" w:type="dxa"/>
            <w:tcBorders>
              <w:top w:val="nil"/>
              <w:left w:val="nil"/>
              <w:bottom w:val="single" w:sz="4" w:space="0" w:color="000000"/>
              <w:right w:val="single" w:sz="4" w:space="0" w:color="000000"/>
            </w:tcBorders>
            <w:tcMar>
              <w:top w:w="100" w:type="dxa"/>
              <w:left w:w="100" w:type="dxa"/>
              <w:bottom w:w="100" w:type="dxa"/>
              <w:right w:w="100" w:type="dxa"/>
            </w:tcMar>
          </w:tcPr>
          <w:p w14:paraId="2BAA4292"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0.504</w:t>
            </w:r>
          </w:p>
        </w:tc>
        <w:tc>
          <w:tcPr>
            <w:tcW w:w="1011" w:type="dxa"/>
            <w:tcBorders>
              <w:top w:val="nil"/>
              <w:left w:val="nil"/>
              <w:bottom w:val="single" w:sz="4" w:space="0" w:color="000000"/>
              <w:right w:val="single" w:sz="4" w:space="0" w:color="000000"/>
            </w:tcBorders>
            <w:tcMar>
              <w:top w:w="100" w:type="dxa"/>
              <w:left w:w="100" w:type="dxa"/>
              <w:bottom w:w="100" w:type="dxa"/>
              <w:right w:w="100" w:type="dxa"/>
            </w:tcMar>
          </w:tcPr>
          <w:p w14:paraId="3DC89BA1"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0.035</w:t>
            </w:r>
          </w:p>
        </w:tc>
        <w:tc>
          <w:tcPr>
            <w:tcW w:w="1078" w:type="dxa"/>
            <w:tcBorders>
              <w:top w:val="nil"/>
              <w:left w:val="nil"/>
              <w:bottom w:val="single" w:sz="4" w:space="0" w:color="000000"/>
              <w:right w:val="single" w:sz="4" w:space="0" w:color="000000"/>
            </w:tcBorders>
            <w:tcMar>
              <w:top w:w="100" w:type="dxa"/>
              <w:left w:w="100" w:type="dxa"/>
              <w:bottom w:w="100" w:type="dxa"/>
              <w:right w:w="100" w:type="dxa"/>
            </w:tcMar>
          </w:tcPr>
          <w:p w14:paraId="540738FE"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14.245</w:t>
            </w:r>
          </w:p>
        </w:tc>
        <w:tc>
          <w:tcPr>
            <w:tcW w:w="1105" w:type="dxa"/>
            <w:tcBorders>
              <w:top w:val="nil"/>
              <w:left w:val="nil"/>
              <w:bottom w:val="single" w:sz="4" w:space="0" w:color="000000"/>
              <w:right w:val="single" w:sz="4" w:space="0" w:color="000000"/>
            </w:tcBorders>
            <w:tcMar>
              <w:top w:w="100" w:type="dxa"/>
              <w:left w:w="100" w:type="dxa"/>
              <w:bottom w:w="100" w:type="dxa"/>
              <w:right w:w="100" w:type="dxa"/>
            </w:tcMar>
          </w:tcPr>
          <w:p w14:paraId="34224962"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&lt; 0.001</w:t>
            </w:r>
          </w:p>
        </w:tc>
        <w:tc>
          <w:tcPr>
            <w:tcW w:w="1629" w:type="dxa"/>
            <w:tcBorders>
              <w:top w:val="nil"/>
              <w:left w:val="nil"/>
              <w:bottom w:val="single" w:sz="4" w:space="0" w:color="000000"/>
              <w:right w:val="single" w:sz="4" w:space="0" w:color="000000"/>
            </w:tcBorders>
            <w:tcMar>
              <w:top w:w="100" w:type="dxa"/>
              <w:left w:w="100" w:type="dxa"/>
              <w:bottom w:w="100" w:type="dxa"/>
              <w:right w:w="100" w:type="dxa"/>
            </w:tcMar>
          </w:tcPr>
          <w:p w14:paraId="2265F7AA"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[0.434, 0.574]</w:t>
            </w:r>
          </w:p>
        </w:tc>
      </w:tr>
      <w:tr w:rsidR="000E1B01" w14:paraId="72614EF3" w14:textId="77777777">
        <w:trPr>
          <w:trHeight w:val="725"/>
        </w:trPr>
        <w:tc>
          <w:tcPr>
            <w:tcW w:w="2274"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85091D6" w14:textId="77777777" w:rsidR="000E1B01" w:rsidRPr="00913738" w:rsidRDefault="00000000">
            <w:pPr>
              <w:spacing w:line="480" w:lineRule="auto"/>
              <w:jc w:val="both"/>
              <w:rPr>
                <w:rFonts w:ascii="Times New Roman" w:eastAsia="Times New Roman" w:hAnsi="Times New Roman" w:cs="Times New Roman"/>
              </w:rPr>
            </w:pPr>
            <w:r w:rsidRPr="00913738">
              <w:rPr>
                <w:rFonts w:ascii="Times New Roman" w:eastAsia="Times New Roman" w:hAnsi="Times New Roman" w:cs="Times New Roman"/>
              </w:rPr>
              <w:t>NCS</w:t>
            </w:r>
          </w:p>
        </w:tc>
        <w:tc>
          <w:tcPr>
            <w:tcW w:w="1925" w:type="dxa"/>
            <w:tcBorders>
              <w:top w:val="nil"/>
              <w:left w:val="nil"/>
              <w:bottom w:val="single" w:sz="4" w:space="0" w:color="000000"/>
              <w:right w:val="single" w:sz="4" w:space="0" w:color="000000"/>
            </w:tcBorders>
            <w:tcMar>
              <w:top w:w="100" w:type="dxa"/>
              <w:left w:w="100" w:type="dxa"/>
              <w:bottom w:w="100" w:type="dxa"/>
              <w:right w:w="100" w:type="dxa"/>
            </w:tcMar>
          </w:tcPr>
          <w:p w14:paraId="05F78E2C"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0.073</w:t>
            </w:r>
          </w:p>
        </w:tc>
        <w:tc>
          <w:tcPr>
            <w:tcW w:w="1011" w:type="dxa"/>
            <w:tcBorders>
              <w:top w:val="nil"/>
              <w:left w:val="nil"/>
              <w:bottom w:val="single" w:sz="4" w:space="0" w:color="000000"/>
              <w:right w:val="single" w:sz="4" w:space="0" w:color="000000"/>
            </w:tcBorders>
            <w:tcMar>
              <w:top w:w="100" w:type="dxa"/>
              <w:left w:w="100" w:type="dxa"/>
              <w:bottom w:w="100" w:type="dxa"/>
              <w:right w:w="100" w:type="dxa"/>
            </w:tcMar>
          </w:tcPr>
          <w:p w14:paraId="0515CFC8"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0.052</w:t>
            </w:r>
          </w:p>
        </w:tc>
        <w:tc>
          <w:tcPr>
            <w:tcW w:w="1078" w:type="dxa"/>
            <w:tcBorders>
              <w:top w:val="nil"/>
              <w:left w:val="nil"/>
              <w:bottom w:val="single" w:sz="4" w:space="0" w:color="000000"/>
              <w:right w:val="single" w:sz="4" w:space="0" w:color="000000"/>
            </w:tcBorders>
            <w:tcMar>
              <w:top w:w="100" w:type="dxa"/>
              <w:left w:w="100" w:type="dxa"/>
              <w:bottom w:w="100" w:type="dxa"/>
              <w:right w:w="100" w:type="dxa"/>
            </w:tcMar>
          </w:tcPr>
          <w:p w14:paraId="30D0DC10"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1.400</w:t>
            </w:r>
          </w:p>
        </w:tc>
        <w:tc>
          <w:tcPr>
            <w:tcW w:w="1105" w:type="dxa"/>
            <w:tcBorders>
              <w:top w:val="nil"/>
              <w:left w:val="nil"/>
              <w:bottom w:val="single" w:sz="4" w:space="0" w:color="000000"/>
              <w:right w:val="single" w:sz="4" w:space="0" w:color="000000"/>
            </w:tcBorders>
            <w:tcMar>
              <w:top w:w="100" w:type="dxa"/>
              <w:left w:w="100" w:type="dxa"/>
              <w:bottom w:w="100" w:type="dxa"/>
              <w:right w:w="100" w:type="dxa"/>
            </w:tcMar>
          </w:tcPr>
          <w:p w14:paraId="57971253"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0.163</w:t>
            </w:r>
          </w:p>
        </w:tc>
        <w:tc>
          <w:tcPr>
            <w:tcW w:w="1629" w:type="dxa"/>
            <w:tcBorders>
              <w:top w:val="nil"/>
              <w:left w:val="nil"/>
              <w:bottom w:val="single" w:sz="4" w:space="0" w:color="000000"/>
              <w:right w:val="single" w:sz="4" w:space="0" w:color="000000"/>
            </w:tcBorders>
            <w:tcMar>
              <w:top w:w="100" w:type="dxa"/>
              <w:left w:w="100" w:type="dxa"/>
              <w:bottom w:w="100" w:type="dxa"/>
              <w:right w:w="100" w:type="dxa"/>
            </w:tcMar>
          </w:tcPr>
          <w:p w14:paraId="59A6E30D"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w:t>
            </w:r>
          </w:p>
        </w:tc>
      </w:tr>
      <w:tr w:rsidR="000E1B01" w14:paraId="2825C43C" w14:textId="77777777">
        <w:trPr>
          <w:trHeight w:val="725"/>
        </w:trPr>
        <w:tc>
          <w:tcPr>
            <w:tcW w:w="2274"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A1EA954" w14:textId="77777777" w:rsidR="000E1B01" w:rsidRPr="00913738" w:rsidRDefault="00000000">
            <w:pPr>
              <w:spacing w:line="480" w:lineRule="auto"/>
              <w:jc w:val="both"/>
              <w:rPr>
                <w:rFonts w:ascii="Times New Roman" w:eastAsia="Times New Roman" w:hAnsi="Times New Roman" w:cs="Times New Roman"/>
              </w:rPr>
            </w:pPr>
            <w:r w:rsidRPr="00913738">
              <w:rPr>
                <w:rFonts w:ascii="Times New Roman" w:eastAsia="Times New Roman" w:hAnsi="Times New Roman" w:cs="Times New Roman"/>
              </w:rPr>
              <w:t>Text × PDP</w:t>
            </w:r>
          </w:p>
        </w:tc>
        <w:tc>
          <w:tcPr>
            <w:tcW w:w="1925" w:type="dxa"/>
            <w:tcBorders>
              <w:top w:val="nil"/>
              <w:left w:val="nil"/>
              <w:bottom w:val="single" w:sz="4" w:space="0" w:color="000000"/>
              <w:right w:val="single" w:sz="4" w:space="0" w:color="000000"/>
            </w:tcBorders>
            <w:tcMar>
              <w:top w:w="100" w:type="dxa"/>
              <w:left w:w="100" w:type="dxa"/>
              <w:bottom w:w="100" w:type="dxa"/>
              <w:right w:w="100" w:type="dxa"/>
            </w:tcMar>
          </w:tcPr>
          <w:p w14:paraId="2552C878"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Gungsuh" w:hAnsi="Times New Roman" w:cs="Times New Roman"/>
              </w:rPr>
              <w:t>−0.029</w:t>
            </w:r>
          </w:p>
        </w:tc>
        <w:tc>
          <w:tcPr>
            <w:tcW w:w="1011" w:type="dxa"/>
            <w:tcBorders>
              <w:top w:val="nil"/>
              <w:left w:val="nil"/>
              <w:bottom w:val="single" w:sz="4" w:space="0" w:color="000000"/>
              <w:right w:val="single" w:sz="4" w:space="0" w:color="000000"/>
            </w:tcBorders>
            <w:tcMar>
              <w:top w:w="100" w:type="dxa"/>
              <w:left w:w="100" w:type="dxa"/>
              <w:bottom w:w="100" w:type="dxa"/>
              <w:right w:w="100" w:type="dxa"/>
            </w:tcMar>
          </w:tcPr>
          <w:p w14:paraId="73E16BF9"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0.048</w:t>
            </w:r>
          </w:p>
        </w:tc>
        <w:tc>
          <w:tcPr>
            <w:tcW w:w="1078" w:type="dxa"/>
            <w:tcBorders>
              <w:top w:val="nil"/>
              <w:left w:val="nil"/>
              <w:bottom w:val="single" w:sz="4" w:space="0" w:color="000000"/>
              <w:right w:val="single" w:sz="4" w:space="0" w:color="000000"/>
            </w:tcBorders>
            <w:tcMar>
              <w:top w:w="100" w:type="dxa"/>
              <w:left w:w="100" w:type="dxa"/>
              <w:bottom w:w="100" w:type="dxa"/>
              <w:right w:w="100" w:type="dxa"/>
            </w:tcMar>
          </w:tcPr>
          <w:p w14:paraId="29F81B21"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Gungsuh" w:hAnsi="Times New Roman" w:cs="Times New Roman"/>
              </w:rPr>
              <w:t>−0.605</w:t>
            </w:r>
          </w:p>
        </w:tc>
        <w:tc>
          <w:tcPr>
            <w:tcW w:w="1105" w:type="dxa"/>
            <w:tcBorders>
              <w:top w:val="nil"/>
              <w:left w:val="nil"/>
              <w:bottom w:val="single" w:sz="4" w:space="0" w:color="000000"/>
              <w:right w:val="single" w:sz="4" w:space="0" w:color="000000"/>
            </w:tcBorders>
            <w:tcMar>
              <w:top w:w="100" w:type="dxa"/>
              <w:left w:w="100" w:type="dxa"/>
              <w:bottom w:w="100" w:type="dxa"/>
              <w:right w:w="100" w:type="dxa"/>
            </w:tcMar>
          </w:tcPr>
          <w:p w14:paraId="2E359B94"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0.545</w:t>
            </w:r>
          </w:p>
        </w:tc>
        <w:tc>
          <w:tcPr>
            <w:tcW w:w="1629" w:type="dxa"/>
            <w:tcBorders>
              <w:top w:val="nil"/>
              <w:left w:val="nil"/>
              <w:bottom w:val="single" w:sz="4" w:space="0" w:color="000000"/>
              <w:right w:val="single" w:sz="4" w:space="0" w:color="000000"/>
            </w:tcBorders>
            <w:tcMar>
              <w:top w:w="100" w:type="dxa"/>
              <w:left w:w="100" w:type="dxa"/>
              <w:bottom w:w="100" w:type="dxa"/>
              <w:right w:w="100" w:type="dxa"/>
            </w:tcMar>
          </w:tcPr>
          <w:p w14:paraId="599E4765"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w:t>
            </w:r>
          </w:p>
        </w:tc>
      </w:tr>
      <w:tr w:rsidR="000E1B01" w14:paraId="72F08AC2" w14:textId="77777777">
        <w:trPr>
          <w:trHeight w:val="1205"/>
        </w:trPr>
        <w:tc>
          <w:tcPr>
            <w:tcW w:w="2274"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BE603C5" w14:textId="77777777" w:rsidR="000E1B01" w:rsidRPr="00913738" w:rsidRDefault="00000000">
            <w:pPr>
              <w:spacing w:line="480" w:lineRule="auto"/>
              <w:jc w:val="both"/>
              <w:rPr>
                <w:rFonts w:ascii="Times New Roman" w:eastAsia="Times New Roman" w:hAnsi="Times New Roman" w:cs="Times New Roman"/>
              </w:rPr>
            </w:pPr>
            <w:r w:rsidRPr="00913738">
              <w:rPr>
                <w:rFonts w:ascii="Times New Roman" w:eastAsia="Times New Roman" w:hAnsi="Times New Roman" w:cs="Times New Roman"/>
              </w:rPr>
              <w:t>Text × NCS</w:t>
            </w:r>
          </w:p>
        </w:tc>
        <w:tc>
          <w:tcPr>
            <w:tcW w:w="1925" w:type="dxa"/>
            <w:tcBorders>
              <w:top w:val="nil"/>
              <w:left w:val="nil"/>
              <w:bottom w:val="single" w:sz="4" w:space="0" w:color="000000"/>
              <w:right w:val="single" w:sz="4" w:space="0" w:color="000000"/>
            </w:tcBorders>
            <w:tcMar>
              <w:top w:w="100" w:type="dxa"/>
              <w:left w:w="100" w:type="dxa"/>
              <w:bottom w:w="100" w:type="dxa"/>
              <w:right w:w="100" w:type="dxa"/>
            </w:tcMar>
          </w:tcPr>
          <w:p w14:paraId="522B6B77"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Gungsuh" w:hAnsi="Times New Roman" w:cs="Times New Roman"/>
              </w:rPr>
              <w:t>−0.191</w:t>
            </w:r>
          </w:p>
        </w:tc>
        <w:tc>
          <w:tcPr>
            <w:tcW w:w="1011" w:type="dxa"/>
            <w:tcBorders>
              <w:top w:val="nil"/>
              <w:left w:val="nil"/>
              <w:bottom w:val="single" w:sz="4" w:space="0" w:color="000000"/>
              <w:right w:val="single" w:sz="4" w:space="0" w:color="000000"/>
            </w:tcBorders>
            <w:tcMar>
              <w:top w:w="100" w:type="dxa"/>
              <w:left w:w="100" w:type="dxa"/>
              <w:bottom w:w="100" w:type="dxa"/>
              <w:right w:w="100" w:type="dxa"/>
            </w:tcMar>
          </w:tcPr>
          <w:p w14:paraId="66C69855"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0.072</w:t>
            </w:r>
          </w:p>
        </w:tc>
        <w:tc>
          <w:tcPr>
            <w:tcW w:w="1078" w:type="dxa"/>
            <w:tcBorders>
              <w:top w:val="nil"/>
              <w:left w:val="nil"/>
              <w:bottom w:val="single" w:sz="4" w:space="0" w:color="000000"/>
              <w:right w:val="single" w:sz="4" w:space="0" w:color="000000"/>
            </w:tcBorders>
            <w:tcMar>
              <w:top w:w="100" w:type="dxa"/>
              <w:left w:w="100" w:type="dxa"/>
              <w:bottom w:w="100" w:type="dxa"/>
              <w:right w:w="100" w:type="dxa"/>
            </w:tcMar>
          </w:tcPr>
          <w:p w14:paraId="6BCEE87E"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Gungsuh" w:hAnsi="Times New Roman" w:cs="Times New Roman"/>
              </w:rPr>
              <w:t>−2.631</w:t>
            </w:r>
          </w:p>
        </w:tc>
        <w:tc>
          <w:tcPr>
            <w:tcW w:w="1105" w:type="dxa"/>
            <w:tcBorders>
              <w:top w:val="nil"/>
              <w:left w:val="nil"/>
              <w:bottom w:val="single" w:sz="4" w:space="0" w:color="000000"/>
              <w:right w:val="single" w:sz="4" w:space="0" w:color="000000"/>
            </w:tcBorders>
            <w:tcMar>
              <w:top w:w="100" w:type="dxa"/>
              <w:left w:w="100" w:type="dxa"/>
              <w:bottom w:w="100" w:type="dxa"/>
              <w:right w:w="100" w:type="dxa"/>
            </w:tcMar>
          </w:tcPr>
          <w:p w14:paraId="7BBA0E06"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0.009</w:t>
            </w:r>
          </w:p>
        </w:tc>
        <w:tc>
          <w:tcPr>
            <w:tcW w:w="1629" w:type="dxa"/>
            <w:tcBorders>
              <w:top w:val="nil"/>
              <w:left w:val="nil"/>
              <w:bottom w:val="single" w:sz="4" w:space="0" w:color="000000"/>
              <w:right w:val="single" w:sz="4" w:space="0" w:color="000000"/>
            </w:tcBorders>
            <w:tcMar>
              <w:top w:w="100" w:type="dxa"/>
              <w:left w:w="100" w:type="dxa"/>
              <w:bottom w:w="100" w:type="dxa"/>
              <w:right w:w="100" w:type="dxa"/>
            </w:tcMar>
          </w:tcPr>
          <w:p w14:paraId="2BB8FDE2"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Gungsuh" w:hAnsi="Times New Roman" w:cs="Times New Roman"/>
              </w:rPr>
              <w:t>[−0.334, −0.047]</w:t>
            </w:r>
          </w:p>
        </w:tc>
      </w:tr>
      <w:tr w:rsidR="000E1B01" w14:paraId="1FF5512F" w14:textId="77777777">
        <w:trPr>
          <w:trHeight w:val="725"/>
        </w:trPr>
        <w:tc>
          <w:tcPr>
            <w:tcW w:w="2274"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1083582" w14:textId="77777777" w:rsidR="000E1B01" w:rsidRPr="00913738" w:rsidRDefault="00000000">
            <w:pPr>
              <w:spacing w:line="480" w:lineRule="auto"/>
              <w:jc w:val="both"/>
              <w:rPr>
                <w:rFonts w:ascii="Times New Roman" w:eastAsia="Times New Roman" w:hAnsi="Times New Roman" w:cs="Times New Roman"/>
                <w:b/>
                <w:bCs/>
              </w:rPr>
            </w:pPr>
            <w:r w:rsidRPr="00913738">
              <w:rPr>
                <w:rFonts w:ascii="Times New Roman" w:eastAsia="Times New Roman" w:hAnsi="Times New Roman" w:cs="Times New Roman"/>
                <w:b/>
                <w:bCs/>
              </w:rPr>
              <w:t>PMU model</w:t>
            </w:r>
          </w:p>
        </w:tc>
        <w:tc>
          <w:tcPr>
            <w:tcW w:w="1925" w:type="dxa"/>
            <w:tcBorders>
              <w:top w:val="nil"/>
              <w:left w:val="nil"/>
              <w:bottom w:val="single" w:sz="4" w:space="0" w:color="000000"/>
              <w:right w:val="single" w:sz="4" w:space="0" w:color="000000"/>
            </w:tcBorders>
            <w:tcMar>
              <w:top w:w="100" w:type="dxa"/>
              <w:left w:w="100" w:type="dxa"/>
              <w:bottom w:w="100" w:type="dxa"/>
              <w:right w:w="100" w:type="dxa"/>
            </w:tcMar>
          </w:tcPr>
          <w:p w14:paraId="02F9679D"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 xml:space="preserve"> </w:t>
            </w:r>
          </w:p>
        </w:tc>
        <w:tc>
          <w:tcPr>
            <w:tcW w:w="1011" w:type="dxa"/>
            <w:tcBorders>
              <w:top w:val="nil"/>
              <w:left w:val="nil"/>
              <w:bottom w:val="single" w:sz="4" w:space="0" w:color="000000"/>
              <w:right w:val="single" w:sz="4" w:space="0" w:color="000000"/>
            </w:tcBorders>
            <w:tcMar>
              <w:top w:w="100" w:type="dxa"/>
              <w:left w:w="100" w:type="dxa"/>
              <w:bottom w:w="100" w:type="dxa"/>
              <w:right w:w="100" w:type="dxa"/>
            </w:tcMar>
          </w:tcPr>
          <w:p w14:paraId="3508AC08"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 xml:space="preserve"> </w:t>
            </w:r>
          </w:p>
        </w:tc>
        <w:tc>
          <w:tcPr>
            <w:tcW w:w="1078" w:type="dxa"/>
            <w:tcBorders>
              <w:top w:val="nil"/>
              <w:left w:val="nil"/>
              <w:bottom w:val="single" w:sz="4" w:space="0" w:color="000000"/>
              <w:right w:val="single" w:sz="4" w:space="0" w:color="000000"/>
            </w:tcBorders>
            <w:tcMar>
              <w:top w:w="100" w:type="dxa"/>
              <w:left w:w="100" w:type="dxa"/>
              <w:bottom w:w="100" w:type="dxa"/>
              <w:right w:w="100" w:type="dxa"/>
            </w:tcMar>
          </w:tcPr>
          <w:p w14:paraId="28BC7904"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 xml:space="preserve"> </w:t>
            </w:r>
          </w:p>
        </w:tc>
        <w:tc>
          <w:tcPr>
            <w:tcW w:w="1105" w:type="dxa"/>
            <w:tcBorders>
              <w:top w:val="nil"/>
              <w:left w:val="nil"/>
              <w:bottom w:val="single" w:sz="4" w:space="0" w:color="000000"/>
              <w:right w:val="single" w:sz="4" w:space="0" w:color="000000"/>
            </w:tcBorders>
            <w:tcMar>
              <w:top w:w="100" w:type="dxa"/>
              <w:left w:w="100" w:type="dxa"/>
              <w:bottom w:w="100" w:type="dxa"/>
              <w:right w:w="100" w:type="dxa"/>
            </w:tcMar>
          </w:tcPr>
          <w:p w14:paraId="617B4B38"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 xml:space="preserve"> </w:t>
            </w:r>
          </w:p>
        </w:tc>
        <w:tc>
          <w:tcPr>
            <w:tcW w:w="1629" w:type="dxa"/>
            <w:tcBorders>
              <w:top w:val="nil"/>
              <w:left w:val="nil"/>
              <w:bottom w:val="single" w:sz="4" w:space="0" w:color="000000"/>
              <w:right w:val="single" w:sz="4" w:space="0" w:color="000000"/>
            </w:tcBorders>
            <w:tcMar>
              <w:top w:w="100" w:type="dxa"/>
              <w:left w:w="100" w:type="dxa"/>
              <w:bottom w:w="100" w:type="dxa"/>
              <w:right w:w="100" w:type="dxa"/>
            </w:tcMar>
          </w:tcPr>
          <w:p w14:paraId="52018918"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 xml:space="preserve"> </w:t>
            </w:r>
          </w:p>
        </w:tc>
      </w:tr>
      <w:tr w:rsidR="000E1B01" w:rsidRPr="00913738" w14:paraId="08EA4ABB" w14:textId="77777777">
        <w:trPr>
          <w:trHeight w:val="725"/>
        </w:trPr>
        <w:tc>
          <w:tcPr>
            <w:tcW w:w="2274"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1384E65" w14:textId="77777777" w:rsidR="000E1B01" w:rsidRPr="00913738" w:rsidRDefault="00000000">
            <w:pPr>
              <w:spacing w:line="480" w:lineRule="auto"/>
              <w:jc w:val="both"/>
              <w:rPr>
                <w:rFonts w:ascii="Times New Roman" w:eastAsia="Times New Roman" w:hAnsi="Times New Roman" w:cs="Times New Roman"/>
              </w:rPr>
            </w:pPr>
            <w:r w:rsidRPr="00913738">
              <w:rPr>
                <w:rFonts w:ascii="Times New Roman" w:eastAsia="Times New Roman" w:hAnsi="Times New Roman" w:cs="Times New Roman"/>
              </w:rPr>
              <w:lastRenderedPageBreak/>
              <w:t>Text</w:t>
            </w:r>
          </w:p>
        </w:tc>
        <w:tc>
          <w:tcPr>
            <w:tcW w:w="1925" w:type="dxa"/>
            <w:tcBorders>
              <w:top w:val="nil"/>
              <w:left w:val="nil"/>
              <w:bottom w:val="single" w:sz="4" w:space="0" w:color="000000"/>
              <w:right w:val="single" w:sz="4" w:space="0" w:color="000000"/>
            </w:tcBorders>
            <w:tcMar>
              <w:top w:w="100" w:type="dxa"/>
              <w:left w:w="100" w:type="dxa"/>
              <w:bottom w:w="100" w:type="dxa"/>
              <w:right w:w="100" w:type="dxa"/>
            </w:tcMar>
          </w:tcPr>
          <w:p w14:paraId="082435C3"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0.473</w:t>
            </w:r>
          </w:p>
        </w:tc>
        <w:tc>
          <w:tcPr>
            <w:tcW w:w="1011" w:type="dxa"/>
            <w:tcBorders>
              <w:top w:val="nil"/>
              <w:left w:val="nil"/>
              <w:bottom w:val="single" w:sz="4" w:space="0" w:color="000000"/>
              <w:right w:val="single" w:sz="4" w:space="0" w:color="000000"/>
            </w:tcBorders>
            <w:tcMar>
              <w:top w:w="100" w:type="dxa"/>
              <w:left w:w="100" w:type="dxa"/>
              <w:bottom w:w="100" w:type="dxa"/>
              <w:right w:w="100" w:type="dxa"/>
            </w:tcMar>
          </w:tcPr>
          <w:p w14:paraId="702F2EBD"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0.071</w:t>
            </w:r>
          </w:p>
        </w:tc>
        <w:tc>
          <w:tcPr>
            <w:tcW w:w="1078" w:type="dxa"/>
            <w:tcBorders>
              <w:top w:val="nil"/>
              <w:left w:val="nil"/>
              <w:bottom w:val="single" w:sz="4" w:space="0" w:color="000000"/>
              <w:right w:val="single" w:sz="4" w:space="0" w:color="000000"/>
            </w:tcBorders>
            <w:tcMar>
              <w:top w:w="100" w:type="dxa"/>
              <w:left w:w="100" w:type="dxa"/>
              <w:bottom w:w="100" w:type="dxa"/>
              <w:right w:w="100" w:type="dxa"/>
            </w:tcMar>
          </w:tcPr>
          <w:p w14:paraId="5D20EBA4"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6.611</w:t>
            </w:r>
          </w:p>
        </w:tc>
        <w:tc>
          <w:tcPr>
            <w:tcW w:w="1105" w:type="dxa"/>
            <w:tcBorders>
              <w:top w:val="nil"/>
              <w:left w:val="nil"/>
              <w:bottom w:val="single" w:sz="4" w:space="0" w:color="000000"/>
              <w:right w:val="single" w:sz="4" w:space="0" w:color="000000"/>
            </w:tcBorders>
            <w:tcMar>
              <w:top w:w="100" w:type="dxa"/>
              <w:left w:w="100" w:type="dxa"/>
              <w:bottom w:w="100" w:type="dxa"/>
              <w:right w:w="100" w:type="dxa"/>
            </w:tcMar>
          </w:tcPr>
          <w:p w14:paraId="52FCCA78"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&lt; 0.001</w:t>
            </w:r>
          </w:p>
        </w:tc>
        <w:tc>
          <w:tcPr>
            <w:tcW w:w="1629" w:type="dxa"/>
            <w:tcBorders>
              <w:top w:val="nil"/>
              <w:left w:val="nil"/>
              <w:bottom w:val="single" w:sz="4" w:space="0" w:color="000000"/>
              <w:right w:val="single" w:sz="4" w:space="0" w:color="000000"/>
            </w:tcBorders>
            <w:tcMar>
              <w:top w:w="100" w:type="dxa"/>
              <w:left w:w="100" w:type="dxa"/>
              <w:bottom w:w="100" w:type="dxa"/>
              <w:right w:w="100" w:type="dxa"/>
            </w:tcMar>
          </w:tcPr>
          <w:p w14:paraId="46F039E8"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[0.332, 0.614]</w:t>
            </w:r>
          </w:p>
        </w:tc>
      </w:tr>
      <w:tr w:rsidR="000E1B01" w:rsidRPr="00913738" w14:paraId="1473E890" w14:textId="77777777">
        <w:trPr>
          <w:trHeight w:val="1205"/>
        </w:trPr>
        <w:tc>
          <w:tcPr>
            <w:tcW w:w="2274"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F41AC6C" w14:textId="77777777" w:rsidR="000E1B01" w:rsidRPr="00913738" w:rsidRDefault="00000000">
            <w:pPr>
              <w:spacing w:line="480" w:lineRule="auto"/>
              <w:jc w:val="both"/>
              <w:rPr>
                <w:rFonts w:ascii="Times New Roman" w:eastAsia="Times New Roman" w:hAnsi="Times New Roman" w:cs="Times New Roman"/>
              </w:rPr>
            </w:pPr>
            <w:r w:rsidRPr="00913738">
              <w:rPr>
                <w:rFonts w:ascii="Times New Roman" w:eastAsia="Times New Roman" w:hAnsi="Times New Roman" w:cs="Times New Roman"/>
              </w:rPr>
              <w:t>ELAB</w:t>
            </w:r>
          </w:p>
        </w:tc>
        <w:tc>
          <w:tcPr>
            <w:tcW w:w="1925" w:type="dxa"/>
            <w:tcBorders>
              <w:top w:val="nil"/>
              <w:left w:val="nil"/>
              <w:bottom w:val="single" w:sz="4" w:space="0" w:color="000000"/>
              <w:right w:val="single" w:sz="4" w:space="0" w:color="000000"/>
            </w:tcBorders>
            <w:tcMar>
              <w:top w:w="100" w:type="dxa"/>
              <w:left w:w="100" w:type="dxa"/>
              <w:bottom w:w="100" w:type="dxa"/>
              <w:right w:w="100" w:type="dxa"/>
            </w:tcMar>
          </w:tcPr>
          <w:p w14:paraId="35805F76"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Gungsuh" w:hAnsi="Times New Roman" w:cs="Times New Roman"/>
              </w:rPr>
              <w:t>−0.451</w:t>
            </w:r>
          </w:p>
        </w:tc>
        <w:tc>
          <w:tcPr>
            <w:tcW w:w="1011" w:type="dxa"/>
            <w:tcBorders>
              <w:top w:val="nil"/>
              <w:left w:val="nil"/>
              <w:bottom w:val="single" w:sz="4" w:space="0" w:color="000000"/>
              <w:right w:val="single" w:sz="4" w:space="0" w:color="000000"/>
            </w:tcBorders>
            <w:tcMar>
              <w:top w:w="100" w:type="dxa"/>
              <w:left w:w="100" w:type="dxa"/>
              <w:bottom w:w="100" w:type="dxa"/>
              <w:right w:w="100" w:type="dxa"/>
            </w:tcMar>
          </w:tcPr>
          <w:p w14:paraId="18DAFC80"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0.096</w:t>
            </w:r>
          </w:p>
        </w:tc>
        <w:tc>
          <w:tcPr>
            <w:tcW w:w="1078" w:type="dxa"/>
            <w:tcBorders>
              <w:top w:val="nil"/>
              <w:left w:val="nil"/>
              <w:bottom w:val="single" w:sz="4" w:space="0" w:color="000000"/>
              <w:right w:val="single" w:sz="4" w:space="0" w:color="000000"/>
            </w:tcBorders>
            <w:tcMar>
              <w:top w:w="100" w:type="dxa"/>
              <w:left w:w="100" w:type="dxa"/>
              <w:bottom w:w="100" w:type="dxa"/>
              <w:right w:w="100" w:type="dxa"/>
            </w:tcMar>
          </w:tcPr>
          <w:p w14:paraId="24156AAE"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Gungsuh" w:hAnsi="Times New Roman" w:cs="Times New Roman"/>
              </w:rPr>
              <w:t>−4.686</w:t>
            </w:r>
          </w:p>
        </w:tc>
        <w:tc>
          <w:tcPr>
            <w:tcW w:w="1105" w:type="dxa"/>
            <w:tcBorders>
              <w:top w:val="nil"/>
              <w:left w:val="nil"/>
              <w:bottom w:val="single" w:sz="4" w:space="0" w:color="000000"/>
              <w:right w:val="single" w:sz="4" w:space="0" w:color="000000"/>
            </w:tcBorders>
            <w:tcMar>
              <w:top w:w="100" w:type="dxa"/>
              <w:left w:w="100" w:type="dxa"/>
              <w:bottom w:w="100" w:type="dxa"/>
              <w:right w:w="100" w:type="dxa"/>
            </w:tcMar>
          </w:tcPr>
          <w:p w14:paraId="64AA672E"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&lt; 0.001</w:t>
            </w:r>
          </w:p>
        </w:tc>
        <w:tc>
          <w:tcPr>
            <w:tcW w:w="1629" w:type="dxa"/>
            <w:tcBorders>
              <w:top w:val="nil"/>
              <w:left w:val="nil"/>
              <w:bottom w:val="single" w:sz="4" w:space="0" w:color="000000"/>
              <w:right w:val="single" w:sz="4" w:space="0" w:color="000000"/>
            </w:tcBorders>
            <w:tcMar>
              <w:top w:w="100" w:type="dxa"/>
              <w:left w:w="100" w:type="dxa"/>
              <w:bottom w:w="100" w:type="dxa"/>
              <w:right w:w="100" w:type="dxa"/>
            </w:tcMar>
          </w:tcPr>
          <w:p w14:paraId="784544F8"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Gungsuh" w:hAnsi="Times New Roman" w:cs="Times New Roman"/>
              </w:rPr>
              <w:t>[−0.641, −0.261]</w:t>
            </w:r>
          </w:p>
        </w:tc>
      </w:tr>
      <w:tr w:rsidR="000E1B01" w:rsidRPr="00913738" w14:paraId="466E681B" w14:textId="77777777">
        <w:trPr>
          <w:trHeight w:val="725"/>
        </w:trPr>
        <w:tc>
          <w:tcPr>
            <w:tcW w:w="2274"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DADA990" w14:textId="77777777" w:rsidR="000E1B01" w:rsidRPr="00913738" w:rsidRDefault="00000000">
            <w:pPr>
              <w:spacing w:line="480" w:lineRule="auto"/>
              <w:jc w:val="both"/>
              <w:rPr>
                <w:rFonts w:ascii="Times New Roman" w:eastAsia="Times New Roman" w:hAnsi="Times New Roman" w:cs="Times New Roman"/>
              </w:rPr>
            </w:pPr>
            <w:r w:rsidRPr="00913738">
              <w:rPr>
                <w:rFonts w:ascii="Times New Roman" w:eastAsia="Times New Roman" w:hAnsi="Times New Roman" w:cs="Times New Roman"/>
              </w:rPr>
              <w:t>PDP</w:t>
            </w:r>
          </w:p>
        </w:tc>
        <w:tc>
          <w:tcPr>
            <w:tcW w:w="1925" w:type="dxa"/>
            <w:tcBorders>
              <w:top w:val="nil"/>
              <w:left w:val="nil"/>
              <w:bottom w:val="single" w:sz="4" w:space="0" w:color="000000"/>
              <w:right w:val="single" w:sz="4" w:space="0" w:color="000000"/>
            </w:tcBorders>
            <w:tcMar>
              <w:top w:w="100" w:type="dxa"/>
              <w:left w:w="100" w:type="dxa"/>
              <w:bottom w:w="100" w:type="dxa"/>
              <w:right w:w="100" w:type="dxa"/>
            </w:tcMar>
          </w:tcPr>
          <w:p w14:paraId="4A4EDD91"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0.486</w:t>
            </w:r>
          </w:p>
        </w:tc>
        <w:tc>
          <w:tcPr>
            <w:tcW w:w="1011" w:type="dxa"/>
            <w:tcBorders>
              <w:top w:val="nil"/>
              <w:left w:val="nil"/>
              <w:bottom w:val="single" w:sz="4" w:space="0" w:color="000000"/>
              <w:right w:val="single" w:sz="4" w:space="0" w:color="000000"/>
            </w:tcBorders>
            <w:tcMar>
              <w:top w:w="100" w:type="dxa"/>
              <w:left w:w="100" w:type="dxa"/>
              <w:bottom w:w="100" w:type="dxa"/>
              <w:right w:w="100" w:type="dxa"/>
            </w:tcMar>
          </w:tcPr>
          <w:p w14:paraId="4E96DEDD"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0.063</w:t>
            </w:r>
          </w:p>
        </w:tc>
        <w:tc>
          <w:tcPr>
            <w:tcW w:w="1078" w:type="dxa"/>
            <w:tcBorders>
              <w:top w:val="nil"/>
              <w:left w:val="nil"/>
              <w:bottom w:val="single" w:sz="4" w:space="0" w:color="000000"/>
              <w:right w:val="single" w:sz="4" w:space="0" w:color="000000"/>
            </w:tcBorders>
            <w:tcMar>
              <w:top w:w="100" w:type="dxa"/>
              <w:left w:w="100" w:type="dxa"/>
              <w:bottom w:w="100" w:type="dxa"/>
              <w:right w:w="100" w:type="dxa"/>
            </w:tcMar>
          </w:tcPr>
          <w:p w14:paraId="0CF0A04D"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7.662</w:t>
            </w:r>
          </w:p>
        </w:tc>
        <w:tc>
          <w:tcPr>
            <w:tcW w:w="1105" w:type="dxa"/>
            <w:tcBorders>
              <w:top w:val="nil"/>
              <w:left w:val="nil"/>
              <w:bottom w:val="single" w:sz="4" w:space="0" w:color="000000"/>
              <w:right w:val="single" w:sz="4" w:space="0" w:color="000000"/>
            </w:tcBorders>
            <w:tcMar>
              <w:top w:w="100" w:type="dxa"/>
              <w:left w:w="100" w:type="dxa"/>
              <w:bottom w:w="100" w:type="dxa"/>
              <w:right w:w="100" w:type="dxa"/>
            </w:tcMar>
          </w:tcPr>
          <w:p w14:paraId="06425F8D"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&lt; 0.001</w:t>
            </w:r>
          </w:p>
        </w:tc>
        <w:tc>
          <w:tcPr>
            <w:tcW w:w="1629" w:type="dxa"/>
            <w:tcBorders>
              <w:top w:val="nil"/>
              <w:left w:val="nil"/>
              <w:bottom w:val="single" w:sz="4" w:space="0" w:color="000000"/>
              <w:right w:val="single" w:sz="4" w:space="0" w:color="000000"/>
            </w:tcBorders>
            <w:tcMar>
              <w:top w:w="100" w:type="dxa"/>
              <w:left w:w="100" w:type="dxa"/>
              <w:bottom w:w="100" w:type="dxa"/>
              <w:right w:w="100" w:type="dxa"/>
            </w:tcMar>
          </w:tcPr>
          <w:p w14:paraId="3B5852D4"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[0.361, 0.611]</w:t>
            </w:r>
          </w:p>
        </w:tc>
      </w:tr>
      <w:tr w:rsidR="000E1B01" w:rsidRPr="00913738" w14:paraId="453D9B24" w14:textId="77777777">
        <w:trPr>
          <w:trHeight w:val="725"/>
        </w:trPr>
        <w:tc>
          <w:tcPr>
            <w:tcW w:w="2274"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49CAC87" w14:textId="77777777" w:rsidR="000E1B01" w:rsidRPr="00913738" w:rsidRDefault="00000000">
            <w:pPr>
              <w:spacing w:line="480" w:lineRule="auto"/>
              <w:jc w:val="both"/>
              <w:rPr>
                <w:rFonts w:ascii="Times New Roman" w:eastAsia="Times New Roman" w:hAnsi="Times New Roman" w:cs="Times New Roman"/>
              </w:rPr>
            </w:pPr>
            <w:r w:rsidRPr="00913738">
              <w:rPr>
                <w:rFonts w:ascii="Times New Roman" w:eastAsia="Times New Roman" w:hAnsi="Times New Roman" w:cs="Times New Roman"/>
              </w:rPr>
              <w:t>NCS</w:t>
            </w:r>
          </w:p>
        </w:tc>
        <w:tc>
          <w:tcPr>
            <w:tcW w:w="1925" w:type="dxa"/>
            <w:tcBorders>
              <w:top w:val="nil"/>
              <w:left w:val="nil"/>
              <w:bottom w:val="single" w:sz="4" w:space="0" w:color="000000"/>
              <w:right w:val="single" w:sz="4" w:space="0" w:color="000000"/>
            </w:tcBorders>
            <w:tcMar>
              <w:top w:w="100" w:type="dxa"/>
              <w:left w:w="100" w:type="dxa"/>
              <w:bottom w:w="100" w:type="dxa"/>
              <w:right w:w="100" w:type="dxa"/>
            </w:tcMar>
          </w:tcPr>
          <w:p w14:paraId="59936CEA"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0.154</w:t>
            </w:r>
          </w:p>
        </w:tc>
        <w:tc>
          <w:tcPr>
            <w:tcW w:w="1011" w:type="dxa"/>
            <w:tcBorders>
              <w:top w:val="nil"/>
              <w:left w:val="nil"/>
              <w:bottom w:val="single" w:sz="4" w:space="0" w:color="000000"/>
              <w:right w:val="single" w:sz="4" w:space="0" w:color="000000"/>
            </w:tcBorders>
            <w:tcMar>
              <w:top w:w="100" w:type="dxa"/>
              <w:left w:w="100" w:type="dxa"/>
              <w:bottom w:w="100" w:type="dxa"/>
              <w:right w:w="100" w:type="dxa"/>
            </w:tcMar>
          </w:tcPr>
          <w:p w14:paraId="07C63DDB"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0.065</w:t>
            </w:r>
          </w:p>
        </w:tc>
        <w:tc>
          <w:tcPr>
            <w:tcW w:w="1078" w:type="dxa"/>
            <w:tcBorders>
              <w:top w:val="nil"/>
              <w:left w:val="nil"/>
              <w:bottom w:val="single" w:sz="4" w:space="0" w:color="000000"/>
              <w:right w:val="single" w:sz="4" w:space="0" w:color="000000"/>
            </w:tcBorders>
            <w:tcMar>
              <w:top w:w="100" w:type="dxa"/>
              <w:left w:w="100" w:type="dxa"/>
              <w:bottom w:w="100" w:type="dxa"/>
              <w:right w:w="100" w:type="dxa"/>
            </w:tcMar>
          </w:tcPr>
          <w:p w14:paraId="5B3F9CCD"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2.351</w:t>
            </w:r>
          </w:p>
        </w:tc>
        <w:tc>
          <w:tcPr>
            <w:tcW w:w="1105" w:type="dxa"/>
            <w:tcBorders>
              <w:top w:val="nil"/>
              <w:left w:val="nil"/>
              <w:bottom w:val="single" w:sz="4" w:space="0" w:color="000000"/>
              <w:right w:val="single" w:sz="4" w:space="0" w:color="000000"/>
            </w:tcBorders>
            <w:tcMar>
              <w:top w:w="100" w:type="dxa"/>
              <w:left w:w="100" w:type="dxa"/>
              <w:bottom w:w="100" w:type="dxa"/>
              <w:right w:w="100" w:type="dxa"/>
            </w:tcMar>
          </w:tcPr>
          <w:p w14:paraId="326F3EB0"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0.019</w:t>
            </w:r>
          </w:p>
        </w:tc>
        <w:tc>
          <w:tcPr>
            <w:tcW w:w="1629" w:type="dxa"/>
            <w:tcBorders>
              <w:top w:val="nil"/>
              <w:left w:val="nil"/>
              <w:bottom w:val="single" w:sz="4" w:space="0" w:color="000000"/>
              <w:right w:val="single" w:sz="4" w:space="0" w:color="000000"/>
            </w:tcBorders>
            <w:tcMar>
              <w:top w:w="100" w:type="dxa"/>
              <w:left w:w="100" w:type="dxa"/>
              <w:bottom w:w="100" w:type="dxa"/>
              <w:right w:w="100" w:type="dxa"/>
            </w:tcMar>
          </w:tcPr>
          <w:p w14:paraId="70C4B416"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[0.024, 0.284]</w:t>
            </w:r>
          </w:p>
        </w:tc>
      </w:tr>
      <w:tr w:rsidR="000E1B01" w:rsidRPr="00913738" w14:paraId="3E53C06D" w14:textId="77777777">
        <w:trPr>
          <w:trHeight w:val="1205"/>
        </w:trPr>
        <w:tc>
          <w:tcPr>
            <w:tcW w:w="2274"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7758453" w14:textId="77777777" w:rsidR="000E1B01" w:rsidRPr="00913738" w:rsidRDefault="00000000">
            <w:pPr>
              <w:spacing w:line="480" w:lineRule="auto"/>
              <w:jc w:val="both"/>
              <w:rPr>
                <w:rFonts w:ascii="Times New Roman" w:eastAsia="Times New Roman" w:hAnsi="Times New Roman" w:cs="Times New Roman"/>
              </w:rPr>
            </w:pPr>
            <w:r w:rsidRPr="00913738">
              <w:rPr>
                <w:rFonts w:ascii="Times New Roman" w:eastAsia="Times New Roman" w:hAnsi="Times New Roman" w:cs="Times New Roman"/>
              </w:rPr>
              <w:t>Text × PDP</w:t>
            </w:r>
          </w:p>
        </w:tc>
        <w:tc>
          <w:tcPr>
            <w:tcW w:w="1925" w:type="dxa"/>
            <w:tcBorders>
              <w:top w:val="nil"/>
              <w:left w:val="nil"/>
              <w:bottom w:val="single" w:sz="4" w:space="0" w:color="000000"/>
              <w:right w:val="single" w:sz="4" w:space="0" w:color="000000"/>
            </w:tcBorders>
            <w:tcMar>
              <w:top w:w="100" w:type="dxa"/>
              <w:left w:w="100" w:type="dxa"/>
              <w:bottom w:w="100" w:type="dxa"/>
              <w:right w:w="100" w:type="dxa"/>
            </w:tcMar>
          </w:tcPr>
          <w:p w14:paraId="22625299"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Gungsuh" w:hAnsi="Times New Roman" w:cs="Times New Roman"/>
              </w:rPr>
              <w:t>−0.252</w:t>
            </w:r>
          </w:p>
        </w:tc>
        <w:tc>
          <w:tcPr>
            <w:tcW w:w="1011" w:type="dxa"/>
            <w:tcBorders>
              <w:top w:val="nil"/>
              <w:left w:val="nil"/>
              <w:bottom w:val="single" w:sz="4" w:space="0" w:color="000000"/>
              <w:right w:val="single" w:sz="4" w:space="0" w:color="000000"/>
            </w:tcBorders>
            <w:tcMar>
              <w:top w:w="100" w:type="dxa"/>
              <w:left w:w="100" w:type="dxa"/>
              <w:bottom w:w="100" w:type="dxa"/>
              <w:right w:w="100" w:type="dxa"/>
            </w:tcMar>
          </w:tcPr>
          <w:p w14:paraId="31078762"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0.059</w:t>
            </w:r>
          </w:p>
        </w:tc>
        <w:tc>
          <w:tcPr>
            <w:tcW w:w="1078" w:type="dxa"/>
            <w:tcBorders>
              <w:top w:val="nil"/>
              <w:left w:val="nil"/>
              <w:bottom w:val="single" w:sz="4" w:space="0" w:color="000000"/>
              <w:right w:val="single" w:sz="4" w:space="0" w:color="000000"/>
            </w:tcBorders>
            <w:tcMar>
              <w:top w:w="100" w:type="dxa"/>
              <w:left w:w="100" w:type="dxa"/>
              <w:bottom w:w="100" w:type="dxa"/>
              <w:right w:w="100" w:type="dxa"/>
            </w:tcMar>
          </w:tcPr>
          <w:p w14:paraId="08E17F3D"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Gungsuh" w:hAnsi="Times New Roman" w:cs="Times New Roman"/>
              </w:rPr>
              <w:t>−4.243</w:t>
            </w:r>
          </w:p>
        </w:tc>
        <w:tc>
          <w:tcPr>
            <w:tcW w:w="1105" w:type="dxa"/>
            <w:tcBorders>
              <w:top w:val="nil"/>
              <w:left w:val="nil"/>
              <w:bottom w:val="single" w:sz="4" w:space="0" w:color="000000"/>
              <w:right w:val="single" w:sz="4" w:space="0" w:color="000000"/>
            </w:tcBorders>
            <w:tcMar>
              <w:top w:w="100" w:type="dxa"/>
              <w:left w:w="100" w:type="dxa"/>
              <w:bottom w:w="100" w:type="dxa"/>
              <w:right w:w="100" w:type="dxa"/>
            </w:tcMar>
          </w:tcPr>
          <w:p w14:paraId="4DDB0952"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&lt; 0.001</w:t>
            </w:r>
          </w:p>
        </w:tc>
        <w:tc>
          <w:tcPr>
            <w:tcW w:w="1629" w:type="dxa"/>
            <w:tcBorders>
              <w:top w:val="nil"/>
              <w:left w:val="nil"/>
              <w:bottom w:val="single" w:sz="4" w:space="0" w:color="000000"/>
              <w:right w:val="single" w:sz="4" w:space="0" w:color="000000"/>
            </w:tcBorders>
            <w:tcMar>
              <w:top w:w="100" w:type="dxa"/>
              <w:left w:w="100" w:type="dxa"/>
              <w:bottom w:w="100" w:type="dxa"/>
              <w:right w:w="100" w:type="dxa"/>
            </w:tcMar>
          </w:tcPr>
          <w:p w14:paraId="67017789"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Gungsuh" w:hAnsi="Times New Roman" w:cs="Times New Roman"/>
              </w:rPr>
              <w:t>[−0.369, −0.135]</w:t>
            </w:r>
          </w:p>
        </w:tc>
      </w:tr>
      <w:tr w:rsidR="000E1B01" w:rsidRPr="00913738" w14:paraId="23AB7557" w14:textId="77777777">
        <w:trPr>
          <w:trHeight w:val="725"/>
        </w:trPr>
        <w:tc>
          <w:tcPr>
            <w:tcW w:w="2274"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E09E087" w14:textId="77777777" w:rsidR="000E1B01" w:rsidRPr="00913738" w:rsidRDefault="00000000">
            <w:pPr>
              <w:spacing w:line="480" w:lineRule="auto"/>
              <w:jc w:val="both"/>
              <w:rPr>
                <w:rFonts w:ascii="Times New Roman" w:eastAsia="Times New Roman" w:hAnsi="Times New Roman" w:cs="Times New Roman"/>
              </w:rPr>
            </w:pPr>
            <w:r w:rsidRPr="00913738">
              <w:rPr>
                <w:rFonts w:ascii="Times New Roman" w:eastAsia="Times New Roman" w:hAnsi="Times New Roman" w:cs="Times New Roman"/>
              </w:rPr>
              <w:t>Text × NCS</w:t>
            </w:r>
          </w:p>
        </w:tc>
        <w:tc>
          <w:tcPr>
            <w:tcW w:w="1925" w:type="dxa"/>
            <w:tcBorders>
              <w:top w:val="nil"/>
              <w:left w:val="nil"/>
              <w:bottom w:val="single" w:sz="4" w:space="0" w:color="000000"/>
              <w:right w:val="single" w:sz="4" w:space="0" w:color="000000"/>
            </w:tcBorders>
            <w:tcMar>
              <w:top w:w="100" w:type="dxa"/>
              <w:left w:w="100" w:type="dxa"/>
              <w:bottom w:w="100" w:type="dxa"/>
              <w:right w:w="100" w:type="dxa"/>
            </w:tcMar>
          </w:tcPr>
          <w:p w14:paraId="4BF76718"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Gungsuh" w:hAnsi="Times New Roman" w:cs="Times New Roman"/>
              </w:rPr>
              <w:t>−0.021</w:t>
            </w:r>
          </w:p>
        </w:tc>
        <w:tc>
          <w:tcPr>
            <w:tcW w:w="1011" w:type="dxa"/>
            <w:tcBorders>
              <w:top w:val="nil"/>
              <w:left w:val="nil"/>
              <w:bottom w:val="single" w:sz="4" w:space="0" w:color="000000"/>
              <w:right w:val="single" w:sz="4" w:space="0" w:color="000000"/>
            </w:tcBorders>
            <w:tcMar>
              <w:top w:w="100" w:type="dxa"/>
              <w:left w:w="100" w:type="dxa"/>
              <w:bottom w:w="100" w:type="dxa"/>
              <w:right w:w="100" w:type="dxa"/>
            </w:tcMar>
          </w:tcPr>
          <w:p w14:paraId="6D3AEB91"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0.091</w:t>
            </w:r>
          </w:p>
        </w:tc>
        <w:tc>
          <w:tcPr>
            <w:tcW w:w="1078" w:type="dxa"/>
            <w:tcBorders>
              <w:top w:val="nil"/>
              <w:left w:val="nil"/>
              <w:bottom w:val="single" w:sz="4" w:space="0" w:color="000000"/>
              <w:right w:val="single" w:sz="4" w:space="0" w:color="000000"/>
            </w:tcBorders>
            <w:tcMar>
              <w:top w:w="100" w:type="dxa"/>
              <w:left w:w="100" w:type="dxa"/>
              <w:bottom w:w="100" w:type="dxa"/>
              <w:right w:w="100" w:type="dxa"/>
            </w:tcMar>
          </w:tcPr>
          <w:p w14:paraId="086C1071"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Gungsuh" w:hAnsi="Times New Roman" w:cs="Times New Roman"/>
              </w:rPr>
              <w:t>−0.229</w:t>
            </w:r>
          </w:p>
        </w:tc>
        <w:tc>
          <w:tcPr>
            <w:tcW w:w="1105" w:type="dxa"/>
            <w:tcBorders>
              <w:top w:val="nil"/>
              <w:left w:val="nil"/>
              <w:bottom w:val="single" w:sz="4" w:space="0" w:color="000000"/>
              <w:right w:val="single" w:sz="4" w:space="0" w:color="000000"/>
            </w:tcBorders>
            <w:tcMar>
              <w:top w:w="100" w:type="dxa"/>
              <w:left w:w="100" w:type="dxa"/>
              <w:bottom w:w="100" w:type="dxa"/>
              <w:right w:w="100" w:type="dxa"/>
            </w:tcMar>
          </w:tcPr>
          <w:p w14:paraId="34BF6EC8"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0.818</w:t>
            </w:r>
          </w:p>
        </w:tc>
        <w:tc>
          <w:tcPr>
            <w:tcW w:w="1629" w:type="dxa"/>
            <w:tcBorders>
              <w:top w:val="nil"/>
              <w:left w:val="nil"/>
              <w:bottom w:val="single" w:sz="4" w:space="0" w:color="000000"/>
              <w:right w:val="single" w:sz="4" w:space="0" w:color="000000"/>
            </w:tcBorders>
            <w:tcMar>
              <w:top w:w="100" w:type="dxa"/>
              <w:left w:w="100" w:type="dxa"/>
              <w:bottom w:w="100" w:type="dxa"/>
              <w:right w:w="100" w:type="dxa"/>
            </w:tcMar>
          </w:tcPr>
          <w:p w14:paraId="2F09BD2F"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w:t>
            </w:r>
          </w:p>
        </w:tc>
      </w:tr>
      <w:tr w:rsidR="000E1B01" w:rsidRPr="00913738" w14:paraId="7AB878E5" w14:textId="77777777">
        <w:trPr>
          <w:trHeight w:val="725"/>
        </w:trPr>
        <w:tc>
          <w:tcPr>
            <w:tcW w:w="2274"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3C1461A" w14:textId="77777777" w:rsidR="000E1B01" w:rsidRPr="00913738" w:rsidRDefault="00000000">
            <w:pPr>
              <w:spacing w:line="480" w:lineRule="auto"/>
              <w:jc w:val="both"/>
              <w:rPr>
                <w:rFonts w:ascii="Times New Roman" w:eastAsia="Times New Roman" w:hAnsi="Times New Roman" w:cs="Times New Roman"/>
              </w:rPr>
            </w:pPr>
            <w:r w:rsidRPr="00913738">
              <w:rPr>
                <w:rFonts w:ascii="Times New Roman" w:eastAsia="Times New Roman" w:hAnsi="Times New Roman" w:cs="Times New Roman"/>
              </w:rPr>
              <w:t>ELAB × PDP</w:t>
            </w:r>
          </w:p>
        </w:tc>
        <w:tc>
          <w:tcPr>
            <w:tcW w:w="1925" w:type="dxa"/>
            <w:tcBorders>
              <w:top w:val="nil"/>
              <w:left w:val="nil"/>
              <w:bottom w:val="single" w:sz="4" w:space="0" w:color="000000"/>
              <w:right w:val="single" w:sz="4" w:space="0" w:color="000000"/>
            </w:tcBorders>
            <w:tcMar>
              <w:top w:w="100" w:type="dxa"/>
              <w:left w:w="100" w:type="dxa"/>
              <w:bottom w:w="100" w:type="dxa"/>
              <w:right w:w="100" w:type="dxa"/>
            </w:tcMar>
          </w:tcPr>
          <w:p w14:paraId="28AB0F77"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Gungsuh" w:hAnsi="Times New Roman" w:cs="Times New Roman"/>
              </w:rPr>
              <w:t>−0.010</w:t>
            </w:r>
          </w:p>
        </w:tc>
        <w:tc>
          <w:tcPr>
            <w:tcW w:w="1011" w:type="dxa"/>
            <w:tcBorders>
              <w:top w:val="nil"/>
              <w:left w:val="nil"/>
              <w:bottom w:val="single" w:sz="4" w:space="0" w:color="000000"/>
              <w:right w:val="single" w:sz="4" w:space="0" w:color="000000"/>
            </w:tcBorders>
            <w:tcMar>
              <w:top w:w="100" w:type="dxa"/>
              <w:left w:w="100" w:type="dxa"/>
              <w:bottom w:w="100" w:type="dxa"/>
              <w:right w:w="100" w:type="dxa"/>
            </w:tcMar>
          </w:tcPr>
          <w:p w14:paraId="457D0EAA"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0.043</w:t>
            </w:r>
          </w:p>
        </w:tc>
        <w:tc>
          <w:tcPr>
            <w:tcW w:w="1078" w:type="dxa"/>
            <w:tcBorders>
              <w:top w:val="nil"/>
              <w:left w:val="nil"/>
              <w:bottom w:val="single" w:sz="4" w:space="0" w:color="000000"/>
              <w:right w:val="single" w:sz="4" w:space="0" w:color="000000"/>
            </w:tcBorders>
            <w:tcMar>
              <w:top w:w="100" w:type="dxa"/>
              <w:left w:w="100" w:type="dxa"/>
              <w:bottom w:w="100" w:type="dxa"/>
              <w:right w:w="100" w:type="dxa"/>
            </w:tcMar>
          </w:tcPr>
          <w:p w14:paraId="69A85FB4"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Gungsuh" w:hAnsi="Times New Roman" w:cs="Times New Roman"/>
              </w:rPr>
              <w:t>−0.229</w:t>
            </w:r>
          </w:p>
        </w:tc>
        <w:tc>
          <w:tcPr>
            <w:tcW w:w="1105" w:type="dxa"/>
            <w:tcBorders>
              <w:top w:val="nil"/>
              <w:left w:val="nil"/>
              <w:bottom w:val="single" w:sz="4" w:space="0" w:color="000000"/>
              <w:right w:val="single" w:sz="4" w:space="0" w:color="000000"/>
            </w:tcBorders>
            <w:tcMar>
              <w:top w:w="100" w:type="dxa"/>
              <w:left w:w="100" w:type="dxa"/>
              <w:bottom w:w="100" w:type="dxa"/>
              <w:right w:w="100" w:type="dxa"/>
            </w:tcMar>
          </w:tcPr>
          <w:p w14:paraId="7B6C7552"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0.818</w:t>
            </w:r>
          </w:p>
        </w:tc>
        <w:tc>
          <w:tcPr>
            <w:tcW w:w="1629" w:type="dxa"/>
            <w:tcBorders>
              <w:top w:val="nil"/>
              <w:left w:val="nil"/>
              <w:bottom w:val="single" w:sz="4" w:space="0" w:color="000000"/>
              <w:right w:val="single" w:sz="4" w:space="0" w:color="000000"/>
            </w:tcBorders>
            <w:tcMar>
              <w:top w:w="100" w:type="dxa"/>
              <w:left w:w="100" w:type="dxa"/>
              <w:bottom w:w="100" w:type="dxa"/>
              <w:right w:w="100" w:type="dxa"/>
            </w:tcMar>
          </w:tcPr>
          <w:p w14:paraId="0ADDD170" w14:textId="77777777" w:rsidR="000E1B01" w:rsidRPr="00913738" w:rsidRDefault="00000000">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w:t>
            </w:r>
          </w:p>
        </w:tc>
      </w:tr>
    </w:tbl>
    <w:p w14:paraId="1202E6C6" w14:textId="77777777" w:rsidR="000E1B01" w:rsidRPr="00913738" w:rsidRDefault="000E1B01">
      <w:pPr>
        <w:jc w:val="both"/>
        <w:rPr>
          <w:rFonts w:ascii="Times New Roman" w:eastAsia="Times New Roman" w:hAnsi="Times New Roman" w:cs="Times New Roman"/>
        </w:rPr>
      </w:pPr>
    </w:p>
    <w:p w14:paraId="145BFDE5" w14:textId="77777777" w:rsidR="000E1B01" w:rsidRDefault="00000000">
      <w:pPr>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4.2 Qualitative Results</w:t>
      </w:r>
    </w:p>
    <w:p w14:paraId="2827E401"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Analysis of the open-ended responses identified three recurring dimensions shaping learners’ evaluations of the model texts: academic authority, argumentative manageability, and reader guidance. Participants frequently associated academic quality with evidence-based reasoning, formal language, and logical organization.</w:t>
      </w:r>
    </w:p>
    <w:p w14:paraId="0F846805" w14:textId="49E23C8F" w:rsidR="00913738" w:rsidRPr="0047324F" w:rsidRDefault="00000000" w:rsidP="0047324F">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Distinct perceptual profiles emerged across the three text conditions. Text 1 was commonly described as formal and objective but relatively distant. Text 2 was viewed as the most accessible, with participants highlighting explicit transitions, reader-oriented guidance, and clear argumentative structure. Text 3 was perceived as academically sophisticated but also more demanding due to its implicit rhetorical features and greater discourse complexity</w:t>
      </w:r>
      <w:r w:rsidR="0047324F">
        <w:rPr>
          <w:rFonts w:ascii="Times New Roman" w:eastAsia="Times New Roman" w:hAnsi="Times New Roman" w:cs="Times New Roman"/>
          <w:sz w:val="24"/>
          <w:szCs w:val="24"/>
          <w:lang w:val="en-US"/>
        </w:rPr>
        <w:t xml:space="preserve"> </w:t>
      </w:r>
      <w:r w:rsidR="0047324F" w:rsidRPr="0047324F">
        <w:rPr>
          <w:rFonts w:ascii="Times New Roman" w:eastAsia="Times New Roman" w:hAnsi="Times New Roman" w:cs="Times New Roman"/>
          <w:sz w:val="24"/>
          <w:szCs w:val="24"/>
          <w:lang w:val="en-US"/>
        </w:rPr>
        <w:t>(Table 2)</w:t>
      </w:r>
      <w:r w:rsidR="0047324F">
        <w:rPr>
          <w:rFonts w:ascii="Times New Roman" w:eastAsia="Times New Roman" w:hAnsi="Times New Roman" w:cs="Times New Roman"/>
          <w:sz w:val="24"/>
          <w:szCs w:val="24"/>
          <w:lang w:val="en-US"/>
        </w:rPr>
        <w:t>.</w:t>
      </w:r>
    </w:p>
    <w:p w14:paraId="75858105" w14:textId="77777777" w:rsidR="00913738" w:rsidRDefault="00913738">
      <w:pPr>
        <w:jc w:val="both"/>
        <w:rPr>
          <w:rFonts w:ascii="Times New Roman" w:eastAsia="Times New Roman" w:hAnsi="Times New Roman" w:cs="Times New Roman"/>
          <w:i/>
          <w:iCs/>
          <w:sz w:val="24"/>
          <w:szCs w:val="24"/>
          <w:lang w:val="en-US"/>
        </w:rPr>
      </w:pPr>
    </w:p>
    <w:p w14:paraId="0C1D7747" w14:textId="77777777" w:rsidR="00913738" w:rsidRDefault="00913738">
      <w:pPr>
        <w:jc w:val="both"/>
        <w:rPr>
          <w:rFonts w:ascii="Times New Roman" w:eastAsia="Times New Roman" w:hAnsi="Times New Roman" w:cs="Times New Roman"/>
          <w:i/>
          <w:iCs/>
          <w:sz w:val="24"/>
          <w:szCs w:val="24"/>
          <w:lang w:val="en-US"/>
        </w:rPr>
      </w:pPr>
    </w:p>
    <w:p w14:paraId="76931192" w14:textId="77777777" w:rsidR="00913738" w:rsidRDefault="00913738">
      <w:pPr>
        <w:jc w:val="both"/>
        <w:rPr>
          <w:rFonts w:ascii="Times New Roman" w:eastAsia="Times New Roman" w:hAnsi="Times New Roman" w:cs="Times New Roman"/>
          <w:i/>
          <w:iCs/>
          <w:sz w:val="24"/>
          <w:szCs w:val="24"/>
          <w:lang w:val="en-US"/>
        </w:rPr>
      </w:pPr>
    </w:p>
    <w:p w14:paraId="004CD0ED" w14:textId="77777777" w:rsidR="00913738" w:rsidRDefault="00913738">
      <w:pPr>
        <w:jc w:val="both"/>
        <w:rPr>
          <w:rFonts w:ascii="Times New Roman" w:eastAsia="Times New Roman" w:hAnsi="Times New Roman" w:cs="Times New Roman"/>
          <w:i/>
          <w:iCs/>
          <w:sz w:val="24"/>
          <w:szCs w:val="24"/>
          <w:lang w:val="en-US"/>
        </w:rPr>
      </w:pPr>
    </w:p>
    <w:p w14:paraId="46AA4FD2" w14:textId="77777777" w:rsidR="00913738" w:rsidRDefault="00913738">
      <w:pPr>
        <w:jc w:val="both"/>
        <w:rPr>
          <w:rFonts w:ascii="Times New Roman" w:eastAsia="Times New Roman" w:hAnsi="Times New Roman" w:cs="Times New Roman"/>
          <w:i/>
          <w:iCs/>
          <w:sz w:val="24"/>
          <w:szCs w:val="24"/>
          <w:lang w:val="en-US"/>
        </w:rPr>
      </w:pPr>
    </w:p>
    <w:p w14:paraId="3748B5D3" w14:textId="77777777" w:rsidR="00913738" w:rsidRDefault="00913738">
      <w:pPr>
        <w:jc w:val="both"/>
        <w:rPr>
          <w:rFonts w:ascii="Times New Roman" w:eastAsia="Times New Roman" w:hAnsi="Times New Roman" w:cs="Times New Roman"/>
          <w:i/>
          <w:iCs/>
          <w:sz w:val="24"/>
          <w:szCs w:val="24"/>
          <w:lang w:val="en-US"/>
        </w:rPr>
      </w:pPr>
    </w:p>
    <w:p w14:paraId="348C4B6C" w14:textId="77777777" w:rsidR="00913738" w:rsidRDefault="00913738">
      <w:pPr>
        <w:jc w:val="both"/>
        <w:rPr>
          <w:rFonts w:ascii="Times New Roman" w:eastAsia="Times New Roman" w:hAnsi="Times New Roman" w:cs="Times New Roman"/>
          <w:i/>
          <w:iCs/>
          <w:sz w:val="24"/>
          <w:szCs w:val="24"/>
          <w:lang w:val="en-US"/>
        </w:rPr>
      </w:pPr>
    </w:p>
    <w:p w14:paraId="5AB13712" w14:textId="77777777" w:rsidR="0047324F" w:rsidRDefault="0047324F">
      <w:pPr>
        <w:jc w:val="both"/>
        <w:rPr>
          <w:rFonts w:ascii="Times New Roman" w:eastAsia="Times New Roman" w:hAnsi="Times New Roman" w:cs="Times New Roman"/>
          <w:i/>
          <w:iCs/>
          <w:sz w:val="24"/>
          <w:szCs w:val="24"/>
          <w:lang w:val="en-US"/>
        </w:rPr>
      </w:pPr>
    </w:p>
    <w:p w14:paraId="0F1F0DC9" w14:textId="073A17D7" w:rsidR="000E1B01" w:rsidRDefault="00000000">
      <w:pPr>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lastRenderedPageBreak/>
        <w:t>Table 2. Qualitative Profiles Across Conditions</w:t>
      </w:r>
    </w:p>
    <w:p w14:paraId="35609DC7" w14:textId="77777777" w:rsidR="000E1B01" w:rsidRDefault="000E1B01">
      <w:pPr>
        <w:jc w:val="both"/>
        <w:rPr>
          <w:rFonts w:ascii="Times New Roman" w:eastAsia="Times New Roman" w:hAnsi="Times New Roman" w:cs="Times New Roman"/>
          <w:sz w:val="24"/>
          <w:szCs w:val="24"/>
        </w:rPr>
      </w:pPr>
    </w:p>
    <w:tbl>
      <w:tblPr>
        <w:tblStyle w:val="Style11"/>
        <w:tblW w:w="9025"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089"/>
        <w:gridCol w:w="2200"/>
        <w:gridCol w:w="2116"/>
        <w:gridCol w:w="2620"/>
      </w:tblGrid>
      <w:tr w:rsidR="000E1B01" w14:paraId="3EF822C0" w14:textId="77777777" w:rsidTr="00913738">
        <w:trPr>
          <w:trHeight w:val="254"/>
        </w:trPr>
        <w:tc>
          <w:tcPr>
            <w:tcW w:w="20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691B941" w14:textId="77777777" w:rsidR="000E1B01" w:rsidRPr="00913738" w:rsidRDefault="00000000" w:rsidP="00913738">
            <w:pPr>
              <w:spacing w:line="480" w:lineRule="auto"/>
              <w:jc w:val="center"/>
              <w:rPr>
                <w:rFonts w:ascii="Times New Roman" w:eastAsia="Times New Roman" w:hAnsi="Times New Roman" w:cs="Times New Roman"/>
                <w:b/>
                <w:bCs/>
              </w:rPr>
            </w:pPr>
            <w:r w:rsidRPr="00913738">
              <w:rPr>
                <w:rFonts w:ascii="Times New Roman" w:eastAsia="Times New Roman" w:hAnsi="Times New Roman" w:cs="Times New Roman"/>
                <w:b/>
                <w:bCs/>
              </w:rPr>
              <w:t>Dimension</w:t>
            </w:r>
          </w:p>
        </w:tc>
        <w:tc>
          <w:tcPr>
            <w:tcW w:w="220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2F7CC3E9" w14:textId="77777777" w:rsidR="000E1B01" w:rsidRPr="00913738" w:rsidRDefault="00000000" w:rsidP="00913738">
            <w:pPr>
              <w:spacing w:line="480" w:lineRule="auto"/>
              <w:jc w:val="center"/>
              <w:rPr>
                <w:rFonts w:ascii="Times New Roman" w:eastAsia="Times New Roman" w:hAnsi="Times New Roman" w:cs="Times New Roman"/>
                <w:b/>
                <w:bCs/>
              </w:rPr>
            </w:pPr>
            <w:r w:rsidRPr="00913738">
              <w:rPr>
                <w:rFonts w:ascii="Times New Roman" w:eastAsia="Times New Roman" w:hAnsi="Times New Roman" w:cs="Times New Roman"/>
                <w:b/>
                <w:bCs/>
              </w:rPr>
              <w:t>Text 1</w:t>
            </w:r>
          </w:p>
        </w:tc>
        <w:tc>
          <w:tcPr>
            <w:tcW w:w="2116"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60749E8E" w14:textId="77777777" w:rsidR="000E1B01" w:rsidRPr="00913738" w:rsidRDefault="00000000" w:rsidP="00913738">
            <w:pPr>
              <w:spacing w:line="480" w:lineRule="auto"/>
              <w:jc w:val="center"/>
              <w:rPr>
                <w:rFonts w:ascii="Times New Roman" w:eastAsia="Times New Roman" w:hAnsi="Times New Roman" w:cs="Times New Roman"/>
                <w:b/>
                <w:bCs/>
              </w:rPr>
            </w:pPr>
            <w:r w:rsidRPr="00913738">
              <w:rPr>
                <w:rFonts w:ascii="Times New Roman" w:eastAsia="Times New Roman" w:hAnsi="Times New Roman" w:cs="Times New Roman"/>
                <w:b/>
                <w:bCs/>
              </w:rPr>
              <w:t>Text 2</w:t>
            </w:r>
          </w:p>
        </w:tc>
        <w:tc>
          <w:tcPr>
            <w:tcW w:w="26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74F3906A" w14:textId="77777777" w:rsidR="000E1B01" w:rsidRPr="00913738" w:rsidRDefault="00000000" w:rsidP="00913738">
            <w:pPr>
              <w:spacing w:line="480" w:lineRule="auto"/>
              <w:jc w:val="center"/>
              <w:rPr>
                <w:rFonts w:ascii="Times New Roman" w:eastAsia="Times New Roman" w:hAnsi="Times New Roman" w:cs="Times New Roman"/>
                <w:b/>
                <w:bCs/>
              </w:rPr>
            </w:pPr>
            <w:r w:rsidRPr="00913738">
              <w:rPr>
                <w:rFonts w:ascii="Times New Roman" w:eastAsia="Times New Roman" w:hAnsi="Times New Roman" w:cs="Times New Roman"/>
                <w:b/>
                <w:bCs/>
              </w:rPr>
              <w:t>Text 3</w:t>
            </w:r>
          </w:p>
        </w:tc>
      </w:tr>
      <w:tr w:rsidR="000E1B01" w14:paraId="6C409329" w14:textId="77777777" w:rsidTr="00913738">
        <w:trPr>
          <w:trHeight w:val="751"/>
        </w:trPr>
        <w:tc>
          <w:tcPr>
            <w:tcW w:w="2088"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059FD7C"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Academic authority</w:t>
            </w:r>
          </w:p>
        </w:tc>
        <w:tc>
          <w:tcPr>
            <w:tcW w:w="2200" w:type="dxa"/>
            <w:tcBorders>
              <w:top w:val="nil"/>
              <w:left w:val="nil"/>
              <w:bottom w:val="single" w:sz="4" w:space="0" w:color="000000"/>
              <w:right w:val="single" w:sz="4" w:space="0" w:color="000000"/>
            </w:tcBorders>
            <w:tcMar>
              <w:top w:w="100" w:type="dxa"/>
              <w:left w:w="100" w:type="dxa"/>
              <w:bottom w:w="100" w:type="dxa"/>
              <w:right w:w="100" w:type="dxa"/>
            </w:tcMar>
          </w:tcPr>
          <w:p w14:paraId="275E60CE"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Formal, objective, impersonal</w:t>
            </w:r>
          </w:p>
        </w:tc>
        <w:tc>
          <w:tcPr>
            <w:tcW w:w="2116" w:type="dxa"/>
            <w:tcBorders>
              <w:top w:val="nil"/>
              <w:left w:val="nil"/>
              <w:bottom w:val="single" w:sz="4" w:space="0" w:color="000000"/>
              <w:right w:val="single" w:sz="4" w:space="0" w:color="000000"/>
            </w:tcBorders>
            <w:tcMar>
              <w:top w:w="100" w:type="dxa"/>
              <w:left w:w="100" w:type="dxa"/>
              <w:bottom w:w="100" w:type="dxa"/>
              <w:right w:w="100" w:type="dxa"/>
            </w:tcMar>
          </w:tcPr>
          <w:p w14:paraId="6AB481BF"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Formal but accessible</w:t>
            </w:r>
          </w:p>
        </w:tc>
        <w:tc>
          <w:tcPr>
            <w:tcW w:w="2620" w:type="dxa"/>
            <w:tcBorders>
              <w:top w:val="nil"/>
              <w:left w:val="nil"/>
              <w:bottom w:val="single" w:sz="4" w:space="0" w:color="000000"/>
              <w:right w:val="single" w:sz="4" w:space="0" w:color="000000"/>
            </w:tcBorders>
            <w:tcMar>
              <w:top w:w="100" w:type="dxa"/>
              <w:left w:w="100" w:type="dxa"/>
              <w:bottom w:w="100" w:type="dxa"/>
              <w:right w:w="100" w:type="dxa"/>
            </w:tcMar>
          </w:tcPr>
          <w:p w14:paraId="29E25E18"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Formal, sophisticated, abstract</w:t>
            </w:r>
          </w:p>
        </w:tc>
      </w:tr>
      <w:tr w:rsidR="000E1B01" w14:paraId="2F3A049C" w14:textId="77777777" w:rsidTr="00913738">
        <w:trPr>
          <w:trHeight w:val="811"/>
        </w:trPr>
        <w:tc>
          <w:tcPr>
            <w:tcW w:w="2088"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45A80F0"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Accessibility</w:t>
            </w:r>
          </w:p>
        </w:tc>
        <w:tc>
          <w:tcPr>
            <w:tcW w:w="2200" w:type="dxa"/>
            <w:tcBorders>
              <w:top w:val="nil"/>
              <w:left w:val="nil"/>
              <w:bottom w:val="single" w:sz="4" w:space="0" w:color="000000"/>
              <w:right w:val="single" w:sz="4" w:space="0" w:color="000000"/>
            </w:tcBorders>
            <w:tcMar>
              <w:top w:w="100" w:type="dxa"/>
              <w:left w:w="100" w:type="dxa"/>
              <w:bottom w:w="100" w:type="dxa"/>
              <w:right w:w="100" w:type="dxa"/>
            </w:tcMar>
          </w:tcPr>
          <w:p w14:paraId="1F11202D"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Moderate to low</w:t>
            </w:r>
          </w:p>
        </w:tc>
        <w:tc>
          <w:tcPr>
            <w:tcW w:w="2116" w:type="dxa"/>
            <w:tcBorders>
              <w:top w:val="nil"/>
              <w:left w:val="nil"/>
              <w:bottom w:val="single" w:sz="4" w:space="0" w:color="000000"/>
              <w:right w:val="single" w:sz="4" w:space="0" w:color="000000"/>
            </w:tcBorders>
            <w:tcMar>
              <w:top w:w="100" w:type="dxa"/>
              <w:left w:w="100" w:type="dxa"/>
              <w:bottom w:w="100" w:type="dxa"/>
              <w:right w:w="100" w:type="dxa"/>
            </w:tcMar>
          </w:tcPr>
          <w:p w14:paraId="6F0C1F88"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Highest accessibility</w:t>
            </w:r>
          </w:p>
        </w:tc>
        <w:tc>
          <w:tcPr>
            <w:tcW w:w="2620" w:type="dxa"/>
            <w:tcBorders>
              <w:top w:val="nil"/>
              <w:left w:val="nil"/>
              <w:bottom w:val="single" w:sz="4" w:space="0" w:color="000000"/>
              <w:right w:val="single" w:sz="4" w:space="0" w:color="000000"/>
            </w:tcBorders>
            <w:tcMar>
              <w:top w:w="100" w:type="dxa"/>
              <w:left w:w="100" w:type="dxa"/>
              <w:bottom w:w="100" w:type="dxa"/>
              <w:right w:w="100" w:type="dxa"/>
            </w:tcMar>
          </w:tcPr>
          <w:p w14:paraId="3F22A5A8"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Lower accessibility due to complexity</w:t>
            </w:r>
          </w:p>
        </w:tc>
      </w:tr>
      <w:tr w:rsidR="000E1B01" w14:paraId="5488A09F" w14:textId="77777777" w:rsidTr="00913738">
        <w:trPr>
          <w:trHeight w:val="869"/>
        </w:trPr>
        <w:tc>
          <w:tcPr>
            <w:tcW w:w="2088"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FCFA1B2"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Complexity</w:t>
            </w:r>
          </w:p>
        </w:tc>
        <w:tc>
          <w:tcPr>
            <w:tcW w:w="2200" w:type="dxa"/>
            <w:tcBorders>
              <w:top w:val="nil"/>
              <w:left w:val="nil"/>
              <w:bottom w:val="single" w:sz="4" w:space="0" w:color="000000"/>
              <w:right w:val="single" w:sz="4" w:space="0" w:color="000000"/>
            </w:tcBorders>
            <w:tcMar>
              <w:top w:w="100" w:type="dxa"/>
              <w:left w:w="100" w:type="dxa"/>
              <w:bottom w:w="100" w:type="dxa"/>
              <w:right w:w="100" w:type="dxa"/>
            </w:tcMar>
          </w:tcPr>
          <w:p w14:paraId="3B7B1F61"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Academic distance and density</w:t>
            </w:r>
          </w:p>
        </w:tc>
        <w:tc>
          <w:tcPr>
            <w:tcW w:w="2116" w:type="dxa"/>
            <w:tcBorders>
              <w:top w:val="nil"/>
              <w:left w:val="nil"/>
              <w:bottom w:val="single" w:sz="4" w:space="0" w:color="000000"/>
              <w:right w:val="single" w:sz="4" w:space="0" w:color="000000"/>
            </w:tcBorders>
            <w:tcMar>
              <w:top w:w="100" w:type="dxa"/>
              <w:left w:w="100" w:type="dxa"/>
              <w:bottom w:w="100" w:type="dxa"/>
              <w:right w:w="100" w:type="dxa"/>
            </w:tcMar>
          </w:tcPr>
          <w:p w14:paraId="7D6F8D6C"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Lowest complexity profile</w:t>
            </w:r>
          </w:p>
        </w:tc>
        <w:tc>
          <w:tcPr>
            <w:tcW w:w="2620" w:type="dxa"/>
            <w:tcBorders>
              <w:top w:val="nil"/>
              <w:left w:val="nil"/>
              <w:bottom w:val="single" w:sz="4" w:space="0" w:color="000000"/>
              <w:right w:val="single" w:sz="4" w:space="0" w:color="000000"/>
            </w:tcBorders>
            <w:tcMar>
              <w:top w:w="100" w:type="dxa"/>
              <w:left w:w="100" w:type="dxa"/>
              <w:bottom w:w="100" w:type="dxa"/>
              <w:right w:w="100" w:type="dxa"/>
            </w:tcMar>
          </w:tcPr>
          <w:p w14:paraId="3B91697C"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Highest complexity profile</w:t>
            </w:r>
          </w:p>
        </w:tc>
      </w:tr>
      <w:tr w:rsidR="000E1B01" w14:paraId="279A0041" w14:textId="77777777" w:rsidTr="00913738">
        <w:trPr>
          <w:trHeight w:val="802"/>
        </w:trPr>
        <w:tc>
          <w:tcPr>
            <w:tcW w:w="2088"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886E727"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Reader guidance</w:t>
            </w:r>
          </w:p>
        </w:tc>
        <w:tc>
          <w:tcPr>
            <w:tcW w:w="2200" w:type="dxa"/>
            <w:tcBorders>
              <w:top w:val="nil"/>
              <w:left w:val="nil"/>
              <w:bottom w:val="single" w:sz="4" w:space="0" w:color="000000"/>
              <w:right w:val="single" w:sz="4" w:space="0" w:color="000000"/>
            </w:tcBorders>
            <w:tcMar>
              <w:top w:w="100" w:type="dxa"/>
              <w:left w:w="100" w:type="dxa"/>
              <w:bottom w:w="100" w:type="dxa"/>
              <w:right w:w="100" w:type="dxa"/>
            </w:tcMar>
          </w:tcPr>
          <w:p w14:paraId="0A5E9285"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Mainly indirect structure</w:t>
            </w:r>
          </w:p>
        </w:tc>
        <w:tc>
          <w:tcPr>
            <w:tcW w:w="2116" w:type="dxa"/>
            <w:tcBorders>
              <w:top w:val="nil"/>
              <w:left w:val="nil"/>
              <w:bottom w:val="single" w:sz="4" w:space="0" w:color="000000"/>
              <w:right w:val="single" w:sz="4" w:space="0" w:color="000000"/>
            </w:tcBorders>
            <w:tcMar>
              <w:top w:w="100" w:type="dxa"/>
              <w:left w:w="100" w:type="dxa"/>
              <w:bottom w:w="100" w:type="dxa"/>
              <w:right w:w="100" w:type="dxa"/>
            </w:tcMar>
          </w:tcPr>
          <w:p w14:paraId="6927B980"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Explicit structure and visible stance</w:t>
            </w:r>
          </w:p>
        </w:tc>
        <w:tc>
          <w:tcPr>
            <w:tcW w:w="2620" w:type="dxa"/>
            <w:tcBorders>
              <w:top w:val="nil"/>
              <w:left w:val="nil"/>
              <w:bottom w:val="single" w:sz="4" w:space="0" w:color="000000"/>
              <w:right w:val="single" w:sz="4" w:space="0" w:color="000000"/>
            </w:tcBorders>
            <w:tcMar>
              <w:top w:w="100" w:type="dxa"/>
              <w:left w:w="100" w:type="dxa"/>
              <w:bottom w:w="100" w:type="dxa"/>
              <w:right w:w="100" w:type="dxa"/>
            </w:tcMar>
          </w:tcPr>
          <w:p w14:paraId="340464C1"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Structural guidance without direct address</w:t>
            </w:r>
          </w:p>
        </w:tc>
      </w:tr>
      <w:tr w:rsidR="000E1B01" w14:paraId="48E986FC" w14:textId="77777777" w:rsidTr="00913738">
        <w:trPr>
          <w:trHeight w:val="720"/>
        </w:trPr>
        <w:tc>
          <w:tcPr>
            <w:tcW w:w="2088"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A0883AC"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Engagement</w:t>
            </w:r>
          </w:p>
        </w:tc>
        <w:tc>
          <w:tcPr>
            <w:tcW w:w="2200" w:type="dxa"/>
            <w:tcBorders>
              <w:top w:val="nil"/>
              <w:left w:val="nil"/>
              <w:bottom w:val="single" w:sz="4" w:space="0" w:color="000000"/>
              <w:right w:val="single" w:sz="4" w:space="0" w:color="000000"/>
            </w:tcBorders>
            <w:tcMar>
              <w:top w:w="100" w:type="dxa"/>
              <w:left w:w="100" w:type="dxa"/>
              <w:bottom w:w="100" w:type="dxa"/>
              <w:right w:w="100" w:type="dxa"/>
            </w:tcMar>
          </w:tcPr>
          <w:p w14:paraId="13B030F5"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Limited direct engagement</w:t>
            </w:r>
          </w:p>
        </w:tc>
        <w:tc>
          <w:tcPr>
            <w:tcW w:w="2116" w:type="dxa"/>
            <w:tcBorders>
              <w:top w:val="nil"/>
              <w:left w:val="nil"/>
              <w:bottom w:val="single" w:sz="4" w:space="0" w:color="000000"/>
              <w:right w:val="single" w:sz="4" w:space="0" w:color="000000"/>
            </w:tcBorders>
            <w:tcMar>
              <w:top w:w="100" w:type="dxa"/>
              <w:left w:w="100" w:type="dxa"/>
              <w:bottom w:w="100" w:type="dxa"/>
              <w:right w:w="100" w:type="dxa"/>
            </w:tcMar>
          </w:tcPr>
          <w:p w14:paraId="6952E7D1"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Most directly engaging</w:t>
            </w:r>
          </w:p>
        </w:tc>
        <w:tc>
          <w:tcPr>
            <w:tcW w:w="2620" w:type="dxa"/>
            <w:tcBorders>
              <w:top w:val="nil"/>
              <w:left w:val="nil"/>
              <w:bottom w:val="single" w:sz="4" w:space="0" w:color="000000"/>
              <w:right w:val="single" w:sz="4" w:space="0" w:color="000000"/>
            </w:tcBorders>
            <w:tcMar>
              <w:top w:w="100" w:type="dxa"/>
              <w:left w:w="100" w:type="dxa"/>
              <w:bottom w:w="100" w:type="dxa"/>
              <w:right w:w="100" w:type="dxa"/>
            </w:tcMar>
          </w:tcPr>
          <w:p w14:paraId="2C941B56"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Impersonal but rhetorically guided</w:t>
            </w:r>
          </w:p>
        </w:tc>
      </w:tr>
      <w:tr w:rsidR="000E1B01" w14:paraId="308E4ACF" w14:textId="77777777" w:rsidTr="00913738">
        <w:trPr>
          <w:trHeight w:val="780"/>
        </w:trPr>
        <w:tc>
          <w:tcPr>
            <w:tcW w:w="2088"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1EC5C18"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Overall profile</w:t>
            </w:r>
          </w:p>
        </w:tc>
        <w:tc>
          <w:tcPr>
            <w:tcW w:w="2200" w:type="dxa"/>
            <w:tcBorders>
              <w:top w:val="nil"/>
              <w:left w:val="nil"/>
              <w:bottom w:val="single" w:sz="4" w:space="0" w:color="000000"/>
              <w:right w:val="single" w:sz="4" w:space="0" w:color="000000"/>
            </w:tcBorders>
            <w:tcMar>
              <w:top w:w="100" w:type="dxa"/>
              <w:left w:w="100" w:type="dxa"/>
              <w:bottom w:w="100" w:type="dxa"/>
              <w:right w:w="100" w:type="dxa"/>
            </w:tcMar>
          </w:tcPr>
          <w:p w14:paraId="2395E9CD"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Academic distance</w:t>
            </w:r>
          </w:p>
        </w:tc>
        <w:tc>
          <w:tcPr>
            <w:tcW w:w="2116" w:type="dxa"/>
            <w:tcBorders>
              <w:top w:val="nil"/>
              <w:left w:val="nil"/>
              <w:bottom w:val="single" w:sz="4" w:space="0" w:color="000000"/>
              <w:right w:val="single" w:sz="4" w:space="0" w:color="000000"/>
            </w:tcBorders>
            <w:tcMar>
              <w:top w:w="100" w:type="dxa"/>
              <w:left w:w="100" w:type="dxa"/>
              <w:bottom w:w="100" w:type="dxa"/>
              <w:right w:w="100" w:type="dxa"/>
            </w:tcMar>
          </w:tcPr>
          <w:p w14:paraId="49371239"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Accessible instructional bridge</w:t>
            </w:r>
          </w:p>
        </w:tc>
        <w:tc>
          <w:tcPr>
            <w:tcW w:w="2620" w:type="dxa"/>
            <w:tcBorders>
              <w:top w:val="nil"/>
              <w:left w:val="nil"/>
              <w:bottom w:val="single" w:sz="4" w:space="0" w:color="000000"/>
              <w:right w:val="single" w:sz="4" w:space="0" w:color="000000"/>
            </w:tcBorders>
            <w:tcMar>
              <w:top w:w="100" w:type="dxa"/>
              <w:left w:w="100" w:type="dxa"/>
              <w:bottom w:w="100" w:type="dxa"/>
              <w:right w:w="100" w:type="dxa"/>
            </w:tcMar>
          </w:tcPr>
          <w:p w14:paraId="60C2E9C0"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Advanced academic sophistication</w:t>
            </w:r>
          </w:p>
        </w:tc>
      </w:tr>
    </w:tbl>
    <w:p w14:paraId="5DD8BBCB" w14:textId="77777777" w:rsidR="000E1B01" w:rsidRDefault="000E1B01">
      <w:pPr>
        <w:jc w:val="both"/>
        <w:rPr>
          <w:rFonts w:ascii="Times New Roman" w:eastAsia="Times New Roman" w:hAnsi="Times New Roman" w:cs="Times New Roman"/>
          <w:sz w:val="24"/>
          <w:szCs w:val="24"/>
        </w:rPr>
      </w:pPr>
    </w:p>
    <w:p w14:paraId="5EA9375B" w14:textId="77777777" w:rsidR="000E1B01" w:rsidRDefault="00000000">
      <w:pPr>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4.3 Integrated Results</w:t>
      </w:r>
    </w:p>
    <w:p w14:paraId="1CBD8B62"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quantitative and qualitative findings converged around the concept of discourse usability. Quantitative analyses demonstrated that perceived accessibility strongly predicted perceived uptake, while qualitative responses revealed that learners consistently evaluated texts in terms of their usability rather than simply their academic quality.</w:t>
      </w:r>
    </w:p>
    <w:p w14:paraId="2E98E29A" w14:textId="7C94FE83"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Text 2 emerged as the most positively evaluated condition because it balanced academic credibility with accessibility. Across both data sources, learners appeared more willing to adopt discourse resources when those resources were visible, understandable, and manageable</w:t>
      </w:r>
      <w:r w:rsidR="0047324F">
        <w:rPr>
          <w:rFonts w:ascii="Times New Roman" w:eastAsia="Times New Roman" w:hAnsi="Times New Roman" w:cs="Times New Roman"/>
          <w:sz w:val="24"/>
          <w:szCs w:val="24"/>
          <w:lang w:val="en-US"/>
        </w:rPr>
        <w:t xml:space="preserve"> (Table 3)</w:t>
      </w:r>
      <w:r>
        <w:rPr>
          <w:rFonts w:ascii="Times New Roman" w:eastAsia="Times New Roman" w:hAnsi="Times New Roman" w:cs="Times New Roman"/>
          <w:sz w:val="24"/>
          <w:szCs w:val="24"/>
        </w:rPr>
        <w:t>.</w:t>
      </w:r>
    </w:p>
    <w:p w14:paraId="3A3A0A08" w14:textId="77777777" w:rsidR="000E1B01" w:rsidRDefault="000E1B01">
      <w:pPr>
        <w:jc w:val="both"/>
        <w:rPr>
          <w:rFonts w:ascii="Times New Roman" w:eastAsia="Times New Roman" w:hAnsi="Times New Roman" w:cs="Times New Roman"/>
          <w:sz w:val="24"/>
          <w:szCs w:val="24"/>
        </w:rPr>
      </w:pPr>
    </w:p>
    <w:p w14:paraId="0D8DA783" w14:textId="77777777" w:rsidR="00913738" w:rsidRDefault="00913738">
      <w:pPr>
        <w:jc w:val="both"/>
        <w:rPr>
          <w:rFonts w:ascii="Times New Roman" w:eastAsia="Times New Roman" w:hAnsi="Times New Roman" w:cs="Times New Roman"/>
          <w:i/>
          <w:iCs/>
          <w:sz w:val="24"/>
          <w:szCs w:val="24"/>
          <w:lang w:val="en-US"/>
        </w:rPr>
      </w:pPr>
    </w:p>
    <w:p w14:paraId="12B04C35" w14:textId="77777777" w:rsidR="00913738" w:rsidRDefault="00913738">
      <w:pPr>
        <w:jc w:val="both"/>
        <w:rPr>
          <w:rFonts w:ascii="Times New Roman" w:eastAsia="Times New Roman" w:hAnsi="Times New Roman" w:cs="Times New Roman"/>
          <w:i/>
          <w:iCs/>
          <w:sz w:val="24"/>
          <w:szCs w:val="24"/>
          <w:lang w:val="en-US"/>
        </w:rPr>
      </w:pPr>
    </w:p>
    <w:p w14:paraId="0A06BD6E" w14:textId="77777777" w:rsidR="00913738" w:rsidRDefault="00913738">
      <w:pPr>
        <w:jc w:val="both"/>
        <w:rPr>
          <w:rFonts w:ascii="Times New Roman" w:eastAsia="Times New Roman" w:hAnsi="Times New Roman" w:cs="Times New Roman"/>
          <w:i/>
          <w:iCs/>
          <w:sz w:val="24"/>
          <w:szCs w:val="24"/>
          <w:lang w:val="en-US"/>
        </w:rPr>
      </w:pPr>
    </w:p>
    <w:p w14:paraId="247F7E21" w14:textId="77777777" w:rsidR="00913738" w:rsidRDefault="00913738">
      <w:pPr>
        <w:jc w:val="both"/>
        <w:rPr>
          <w:rFonts w:ascii="Times New Roman" w:eastAsia="Times New Roman" w:hAnsi="Times New Roman" w:cs="Times New Roman"/>
          <w:i/>
          <w:iCs/>
          <w:sz w:val="24"/>
          <w:szCs w:val="24"/>
          <w:lang w:val="en-US"/>
        </w:rPr>
      </w:pPr>
    </w:p>
    <w:p w14:paraId="5D897356" w14:textId="77777777" w:rsidR="00913738" w:rsidRDefault="00913738">
      <w:pPr>
        <w:jc w:val="both"/>
        <w:rPr>
          <w:rFonts w:ascii="Times New Roman" w:eastAsia="Times New Roman" w:hAnsi="Times New Roman" w:cs="Times New Roman"/>
          <w:i/>
          <w:iCs/>
          <w:sz w:val="24"/>
          <w:szCs w:val="24"/>
          <w:lang w:val="en-US"/>
        </w:rPr>
      </w:pPr>
    </w:p>
    <w:p w14:paraId="5F9FB7CF" w14:textId="4A1688C3" w:rsidR="000E1B01" w:rsidRDefault="00000000">
      <w:pPr>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lastRenderedPageBreak/>
        <w:t>Table 3. Integrated Findings</w:t>
      </w:r>
    </w:p>
    <w:p w14:paraId="0D5B776A" w14:textId="77777777" w:rsidR="000E1B01" w:rsidRDefault="000E1B01">
      <w:pPr>
        <w:jc w:val="both"/>
        <w:rPr>
          <w:rFonts w:ascii="Times New Roman" w:eastAsia="Times New Roman" w:hAnsi="Times New Roman" w:cs="Times New Roman"/>
          <w:sz w:val="24"/>
          <w:szCs w:val="24"/>
        </w:rPr>
      </w:pPr>
    </w:p>
    <w:tbl>
      <w:tblPr>
        <w:tblStyle w:val="Style12"/>
        <w:tblW w:w="9025"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523"/>
        <w:gridCol w:w="3151"/>
        <w:gridCol w:w="3351"/>
      </w:tblGrid>
      <w:tr w:rsidR="000E1B01" w:rsidRPr="00913738" w14:paraId="25AC9F83" w14:textId="77777777" w:rsidTr="00913738">
        <w:trPr>
          <w:trHeight w:val="821"/>
        </w:trPr>
        <w:tc>
          <w:tcPr>
            <w:tcW w:w="25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00D09D" w14:textId="77777777" w:rsidR="000E1B01" w:rsidRPr="00913738" w:rsidRDefault="00000000">
            <w:pPr>
              <w:spacing w:line="480" w:lineRule="auto"/>
              <w:jc w:val="center"/>
              <w:rPr>
                <w:rFonts w:ascii="Times New Roman" w:eastAsia="Times New Roman" w:hAnsi="Times New Roman" w:cs="Times New Roman"/>
                <w:b/>
                <w:bCs/>
              </w:rPr>
            </w:pPr>
            <w:r w:rsidRPr="00913738">
              <w:rPr>
                <w:rFonts w:ascii="Times New Roman" w:eastAsia="Times New Roman" w:hAnsi="Times New Roman" w:cs="Times New Roman"/>
                <w:b/>
                <w:bCs/>
              </w:rPr>
              <w:t>Data source</w:t>
            </w:r>
          </w:p>
        </w:tc>
        <w:tc>
          <w:tcPr>
            <w:tcW w:w="3151"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7F4FC5DD" w14:textId="77777777" w:rsidR="000E1B01" w:rsidRPr="00913738" w:rsidRDefault="00000000">
            <w:pPr>
              <w:spacing w:line="480" w:lineRule="auto"/>
              <w:jc w:val="center"/>
              <w:rPr>
                <w:rFonts w:ascii="Times New Roman" w:eastAsia="Times New Roman" w:hAnsi="Times New Roman" w:cs="Times New Roman"/>
                <w:b/>
                <w:bCs/>
              </w:rPr>
            </w:pPr>
            <w:r w:rsidRPr="00913738">
              <w:rPr>
                <w:rFonts w:ascii="Times New Roman" w:eastAsia="Times New Roman" w:hAnsi="Times New Roman" w:cs="Times New Roman"/>
                <w:b/>
                <w:bCs/>
              </w:rPr>
              <w:t>Main finding</w:t>
            </w:r>
          </w:p>
        </w:tc>
        <w:tc>
          <w:tcPr>
            <w:tcW w:w="3351"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32669D48" w14:textId="77777777" w:rsidR="000E1B01" w:rsidRPr="00913738" w:rsidRDefault="00000000">
            <w:pPr>
              <w:spacing w:line="480" w:lineRule="auto"/>
              <w:jc w:val="center"/>
              <w:rPr>
                <w:rFonts w:ascii="Times New Roman" w:eastAsia="Times New Roman" w:hAnsi="Times New Roman" w:cs="Times New Roman"/>
                <w:b/>
                <w:bCs/>
              </w:rPr>
            </w:pPr>
            <w:r w:rsidRPr="00913738">
              <w:rPr>
                <w:rFonts w:ascii="Times New Roman" w:eastAsia="Times New Roman" w:hAnsi="Times New Roman" w:cs="Times New Roman"/>
                <w:b/>
                <w:bCs/>
              </w:rPr>
              <w:t>Interpretation for perceived uptake</w:t>
            </w:r>
          </w:p>
        </w:tc>
      </w:tr>
      <w:tr w:rsidR="000E1B01" w:rsidRPr="00913738" w14:paraId="3A30B576" w14:textId="77777777" w:rsidTr="00913738">
        <w:trPr>
          <w:trHeight w:val="1301"/>
        </w:trPr>
        <w:tc>
          <w:tcPr>
            <w:tcW w:w="2522"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A701B96"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Measurement model</w:t>
            </w:r>
          </w:p>
        </w:tc>
        <w:tc>
          <w:tcPr>
            <w:tcW w:w="3151" w:type="dxa"/>
            <w:tcBorders>
              <w:top w:val="nil"/>
              <w:left w:val="nil"/>
              <w:bottom w:val="single" w:sz="4" w:space="0" w:color="000000"/>
              <w:right w:val="single" w:sz="4" w:space="0" w:color="000000"/>
            </w:tcBorders>
            <w:tcMar>
              <w:top w:w="100" w:type="dxa"/>
              <w:left w:w="100" w:type="dxa"/>
              <w:bottom w:w="100" w:type="dxa"/>
              <w:right w:w="100" w:type="dxa"/>
            </w:tcMar>
          </w:tcPr>
          <w:p w14:paraId="69DF2FC4"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Marginal fit: χ²/df = 2.129, RMSEA = 0.077, CFI = 0.820, SRMR = 0.087</w:t>
            </w:r>
          </w:p>
        </w:tc>
        <w:tc>
          <w:tcPr>
            <w:tcW w:w="3351" w:type="dxa"/>
            <w:tcBorders>
              <w:top w:val="nil"/>
              <w:left w:val="nil"/>
              <w:bottom w:val="single" w:sz="4" w:space="0" w:color="000000"/>
              <w:right w:val="single" w:sz="4" w:space="0" w:color="000000"/>
            </w:tcBorders>
            <w:tcMar>
              <w:top w:w="100" w:type="dxa"/>
              <w:left w:w="100" w:type="dxa"/>
              <w:bottom w:w="100" w:type="dxa"/>
              <w:right w:w="100" w:type="dxa"/>
            </w:tcMar>
          </w:tcPr>
          <w:p w14:paraId="32387015"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Constructs were interpreted as observed composites.</w:t>
            </w:r>
          </w:p>
        </w:tc>
      </w:tr>
      <w:tr w:rsidR="000E1B01" w:rsidRPr="00913738" w14:paraId="35F3050F" w14:textId="77777777" w:rsidTr="00913738">
        <w:trPr>
          <w:trHeight w:val="716"/>
        </w:trPr>
        <w:tc>
          <w:tcPr>
            <w:tcW w:w="2522"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9AE55EB"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Quantitative model</w:t>
            </w:r>
          </w:p>
        </w:tc>
        <w:tc>
          <w:tcPr>
            <w:tcW w:w="3151" w:type="dxa"/>
            <w:tcBorders>
              <w:top w:val="nil"/>
              <w:left w:val="nil"/>
              <w:bottom w:val="single" w:sz="4" w:space="0" w:color="000000"/>
              <w:right w:val="single" w:sz="4" w:space="0" w:color="000000"/>
            </w:tcBorders>
            <w:tcMar>
              <w:top w:w="100" w:type="dxa"/>
              <w:left w:w="100" w:type="dxa"/>
              <w:bottom w:w="100" w:type="dxa"/>
              <w:right w:w="100" w:type="dxa"/>
            </w:tcMar>
          </w:tcPr>
          <w:p w14:paraId="30230159"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Text positively predicted PMU, b = 0.473, p &lt; 0.001</w:t>
            </w:r>
          </w:p>
        </w:tc>
        <w:tc>
          <w:tcPr>
            <w:tcW w:w="3351" w:type="dxa"/>
            <w:tcBorders>
              <w:top w:val="nil"/>
              <w:left w:val="nil"/>
              <w:bottom w:val="single" w:sz="4" w:space="0" w:color="000000"/>
              <w:right w:val="single" w:sz="4" w:space="0" w:color="000000"/>
            </w:tcBorders>
            <w:tcMar>
              <w:top w:w="100" w:type="dxa"/>
              <w:left w:w="100" w:type="dxa"/>
              <w:bottom w:w="100" w:type="dxa"/>
              <w:right w:w="100" w:type="dxa"/>
            </w:tcMar>
          </w:tcPr>
          <w:p w14:paraId="49F7793D"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Model-text condition was associated with perceived uptake.</w:t>
            </w:r>
          </w:p>
        </w:tc>
      </w:tr>
      <w:tr w:rsidR="000E1B01" w:rsidRPr="00913738" w14:paraId="08DC71A1" w14:textId="77777777" w:rsidTr="00913738">
        <w:trPr>
          <w:trHeight w:val="790"/>
        </w:trPr>
        <w:tc>
          <w:tcPr>
            <w:tcW w:w="2522"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715D981"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Quantitative model</w:t>
            </w:r>
          </w:p>
        </w:tc>
        <w:tc>
          <w:tcPr>
            <w:tcW w:w="3151" w:type="dxa"/>
            <w:tcBorders>
              <w:top w:val="nil"/>
              <w:left w:val="nil"/>
              <w:bottom w:val="single" w:sz="4" w:space="0" w:color="000000"/>
              <w:right w:val="single" w:sz="4" w:space="0" w:color="000000"/>
            </w:tcBorders>
            <w:tcMar>
              <w:top w:w="100" w:type="dxa"/>
              <w:left w:w="100" w:type="dxa"/>
              <w:bottom w:w="100" w:type="dxa"/>
              <w:right w:w="100" w:type="dxa"/>
            </w:tcMar>
          </w:tcPr>
          <w:p w14:paraId="2C460786"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PDP positively predicted PMU, b = 0.486, p &lt; 0.001</w:t>
            </w:r>
          </w:p>
        </w:tc>
        <w:tc>
          <w:tcPr>
            <w:tcW w:w="3351" w:type="dxa"/>
            <w:tcBorders>
              <w:top w:val="nil"/>
              <w:left w:val="nil"/>
              <w:bottom w:val="single" w:sz="4" w:space="0" w:color="000000"/>
              <w:right w:val="single" w:sz="4" w:space="0" w:color="000000"/>
            </w:tcBorders>
            <w:tcMar>
              <w:top w:w="100" w:type="dxa"/>
              <w:left w:w="100" w:type="dxa"/>
              <w:bottom w:w="100" w:type="dxa"/>
              <w:right w:w="100" w:type="dxa"/>
            </w:tcMar>
          </w:tcPr>
          <w:p w14:paraId="159B7B78"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Discourse access was central to perceived uptake.</w:t>
            </w:r>
          </w:p>
        </w:tc>
      </w:tr>
      <w:tr w:rsidR="000E1B01" w:rsidRPr="00913738" w14:paraId="4351ECC7" w14:textId="77777777" w:rsidTr="00913738">
        <w:trPr>
          <w:trHeight w:val="1275"/>
        </w:trPr>
        <w:tc>
          <w:tcPr>
            <w:tcW w:w="2522"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BFFE876"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Quantitative model</w:t>
            </w:r>
          </w:p>
        </w:tc>
        <w:tc>
          <w:tcPr>
            <w:tcW w:w="3151" w:type="dxa"/>
            <w:tcBorders>
              <w:top w:val="nil"/>
              <w:left w:val="nil"/>
              <w:bottom w:val="single" w:sz="4" w:space="0" w:color="000000"/>
              <w:right w:val="single" w:sz="4" w:space="0" w:color="000000"/>
            </w:tcBorders>
            <w:tcMar>
              <w:top w:w="100" w:type="dxa"/>
              <w:left w:w="100" w:type="dxa"/>
              <w:bottom w:w="100" w:type="dxa"/>
              <w:right w:w="100" w:type="dxa"/>
            </w:tcMar>
          </w:tcPr>
          <w:p w14:paraId="7385A878"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Gungsuh" w:hAnsi="Times New Roman" w:cs="Times New Roman"/>
              </w:rPr>
              <w:t>ELAB negatively predicted PMU, b = −0.451, p &lt; 0.001</w:t>
            </w:r>
          </w:p>
        </w:tc>
        <w:tc>
          <w:tcPr>
            <w:tcW w:w="3351" w:type="dxa"/>
            <w:tcBorders>
              <w:top w:val="nil"/>
              <w:left w:val="nil"/>
              <w:bottom w:val="single" w:sz="4" w:space="0" w:color="000000"/>
              <w:right w:val="single" w:sz="4" w:space="0" w:color="000000"/>
            </w:tcBorders>
            <w:tcMar>
              <w:top w:w="100" w:type="dxa"/>
              <w:left w:w="100" w:type="dxa"/>
              <w:bottom w:w="100" w:type="dxa"/>
              <w:right w:w="100" w:type="dxa"/>
            </w:tcMar>
          </w:tcPr>
          <w:p w14:paraId="699CE6DF"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Reported elaboration indexed processing effort as well as engagement.</w:t>
            </w:r>
          </w:p>
        </w:tc>
      </w:tr>
      <w:tr w:rsidR="000E1B01" w:rsidRPr="00913738" w14:paraId="2F9A3E59" w14:textId="77777777" w:rsidTr="00913738">
        <w:trPr>
          <w:trHeight w:val="832"/>
        </w:trPr>
        <w:tc>
          <w:tcPr>
            <w:tcW w:w="2522"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8F55A1F"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Quantitative model</w:t>
            </w:r>
          </w:p>
        </w:tc>
        <w:tc>
          <w:tcPr>
            <w:tcW w:w="3151" w:type="dxa"/>
            <w:tcBorders>
              <w:top w:val="nil"/>
              <w:left w:val="nil"/>
              <w:bottom w:val="single" w:sz="4" w:space="0" w:color="000000"/>
              <w:right w:val="single" w:sz="4" w:space="0" w:color="000000"/>
            </w:tcBorders>
            <w:tcMar>
              <w:top w:w="100" w:type="dxa"/>
              <w:left w:w="100" w:type="dxa"/>
              <w:bottom w:w="100" w:type="dxa"/>
              <w:right w:w="100" w:type="dxa"/>
            </w:tcMar>
          </w:tcPr>
          <w:p w14:paraId="378F2A35"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Gungsuh" w:hAnsi="Times New Roman" w:cs="Times New Roman"/>
              </w:rPr>
              <w:t>Text × PDP was significant, b = −0.252, p &lt; 0.001</w:t>
            </w:r>
          </w:p>
        </w:tc>
        <w:tc>
          <w:tcPr>
            <w:tcW w:w="3351" w:type="dxa"/>
            <w:tcBorders>
              <w:top w:val="nil"/>
              <w:left w:val="nil"/>
              <w:bottom w:val="single" w:sz="4" w:space="0" w:color="000000"/>
              <w:right w:val="single" w:sz="4" w:space="0" w:color="000000"/>
            </w:tcBorders>
            <w:tcMar>
              <w:top w:w="100" w:type="dxa"/>
              <w:left w:w="100" w:type="dxa"/>
              <w:bottom w:w="100" w:type="dxa"/>
              <w:right w:w="100" w:type="dxa"/>
            </w:tcMar>
          </w:tcPr>
          <w:p w14:paraId="0A531005"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Text condition mattered less when PDP was high.</w:t>
            </w:r>
          </w:p>
        </w:tc>
      </w:tr>
      <w:tr w:rsidR="000E1B01" w:rsidRPr="00913738" w14:paraId="6FC0E592" w14:textId="77777777" w:rsidTr="00913738">
        <w:trPr>
          <w:trHeight w:val="892"/>
        </w:trPr>
        <w:tc>
          <w:tcPr>
            <w:tcW w:w="2522"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B56AE74"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Open-ended responses</w:t>
            </w:r>
          </w:p>
        </w:tc>
        <w:tc>
          <w:tcPr>
            <w:tcW w:w="3151" w:type="dxa"/>
            <w:tcBorders>
              <w:top w:val="nil"/>
              <w:left w:val="nil"/>
              <w:bottom w:val="single" w:sz="4" w:space="0" w:color="000000"/>
              <w:right w:val="single" w:sz="4" w:space="0" w:color="000000"/>
            </w:tcBorders>
            <w:tcMar>
              <w:top w:w="100" w:type="dxa"/>
              <w:left w:w="100" w:type="dxa"/>
              <w:bottom w:w="100" w:type="dxa"/>
              <w:right w:w="100" w:type="dxa"/>
            </w:tcMar>
          </w:tcPr>
          <w:p w14:paraId="576F74FA"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Text 1 was formal, neutral, and distant</w:t>
            </w:r>
          </w:p>
        </w:tc>
        <w:tc>
          <w:tcPr>
            <w:tcW w:w="3351" w:type="dxa"/>
            <w:tcBorders>
              <w:top w:val="nil"/>
              <w:left w:val="nil"/>
              <w:bottom w:val="single" w:sz="4" w:space="0" w:color="000000"/>
              <w:right w:val="single" w:sz="4" w:space="0" w:color="000000"/>
            </w:tcBorders>
            <w:tcMar>
              <w:top w:w="100" w:type="dxa"/>
              <w:left w:w="100" w:type="dxa"/>
              <w:bottom w:w="100" w:type="dxa"/>
              <w:right w:w="100" w:type="dxa"/>
            </w:tcMar>
          </w:tcPr>
          <w:p w14:paraId="69E776AE"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Academic authority was paired with lower perceived closeness.</w:t>
            </w:r>
          </w:p>
        </w:tc>
      </w:tr>
      <w:tr w:rsidR="000E1B01" w:rsidRPr="00913738" w14:paraId="38F61FF0" w14:textId="77777777" w:rsidTr="00913738">
        <w:trPr>
          <w:trHeight w:val="810"/>
        </w:trPr>
        <w:tc>
          <w:tcPr>
            <w:tcW w:w="2522"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634159D"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Open-ended responses</w:t>
            </w:r>
          </w:p>
        </w:tc>
        <w:tc>
          <w:tcPr>
            <w:tcW w:w="3151" w:type="dxa"/>
            <w:tcBorders>
              <w:top w:val="nil"/>
              <w:left w:val="nil"/>
              <w:bottom w:val="single" w:sz="4" w:space="0" w:color="000000"/>
              <w:right w:val="single" w:sz="4" w:space="0" w:color="000000"/>
            </w:tcBorders>
            <w:tcMar>
              <w:top w:w="100" w:type="dxa"/>
              <w:left w:w="100" w:type="dxa"/>
              <w:bottom w:w="100" w:type="dxa"/>
              <w:right w:w="100" w:type="dxa"/>
            </w:tcMar>
          </w:tcPr>
          <w:p w14:paraId="272E0061"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Text 2 was accessible, structured, and reader-facing</w:t>
            </w:r>
          </w:p>
        </w:tc>
        <w:tc>
          <w:tcPr>
            <w:tcW w:w="3351" w:type="dxa"/>
            <w:tcBorders>
              <w:top w:val="nil"/>
              <w:left w:val="nil"/>
              <w:bottom w:val="single" w:sz="4" w:space="0" w:color="000000"/>
              <w:right w:val="single" w:sz="4" w:space="0" w:color="000000"/>
            </w:tcBorders>
            <w:tcMar>
              <w:top w:w="100" w:type="dxa"/>
              <w:left w:w="100" w:type="dxa"/>
              <w:bottom w:w="100" w:type="dxa"/>
              <w:right w:w="100" w:type="dxa"/>
            </w:tcMar>
          </w:tcPr>
          <w:p w14:paraId="2AD142A3"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Familiar metadiscourse supported perceived usability.</w:t>
            </w:r>
          </w:p>
        </w:tc>
      </w:tr>
      <w:tr w:rsidR="000E1B01" w:rsidRPr="00913738" w14:paraId="3C983408" w14:textId="77777777">
        <w:trPr>
          <w:trHeight w:val="1685"/>
        </w:trPr>
        <w:tc>
          <w:tcPr>
            <w:tcW w:w="2522"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53400EB"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Open-ended responses</w:t>
            </w:r>
          </w:p>
        </w:tc>
        <w:tc>
          <w:tcPr>
            <w:tcW w:w="3151" w:type="dxa"/>
            <w:tcBorders>
              <w:top w:val="nil"/>
              <w:left w:val="nil"/>
              <w:bottom w:val="single" w:sz="4" w:space="0" w:color="000000"/>
              <w:right w:val="single" w:sz="4" w:space="0" w:color="000000"/>
            </w:tcBorders>
            <w:tcMar>
              <w:top w:w="100" w:type="dxa"/>
              <w:left w:w="100" w:type="dxa"/>
              <w:bottom w:w="100" w:type="dxa"/>
              <w:right w:w="100" w:type="dxa"/>
            </w:tcMar>
          </w:tcPr>
          <w:p w14:paraId="47142331"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Text 3 was sophisticated, abstract, and demanding</w:t>
            </w:r>
          </w:p>
        </w:tc>
        <w:tc>
          <w:tcPr>
            <w:tcW w:w="3351" w:type="dxa"/>
            <w:tcBorders>
              <w:top w:val="nil"/>
              <w:left w:val="nil"/>
              <w:bottom w:val="single" w:sz="4" w:space="0" w:color="000000"/>
              <w:right w:val="single" w:sz="4" w:space="0" w:color="000000"/>
            </w:tcBorders>
            <w:tcMar>
              <w:top w:w="100" w:type="dxa"/>
              <w:left w:w="100" w:type="dxa"/>
              <w:bottom w:w="100" w:type="dxa"/>
              <w:right w:w="100" w:type="dxa"/>
            </w:tcMar>
          </w:tcPr>
          <w:p w14:paraId="6A96F740"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Advanced discourse signalled quality but increased perceived distance for some learners.</w:t>
            </w:r>
          </w:p>
        </w:tc>
      </w:tr>
      <w:tr w:rsidR="000E1B01" w:rsidRPr="00913738" w14:paraId="4746BB97" w14:textId="77777777" w:rsidTr="00913738">
        <w:trPr>
          <w:trHeight w:val="1035"/>
        </w:trPr>
        <w:tc>
          <w:tcPr>
            <w:tcW w:w="2522"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610F252"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lastRenderedPageBreak/>
              <w:t>Integrated pattern</w:t>
            </w:r>
          </w:p>
        </w:tc>
        <w:tc>
          <w:tcPr>
            <w:tcW w:w="3151" w:type="dxa"/>
            <w:tcBorders>
              <w:top w:val="nil"/>
              <w:left w:val="nil"/>
              <w:bottom w:val="single" w:sz="4" w:space="0" w:color="000000"/>
              <w:right w:val="single" w:sz="4" w:space="0" w:color="000000"/>
            </w:tcBorders>
            <w:tcMar>
              <w:top w:w="100" w:type="dxa"/>
              <w:left w:w="100" w:type="dxa"/>
              <w:bottom w:w="100" w:type="dxa"/>
              <w:right w:w="100" w:type="dxa"/>
            </w:tcMar>
          </w:tcPr>
          <w:p w14:paraId="432CFE58"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Learners evaluated texts through authority, manageability, and guidance</w:t>
            </w:r>
          </w:p>
        </w:tc>
        <w:tc>
          <w:tcPr>
            <w:tcW w:w="3351" w:type="dxa"/>
            <w:tcBorders>
              <w:top w:val="nil"/>
              <w:left w:val="nil"/>
              <w:bottom w:val="single" w:sz="4" w:space="0" w:color="000000"/>
              <w:right w:val="single" w:sz="4" w:space="0" w:color="000000"/>
            </w:tcBorders>
            <w:tcMar>
              <w:top w:w="100" w:type="dxa"/>
              <w:left w:w="100" w:type="dxa"/>
              <w:bottom w:w="100" w:type="dxa"/>
              <w:right w:w="100" w:type="dxa"/>
            </w:tcMar>
          </w:tcPr>
          <w:p w14:paraId="3026458B" w14:textId="77777777" w:rsidR="000E1B01" w:rsidRPr="00913738" w:rsidRDefault="00000000" w:rsidP="00913738">
            <w:pPr>
              <w:spacing w:line="480" w:lineRule="auto"/>
              <w:jc w:val="center"/>
              <w:rPr>
                <w:rFonts w:ascii="Times New Roman" w:eastAsia="Times New Roman" w:hAnsi="Times New Roman" w:cs="Times New Roman"/>
              </w:rPr>
            </w:pPr>
            <w:r w:rsidRPr="00913738">
              <w:rPr>
                <w:rFonts w:ascii="Times New Roman" w:eastAsia="Times New Roman" w:hAnsi="Times New Roman" w:cs="Times New Roman"/>
              </w:rPr>
              <w:t>Perceived uptake depended on how discourse was experienced as usable.</w:t>
            </w:r>
          </w:p>
        </w:tc>
      </w:tr>
    </w:tbl>
    <w:p w14:paraId="7F975E60" w14:textId="77777777" w:rsidR="000E1B01" w:rsidRPr="00913738" w:rsidRDefault="000E1B01">
      <w:pPr>
        <w:jc w:val="both"/>
        <w:rPr>
          <w:rFonts w:ascii="Times New Roman" w:eastAsia="Times New Roman" w:hAnsi="Times New Roman" w:cs="Times New Roman"/>
        </w:rPr>
      </w:pPr>
    </w:p>
    <w:p w14:paraId="6D0C96DD" w14:textId="503948CB" w:rsidR="000E1B01"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DISCUSSION</w:t>
      </w:r>
    </w:p>
    <w:p w14:paraId="17047E38" w14:textId="77777777" w:rsidR="000E1B01" w:rsidRDefault="000E1B01">
      <w:pPr>
        <w:jc w:val="both"/>
        <w:rPr>
          <w:rFonts w:ascii="Times New Roman" w:eastAsia="Times New Roman" w:hAnsi="Times New Roman" w:cs="Times New Roman"/>
          <w:sz w:val="24"/>
          <w:szCs w:val="24"/>
        </w:rPr>
      </w:pPr>
    </w:p>
    <w:p w14:paraId="226AED68" w14:textId="77777777" w:rsidR="000E1B01" w:rsidRDefault="00000000">
      <w:pPr>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5.1 Metadiscourse as Usable Discourse</w:t>
      </w:r>
    </w:p>
    <w:p w14:paraId="7B22780F"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findings suggest that metadiscourse learning should be understood not only as a matter of exposure but also as a matter of perceived usability. Although model texts have long been used to make rhetorical practices visible in writing instruction (Swales, 1990; Yasuda, 2011), visibility alone does not guarantee uptake. Learners may recognize discourse features without perceiving them as relevant or available for their own writing.</w:t>
      </w:r>
    </w:p>
    <w:p w14:paraId="7464CA03"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positive effect of model-text condition on Perceived Metadiscourse Uptake (PMU) supports this argument. Participants exposed to different model texts reported different levels of perceived uptake, indicating that metadiscourse visibility influences how learners evaluate discourse resources. In particular, the familiar metadiscourse condition generated the most favorable responses across both quantitative and qualitative measures. Learners repeatedly described this condition as clear, organized, and reader-friendly, suggesting that discourse resources became more usable when rhetorical functions were made explicit.</w:t>
      </w:r>
    </w:p>
    <w:p w14:paraId="59A6CAF3"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finding extends interactional approaches to metadiscourse (Hyland, 2005, 2017) by shifting attention from discourse production to discourse accessibility. Previous studies have primarily examined how expert writers employ metadiscourse to construct stance and engage readers. The present study instead focuses on how learners evaluate those resources before attempting to use them. From this perspective, metadiscourse learning involves an intermediate stage in which discourse resources become perceived as understandable, relevant, and potentially reusable.</w:t>
      </w:r>
    </w:p>
    <w:p w14:paraId="6EC4C1D6"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results also align with genre-based perspectives on writing development. Tardy (2006) and Tardy et al. (2020) argue that genre learning requires more than awareness of textual features. Learners must develop conditional knowledge regarding when and how rhetorical resources can be applied. The present findings suggest that perceived usability may represent an important precursor to this process. Before learners can appropriate discourse resources, they must first perceive those resources as accessible.</w:t>
      </w:r>
    </w:p>
    <w:p w14:paraId="0D4D2EB9" w14:textId="77777777" w:rsidR="000E1B01" w:rsidRDefault="000E1B01">
      <w:pPr>
        <w:jc w:val="both"/>
        <w:rPr>
          <w:rFonts w:ascii="Times New Roman" w:eastAsia="Times New Roman" w:hAnsi="Times New Roman" w:cs="Times New Roman"/>
          <w:sz w:val="24"/>
          <w:szCs w:val="24"/>
        </w:rPr>
      </w:pPr>
    </w:p>
    <w:p w14:paraId="65062BF9" w14:textId="77777777" w:rsidR="000E1B01" w:rsidRDefault="00000000">
      <w:pPr>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5.2 Reinterpreting Elaborative Processing</w:t>
      </w:r>
    </w:p>
    <w:p w14:paraId="38D1D536"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One of the most unexpected findings was the negative relationship between Elaborative Processing (ELAB) and PMU. Within the Elaboration Likelihood Model, elaboration is typically associated with deeper engagement and more stable judgments (Petty &amp; Cacioppo, 1986). A straightforward prediction would therefore suggest a positive relationship between elaboration and perceived uptake. However, the present findings indicate the opposite pattern.</w:t>
      </w:r>
    </w:p>
    <w:p w14:paraId="64ED45B7"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possible explanation is that self-reported elaboration captures not only engagement but also processing burden. In L2 academic writing contexts, learners frequently encounter </w:t>
      </w:r>
      <w:r>
        <w:rPr>
          <w:rFonts w:ascii="Times New Roman" w:eastAsia="Times New Roman" w:hAnsi="Times New Roman" w:cs="Times New Roman"/>
          <w:sz w:val="24"/>
          <w:szCs w:val="24"/>
        </w:rPr>
        <w:lastRenderedPageBreak/>
        <w:t>unfamiliar discourse practices, disciplinary expectations, and rhetorical conventions. Greater elaboration may therefore reflect increased effort required to understand a text rather than successful integration of its discourse resources.</w:t>
      </w:r>
    </w:p>
    <w:p w14:paraId="7D987A28"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interpretation is consistent with research on writing self-regulation and cognitive processing (Hayes, 2018). Cognitive effort does not always indicate effective learning. Learners may invest substantial mental resources because discourse appears difficult, distant, or unfamiliar. Under such circumstances, high elaboration may signal struggle rather than mastery.</w:t>
      </w:r>
    </w:p>
    <w:p w14:paraId="5D935A53"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qualitative findings provide further support for this interpretation. Participants frequently described Text 3 as sophisticated and academically advanced, yet they also viewed it as difficult to understand and emulate. In contrast, Text 2 received lower descriptions of difficulty while simultaneously producing higher levels of perceived uptake. These patterns suggest that accessibility may be more important than processing intensity when learners evaluate discourse usability.</w:t>
      </w:r>
    </w:p>
    <w:p w14:paraId="78FCFD7D"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Consequently, elaborative processing should not automatically be interpreted as evidence of successful rhetorical engagement. Instead, it may function as an ambiguous indicator reflecting both cognitive involvement and processing difficulty. Future research should therefore distinguish between productive elaboration and effort associated with discourse complexity.</w:t>
      </w:r>
    </w:p>
    <w:p w14:paraId="1C958E5C" w14:textId="77777777" w:rsidR="000E1B01" w:rsidRDefault="000E1B01">
      <w:pPr>
        <w:jc w:val="both"/>
        <w:rPr>
          <w:rFonts w:ascii="Times New Roman" w:eastAsia="Times New Roman" w:hAnsi="Times New Roman" w:cs="Times New Roman"/>
          <w:sz w:val="24"/>
          <w:szCs w:val="24"/>
        </w:rPr>
      </w:pPr>
    </w:p>
    <w:p w14:paraId="30833345" w14:textId="77777777" w:rsidR="000E1B01" w:rsidRDefault="00000000">
      <w:pPr>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5.3 Perceived Discursive Proximity as a Condition for Uptake</w:t>
      </w:r>
    </w:p>
    <w:p w14:paraId="34529B5C"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Among all predictors examined in the study, Perceived Discursive Proximity emerged as one of the strongest predictors of perceived metadiscourse uptake. This finding supports the central theoretical claim of the study: learners are more likely to adopt discourse resources when those resources appear close enough to their existing communicative repertoire.</w:t>
      </w:r>
    </w:p>
    <w:p w14:paraId="601EE23A"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concept of PDP builds upon academic literacies research, which emphasizes access to discourse practices rather than simple acquisition of textual skills (Lea &amp; Street, 1998; Street, 1984). From this perspective, learners’ difficulties often stem not from a lack of linguistic knowledge but from uncertainty regarding participation in academic discourse communities. PDP operationalizes this issue by focusing on learners’ perceptions of discourse accessibility.</w:t>
      </w:r>
    </w:p>
    <w:p w14:paraId="1BD9A1B1"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findings also resonate with sociocultural perspectives on learning. According to Vygotsky (1978), learning occurs through participation in socially mediated activities. Model texts can therefore function as mediational resources that either reduce or reinforce perceived distance between learners and academic discourse. When discourse resources appear understandable and manageable, learners may perceive them as available for future use. When discourse appears distant, uptake becomes less likely.</w:t>
      </w:r>
    </w:p>
    <w:p w14:paraId="071CB5E2"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Furthermore, PDP complements motivational perspectives on internalization (Ryan &amp; Deci, 2000). Learners are more likely to adopt resources they perceive as personally meaningful and attainable. The strong relationship between PDP and PMU suggests that discourse accessibility may play a critical role in transforming visible discourse resources into potentially usable ones.</w:t>
      </w:r>
    </w:p>
    <w:p w14:paraId="737A4384"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Taken together, the quantitative and qualitative findings indicate that perceived accessibility is not a peripheral factor but a central condition for metadiscourse uptake. This </w:t>
      </w:r>
      <w:r>
        <w:rPr>
          <w:rFonts w:ascii="Times New Roman" w:eastAsia="Times New Roman" w:hAnsi="Times New Roman" w:cs="Times New Roman"/>
          <w:sz w:val="24"/>
          <w:szCs w:val="24"/>
        </w:rPr>
        <w:lastRenderedPageBreak/>
        <w:t>contribution extends existing metadiscourse and genre-learning research by highlighting the importance of learners’ perceptions of discourse availability.</w:t>
      </w:r>
    </w:p>
    <w:p w14:paraId="347D036F" w14:textId="77777777" w:rsidR="000E1B01" w:rsidRDefault="000E1B01">
      <w:pPr>
        <w:jc w:val="both"/>
        <w:rPr>
          <w:rFonts w:ascii="Times New Roman" w:eastAsia="Times New Roman" w:hAnsi="Times New Roman" w:cs="Times New Roman"/>
          <w:sz w:val="24"/>
          <w:szCs w:val="24"/>
        </w:rPr>
      </w:pPr>
    </w:p>
    <w:p w14:paraId="3AF98321" w14:textId="77777777" w:rsidR="000E1B01" w:rsidRDefault="00000000">
      <w:pPr>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5.4 Pedagogical Implications</w:t>
      </w:r>
    </w:p>
    <w:p w14:paraId="11285F9C"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findings have several implications for academic writing instruction. First, model texts should be selected not only for authenticity but also for their ability to make rhetorical functions visible and accessible. Texts that balance academic sophistication with reader-oriented guidance may be particularly beneficial for novice writers.</w:t>
      </w:r>
    </w:p>
    <w:p w14:paraId="54E8963F"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Second, instruction should move beyond identifying metadiscourse features toward explaining their rhetorical purposes. Helping learners understand why writers use particular discourse resources may increase perceived accessibility and support future transfer.</w:t>
      </w:r>
    </w:p>
    <w:p w14:paraId="79D8E006"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Finally, writing pedagogy should recognize that learners’ perceptions of discourse accessibility can influence uptake. Creating opportunities for guided discussion, reflection, and adaptation of model-text discourse may help learners perceive academic writing as something they can realistically use rather than simply admire from a distance.</w:t>
      </w:r>
    </w:p>
    <w:p w14:paraId="10175106" w14:textId="77777777" w:rsidR="000E1B01" w:rsidRDefault="000E1B01">
      <w:pPr>
        <w:ind w:firstLine="720"/>
        <w:jc w:val="both"/>
        <w:rPr>
          <w:rFonts w:ascii="Times New Roman" w:eastAsia="Times New Roman" w:hAnsi="Times New Roman" w:cs="Times New Roman"/>
          <w:sz w:val="24"/>
          <w:szCs w:val="24"/>
        </w:rPr>
      </w:pPr>
    </w:p>
    <w:p w14:paraId="698C1CFB" w14:textId="7DB964FA" w:rsidR="000E1B01"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CONCLUSION</w:t>
      </w:r>
    </w:p>
    <w:p w14:paraId="3F40C62A" w14:textId="77777777" w:rsidR="000E1B01" w:rsidRDefault="000E1B01">
      <w:pPr>
        <w:jc w:val="center"/>
        <w:rPr>
          <w:rFonts w:ascii="Times New Roman" w:eastAsia="Times New Roman" w:hAnsi="Times New Roman" w:cs="Times New Roman"/>
          <w:b/>
          <w:bCs/>
          <w:sz w:val="24"/>
          <w:szCs w:val="24"/>
        </w:rPr>
      </w:pPr>
    </w:p>
    <w:p w14:paraId="32FF1233"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study examined how Vietnamese university students perceived metadiscourse after exposure to model texts with varying levels of metadiscourse visibility. By integrating quantitative and qualitative evidence, the findings demonstrated that model-text condition and Perceived Discursive Proximity (PDP) positively predicted Perceived Metadiscourse Uptake (PMU), whereas Elaborative Processing (ELAB) showed a negative relationship with uptake. Qualitative analyses further revealed that learners evaluated model texts in terms of academic authority, accessibility, complexity, and reader guidance, with the familiar metadiscourse condition emerging as the most accessible and reusable.</w:t>
      </w:r>
    </w:p>
    <w:p w14:paraId="7E69F94D"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study contributes to L2 writing research by reconceptualizing metadiscourse learning as a matter of perceived usability rather than simple exposure. While previous research has focused primarily on noticing discourse features, the present findings suggest that learners are more likely to adopt rhetorical resources when those resources are perceived as understandable, relevant, and accessible. In this regard, PDP offers a useful framework for understanding how learners evaluate their access to academic discourse and how such evaluations shape perceived uptake.</w:t>
      </w:r>
    </w:p>
    <w:p w14:paraId="428E09D1" w14:textId="77777777" w:rsidR="000E1B01"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Pedagogically, the findings highlight the importance of selecting model texts that balance academic sophistication with discourse accessibility. Writing instruction should therefore emphasize not only the identification of metadiscourse features but also their rhetorical functions and practical applicability. Future research should examine whether perceived usability predicts actual transfer into writing through longitudinal designs and analyses of learners’ written production.</w:t>
      </w:r>
    </w:p>
    <w:p w14:paraId="5E1B60BB" w14:textId="77777777" w:rsidR="000E1B01" w:rsidRDefault="000E1B01">
      <w:pPr>
        <w:jc w:val="both"/>
        <w:rPr>
          <w:rFonts w:ascii="Times New Roman" w:eastAsia="Times New Roman" w:hAnsi="Times New Roman" w:cs="Times New Roman"/>
          <w:sz w:val="24"/>
          <w:szCs w:val="24"/>
        </w:rPr>
      </w:pPr>
    </w:p>
    <w:p w14:paraId="27E9DF89" w14:textId="77777777" w:rsidR="00913738" w:rsidRDefault="00913738">
      <w:pPr>
        <w:jc w:val="center"/>
        <w:rPr>
          <w:rFonts w:ascii="Times New Roman" w:eastAsia="Times New Roman" w:hAnsi="Times New Roman" w:cs="Times New Roman"/>
          <w:b/>
          <w:bCs/>
          <w:sz w:val="24"/>
          <w:szCs w:val="24"/>
          <w:lang w:val="en-US"/>
        </w:rPr>
      </w:pPr>
    </w:p>
    <w:p w14:paraId="4B5AECF0" w14:textId="77777777" w:rsidR="00913738" w:rsidRDefault="00913738">
      <w:pPr>
        <w:jc w:val="center"/>
        <w:rPr>
          <w:rFonts w:ascii="Times New Roman" w:eastAsia="Times New Roman" w:hAnsi="Times New Roman" w:cs="Times New Roman"/>
          <w:b/>
          <w:bCs/>
          <w:sz w:val="24"/>
          <w:szCs w:val="24"/>
          <w:lang w:val="en-US"/>
        </w:rPr>
      </w:pPr>
    </w:p>
    <w:p w14:paraId="1C1E184F" w14:textId="77777777" w:rsidR="00913738" w:rsidRDefault="00913738">
      <w:pPr>
        <w:jc w:val="center"/>
        <w:rPr>
          <w:rFonts w:ascii="Times New Roman" w:eastAsia="Times New Roman" w:hAnsi="Times New Roman" w:cs="Times New Roman"/>
          <w:b/>
          <w:bCs/>
          <w:sz w:val="24"/>
          <w:szCs w:val="24"/>
          <w:lang w:val="en-US"/>
        </w:rPr>
      </w:pPr>
    </w:p>
    <w:p w14:paraId="4CA43511" w14:textId="77777777" w:rsidR="00913738" w:rsidRDefault="00913738">
      <w:pPr>
        <w:jc w:val="center"/>
        <w:rPr>
          <w:rFonts w:ascii="Times New Roman" w:eastAsia="Times New Roman" w:hAnsi="Times New Roman" w:cs="Times New Roman"/>
          <w:b/>
          <w:bCs/>
          <w:sz w:val="24"/>
          <w:szCs w:val="24"/>
          <w:lang w:val="en-US"/>
        </w:rPr>
      </w:pPr>
    </w:p>
    <w:p w14:paraId="5B5ABC8D" w14:textId="49974E50" w:rsidR="000E1B01"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REFERENCES</w:t>
      </w:r>
    </w:p>
    <w:p w14:paraId="4300462A" w14:textId="77777777" w:rsidR="000E1B01"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Alzubi, A. A. F., &amp; Nazim, M. (2024). Students’ intrinsic motivation in EFL academic writing: Topic-based interest in focus. </w:t>
      </w:r>
      <w:r>
        <w:rPr>
          <w:rFonts w:ascii="Times New Roman" w:eastAsia="Times New Roman" w:hAnsi="Times New Roman" w:cs="Times New Roman"/>
          <w:i/>
          <w:iCs/>
          <w:sz w:val="24"/>
          <w:szCs w:val="24"/>
        </w:rPr>
        <w:t>Heliyon, 10</w:t>
      </w:r>
      <w:r>
        <w:rPr>
          <w:rFonts w:ascii="Times New Roman" w:eastAsia="Times New Roman" w:hAnsi="Times New Roman" w:cs="Times New Roman"/>
          <w:sz w:val="24"/>
          <w:szCs w:val="24"/>
        </w:rPr>
        <w:t xml:space="preserve">(1), e24169. </w:t>
      </w:r>
      <w:hyperlink r:id="rId7">
        <w:r>
          <w:rPr>
            <w:rFonts w:ascii="Times New Roman" w:eastAsia="Times New Roman" w:hAnsi="Times New Roman" w:cs="Times New Roman"/>
            <w:color w:val="1155CC"/>
            <w:sz w:val="24"/>
            <w:szCs w:val="24"/>
            <w:u w:val="single"/>
          </w:rPr>
          <w:t>https://doi.org/10.1016/j.heliyon.2024.e24169</w:t>
        </w:r>
      </w:hyperlink>
      <w:r>
        <w:rPr>
          <w:rFonts w:ascii="Times New Roman" w:eastAsia="Times New Roman" w:hAnsi="Times New Roman" w:cs="Times New Roman"/>
          <w:sz w:val="24"/>
          <w:szCs w:val="24"/>
        </w:rPr>
        <w:tab/>
      </w:r>
    </w:p>
    <w:p w14:paraId="7C908408" w14:textId="77777777" w:rsidR="000E1B01"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Berkenkotter, C., Huckin, T. N., &amp; Ackerman, J. (1988). Conventions, conversations, and the writer: Case study of a student in a rhetoric Ph. D. program. </w:t>
      </w:r>
      <w:r>
        <w:rPr>
          <w:rFonts w:ascii="Times New Roman" w:eastAsia="Times New Roman" w:hAnsi="Times New Roman" w:cs="Times New Roman"/>
          <w:i/>
          <w:iCs/>
          <w:sz w:val="24"/>
          <w:szCs w:val="24"/>
        </w:rPr>
        <w:t>Research in the Teaching of English,</w:t>
      </w:r>
      <w:r>
        <w:rPr>
          <w:rFonts w:ascii="Times New Roman" w:eastAsia="Times New Roman" w:hAnsi="Times New Roman" w:cs="Times New Roman"/>
          <w:sz w:val="24"/>
          <w:szCs w:val="24"/>
        </w:rPr>
        <w:t xml:space="preserve"> 9–44. </w:t>
      </w:r>
      <w:hyperlink r:id="rId8">
        <w:r>
          <w:rPr>
            <w:rFonts w:ascii="Times New Roman" w:eastAsia="Times New Roman" w:hAnsi="Times New Roman" w:cs="Times New Roman"/>
            <w:color w:val="1155CC"/>
            <w:sz w:val="24"/>
            <w:szCs w:val="24"/>
            <w:u w:val="single"/>
          </w:rPr>
          <w:t>https://www.jstor.org/stable/40171130</w:t>
        </w:r>
      </w:hyperlink>
      <w:r>
        <w:rPr>
          <w:rFonts w:ascii="Times New Roman" w:eastAsia="Times New Roman" w:hAnsi="Times New Roman" w:cs="Times New Roman"/>
          <w:sz w:val="24"/>
          <w:szCs w:val="24"/>
        </w:rPr>
        <w:tab/>
      </w:r>
    </w:p>
    <w:p w14:paraId="4F2631BF" w14:textId="77777777" w:rsidR="000E1B01"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Braun, V. and Clarke, V. (2006) Using Thematic Analysis in Psychology. Qualitative Research in Psychology, </w:t>
      </w:r>
      <w:r w:rsidRPr="00913738">
        <w:rPr>
          <w:rFonts w:ascii="Times New Roman" w:eastAsia="Times New Roman" w:hAnsi="Times New Roman" w:cs="Times New Roman"/>
          <w:i/>
          <w:iCs/>
          <w:sz w:val="24"/>
          <w:szCs w:val="24"/>
        </w:rPr>
        <w:t>3</w:t>
      </w:r>
      <w:r>
        <w:rPr>
          <w:rFonts w:ascii="Times New Roman" w:eastAsia="Times New Roman" w:hAnsi="Times New Roman" w:cs="Times New Roman"/>
          <w:sz w:val="24"/>
          <w:szCs w:val="24"/>
        </w:rPr>
        <w:t xml:space="preserve">, 77-101. </w:t>
      </w:r>
      <w:hyperlink r:id="rId9">
        <w:r>
          <w:rPr>
            <w:rFonts w:ascii="Times New Roman" w:eastAsia="Times New Roman" w:hAnsi="Times New Roman" w:cs="Times New Roman"/>
            <w:color w:val="1155CC"/>
            <w:sz w:val="24"/>
            <w:szCs w:val="24"/>
            <w:u w:val="single"/>
          </w:rPr>
          <w:t>https://doi.org/10.1191/1478088706qp063oa</w:t>
        </w:r>
      </w:hyperlink>
      <w:r>
        <w:rPr>
          <w:rFonts w:ascii="Times New Roman" w:eastAsia="Times New Roman" w:hAnsi="Times New Roman" w:cs="Times New Roman"/>
          <w:sz w:val="24"/>
          <w:szCs w:val="24"/>
        </w:rPr>
        <w:tab/>
      </w:r>
    </w:p>
    <w:p w14:paraId="074F5C8F" w14:textId="77777777" w:rsidR="000E1B01"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Braun, V. and Clarke, V. (2022) </w:t>
      </w:r>
      <w:r>
        <w:rPr>
          <w:rFonts w:ascii="Times New Roman" w:eastAsia="Times New Roman" w:hAnsi="Times New Roman" w:cs="Times New Roman"/>
          <w:i/>
          <w:iCs/>
          <w:sz w:val="24"/>
          <w:szCs w:val="24"/>
        </w:rPr>
        <w:t>Thematic Analysis: A Practical Guide.</w:t>
      </w:r>
      <w:r>
        <w:rPr>
          <w:rFonts w:ascii="Times New Roman" w:eastAsia="Times New Roman" w:hAnsi="Times New Roman" w:cs="Times New Roman"/>
          <w:sz w:val="24"/>
          <w:szCs w:val="24"/>
        </w:rPr>
        <w:t xml:space="preserve"> SAGE Publications.</w:t>
      </w:r>
    </w:p>
    <w:p w14:paraId="0A9E8A35" w14:textId="77777777" w:rsidR="000E1B01"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Brown, T. A. (2015). </w:t>
      </w:r>
      <w:r>
        <w:rPr>
          <w:rFonts w:ascii="Times New Roman" w:eastAsia="Times New Roman" w:hAnsi="Times New Roman" w:cs="Times New Roman"/>
          <w:i/>
          <w:iCs/>
          <w:sz w:val="24"/>
          <w:szCs w:val="24"/>
        </w:rPr>
        <w:t>Confirmatory factor analysis for applied research</w:t>
      </w:r>
      <w:r>
        <w:rPr>
          <w:rFonts w:ascii="Times New Roman" w:eastAsia="Times New Roman" w:hAnsi="Times New Roman" w:cs="Times New Roman"/>
          <w:sz w:val="24"/>
          <w:szCs w:val="24"/>
        </w:rPr>
        <w:t xml:space="preserve"> (2nd ed.). Guilford Press.</w:t>
      </w:r>
    </w:p>
    <w:p w14:paraId="7F28C5D4" w14:textId="77777777" w:rsidR="000E1B01"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Cao, F., &amp; Hu, G. (2014). Interactive metadiscourse in research articles: A comparative study of paradigmatic and disciplinary influences. </w:t>
      </w:r>
      <w:r>
        <w:rPr>
          <w:rFonts w:ascii="Times New Roman" w:eastAsia="Times New Roman" w:hAnsi="Times New Roman" w:cs="Times New Roman"/>
          <w:i/>
          <w:iCs/>
          <w:sz w:val="24"/>
          <w:szCs w:val="24"/>
        </w:rPr>
        <w:t>Journal of Pragmatics, 66,</w:t>
      </w:r>
      <w:r>
        <w:rPr>
          <w:rFonts w:ascii="Times New Roman" w:eastAsia="Times New Roman" w:hAnsi="Times New Roman" w:cs="Times New Roman"/>
          <w:sz w:val="24"/>
          <w:szCs w:val="24"/>
        </w:rPr>
        <w:t xml:space="preserve"> 15–31. </w:t>
      </w:r>
      <w:hyperlink r:id="rId10">
        <w:r>
          <w:rPr>
            <w:rFonts w:ascii="Times New Roman" w:eastAsia="Times New Roman" w:hAnsi="Times New Roman" w:cs="Times New Roman"/>
            <w:color w:val="1155CC"/>
            <w:sz w:val="24"/>
            <w:szCs w:val="24"/>
            <w:u w:val="single"/>
          </w:rPr>
          <w:t>https://doi.org/10.1016/j.pragma.2014.02.007</w:t>
        </w:r>
      </w:hyperlink>
      <w:r>
        <w:rPr>
          <w:rFonts w:ascii="Times New Roman" w:eastAsia="Times New Roman" w:hAnsi="Times New Roman" w:cs="Times New Roman"/>
          <w:sz w:val="24"/>
          <w:szCs w:val="24"/>
        </w:rPr>
        <w:tab/>
      </w:r>
    </w:p>
    <w:p w14:paraId="5A3A4728" w14:textId="77777777" w:rsidR="000E1B01"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Casanave, C. P. (2019). Performing expertise in doctoral dissertations: Thoughts on a fundamental dilemma facing doctoral students and their supervisors. </w:t>
      </w:r>
      <w:r>
        <w:rPr>
          <w:rFonts w:ascii="Times New Roman" w:eastAsia="Times New Roman" w:hAnsi="Times New Roman" w:cs="Times New Roman"/>
          <w:i/>
          <w:iCs/>
          <w:sz w:val="24"/>
          <w:szCs w:val="24"/>
        </w:rPr>
        <w:t>Journal of Second Language Writing, 43,</w:t>
      </w:r>
      <w:r>
        <w:rPr>
          <w:rFonts w:ascii="Times New Roman" w:eastAsia="Times New Roman" w:hAnsi="Times New Roman" w:cs="Times New Roman"/>
          <w:sz w:val="24"/>
          <w:szCs w:val="24"/>
        </w:rPr>
        <w:t xml:space="preserve"> 57–62. </w:t>
      </w:r>
      <w:hyperlink r:id="rId11">
        <w:r>
          <w:rPr>
            <w:rFonts w:ascii="Times New Roman" w:eastAsia="Times New Roman" w:hAnsi="Times New Roman" w:cs="Times New Roman"/>
            <w:color w:val="1155CC"/>
            <w:sz w:val="24"/>
            <w:szCs w:val="24"/>
            <w:u w:val="single"/>
          </w:rPr>
          <w:t>https://doi.org/10.1016/j.jslw.2018.02.005</w:t>
        </w:r>
      </w:hyperlink>
      <w:r>
        <w:rPr>
          <w:rFonts w:ascii="Times New Roman" w:eastAsia="Times New Roman" w:hAnsi="Times New Roman" w:cs="Times New Roman"/>
          <w:sz w:val="24"/>
          <w:szCs w:val="24"/>
        </w:rPr>
        <w:tab/>
      </w:r>
    </w:p>
    <w:p w14:paraId="08C8AE2A" w14:textId="77777777" w:rsidR="000E1B01"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Creswell, J.W. </w:t>
      </w:r>
      <w:r>
        <w:rPr>
          <w:rFonts w:ascii="Times New Roman" w:eastAsia="Times New Roman" w:hAnsi="Times New Roman" w:cs="Times New Roman"/>
          <w:sz w:val="24"/>
          <w:szCs w:val="24"/>
          <w:lang w:val="en-US"/>
        </w:rPr>
        <w:t>&amp;</w:t>
      </w:r>
      <w:r>
        <w:rPr>
          <w:rFonts w:ascii="Times New Roman" w:eastAsia="Times New Roman" w:hAnsi="Times New Roman" w:cs="Times New Roman"/>
          <w:sz w:val="24"/>
          <w:szCs w:val="24"/>
        </w:rPr>
        <w:t xml:space="preserve"> Creswell, J.D. (2018) </w:t>
      </w:r>
      <w:r>
        <w:rPr>
          <w:rFonts w:ascii="Times New Roman" w:eastAsia="Times New Roman" w:hAnsi="Times New Roman" w:cs="Times New Roman"/>
          <w:i/>
          <w:iCs/>
          <w:sz w:val="24"/>
          <w:szCs w:val="24"/>
        </w:rPr>
        <w:t>Research Design: Qualitative, Quantitative, and Mixed Methods Approaches.</w:t>
      </w:r>
      <w:r>
        <w:rPr>
          <w:rFonts w:ascii="Times New Roman" w:eastAsia="Times New Roman" w:hAnsi="Times New Roman" w:cs="Times New Roman"/>
          <w:sz w:val="24"/>
          <w:szCs w:val="24"/>
        </w:rPr>
        <w:t xml:space="preserve"> Sage, Los Angeles.</w:t>
      </w:r>
    </w:p>
    <w:p w14:paraId="15CE3290" w14:textId="77777777" w:rsidR="000E1B01"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Crismore, A., &amp; Vande Kopple, W. J. (1988). Readers’ learning from prose: The effects of hedges. </w:t>
      </w:r>
      <w:r>
        <w:rPr>
          <w:rFonts w:ascii="Times New Roman" w:eastAsia="Times New Roman" w:hAnsi="Times New Roman" w:cs="Times New Roman"/>
          <w:i/>
          <w:iCs/>
          <w:sz w:val="24"/>
          <w:szCs w:val="24"/>
        </w:rPr>
        <w:t>Written Communication, 5</w:t>
      </w:r>
      <w:r>
        <w:rPr>
          <w:rFonts w:ascii="Times New Roman" w:eastAsia="Times New Roman" w:hAnsi="Times New Roman" w:cs="Times New Roman"/>
          <w:sz w:val="24"/>
          <w:szCs w:val="24"/>
        </w:rPr>
        <w:t xml:space="preserve">(2), 184–202. </w:t>
      </w:r>
      <w:hyperlink r:id="rId12">
        <w:r>
          <w:rPr>
            <w:rFonts w:ascii="Times New Roman" w:eastAsia="Times New Roman" w:hAnsi="Times New Roman" w:cs="Times New Roman"/>
            <w:color w:val="1155CC"/>
            <w:sz w:val="24"/>
            <w:szCs w:val="24"/>
            <w:u w:val="single"/>
          </w:rPr>
          <w:t>https://doi.org/10.1177/0741088388005002004</w:t>
        </w:r>
      </w:hyperlink>
      <w:r>
        <w:rPr>
          <w:rFonts w:ascii="Times New Roman" w:eastAsia="Times New Roman" w:hAnsi="Times New Roman" w:cs="Times New Roman"/>
          <w:sz w:val="24"/>
          <w:szCs w:val="24"/>
        </w:rPr>
        <w:tab/>
      </w:r>
    </w:p>
    <w:p w14:paraId="227685B9" w14:textId="77777777" w:rsidR="000E1B01"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Dewaele, J.-M., &amp; Dewaele, L. (2018). Learner-internal and learner-external predictors of willingness to communicate in the FL classroom. </w:t>
      </w:r>
      <w:r>
        <w:rPr>
          <w:rFonts w:ascii="Times New Roman" w:eastAsia="Times New Roman" w:hAnsi="Times New Roman" w:cs="Times New Roman"/>
          <w:i/>
          <w:iCs/>
          <w:sz w:val="24"/>
          <w:szCs w:val="24"/>
        </w:rPr>
        <w:t>Journal of the European Second Language Association, 2</w:t>
      </w:r>
      <w:r>
        <w:rPr>
          <w:rFonts w:ascii="Times New Roman" w:eastAsia="Times New Roman" w:hAnsi="Times New Roman" w:cs="Times New Roman"/>
          <w:sz w:val="24"/>
          <w:szCs w:val="24"/>
        </w:rPr>
        <w:t xml:space="preserve">(1), 24–37. </w:t>
      </w:r>
      <w:hyperlink r:id="rId13">
        <w:r>
          <w:rPr>
            <w:rFonts w:ascii="Times New Roman" w:eastAsia="Times New Roman" w:hAnsi="Times New Roman" w:cs="Times New Roman"/>
            <w:color w:val="1155CC"/>
            <w:sz w:val="24"/>
            <w:szCs w:val="24"/>
            <w:u w:val="single"/>
          </w:rPr>
          <w:t>https://doi.org/10.22599/jesla.37</w:t>
        </w:r>
      </w:hyperlink>
      <w:r>
        <w:rPr>
          <w:rFonts w:ascii="Times New Roman" w:eastAsia="Times New Roman" w:hAnsi="Times New Roman" w:cs="Times New Roman"/>
          <w:sz w:val="24"/>
          <w:szCs w:val="24"/>
        </w:rPr>
        <w:tab/>
      </w:r>
    </w:p>
    <w:p w14:paraId="37F4C1A8" w14:textId="77777777" w:rsidR="000E1B01"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Dong, L. (2026). Is it beneficial to strive for perfection in writing? Exploring the relationship between perfectionism, motivational regulation, and second language (L2) writing performance. </w:t>
      </w:r>
      <w:r>
        <w:rPr>
          <w:rFonts w:ascii="Times New Roman" w:eastAsia="Times New Roman" w:hAnsi="Times New Roman" w:cs="Times New Roman"/>
          <w:i/>
          <w:iCs/>
          <w:sz w:val="24"/>
          <w:szCs w:val="24"/>
        </w:rPr>
        <w:t>Assessing Writing, 67,</w:t>
      </w:r>
      <w:r>
        <w:rPr>
          <w:rFonts w:ascii="Times New Roman" w:eastAsia="Times New Roman" w:hAnsi="Times New Roman" w:cs="Times New Roman"/>
          <w:sz w:val="24"/>
          <w:szCs w:val="24"/>
        </w:rPr>
        <w:t xml:space="preserve"> 101012. </w:t>
      </w:r>
      <w:hyperlink r:id="rId14">
        <w:r>
          <w:rPr>
            <w:rFonts w:ascii="Times New Roman" w:eastAsia="Times New Roman" w:hAnsi="Times New Roman" w:cs="Times New Roman"/>
            <w:color w:val="1155CC"/>
            <w:sz w:val="24"/>
            <w:szCs w:val="24"/>
            <w:u w:val="single"/>
          </w:rPr>
          <w:t>https://doi.org/10.1016/j.asw.2025.101012</w:t>
        </w:r>
      </w:hyperlink>
      <w:r>
        <w:rPr>
          <w:rFonts w:ascii="Times New Roman" w:eastAsia="Times New Roman" w:hAnsi="Times New Roman" w:cs="Times New Roman"/>
          <w:sz w:val="24"/>
          <w:szCs w:val="24"/>
        </w:rPr>
        <w:tab/>
      </w:r>
    </w:p>
    <w:p w14:paraId="43B60D64" w14:textId="77777777" w:rsidR="000E1B01"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Han, J., &amp; Hiver, P. (2018). Genre-based L2 writing instruction and writing-specific psychological factors: The dynamics of change. </w:t>
      </w:r>
      <w:r>
        <w:rPr>
          <w:rFonts w:ascii="Times New Roman" w:eastAsia="Times New Roman" w:hAnsi="Times New Roman" w:cs="Times New Roman"/>
          <w:i/>
          <w:iCs/>
          <w:sz w:val="24"/>
          <w:szCs w:val="24"/>
        </w:rPr>
        <w:t>Journal of Second Language Writing, 40,</w:t>
      </w:r>
      <w:r>
        <w:rPr>
          <w:rFonts w:ascii="Times New Roman" w:eastAsia="Times New Roman" w:hAnsi="Times New Roman" w:cs="Times New Roman"/>
          <w:sz w:val="24"/>
          <w:szCs w:val="24"/>
        </w:rPr>
        <w:t xml:space="preserve"> 44–59. </w:t>
      </w:r>
      <w:hyperlink r:id="rId15">
        <w:r>
          <w:rPr>
            <w:rFonts w:ascii="Times New Roman" w:eastAsia="Times New Roman" w:hAnsi="Times New Roman" w:cs="Times New Roman"/>
            <w:color w:val="1155CC"/>
            <w:sz w:val="24"/>
            <w:szCs w:val="24"/>
            <w:u w:val="single"/>
          </w:rPr>
          <w:t>https://doi.org/10.1016/j.jslw.2018.03.001</w:t>
        </w:r>
      </w:hyperlink>
      <w:r>
        <w:rPr>
          <w:rFonts w:ascii="Times New Roman" w:eastAsia="Times New Roman" w:hAnsi="Times New Roman" w:cs="Times New Roman"/>
          <w:sz w:val="24"/>
          <w:szCs w:val="24"/>
        </w:rPr>
        <w:tab/>
      </w:r>
    </w:p>
    <w:p w14:paraId="3A2C9A7B" w14:textId="77777777" w:rsidR="000E1B01"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Hao, X., &amp; Lu, H. (2024). The role of self-efficacy and learner engagement in the relationship between prior achievement and final achievement in EFL writing. </w:t>
      </w:r>
      <w:r>
        <w:rPr>
          <w:rFonts w:ascii="Times New Roman" w:eastAsia="Times New Roman" w:hAnsi="Times New Roman" w:cs="Times New Roman"/>
          <w:i/>
          <w:iCs/>
          <w:sz w:val="24"/>
          <w:szCs w:val="24"/>
        </w:rPr>
        <w:t>Learning and Motivation, 87,</w:t>
      </w:r>
      <w:r>
        <w:rPr>
          <w:rFonts w:ascii="Times New Roman" w:eastAsia="Times New Roman" w:hAnsi="Times New Roman" w:cs="Times New Roman"/>
          <w:sz w:val="24"/>
          <w:szCs w:val="24"/>
        </w:rPr>
        <w:t xml:space="preserve"> 102007. </w:t>
      </w:r>
      <w:hyperlink r:id="rId16">
        <w:r>
          <w:rPr>
            <w:rFonts w:ascii="Times New Roman" w:eastAsia="Times New Roman" w:hAnsi="Times New Roman" w:cs="Times New Roman"/>
            <w:color w:val="1155CC"/>
            <w:sz w:val="24"/>
            <w:szCs w:val="24"/>
            <w:u w:val="single"/>
          </w:rPr>
          <w:t>https://doi.org/10.1016/j.lmot.2024.102007</w:t>
        </w:r>
      </w:hyperlink>
      <w:r>
        <w:rPr>
          <w:rFonts w:ascii="Times New Roman" w:eastAsia="Times New Roman" w:hAnsi="Times New Roman" w:cs="Times New Roman"/>
          <w:sz w:val="24"/>
          <w:szCs w:val="24"/>
        </w:rPr>
        <w:tab/>
      </w:r>
    </w:p>
    <w:p w14:paraId="5C2F42C3" w14:textId="77777777" w:rsidR="000E1B01"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Hayes, A. F. (2018). </w:t>
      </w:r>
      <w:r>
        <w:rPr>
          <w:rFonts w:ascii="Times New Roman" w:eastAsia="Times New Roman" w:hAnsi="Times New Roman" w:cs="Times New Roman"/>
          <w:i/>
          <w:iCs/>
          <w:sz w:val="24"/>
          <w:szCs w:val="24"/>
        </w:rPr>
        <w:t>Introduction to mediation, moderation, and conditional process analysis: A regression-based approach</w:t>
      </w:r>
      <w:r>
        <w:rPr>
          <w:rFonts w:ascii="Times New Roman" w:eastAsia="Times New Roman" w:hAnsi="Times New Roman" w:cs="Times New Roman"/>
          <w:sz w:val="24"/>
          <w:szCs w:val="24"/>
        </w:rPr>
        <w:t xml:space="preserve"> (2nd ed.). Guilford Press.</w:t>
      </w:r>
    </w:p>
    <w:p w14:paraId="1C212A21" w14:textId="77777777" w:rsidR="000E1B01"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Hayes, J. R., &amp; Berninger, V. W. (2014). Cognitive processes in writing. In </w:t>
      </w:r>
      <w:r>
        <w:rPr>
          <w:rFonts w:ascii="Times New Roman" w:eastAsia="Times New Roman" w:hAnsi="Times New Roman" w:cs="Times New Roman"/>
          <w:i/>
          <w:iCs/>
          <w:sz w:val="24"/>
          <w:szCs w:val="24"/>
        </w:rPr>
        <w:t>Oxford University Press eBooks</w:t>
      </w:r>
      <w:r>
        <w:rPr>
          <w:rFonts w:ascii="Times New Roman" w:eastAsia="Times New Roman" w:hAnsi="Times New Roman" w:cs="Times New Roman"/>
          <w:sz w:val="24"/>
          <w:szCs w:val="24"/>
        </w:rPr>
        <w:t xml:space="preserve"> (pp. 3–15). </w:t>
      </w:r>
      <w:hyperlink r:id="rId17">
        <w:r>
          <w:rPr>
            <w:rFonts w:ascii="Times New Roman" w:eastAsia="Times New Roman" w:hAnsi="Times New Roman" w:cs="Times New Roman"/>
            <w:color w:val="1155CC"/>
            <w:sz w:val="24"/>
            <w:szCs w:val="24"/>
            <w:u w:val="single"/>
          </w:rPr>
          <w:t>https://doi.org/10.1093/acprof:oso/9780199827282.003.0001</w:t>
        </w:r>
      </w:hyperlink>
      <w:r>
        <w:rPr>
          <w:rFonts w:ascii="Times New Roman" w:eastAsia="Times New Roman" w:hAnsi="Times New Roman" w:cs="Times New Roman"/>
          <w:sz w:val="24"/>
          <w:szCs w:val="24"/>
        </w:rPr>
        <w:tab/>
      </w:r>
    </w:p>
    <w:p w14:paraId="3F59EE0F" w14:textId="77777777" w:rsidR="000E1B01"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Hyland, K. (2005). </w:t>
      </w:r>
      <w:r>
        <w:rPr>
          <w:rFonts w:ascii="Times New Roman" w:eastAsia="Times New Roman" w:hAnsi="Times New Roman" w:cs="Times New Roman"/>
          <w:i/>
          <w:iCs/>
          <w:sz w:val="24"/>
          <w:szCs w:val="24"/>
        </w:rPr>
        <w:t>Metadiscourse: Exploring interaction in writing</w:t>
      </w:r>
      <w:r>
        <w:rPr>
          <w:rFonts w:ascii="Times New Roman" w:eastAsia="Times New Roman" w:hAnsi="Times New Roman" w:cs="Times New Roman"/>
          <w:sz w:val="24"/>
          <w:szCs w:val="24"/>
        </w:rPr>
        <w:t>. Continuum.</w:t>
      </w:r>
    </w:p>
    <w:p w14:paraId="780E8685" w14:textId="77777777" w:rsidR="000E1B01"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Hyland, K. (2009). </w:t>
      </w:r>
      <w:r>
        <w:rPr>
          <w:rFonts w:ascii="Times New Roman" w:eastAsia="Times New Roman" w:hAnsi="Times New Roman" w:cs="Times New Roman"/>
          <w:i/>
          <w:iCs/>
          <w:sz w:val="24"/>
          <w:szCs w:val="24"/>
        </w:rPr>
        <w:t>Academic discourse: English in a global context.</w:t>
      </w:r>
      <w:r>
        <w:rPr>
          <w:rFonts w:ascii="Times New Roman" w:eastAsia="Times New Roman" w:hAnsi="Times New Roman" w:cs="Times New Roman"/>
          <w:sz w:val="24"/>
          <w:szCs w:val="24"/>
        </w:rPr>
        <w:t xml:space="preserve"> Continuum International Publishing Group.</w:t>
      </w:r>
    </w:p>
    <w:p w14:paraId="604B8AAF" w14:textId="77777777" w:rsidR="000E1B01"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Hyland, K. (2017). Metadiscourse: What is it and where is it going? </w:t>
      </w:r>
      <w:r>
        <w:rPr>
          <w:rFonts w:ascii="Times New Roman" w:eastAsia="Times New Roman" w:hAnsi="Times New Roman" w:cs="Times New Roman"/>
          <w:i/>
          <w:iCs/>
          <w:sz w:val="24"/>
          <w:szCs w:val="24"/>
        </w:rPr>
        <w:t>Journal of Pragmatics, 113,</w:t>
      </w:r>
      <w:r>
        <w:rPr>
          <w:rFonts w:ascii="Times New Roman" w:eastAsia="Times New Roman" w:hAnsi="Times New Roman" w:cs="Times New Roman"/>
          <w:sz w:val="24"/>
          <w:szCs w:val="24"/>
        </w:rPr>
        <w:t xml:space="preserve"> 16–29. </w:t>
      </w:r>
      <w:hyperlink r:id="rId18">
        <w:r>
          <w:rPr>
            <w:rFonts w:ascii="Times New Roman" w:eastAsia="Times New Roman" w:hAnsi="Times New Roman" w:cs="Times New Roman"/>
            <w:color w:val="1155CC"/>
            <w:sz w:val="24"/>
            <w:szCs w:val="24"/>
            <w:u w:val="single"/>
          </w:rPr>
          <w:t>https://doi.org/10.1016/j.pragma.2017.03.007</w:t>
        </w:r>
      </w:hyperlink>
      <w:r>
        <w:rPr>
          <w:rFonts w:ascii="Times New Roman" w:eastAsia="Times New Roman" w:hAnsi="Times New Roman" w:cs="Times New Roman"/>
          <w:sz w:val="24"/>
          <w:szCs w:val="24"/>
        </w:rPr>
        <w:tab/>
      </w:r>
    </w:p>
    <w:p w14:paraId="4D144AD8" w14:textId="77777777" w:rsidR="000E1B01"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Hyland, K., &amp; Sancho Guinda, C. (Eds.). (2012). </w:t>
      </w:r>
      <w:r>
        <w:rPr>
          <w:rFonts w:ascii="Times New Roman" w:eastAsia="Times New Roman" w:hAnsi="Times New Roman" w:cs="Times New Roman"/>
          <w:i/>
          <w:iCs/>
          <w:sz w:val="24"/>
          <w:szCs w:val="24"/>
        </w:rPr>
        <w:t>Stance and voice in written academic genres.</w:t>
      </w:r>
      <w:r>
        <w:rPr>
          <w:rFonts w:ascii="Times New Roman" w:eastAsia="Times New Roman" w:hAnsi="Times New Roman" w:cs="Times New Roman"/>
          <w:sz w:val="24"/>
          <w:szCs w:val="24"/>
        </w:rPr>
        <w:t xml:space="preserve"> Palgrave Macmill.</w:t>
      </w:r>
    </w:p>
    <w:p w14:paraId="1E881032" w14:textId="77777777" w:rsidR="000E1B01"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Johnson, R. B., Onwuegbuzie, A. J., &amp; Turner, L. A. (2007). Toward a definition of mixed methods research. </w:t>
      </w:r>
      <w:r>
        <w:rPr>
          <w:rFonts w:ascii="Times New Roman" w:eastAsia="Times New Roman" w:hAnsi="Times New Roman" w:cs="Times New Roman"/>
          <w:i/>
          <w:iCs/>
          <w:sz w:val="24"/>
          <w:szCs w:val="24"/>
        </w:rPr>
        <w:t>Journal of Mixed Methods Research, 1</w:t>
      </w:r>
      <w:r>
        <w:rPr>
          <w:rFonts w:ascii="Times New Roman" w:eastAsia="Times New Roman" w:hAnsi="Times New Roman" w:cs="Times New Roman"/>
          <w:sz w:val="24"/>
          <w:szCs w:val="24"/>
        </w:rPr>
        <w:t xml:space="preserve">(2), 112–133. </w:t>
      </w:r>
      <w:hyperlink r:id="rId19">
        <w:r>
          <w:rPr>
            <w:rFonts w:ascii="Times New Roman" w:eastAsia="Times New Roman" w:hAnsi="Times New Roman" w:cs="Times New Roman"/>
            <w:color w:val="1155CC"/>
            <w:sz w:val="24"/>
            <w:szCs w:val="24"/>
            <w:u w:val="single"/>
          </w:rPr>
          <w:t>https://doi.org/10.1177/1558689806298224</w:t>
        </w:r>
      </w:hyperlink>
      <w:r>
        <w:rPr>
          <w:rFonts w:ascii="Times New Roman" w:eastAsia="Times New Roman" w:hAnsi="Times New Roman" w:cs="Times New Roman"/>
          <w:sz w:val="24"/>
          <w:szCs w:val="24"/>
        </w:rPr>
        <w:tab/>
      </w:r>
    </w:p>
    <w:p w14:paraId="64E20BD4" w14:textId="77777777" w:rsidR="000E1B01"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Kline, R. B. (2023). </w:t>
      </w:r>
      <w:r>
        <w:rPr>
          <w:rFonts w:ascii="Times New Roman" w:eastAsia="Times New Roman" w:hAnsi="Times New Roman" w:cs="Times New Roman"/>
          <w:i/>
          <w:iCs/>
          <w:sz w:val="24"/>
          <w:szCs w:val="24"/>
        </w:rPr>
        <w:t>Principles and Practice of Structural Equation Modeling.</w:t>
      </w:r>
      <w:r>
        <w:rPr>
          <w:rFonts w:ascii="Times New Roman" w:eastAsia="Times New Roman" w:hAnsi="Times New Roman" w:cs="Times New Roman"/>
          <w:sz w:val="24"/>
          <w:szCs w:val="24"/>
        </w:rPr>
        <w:t xml:space="preserve"> Guilford Publications.</w:t>
      </w:r>
    </w:p>
    <w:p w14:paraId="4EECB0A9" w14:textId="77777777" w:rsidR="000E1B01"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Lantolf, J. P., &amp; Thorne, S. L. (2006). </w:t>
      </w:r>
      <w:r>
        <w:rPr>
          <w:rFonts w:ascii="Times New Roman" w:eastAsia="Times New Roman" w:hAnsi="Times New Roman" w:cs="Times New Roman"/>
          <w:i/>
          <w:iCs/>
          <w:sz w:val="24"/>
          <w:szCs w:val="24"/>
        </w:rPr>
        <w:t>Sociocultural theory and the genesis of second language development.</w:t>
      </w:r>
      <w:r>
        <w:rPr>
          <w:rFonts w:ascii="Times New Roman" w:eastAsia="Times New Roman" w:hAnsi="Times New Roman" w:cs="Times New Roman"/>
          <w:sz w:val="24"/>
          <w:szCs w:val="24"/>
        </w:rPr>
        <w:t xml:space="preserve"> Oxford University Press.</w:t>
      </w:r>
    </w:p>
    <w:p w14:paraId="69422BC4" w14:textId="77777777" w:rsidR="000E1B01"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 M. R., &amp; Street, B. V. (1998). Student writing in higher education: An academic literacies approach. </w:t>
      </w:r>
      <w:r>
        <w:rPr>
          <w:rFonts w:ascii="Times New Roman" w:eastAsia="Times New Roman" w:hAnsi="Times New Roman" w:cs="Times New Roman"/>
          <w:i/>
          <w:iCs/>
          <w:sz w:val="24"/>
          <w:szCs w:val="24"/>
        </w:rPr>
        <w:t>Studies in Higher Education, 23(</w:t>
      </w:r>
      <w:r>
        <w:rPr>
          <w:rFonts w:ascii="Times New Roman" w:eastAsia="Times New Roman" w:hAnsi="Times New Roman" w:cs="Times New Roman"/>
          <w:sz w:val="24"/>
          <w:szCs w:val="24"/>
        </w:rPr>
        <w:t xml:space="preserve">2), 157–172. </w:t>
      </w:r>
      <w:hyperlink r:id="rId20">
        <w:r>
          <w:rPr>
            <w:rFonts w:ascii="Times New Roman" w:eastAsia="Times New Roman" w:hAnsi="Times New Roman" w:cs="Times New Roman"/>
            <w:color w:val="1155CC"/>
            <w:sz w:val="24"/>
            <w:szCs w:val="24"/>
            <w:u w:val="single"/>
          </w:rPr>
          <w:t>https://doi.org/10.1080/03075079812331380364</w:t>
        </w:r>
      </w:hyperlink>
      <w:r>
        <w:rPr>
          <w:rFonts w:ascii="Times New Roman" w:eastAsia="Times New Roman" w:hAnsi="Times New Roman" w:cs="Times New Roman"/>
          <w:sz w:val="24"/>
          <w:szCs w:val="24"/>
        </w:rPr>
        <w:tab/>
      </w:r>
    </w:p>
    <w:p w14:paraId="2A95FF62" w14:textId="77777777" w:rsidR="000E1B01"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Lehman, I. M. (2018). </w:t>
      </w:r>
      <w:r>
        <w:rPr>
          <w:rFonts w:ascii="Times New Roman" w:eastAsia="Times New Roman" w:hAnsi="Times New Roman" w:cs="Times New Roman"/>
          <w:i/>
          <w:iCs/>
          <w:sz w:val="24"/>
          <w:szCs w:val="24"/>
        </w:rPr>
        <w:t>Authorial presence in English academic texts: A comparative study of student writing across cultures and disciplines.</w:t>
      </w:r>
      <w:r>
        <w:rPr>
          <w:rFonts w:ascii="Times New Roman" w:eastAsia="Times New Roman" w:hAnsi="Times New Roman" w:cs="Times New Roman"/>
          <w:sz w:val="24"/>
          <w:szCs w:val="24"/>
        </w:rPr>
        <w:t xml:space="preserve"> Peter Lang. </w:t>
      </w:r>
      <w:hyperlink r:id="rId21">
        <w:r>
          <w:rPr>
            <w:rFonts w:ascii="Times New Roman" w:eastAsia="Times New Roman" w:hAnsi="Times New Roman" w:cs="Times New Roman"/>
            <w:color w:val="1155CC"/>
            <w:sz w:val="24"/>
            <w:szCs w:val="24"/>
            <w:u w:val="single"/>
          </w:rPr>
          <w:t>https://doi.org/10.3726/b14175</w:t>
        </w:r>
      </w:hyperlink>
    </w:p>
    <w:p w14:paraId="57730BC5" w14:textId="77777777" w:rsidR="000E1B01"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Mackey, A., &amp; Gass, S. M. (2022). </w:t>
      </w:r>
      <w:r>
        <w:rPr>
          <w:rFonts w:ascii="Times New Roman" w:eastAsia="Times New Roman" w:hAnsi="Times New Roman" w:cs="Times New Roman"/>
          <w:i/>
          <w:iCs/>
          <w:sz w:val="24"/>
          <w:szCs w:val="24"/>
        </w:rPr>
        <w:t>Second language research: Methodology and design</w:t>
      </w:r>
      <w:r>
        <w:rPr>
          <w:rFonts w:ascii="Times New Roman" w:eastAsia="Times New Roman" w:hAnsi="Times New Roman" w:cs="Times New Roman"/>
          <w:sz w:val="24"/>
          <w:szCs w:val="24"/>
        </w:rPr>
        <w:t xml:space="preserve"> (3rd ed.). Routledge.</w:t>
      </w:r>
    </w:p>
    <w:p w14:paraId="7397751B" w14:textId="77777777" w:rsidR="000E1B01"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Petty, R. E., Barden, J., &amp; Wheeler, S. C. (2009). The elaboration likelihood model of persuasion: Developing health promotions for sustained behavioral change. In R. J. DiClemente, R. A. Crosby, &amp; M. C. Kegler (Eds.), </w:t>
      </w:r>
      <w:r>
        <w:rPr>
          <w:rFonts w:ascii="Times New Roman" w:eastAsia="Times New Roman" w:hAnsi="Times New Roman" w:cs="Times New Roman"/>
          <w:i/>
          <w:iCs/>
          <w:sz w:val="24"/>
          <w:szCs w:val="24"/>
        </w:rPr>
        <w:t>Emerging theories in health promotion practice and research</w:t>
      </w:r>
      <w:r>
        <w:rPr>
          <w:rFonts w:ascii="Times New Roman" w:eastAsia="Times New Roman" w:hAnsi="Times New Roman" w:cs="Times New Roman"/>
          <w:sz w:val="24"/>
          <w:szCs w:val="24"/>
        </w:rPr>
        <w:t xml:space="preserve"> (2nd ed., pp. 185–214). Jossey-Bass/Wiley.</w:t>
      </w:r>
    </w:p>
    <w:p w14:paraId="14748645" w14:textId="77777777" w:rsidR="000E1B01"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Petty, R. E., &amp; Cacioppo, J. T. (1986). The elaboration likelihood model of persuasion. In L. Berkowitz (Ed.), </w:t>
      </w:r>
      <w:r>
        <w:rPr>
          <w:rFonts w:ascii="Times New Roman" w:eastAsia="Times New Roman" w:hAnsi="Times New Roman" w:cs="Times New Roman"/>
          <w:i/>
          <w:iCs/>
          <w:sz w:val="24"/>
          <w:szCs w:val="24"/>
        </w:rPr>
        <w:t>Advances in experimental social psychology</w:t>
      </w:r>
      <w:r>
        <w:rPr>
          <w:rFonts w:ascii="Times New Roman" w:eastAsia="Times New Roman" w:hAnsi="Times New Roman" w:cs="Times New Roman"/>
          <w:sz w:val="24"/>
          <w:szCs w:val="24"/>
        </w:rPr>
        <w:t xml:space="preserve"> (Vol. 19, pp. 123–205). Academic Press.</w:t>
      </w:r>
    </w:p>
    <w:p w14:paraId="554FC97A" w14:textId="77777777" w:rsidR="000E1B01"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Philippakos, Z. A. T., MacArthur, C., &amp; Wang, C. (2023). Writing motivation of college students in basic writing and first-year composition classes: Confirmatory factor analysis of scales on goals, self-efficacy, beliefs, and affect. </w:t>
      </w:r>
      <w:r>
        <w:rPr>
          <w:rFonts w:ascii="Times New Roman" w:eastAsia="Times New Roman" w:hAnsi="Times New Roman" w:cs="Times New Roman"/>
          <w:i/>
          <w:iCs/>
          <w:sz w:val="24"/>
          <w:szCs w:val="24"/>
        </w:rPr>
        <w:t>Journal of Learning Disabilities, 56</w:t>
      </w:r>
      <w:r>
        <w:rPr>
          <w:rFonts w:ascii="Times New Roman" w:eastAsia="Times New Roman" w:hAnsi="Times New Roman" w:cs="Times New Roman"/>
          <w:sz w:val="24"/>
          <w:szCs w:val="24"/>
        </w:rPr>
        <w:t xml:space="preserve">(1), 72–92. </w:t>
      </w:r>
      <w:hyperlink r:id="rId22">
        <w:r>
          <w:rPr>
            <w:rFonts w:ascii="Times New Roman" w:eastAsia="Times New Roman" w:hAnsi="Times New Roman" w:cs="Times New Roman"/>
            <w:color w:val="1155CC"/>
            <w:sz w:val="24"/>
            <w:szCs w:val="24"/>
            <w:u w:val="single"/>
          </w:rPr>
          <w:t>https://doi.org/10.1177/00222194211053238</w:t>
        </w:r>
      </w:hyperlink>
      <w:r>
        <w:rPr>
          <w:rFonts w:ascii="Times New Roman" w:eastAsia="Times New Roman" w:hAnsi="Times New Roman" w:cs="Times New Roman"/>
          <w:sz w:val="24"/>
          <w:szCs w:val="24"/>
        </w:rPr>
        <w:tab/>
      </w:r>
    </w:p>
    <w:p w14:paraId="70F120F0" w14:textId="77777777" w:rsidR="000E1B01"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Ryan, R. M., &amp; Deci, E. L. (2000). Intrinsic and extrinsic motivations: Classic definitions and new directions. </w:t>
      </w:r>
      <w:r>
        <w:rPr>
          <w:rFonts w:ascii="Times New Roman" w:eastAsia="Times New Roman" w:hAnsi="Times New Roman" w:cs="Times New Roman"/>
          <w:i/>
          <w:iCs/>
          <w:sz w:val="24"/>
          <w:szCs w:val="24"/>
        </w:rPr>
        <w:t>Contemporary Educational Psychology, 25</w:t>
      </w:r>
      <w:r>
        <w:rPr>
          <w:rFonts w:ascii="Times New Roman" w:eastAsia="Times New Roman" w:hAnsi="Times New Roman" w:cs="Times New Roman"/>
          <w:sz w:val="24"/>
          <w:szCs w:val="24"/>
        </w:rPr>
        <w:t>(1), 54–67. https://doi.org/10.1006/ceps.1999.1020</w:t>
      </w:r>
    </w:p>
    <w:p w14:paraId="6D898C4C" w14:textId="77777777" w:rsidR="000E1B01"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Sengupta, K. (1999). </w:t>
      </w:r>
      <w:r>
        <w:rPr>
          <w:rFonts w:ascii="Times New Roman" w:eastAsia="Times New Roman" w:hAnsi="Times New Roman" w:cs="Times New Roman"/>
          <w:i/>
          <w:iCs/>
          <w:sz w:val="24"/>
          <w:szCs w:val="24"/>
        </w:rPr>
        <w:t>Choice rules with fuzzy preferences: Some characterizations. Social Choice and Welfare, 16</w:t>
      </w:r>
      <w:r>
        <w:rPr>
          <w:rFonts w:ascii="Times New Roman" w:eastAsia="Times New Roman" w:hAnsi="Times New Roman" w:cs="Times New Roman"/>
          <w:sz w:val="24"/>
          <w:szCs w:val="24"/>
        </w:rPr>
        <w:t xml:space="preserve">(2), 259–272. </w:t>
      </w:r>
      <w:hyperlink r:id="rId23">
        <w:r>
          <w:rPr>
            <w:rFonts w:ascii="Times New Roman" w:eastAsia="Times New Roman" w:hAnsi="Times New Roman" w:cs="Times New Roman"/>
            <w:color w:val="1155CC"/>
            <w:sz w:val="24"/>
            <w:szCs w:val="24"/>
            <w:u w:val="single"/>
          </w:rPr>
          <w:t>https://doi.org/10.1007/s003550050143</w:t>
        </w:r>
      </w:hyperlink>
      <w:r>
        <w:rPr>
          <w:rFonts w:ascii="Times New Roman" w:eastAsia="Times New Roman" w:hAnsi="Times New Roman" w:cs="Times New Roman"/>
          <w:sz w:val="24"/>
          <w:szCs w:val="24"/>
        </w:rPr>
        <w:tab/>
      </w:r>
    </w:p>
    <w:p w14:paraId="50D83C37" w14:textId="77777777" w:rsidR="000E1B01"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Street, B. V. (1984). </w:t>
      </w:r>
      <w:r>
        <w:rPr>
          <w:rFonts w:ascii="Times New Roman" w:eastAsia="Times New Roman" w:hAnsi="Times New Roman" w:cs="Times New Roman"/>
          <w:i/>
          <w:iCs/>
          <w:sz w:val="24"/>
          <w:szCs w:val="24"/>
        </w:rPr>
        <w:t>Literacy in theory and practice</w:t>
      </w:r>
      <w:r>
        <w:rPr>
          <w:rFonts w:ascii="Times New Roman" w:eastAsia="Times New Roman" w:hAnsi="Times New Roman" w:cs="Times New Roman"/>
          <w:sz w:val="24"/>
          <w:szCs w:val="24"/>
        </w:rPr>
        <w:t>. Cambridge University Press.</w:t>
      </w:r>
    </w:p>
    <w:p w14:paraId="128AE685" w14:textId="77777777" w:rsidR="000E1B01"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Swales, J. M. (1990). </w:t>
      </w:r>
      <w:r>
        <w:rPr>
          <w:rFonts w:ascii="Times New Roman" w:eastAsia="Times New Roman" w:hAnsi="Times New Roman" w:cs="Times New Roman"/>
          <w:i/>
          <w:iCs/>
          <w:sz w:val="24"/>
          <w:szCs w:val="24"/>
        </w:rPr>
        <w:t>Genre analysis: English in academic and research settings</w:t>
      </w:r>
      <w:r>
        <w:rPr>
          <w:rFonts w:ascii="Times New Roman" w:eastAsia="Times New Roman" w:hAnsi="Times New Roman" w:cs="Times New Roman"/>
          <w:sz w:val="24"/>
          <w:szCs w:val="24"/>
        </w:rPr>
        <w:t>. Cambridge University Press.</w:t>
      </w:r>
    </w:p>
    <w:p w14:paraId="75BA3C4D" w14:textId="77777777" w:rsidR="000E1B01"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Tardy, C. M. (2006). Researching first and second language genre learning: A comparative review and a look ahead. </w:t>
      </w:r>
      <w:r>
        <w:rPr>
          <w:rFonts w:ascii="Times New Roman" w:eastAsia="Times New Roman" w:hAnsi="Times New Roman" w:cs="Times New Roman"/>
          <w:i/>
          <w:iCs/>
          <w:sz w:val="24"/>
          <w:szCs w:val="24"/>
        </w:rPr>
        <w:t>Journal of Second Language Writing, 15</w:t>
      </w:r>
      <w:r>
        <w:rPr>
          <w:rFonts w:ascii="Times New Roman" w:eastAsia="Times New Roman" w:hAnsi="Times New Roman" w:cs="Times New Roman"/>
          <w:sz w:val="24"/>
          <w:szCs w:val="24"/>
        </w:rPr>
        <w:t xml:space="preserve">(2), 79–101. </w:t>
      </w:r>
      <w:hyperlink r:id="rId24">
        <w:r>
          <w:rPr>
            <w:rFonts w:ascii="Times New Roman" w:eastAsia="Times New Roman" w:hAnsi="Times New Roman" w:cs="Times New Roman"/>
            <w:color w:val="1155CC"/>
            <w:sz w:val="24"/>
            <w:szCs w:val="24"/>
            <w:u w:val="single"/>
          </w:rPr>
          <w:t>https://doi.org/10.1016/j.jslw.2006.04.003</w:t>
        </w:r>
      </w:hyperlink>
      <w:r>
        <w:rPr>
          <w:rFonts w:ascii="Times New Roman" w:eastAsia="Times New Roman" w:hAnsi="Times New Roman" w:cs="Times New Roman"/>
          <w:sz w:val="24"/>
          <w:szCs w:val="24"/>
        </w:rPr>
        <w:tab/>
      </w:r>
    </w:p>
    <w:p w14:paraId="04A85AD3" w14:textId="77777777" w:rsidR="000E1B01"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Tardy, C. M., Sommer-Farias, B., &amp; Gevers, J. (2020). Teaching and researching genre knowledge: Toward an enhanced theoretical framework. </w:t>
      </w:r>
      <w:r>
        <w:rPr>
          <w:rFonts w:ascii="Times New Roman" w:eastAsia="Times New Roman" w:hAnsi="Times New Roman" w:cs="Times New Roman"/>
          <w:i/>
          <w:iCs/>
          <w:sz w:val="24"/>
          <w:szCs w:val="24"/>
        </w:rPr>
        <w:t>Written Communication, 37</w:t>
      </w:r>
      <w:r>
        <w:rPr>
          <w:rFonts w:ascii="Times New Roman" w:eastAsia="Times New Roman" w:hAnsi="Times New Roman" w:cs="Times New Roman"/>
          <w:sz w:val="24"/>
          <w:szCs w:val="24"/>
        </w:rPr>
        <w:t xml:space="preserve">(3), 287–321. </w:t>
      </w:r>
      <w:hyperlink r:id="rId25">
        <w:r>
          <w:rPr>
            <w:rFonts w:ascii="Times New Roman" w:eastAsia="Times New Roman" w:hAnsi="Times New Roman" w:cs="Times New Roman"/>
            <w:color w:val="1155CC"/>
            <w:sz w:val="24"/>
            <w:szCs w:val="24"/>
            <w:u w:val="single"/>
          </w:rPr>
          <w:t>https://doi.org/10.1177/0741088320916554</w:t>
        </w:r>
      </w:hyperlink>
      <w:r>
        <w:rPr>
          <w:rFonts w:ascii="Times New Roman" w:eastAsia="Times New Roman" w:hAnsi="Times New Roman" w:cs="Times New Roman"/>
          <w:sz w:val="24"/>
          <w:szCs w:val="24"/>
        </w:rPr>
        <w:tab/>
      </w:r>
    </w:p>
    <w:p w14:paraId="49B10613" w14:textId="77777777" w:rsidR="000E1B01"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Thomas, J. (1983). Cross-cultural pragmatic failure. </w:t>
      </w:r>
      <w:r>
        <w:rPr>
          <w:rFonts w:ascii="Times New Roman" w:eastAsia="Times New Roman" w:hAnsi="Times New Roman" w:cs="Times New Roman"/>
          <w:i/>
          <w:iCs/>
          <w:sz w:val="24"/>
          <w:szCs w:val="24"/>
        </w:rPr>
        <w:t>Applied Linguistics, 4</w:t>
      </w:r>
      <w:r>
        <w:rPr>
          <w:rFonts w:ascii="Times New Roman" w:eastAsia="Times New Roman" w:hAnsi="Times New Roman" w:cs="Times New Roman"/>
          <w:sz w:val="24"/>
          <w:szCs w:val="24"/>
        </w:rPr>
        <w:t>(2), 91–112.</w:t>
      </w:r>
    </w:p>
    <w:p w14:paraId="2742F44D" w14:textId="77777777" w:rsidR="000E1B01"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VanPatten, B., &amp; Williams, J. (Eds.). (2015). </w:t>
      </w:r>
      <w:r>
        <w:rPr>
          <w:rFonts w:ascii="Times New Roman" w:eastAsia="Times New Roman" w:hAnsi="Times New Roman" w:cs="Times New Roman"/>
          <w:i/>
          <w:iCs/>
          <w:sz w:val="24"/>
          <w:szCs w:val="24"/>
        </w:rPr>
        <w:t xml:space="preserve">Theories in second language acquisition: An introduction </w:t>
      </w:r>
      <w:r>
        <w:rPr>
          <w:rFonts w:ascii="Times New Roman" w:eastAsia="Times New Roman" w:hAnsi="Times New Roman" w:cs="Times New Roman"/>
          <w:sz w:val="24"/>
          <w:szCs w:val="24"/>
        </w:rPr>
        <w:t>(2nd ed.). Routledge.</w:t>
      </w:r>
    </w:p>
    <w:p w14:paraId="4EA2E8F1" w14:textId="77777777" w:rsidR="000E1B01"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Vygotsky, L. S. (1978). </w:t>
      </w:r>
      <w:r>
        <w:rPr>
          <w:rFonts w:ascii="Times New Roman" w:eastAsia="Times New Roman" w:hAnsi="Times New Roman" w:cs="Times New Roman"/>
          <w:i/>
          <w:iCs/>
          <w:sz w:val="24"/>
          <w:szCs w:val="24"/>
        </w:rPr>
        <w:t>Mind in society: Development of higher psychological processes</w:t>
      </w:r>
      <w:r>
        <w:rPr>
          <w:rFonts w:ascii="Times New Roman" w:eastAsia="Times New Roman" w:hAnsi="Times New Roman" w:cs="Times New Roman"/>
          <w:sz w:val="24"/>
          <w:szCs w:val="24"/>
        </w:rPr>
        <w:t xml:space="preserve"> (M. Cole, V. John-Steiner, S. Scribner, &amp; E. Souberman, Eds.). Harvard University Press. </w:t>
      </w:r>
      <w:hyperlink r:id="rId26">
        <w:r>
          <w:rPr>
            <w:rFonts w:ascii="Times New Roman" w:eastAsia="Times New Roman" w:hAnsi="Times New Roman" w:cs="Times New Roman"/>
            <w:color w:val="1155CC"/>
            <w:sz w:val="24"/>
            <w:szCs w:val="24"/>
            <w:u w:val="single"/>
          </w:rPr>
          <w:t>https://doi.org/10.2307/j.ctvjf9vz4</w:t>
        </w:r>
      </w:hyperlink>
      <w:r>
        <w:rPr>
          <w:rFonts w:ascii="Times New Roman" w:eastAsia="Times New Roman" w:hAnsi="Times New Roman" w:cs="Times New Roman"/>
          <w:sz w:val="24"/>
          <w:szCs w:val="24"/>
        </w:rPr>
        <w:tab/>
      </w:r>
    </w:p>
    <w:p w14:paraId="5ACF3D84" w14:textId="77777777" w:rsidR="000E1B01"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Wang, X., Hussin, S., &amp; Aziz, A. A. (2025). Investigating the relationship between self-regulated writing strategies and academic writing performance. </w:t>
      </w:r>
      <w:r>
        <w:rPr>
          <w:rFonts w:ascii="Times New Roman" w:eastAsia="Times New Roman" w:hAnsi="Times New Roman" w:cs="Times New Roman"/>
          <w:i/>
          <w:iCs/>
          <w:sz w:val="24"/>
          <w:szCs w:val="24"/>
        </w:rPr>
        <w:t>Arab World English Journal, 16</w:t>
      </w:r>
      <w:r>
        <w:rPr>
          <w:rFonts w:ascii="Times New Roman" w:eastAsia="Times New Roman" w:hAnsi="Times New Roman" w:cs="Times New Roman"/>
          <w:sz w:val="24"/>
          <w:szCs w:val="24"/>
        </w:rPr>
        <w:t xml:space="preserve">(3), 345–358. </w:t>
      </w:r>
      <w:hyperlink r:id="rId27">
        <w:r>
          <w:rPr>
            <w:rFonts w:ascii="Times New Roman" w:eastAsia="Times New Roman" w:hAnsi="Times New Roman" w:cs="Times New Roman"/>
            <w:color w:val="1155CC"/>
            <w:sz w:val="24"/>
            <w:szCs w:val="24"/>
            <w:u w:val="single"/>
          </w:rPr>
          <w:t>https://doi.org/10.24093/awej/vol16no3.21</w:t>
        </w:r>
      </w:hyperlink>
      <w:r>
        <w:rPr>
          <w:rFonts w:ascii="Times New Roman" w:eastAsia="Times New Roman" w:hAnsi="Times New Roman" w:cs="Times New Roman"/>
          <w:sz w:val="24"/>
          <w:szCs w:val="24"/>
        </w:rPr>
        <w:tab/>
      </w:r>
    </w:p>
    <w:p w14:paraId="5B77D43B" w14:textId="77777777" w:rsidR="000E1B01"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Yasuda, S. (2011). Genre-based tasks in foreign language writing: Developing writers’ genre awareness, linguistic knowledge, and writing competence. </w:t>
      </w:r>
      <w:r>
        <w:rPr>
          <w:rFonts w:ascii="Times New Roman" w:eastAsia="Times New Roman" w:hAnsi="Times New Roman" w:cs="Times New Roman"/>
          <w:i/>
          <w:iCs/>
          <w:sz w:val="24"/>
          <w:szCs w:val="24"/>
        </w:rPr>
        <w:t>Journal of Second Language Writing, 20</w:t>
      </w:r>
      <w:r>
        <w:rPr>
          <w:rFonts w:ascii="Times New Roman" w:eastAsia="Times New Roman" w:hAnsi="Times New Roman" w:cs="Times New Roman"/>
          <w:sz w:val="24"/>
          <w:szCs w:val="24"/>
        </w:rPr>
        <w:t xml:space="preserve">(2), 111–133. </w:t>
      </w:r>
      <w:hyperlink r:id="rId28">
        <w:r>
          <w:rPr>
            <w:rFonts w:ascii="Times New Roman" w:eastAsia="Times New Roman" w:hAnsi="Times New Roman" w:cs="Times New Roman"/>
            <w:color w:val="1155CC"/>
            <w:sz w:val="24"/>
            <w:szCs w:val="24"/>
            <w:u w:val="single"/>
          </w:rPr>
          <w:t>https://doi.org/10.1016/j.jslw.2011.03.001</w:t>
        </w:r>
      </w:hyperlink>
      <w:r>
        <w:rPr>
          <w:rFonts w:ascii="Times New Roman" w:eastAsia="Times New Roman" w:hAnsi="Times New Roman" w:cs="Times New Roman"/>
          <w:sz w:val="24"/>
          <w:szCs w:val="24"/>
        </w:rPr>
        <w:tab/>
        <w:t>.</w:t>
      </w:r>
    </w:p>
    <w:p w14:paraId="1F15CF20" w14:textId="77777777" w:rsidR="000E1B01"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Zhao, F., &amp; Chi, R. (2026). Identity positioning in teaching intercultural communication: A case study of Chinese EFL teachers. </w:t>
      </w:r>
      <w:r>
        <w:rPr>
          <w:rFonts w:ascii="Times New Roman" w:eastAsia="Times New Roman" w:hAnsi="Times New Roman" w:cs="Times New Roman"/>
          <w:i/>
          <w:iCs/>
          <w:sz w:val="24"/>
          <w:szCs w:val="24"/>
        </w:rPr>
        <w:t>Intercultural Communication Education, 9</w:t>
      </w:r>
      <w:r>
        <w:rPr>
          <w:rFonts w:ascii="Times New Roman" w:eastAsia="Times New Roman" w:hAnsi="Times New Roman" w:cs="Times New Roman"/>
          <w:sz w:val="24"/>
          <w:szCs w:val="24"/>
        </w:rPr>
        <w:t xml:space="preserve">(1), 103267. </w:t>
      </w:r>
      <w:hyperlink r:id="rId29">
        <w:r>
          <w:rPr>
            <w:rFonts w:ascii="Times New Roman" w:eastAsia="Times New Roman" w:hAnsi="Times New Roman" w:cs="Times New Roman"/>
            <w:color w:val="1155CC"/>
            <w:sz w:val="24"/>
            <w:szCs w:val="24"/>
            <w:u w:val="single"/>
          </w:rPr>
          <w:t>https://doi.org/10.29140/ice.v9n1.103267</w:t>
        </w:r>
      </w:hyperlink>
      <w:r>
        <w:rPr>
          <w:rFonts w:ascii="Times New Roman" w:eastAsia="Times New Roman" w:hAnsi="Times New Roman" w:cs="Times New Roman"/>
          <w:sz w:val="24"/>
          <w:szCs w:val="24"/>
        </w:rPr>
        <w:tab/>
      </w:r>
    </w:p>
    <w:sectPr w:rsidR="000E1B0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383B7" w14:textId="77777777" w:rsidR="00A75DFC" w:rsidRDefault="00A75DFC">
      <w:pPr>
        <w:spacing w:line="240" w:lineRule="auto"/>
      </w:pPr>
      <w:r>
        <w:separator/>
      </w:r>
    </w:p>
  </w:endnote>
  <w:endnote w:type="continuationSeparator" w:id="0">
    <w:p w14:paraId="7D986DC5" w14:textId="77777777" w:rsidR="00A75DFC" w:rsidRDefault="00A75D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A2FA9353-3202-4FB4-91F1-C7306F297A53}"/>
    <w:embedItalic r:id="rId2" w:fontKey="{DD5A8E76-96D4-489F-A5F3-2B1ADAE38951}"/>
  </w:font>
  <w:font w:name="Gungsuh">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3" w:fontKey="{09660833-63CD-4B21-9892-9B8EC6348AD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4A52F" w14:textId="77777777" w:rsidR="00A75DFC" w:rsidRDefault="00A75DFC">
      <w:r>
        <w:separator/>
      </w:r>
    </w:p>
  </w:footnote>
  <w:footnote w:type="continuationSeparator" w:id="0">
    <w:p w14:paraId="11ADBCF5" w14:textId="77777777" w:rsidR="00A75DFC" w:rsidRDefault="00A75D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6D3409"/>
    <w:multiLevelType w:val="hybridMultilevel"/>
    <w:tmpl w:val="9C88A5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0D352AC"/>
    <w:multiLevelType w:val="multilevel"/>
    <w:tmpl w:val="CB367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06857050">
    <w:abstractNumId w:val="0"/>
  </w:num>
  <w:num w:numId="2" w16cid:durableId="13256218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B01"/>
    <w:rsid w:val="00025D8A"/>
    <w:rsid w:val="000E1B01"/>
    <w:rsid w:val="00266ECA"/>
    <w:rsid w:val="0047324F"/>
    <w:rsid w:val="007D220A"/>
    <w:rsid w:val="00913738"/>
    <w:rsid w:val="00A75DFC"/>
    <w:rsid w:val="00EF2B6B"/>
    <w:rsid w:val="00F85E0F"/>
    <w:rsid w:val="517419F6"/>
    <w:rsid w:val="634214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4579F"/>
  <w15:docId w15:val="{DF61ED8F-80C6-4548-A535-7AAB27276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276" w:lineRule="auto"/>
    </w:pPr>
    <w:rPr>
      <w:sz w:val="22"/>
      <w:szCs w:val="22"/>
      <w:lang w:val="vi"/>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qFormat/>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qFormat/>
    <w:pPr>
      <w:keepNext/>
      <w:keepLines/>
      <w:spacing w:after="320"/>
    </w:pPr>
    <w:rPr>
      <w:color w:val="666666"/>
      <w:sz w:val="30"/>
      <w:szCs w:val="30"/>
    </w:rPr>
  </w:style>
  <w:style w:type="paragraph" w:styleId="Title">
    <w:name w:val="Title"/>
    <w:basedOn w:val="Normal"/>
    <w:next w:val="Normal"/>
    <w:qFormat/>
    <w:pPr>
      <w:keepNext/>
      <w:keepLines/>
      <w:spacing w:after="60"/>
    </w:pPr>
    <w:rPr>
      <w:sz w:val="52"/>
      <w:szCs w:val="52"/>
    </w:rPr>
  </w:style>
  <w:style w:type="table" w:customStyle="1" w:styleId="TableNormal0">
    <w:name w:val="TableNormal"/>
    <w:qFormat/>
    <w:tblPr>
      <w:tblCellMar>
        <w:top w:w="100" w:type="dxa"/>
        <w:left w:w="100" w:type="dxa"/>
        <w:bottom w:w="100" w:type="dxa"/>
        <w:right w:w="100" w:type="dxa"/>
      </w:tblCellMar>
    </w:tblPr>
  </w:style>
  <w:style w:type="table" w:customStyle="1" w:styleId="Style10">
    <w:name w:val="_Style 10"/>
    <w:basedOn w:val="TableNormal0"/>
    <w:qFormat/>
    <w:tblPr/>
  </w:style>
  <w:style w:type="table" w:customStyle="1" w:styleId="Style11">
    <w:name w:val="_Style 11"/>
    <w:basedOn w:val="TableNormal0"/>
    <w:qFormat/>
    <w:tblPr/>
  </w:style>
  <w:style w:type="table" w:customStyle="1" w:styleId="Style12">
    <w:name w:val="_Style 12"/>
    <w:basedOn w:val="TableNormal0"/>
    <w:qFormat/>
    <w:tblPr/>
  </w:style>
  <w:style w:type="table" w:customStyle="1" w:styleId="Style13">
    <w:name w:val="_Style 13"/>
    <w:basedOn w:val="TableNormal0"/>
    <w:qFormat/>
    <w:tblPr/>
  </w:style>
  <w:style w:type="table" w:customStyle="1" w:styleId="Style14">
    <w:name w:val="_Style 14"/>
    <w:basedOn w:val="TableNormal0"/>
    <w:qFormat/>
    <w:tblPr/>
  </w:style>
  <w:style w:type="table" w:customStyle="1" w:styleId="Style15">
    <w:name w:val="_Style 15"/>
    <w:basedOn w:val="TableNormal0"/>
    <w:qFormat/>
    <w:tblPr/>
  </w:style>
  <w:style w:type="table" w:customStyle="1" w:styleId="Style16">
    <w:name w:val="_Style 16"/>
    <w:basedOn w:val="TableNormal0"/>
    <w:qFormat/>
    <w:tblPr/>
  </w:style>
  <w:style w:type="table" w:customStyle="1" w:styleId="Style17">
    <w:name w:val="_Style 17"/>
    <w:basedOn w:val="TableNormal0"/>
    <w:qFormat/>
    <w:tblPr/>
  </w:style>
  <w:style w:type="character" w:styleId="Hyperlink">
    <w:name w:val="Hyperlink"/>
    <w:basedOn w:val="DefaultParagraphFont"/>
    <w:rsid w:val="00266ECA"/>
    <w:rPr>
      <w:color w:val="0000FF" w:themeColor="hyperlink"/>
      <w:u w:val="single"/>
    </w:rPr>
  </w:style>
  <w:style w:type="character" w:styleId="UnresolvedMention">
    <w:name w:val="Unresolved Mention"/>
    <w:basedOn w:val="DefaultParagraphFont"/>
    <w:uiPriority w:val="99"/>
    <w:semiHidden/>
    <w:unhideWhenUsed/>
    <w:rsid w:val="00266E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jstor.org/stable/40171130" TargetMode="External"/><Relationship Id="rId13" Type="http://schemas.openxmlformats.org/officeDocument/2006/relationships/hyperlink" Target="https://doi.org/10.22599/jesla.37" TargetMode="External"/><Relationship Id="rId18" Type="http://schemas.openxmlformats.org/officeDocument/2006/relationships/hyperlink" Target="https://doi.org/10.1016/j.pragma.2017.03.007" TargetMode="External"/><Relationship Id="rId26" Type="http://schemas.openxmlformats.org/officeDocument/2006/relationships/hyperlink" Target="https://doi.org/10.2307/j.ctvjf9vz4" TargetMode="External"/><Relationship Id="rId3" Type="http://schemas.openxmlformats.org/officeDocument/2006/relationships/settings" Target="settings.xml"/><Relationship Id="rId21" Type="http://schemas.openxmlformats.org/officeDocument/2006/relationships/hyperlink" Target="https://doi.org/10.3726/b14175" TargetMode="External"/><Relationship Id="rId7" Type="http://schemas.openxmlformats.org/officeDocument/2006/relationships/hyperlink" Target="https://doi.org/10.1016/j.heliyon.2024.e24169" TargetMode="External"/><Relationship Id="rId12" Type="http://schemas.openxmlformats.org/officeDocument/2006/relationships/hyperlink" Target="https://doi.org/10.1177/0741088388005002004" TargetMode="External"/><Relationship Id="rId17" Type="http://schemas.openxmlformats.org/officeDocument/2006/relationships/hyperlink" Target="https://doi.org/10.1093/acprof:oso/9780199827282.003.0001" TargetMode="External"/><Relationship Id="rId25" Type="http://schemas.openxmlformats.org/officeDocument/2006/relationships/hyperlink" Target="https://doi.org/10.1177/0741088320916554" TargetMode="External"/><Relationship Id="rId2" Type="http://schemas.openxmlformats.org/officeDocument/2006/relationships/styles" Target="styles.xml"/><Relationship Id="rId16" Type="http://schemas.openxmlformats.org/officeDocument/2006/relationships/hyperlink" Target="https://doi.org/10.1016/j.lmot.2024.102007" TargetMode="External"/><Relationship Id="rId20" Type="http://schemas.openxmlformats.org/officeDocument/2006/relationships/hyperlink" Target="https://doi.org/10.1080/03075079812331380364" TargetMode="External"/><Relationship Id="rId29" Type="http://schemas.openxmlformats.org/officeDocument/2006/relationships/hyperlink" Target="https://doi.org/10.29140/ice.v9n1.10326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jslw.2018.02.005" TargetMode="External"/><Relationship Id="rId24" Type="http://schemas.openxmlformats.org/officeDocument/2006/relationships/hyperlink" Target="https://doi.org/10.1016/j.jslw.2006.04.003" TargetMode="External"/><Relationship Id="rId5" Type="http://schemas.openxmlformats.org/officeDocument/2006/relationships/footnotes" Target="footnotes.xml"/><Relationship Id="rId15" Type="http://schemas.openxmlformats.org/officeDocument/2006/relationships/hyperlink" Target="https://doi.org/10.1016/j.jslw.2018.03.001" TargetMode="External"/><Relationship Id="rId23" Type="http://schemas.openxmlformats.org/officeDocument/2006/relationships/hyperlink" Target="https://doi.org/10.1007/s003550050143" TargetMode="External"/><Relationship Id="rId28" Type="http://schemas.openxmlformats.org/officeDocument/2006/relationships/hyperlink" Target="https://doi.org/10.1016/j.jslw.2011.03.001" TargetMode="External"/><Relationship Id="rId10" Type="http://schemas.openxmlformats.org/officeDocument/2006/relationships/hyperlink" Target="https://doi.org/10.1016/j.pragma.2014.02.007" TargetMode="External"/><Relationship Id="rId19" Type="http://schemas.openxmlformats.org/officeDocument/2006/relationships/hyperlink" Target="https://doi.org/10.1177/1558689806298224"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1191/1478088706qp063oa" TargetMode="External"/><Relationship Id="rId14" Type="http://schemas.openxmlformats.org/officeDocument/2006/relationships/hyperlink" Target="https://doi.org/10.1016/j.asw.2025.101012" TargetMode="External"/><Relationship Id="rId22" Type="http://schemas.openxmlformats.org/officeDocument/2006/relationships/hyperlink" Target="https://doi.org/10.1177/00222194211053238" TargetMode="External"/><Relationship Id="rId27" Type="http://schemas.openxmlformats.org/officeDocument/2006/relationships/hyperlink" Target="https://doi.org/10.24093/awej/vol16no3.21" TargetMode="Externa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18</Pages>
  <Words>8020</Words>
  <Characters>36336</Characters>
  <Application>Microsoft Office Word</Application>
  <DocSecurity>0</DocSecurity>
  <Lines>3028</Lines>
  <Paragraphs>1774</Paragraphs>
  <ScaleCrop>false</ScaleCrop>
  <Company/>
  <LinksUpToDate>false</LinksUpToDate>
  <CharactersWithSpaces>42582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thien</dc:creator>
  <cp:lastModifiedBy>Pham Huu Duc</cp:lastModifiedBy>
  <cp:revision>5</cp:revision>
  <dcterms:created xsi:type="dcterms:W3CDTF">2026-06-05T15:20:00Z</dcterms:created>
  <dcterms:modified xsi:type="dcterms:W3CDTF">2026-06-05T15:28:00Z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54040FEEEE3F4A69B8FE86885F46BFEC_12</vt:lpwstr>
  </property>
</Properties>
</file>