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25151D" w14:textId="77777777" w:rsidR="00722EDE" w:rsidRPr="00E40940" w:rsidRDefault="008F4DB5" w:rsidP="00722EDE">
      <w:pPr>
        <w:pStyle w:val="RALs-Title"/>
        <w:rPr>
          <w:rFonts w:asciiTheme="majorBidi" w:hAnsiTheme="majorBidi" w:cstheme="majorBidi"/>
          <w:rtl/>
          <w:lang w:val="en-US"/>
        </w:rPr>
      </w:pPr>
      <w:r>
        <w:rPr>
          <w:rFonts w:asciiTheme="majorBidi" w:hAnsiTheme="majorBidi" w:cstheme="majorBidi"/>
          <w:lang w:val="en-US"/>
        </w:rPr>
        <w:t>AI-Driven Self-Directed Language Learning: Strategy Use and Gender Perspectives among Vietnamese EFL Undergraduates</w:t>
      </w:r>
    </w:p>
    <w:p w14:paraId="6DA7A404" w14:textId="77777777" w:rsidR="00722EDE" w:rsidRPr="00E40940" w:rsidRDefault="008F4DB5" w:rsidP="00722EDE">
      <w:pPr>
        <w:pStyle w:val="RALs-Authors"/>
        <w:rPr>
          <w:rFonts w:asciiTheme="majorBidi" w:hAnsiTheme="majorBidi" w:cstheme="majorBidi"/>
        </w:rPr>
      </w:pPr>
      <w:r>
        <w:rPr>
          <w:rFonts w:asciiTheme="majorBidi" w:hAnsiTheme="majorBidi" w:cstheme="majorBidi"/>
        </w:rPr>
        <w:t>Huynh Thanh Trung</w:t>
      </w:r>
      <w:r>
        <w:rPr>
          <w:rStyle w:val="FootnoteReference"/>
          <w:rFonts w:asciiTheme="majorBidi" w:hAnsiTheme="majorBidi" w:cstheme="majorBidi"/>
        </w:rPr>
        <w:t xml:space="preserve"> </w:t>
      </w:r>
      <w:r>
        <w:rPr>
          <w:rStyle w:val="FootnoteReference"/>
          <w:rFonts w:asciiTheme="majorBidi" w:hAnsiTheme="majorBidi" w:cstheme="majorBidi"/>
        </w:rPr>
        <w:footnoteReference w:id="1"/>
      </w:r>
      <w:r>
        <w:rPr>
          <w:rFonts w:asciiTheme="majorBidi" w:hAnsiTheme="majorBidi" w:cstheme="majorBidi"/>
        </w:rPr>
        <w:t>, Chau Thi Kim Ngan</w:t>
      </w:r>
      <w:r>
        <w:rPr>
          <w:rStyle w:val="FootnoteReference"/>
          <w:rFonts w:asciiTheme="majorBidi" w:hAnsiTheme="majorBidi" w:cstheme="majorBidi"/>
        </w:rPr>
        <w:t xml:space="preserve"> </w:t>
      </w:r>
      <w:r>
        <w:rPr>
          <w:rStyle w:val="FootnoteReference"/>
          <w:rFonts w:asciiTheme="majorBidi" w:hAnsiTheme="majorBidi" w:cstheme="majorBidi"/>
        </w:rPr>
        <w:footnoteReference w:id="2"/>
      </w:r>
      <w:r>
        <w:rPr>
          <w:rFonts w:asciiTheme="majorBidi" w:hAnsiTheme="majorBidi" w:cstheme="majorBidi"/>
        </w:rPr>
        <w:t>, Vo Thi Tien</w:t>
      </w:r>
      <w:r>
        <w:rPr>
          <w:rStyle w:val="FootnoteReference"/>
          <w:rFonts w:asciiTheme="majorBidi" w:hAnsiTheme="majorBidi" w:cstheme="majorBidi"/>
        </w:rPr>
        <w:t xml:space="preserve"> </w:t>
      </w:r>
      <w:r>
        <w:rPr>
          <w:rStyle w:val="FootnoteReference"/>
          <w:rFonts w:asciiTheme="majorBidi" w:hAnsiTheme="majorBidi" w:cstheme="majorBidi"/>
        </w:rPr>
        <w:footnoteReference w:id="3"/>
      </w:r>
      <w:r>
        <w:rPr>
          <w:rFonts w:asciiTheme="majorBidi" w:hAnsiTheme="majorBidi" w:cstheme="majorBidi"/>
        </w:rPr>
        <w:t>, &amp; Tran Quoc Thao</w:t>
      </w:r>
      <w:r>
        <w:rPr>
          <w:rStyle w:val="FootnoteReference"/>
          <w:rFonts w:asciiTheme="majorBidi" w:hAnsiTheme="majorBidi" w:cstheme="majorBidi"/>
        </w:rPr>
        <w:t xml:space="preserve"> </w:t>
      </w:r>
      <w:r>
        <w:rPr>
          <w:rStyle w:val="FootnoteReference"/>
          <w:rFonts w:asciiTheme="majorBidi" w:hAnsiTheme="majorBidi" w:cstheme="majorBidi"/>
        </w:rPr>
        <w:footnoteReference w:id="4"/>
      </w:r>
    </w:p>
    <w:p w14:paraId="534C2D48" w14:textId="77777777" w:rsidR="00316775" w:rsidRDefault="00316775" w:rsidP="00722EDE">
      <w:pPr>
        <w:pStyle w:val="RALs-HeadingsNoIndent"/>
        <w:rPr>
          <w:rFonts w:asciiTheme="majorBidi" w:hAnsiTheme="majorBidi" w:cstheme="majorBidi"/>
          <w:sz w:val="24"/>
          <w:szCs w:val="24"/>
        </w:rPr>
      </w:pPr>
    </w:p>
    <w:p w14:paraId="2C71F880" w14:textId="77777777" w:rsidR="00722EDE" w:rsidRPr="00E40940" w:rsidRDefault="00722EDE" w:rsidP="00722EDE">
      <w:pPr>
        <w:pStyle w:val="RALs-HeadingsNoIndent"/>
        <w:rPr>
          <w:rFonts w:asciiTheme="majorBidi" w:hAnsiTheme="majorBidi" w:cstheme="majorBidi"/>
          <w:sz w:val="24"/>
          <w:szCs w:val="24"/>
        </w:rPr>
      </w:pPr>
      <w:r>
        <w:rPr>
          <w:rFonts w:asciiTheme="majorBidi" w:hAnsiTheme="majorBidi" w:cstheme="majorBidi"/>
          <w:sz w:val="24"/>
          <w:szCs w:val="24"/>
        </w:rPr>
        <w:t>Abstract</w:t>
      </w:r>
    </w:p>
    <w:p w14:paraId="2B571C12" w14:textId="77777777" w:rsidR="00722EDE" w:rsidRPr="00C66A0F" w:rsidRDefault="00D47302" w:rsidP="00FB096F">
      <w:pPr>
        <w:shd w:val="clear" w:color="auto" w:fill="FFFFFF"/>
        <w:spacing w:before="0" w:after="0" w:line="240" w:lineRule="auto"/>
        <w:ind w:firstLine="0"/>
        <w:rPr>
          <w:rFonts w:asciiTheme="majorBidi" w:hAnsiTheme="majorBidi" w:cstheme="majorBidi"/>
          <w:color w:val="333333"/>
          <w:sz w:val="24"/>
          <w:szCs w:val="24"/>
          <w:highlight w:val="cyan"/>
        </w:rPr>
      </w:pPr>
      <w:r>
        <w:rPr>
          <w:rFonts w:asciiTheme="majorBidi" w:hAnsiTheme="majorBidi" w:cstheme="majorBidi"/>
          <w:sz w:val="24"/>
          <w:szCs w:val="24"/>
        </w:rPr>
        <w:t>Artificial intelligence (AI) has recently emerged as a prominent force in language learning, opening opportunities to foster students’ learning autonomy and strengthen their self-directed learning skills. AI is reshaping educational settings at a dramatic pace. Yet evidence on how students in Vietnam actually put these tools to work in their own learning remains limited. This study examined how Vietnamese EFL undergraduates at one vocational college employ AI-driven self-directed language learning strategies (AI-SDLLS), and whether gender shapes strategy use. Adopting a convergent mixed-methods design, it paired a questionnaire (N = 52) with semi-structured interviews (n = 16). The findings revealed a consistent descriptive pattern: cognitive strategies such as grammar correction, translation, and idea generation were used most frequently, metacognitive and affective strategies surfaced at moderate levels, and social strategies ranked lowest. This pattern suggests that students gravitate toward AI for immediate, task-level support but underuse it for planning, self-monitoring, or collaborative learning. As for gender, independent-samples t-tests detected no significant differences across the four subscales, though the modest sample limits statistical power. Given its single-institution scope, the study offers context-specific evidence rather than a national picture. Targeted AI-literacy and metacognitive-strategy instruction, coupled with teacher preparation for responsible integration, could support Vietnamese classrooms as they move toward English as a Second Language (ESL) practice.</w:t>
      </w:r>
    </w:p>
    <w:p w14:paraId="47DCA2A6" w14:textId="77777777" w:rsidR="00722EDE" w:rsidRDefault="00722EDE" w:rsidP="00CE7554">
      <w:pPr>
        <w:spacing w:before="240"/>
        <w:rPr>
          <w:rFonts w:asciiTheme="majorBidi" w:hAnsiTheme="majorBidi" w:cstheme="majorBidi"/>
          <w:sz w:val="24"/>
          <w:szCs w:val="24"/>
        </w:rPr>
      </w:pPr>
      <w:r>
        <w:rPr>
          <w:rFonts w:asciiTheme="majorBidi" w:hAnsiTheme="majorBidi" w:cstheme="majorBidi"/>
          <w:b/>
          <w:bCs/>
          <w:i/>
          <w:iCs/>
          <w:sz w:val="24"/>
          <w:szCs w:val="24"/>
        </w:rPr>
        <w:t>Keywords</w:t>
      </w:r>
      <w:r>
        <w:rPr>
          <w:rFonts w:asciiTheme="majorBidi" w:hAnsiTheme="majorBidi" w:cstheme="majorBidi"/>
          <w:b/>
          <w:bCs/>
          <w:sz w:val="24"/>
          <w:szCs w:val="24"/>
        </w:rPr>
        <w:t xml:space="preserve">: </w:t>
      </w:r>
      <w:r>
        <w:rPr>
          <w:rFonts w:asciiTheme="majorBidi" w:hAnsiTheme="majorBidi" w:cstheme="majorBidi"/>
          <w:sz w:val="24"/>
          <w:szCs w:val="24"/>
        </w:rPr>
        <w:t>artificial intelligence, EFL to ESL, gender, self-directed language learning strategies</w:t>
      </w:r>
    </w:p>
    <w:p w14:paraId="76589869" w14:textId="77777777" w:rsidR="007B32FB" w:rsidRPr="00F80631" w:rsidRDefault="007B32FB" w:rsidP="00722EDE">
      <w:pPr>
        <w:spacing w:before="240"/>
        <w:ind w:left="993" w:hanging="993"/>
        <w:rPr>
          <w:rFonts w:asciiTheme="majorBidi" w:hAnsiTheme="majorBidi" w:cstheme="majorBidi"/>
          <w:b/>
          <w:bCs/>
          <w:sz w:val="24"/>
          <w:szCs w:val="24"/>
        </w:rPr>
      </w:pPr>
    </w:p>
    <w:p w14:paraId="3FDBF9BE" w14:textId="77777777" w:rsidR="00722EDE" w:rsidRPr="00E40940" w:rsidRDefault="00722EDE" w:rsidP="00515819">
      <w:pPr>
        <w:pStyle w:val="RALs-Heading1"/>
        <w:spacing w:before="0" w:after="120" w:line="480" w:lineRule="auto"/>
        <w:rPr>
          <w:rFonts w:asciiTheme="majorBidi" w:hAnsiTheme="majorBidi" w:cstheme="majorBidi"/>
          <w:b w:val="0"/>
          <w:bCs w:val="0"/>
          <w:sz w:val="24"/>
          <w:szCs w:val="24"/>
        </w:rPr>
      </w:pPr>
      <w:r>
        <w:rPr>
          <w:rFonts w:asciiTheme="majorBidi" w:hAnsiTheme="majorBidi" w:cstheme="majorBidi"/>
          <w:sz w:val="24"/>
          <w:szCs w:val="24"/>
        </w:rPr>
        <w:t>1. Introduction</w:t>
      </w:r>
    </w:p>
    <w:p w14:paraId="7508C2C4" w14:textId="577C935E" w:rsidR="008D6242" w:rsidRPr="008A138E" w:rsidRDefault="00D47302" w:rsidP="00515819">
      <w:pPr>
        <w:spacing w:before="0" w:afterLines="120" w:after="288" w:line="480" w:lineRule="auto"/>
        <w:rPr>
          <w:sz w:val="24"/>
          <w:szCs w:val="24"/>
          <w:highlight w:val="cyan"/>
        </w:rPr>
      </w:pPr>
      <w:r>
        <w:rPr>
          <w:sz w:val="24"/>
          <w:szCs w:val="24"/>
        </w:rPr>
        <w:t xml:space="preserve">Vietnam’s English-language landscape is shifting. Driven by national policy and labor-market demand, English is increasingly positioned as a language for higher education, employment, and global participation (Tran et al., 2019). This repositioning is best understood as a policy and pedagogical aspiration, an ongoing reorientation toward English as a second language (ESL), rather than a completed sociolinguistic shift, since for most Vietnamese </w:t>
      </w:r>
      <w:r>
        <w:rPr>
          <w:sz w:val="24"/>
          <w:szCs w:val="24"/>
        </w:rPr>
        <w:lastRenderedPageBreak/>
        <w:t>learners English remains a foreign language encountered largely in the classroom.</w:t>
      </w:r>
      <w:r w:rsidR="008A138E">
        <w:rPr>
          <w:sz w:val="24"/>
          <w:szCs w:val="24"/>
        </w:rPr>
        <w:t xml:space="preserve"> </w:t>
      </w:r>
      <w:r w:rsidR="008A138E" w:rsidRPr="008A138E">
        <w:rPr>
          <w:sz w:val="24"/>
          <w:szCs w:val="24"/>
        </w:rPr>
        <w:t>Realizing this aspiration depends in part on what happens beyond the classroom walls, where AI is fast becoming part of everyday study.</w:t>
      </w:r>
    </w:p>
    <w:p w14:paraId="6C24C3C0" w14:textId="77777777" w:rsidR="008D6242" w:rsidRPr="00C66A0F" w:rsidRDefault="00D47302" w:rsidP="00515819">
      <w:pPr>
        <w:spacing w:before="0" w:afterLines="120" w:after="288" w:line="480" w:lineRule="auto"/>
        <w:rPr>
          <w:sz w:val="24"/>
          <w:szCs w:val="24"/>
          <w:highlight w:val="cyan"/>
        </w:rPr>
      </w:pPr>
      <w:r>
        <w:rPr>
          <w:sz w:val="24"/>
          <w:szCs w:val="24"/>
        </w:rPr>
        <w:t>Since 2022, generative AI tools such as ChatGPT or Grammarly have moved from the periphery to the mainstream of undergraduate study (Annamalai et al., 2023; Lam, 2024). On-demand correction, translation, conversational practice: these tools personalize instruction at a scale classroom teachers cannot easily reach (Baskara &amp; Mukarto, 2023; Benek, 2025). Consider the learner pursuing self-directed learning (SDL), “an awareness and control over ways to learn” (Curry et al., 2017, p. 18). For that learner, AI looks like the ideal extension of teacher-led instruction: scaffolding available anywhere, anytime, tailored to whatever question arises.</w:t>
      </w:r>
    </w:p>
    <w:p w14:paraId="597681FA" w14:textId="552D2DC6" w:rsidR="008D6242" w:rsidRPr="00C66A0F" w:rsidRDefault="00D47302" w:rsidP="00515819">
      <w:pPr>
        <w:spacing w:before="0" w:afterLines="120" w:after="288" w:line="480" w:lineRule="auto"/>
        <w:rPr>
          <w:sz w:val="24"/>
          <w:szCs w:val="24"/>
          <w:highlight w:val="cyan"/>
        </w:rPr>
      </w:pPr>
      <w:r>
        <w:rPr>
          <w:sz w:val="24"/>
          <w:szCs w:val="24"/>
        </w:rPr>
        <w:t>The empirical record on AI in EFL settings grows fast, but unevenly. Three limitations recur. First, most studies fix on a single tool, usually ChatGPT, and a single skill, usually writing (Pham &amp; Cao, 2025). Second, many report what learners think AI is good for, not the strategic moves learners actually make once AI enters the picture (Wang et al., 2025; Yang &amp; Li, 2024). Third, despite an obvious conceptual fit, vanishingly few anchor their analysis in established frameworks of language learning strategies or self-regulated learning (Zhang &amp; Zou, 2024). The Vietnamese picture narrows further: classroom studies dominate, and gender’s role in AI-mediated SDL remains largely unexamined (</w:t>
      </w:r>
      <w:r w:rsidR="004D0465">
        <w:rPr>
          <w:sz w:val="24"/>
          <w:szCs w:val="24"/>
        </w:rPr>
        <w:t>Ngo</w:t>
      </w:r>
      <w:r>
        <w:rPr>
          <w:sz w:val="24"/>
          <w:szCs w:val="24"/>
        </w:rPr>
        <w:t xml:space="preserve"> et al., 2025; Vo &amp; Nguyen, 2024).</w:t>
      </w:r>
    </w:p>
    <w:p w14:paraId="32653CF2" w14:textId="77777777" w:rsidR="003F638B" w:rsidRPr="00C66A0F" w:rsidRDefault="004D0DEA" w:rsidP="00515819">
      <w:pPr>
        <w:spacing w:before="0" w:afterLines="120" w:after="288" w:line="480" w:lineRule="auto"/>
        <w:rPr>
          <w:sz w:val="24"/>
          <w:szCs w:val="24"/>
          <w:highlight w:val="cyan"/>
        </w:rPr>
      </w:pPr>
      <w:r>
        <w:rPr>
          <w:sz w:val="24"/>
          <w:szCs w:val="24"/>
        </w:rPr>
        <w:t xml:space="preserve">These gaps matter for two reasons, both tied to the conference theme. First, the EFL-to-ESL transition is, for the individual learner, a shift away from compliance with classroom routines toward autonomous, lifelong engagement with English; lacking evidence on how learners self-direct with AI, teacher educators cannot prepare future teachers to scaffold that </w:t>
      </w:r>
      <w:r>
        <w:rPr>
          <w:sz w:val="24"/>
          <w:szCs w:val="24"/>
        </w:rPr>
        <w:lastRenderedPageBreak/>
        <w:t>shift responsibly. Equity is the second. Should male and female students draw on AI in systematically different ways, generic guidance will quietly leave some students under-served.</w:t>
      </w:r>
    </w:p>
    <w:p w14:paraId="70DFE3AE" w14:textId="77777777" w:rsidR="003F638B" w:rsidRPr="00D47302" w:rsidRDefault="003F638B" w:rsidP="00515819">
      <w:pPr>
        <w:spacing w:before="0" w:afterLines="120" w:after="288" w:line="480" w:lineRule="auto"/>
        <w:rPr>
          <w:sz w:val="24"/>
          <w:szCs w:val="24"/>
        </w:rPr>
      </w:pPr>
      <w:r>
        <w:rPr>
          <w:sz w:val="24"/>
          <w:szCs w:val="24"/>
        </w:rPr>
        <w:t>Accordingly, this study addresses two research questions:</w:t>
      </w:r>
    </w:p>
    <w:p w14:paraId="582E8D42" w14:textId="77777777" w:rsidR="003F638B" w:rsidRPr="00D47302" w:rsidRDefault="003F638B" w:rsidP="00515819">
      <w:pPr>
        <w:spacing w:before="0" w:afterLines="120" w:after="288" w:line="480" w:lineRule="auto"/>
        <w:rPr>
          <w:sz w:val="24"/>
          <w:szCs w:val="24"/>
        </w:rPr>
      </w:pPr>
      <w:r>
        <w:rPr>
          <w:sz w:val="24"/>
          <w:szCs w:val="24"/>
        </w:rPr>
        <w:t>RQ1. What AI-driven self-directed language learning strategies (AI-SDLLS) do Vietnamese EFL students use?</w:t>
      </w:r>
    </w:p>
    <w:p w14:paraId="0CEE1158" w14:textId="77777777" w:rsidR="003F638B" w:rsidRPr="00D47302" w:rsidRDefault="003F638B" w:rsidP="00515819">
      <w:pPr>
        <w:spacing w:before="0" w:afterLines="120" w:after="288" w:line="480" w:lineRule="auto"/>
        <w:rPr>
          <w:sz w:val="24"/>
          <w:szCs w:val="24"/>
        </w:rPr>
      </w:pPr>
      <w:r>
        <w:rPr>
          <w:sz w:val="24"/>
          <w:szCs w:val="24"/>
        </w:rPr>
        <w:t>RQ2. What are gender differences in using AI-SDLLS in self-directed language learning?</w:t>
      </w:r>
    </w:p>
    <w:p w14:paraId="241C13D1" w14:textId="77777777" w:rsidR="003F638B" w:rsidRPr="003F2933" w:rsidRDefault="00D47302" w:rsidP="00515819">
      <w:pPr>
        <w:autoSpaceDE w:val="0"/>
        <w:autoSpaceDN w:val="0"/>
        <w:adjustRightInd w:val="0"/>
        <w:spacing w:before="0" w:afterLines="120" w:after="288" w:line="480" w:lineRule="auto"/>
        <w:rPr>
          <w:rFonts w:asciiTheme="majorBidi" w:eastAsiaTheme="minorHAnsi" w:hAnsiTheme="majorBidi" w:cstheme="majorBidi"/>
          <w:sz w:val="24"/>
          <w:szCs w:val="24"/>
        </w:rPr>
      </w:pPr>
      <w:r>
        <w:rPr>
          <w:sz w:val="24"/>
          <w:szCs w:val="24"/>
        </w:rPr>
        <w:t>To answer these questions, we adopt a convergent mixed-methods design at a vocational college in Ho Chi Minh City, pairing a questionnaire (N = 52) with semi-structured interviews (n = 16). Vocational-college learners merit particular attention here: relative to the four-year university students who dominate the Vietnamese evidence base, they more often combine study with paid work, enter with more uneven English proficiency, and depend on more variable digital access, conditions that plausibly shape both how readily they turn to AI and which strategies they can sustain. The study offers a localized portrait of AI-mediated SDL in a Vietnamese setting rarely visible in the international literature, alongside practical guidance for teachers, teacher educators, and policy actors readying students for English as a second language.</w:t>
      </w:r>
    </w:p>
    <w:p w14:paraId="64311144" w14:textId="77777777" w:rsidR="00722EDE" w:rsidRPr="003F2933" w:rsidRDefault="00722EDE" w:rsidP="003D25EB">
      <w:pPr>
        <w:pStyle w:val="RALs-Heading1"/>
        <w:spacing w:before="0" w:afterLines="120" w:after="288" w:line="480" w:lineRule="auto"/>
        <w:rPr>
          <w:rFonts w:asciiTheme="majorBidi" w:hAnsiTheme="majorBidi" w:cstheme="majorBidi"/>
          <w:sz w:val="24"/>
          <w:szCs w:val="24"/>
        </w:rPr>
      </w:pPr>
      <w:r>
        <w:rPr>
          <w:rFonts w:asciiTheme="majorBidi" w:hAnsiTheme="majorBidi" w:cstheme="majorBidi"/>
          <w:sz w:val="24"/>
          <w:szCs w:val="24"/>
        </w:rPr>
        <w:t>2. Literature Review</w:t>
      </w:r>
    </w:p>
    <w:p w14:paraId="49703D76" w14:textId="77777777" w:rsidR="00B13FAF" w:rsidRPr="003F2933" w:rsidRDefault="00B13FAF" w:rsidP="003D25EB">
      <w:pPr>
        <w:pStyle w:val="RALs-Heading2"/>
        <w:spacing w:before="0" w:afterLines="120" w:after="288" w:line="480" w:lineRule="auto"/>
        <w:rPr>
          <w:rFonts w:asciiTheme="majorBidi" w:hAnsiTheme="majorBidi" w:cstheme="majorBidi"/>
          <w:sz w:val="24"/>
          <w:szCs w:val="24"/>
        </w:rPr>
      </w:pPr>
      <w:r>
        <w:rPr>
          <w:rFonts w:asciiTheme="majorBidi" w:hAnsiTheme="majorBidi" w:cstheme="majorBidi"/>
          <w:sz w:val="24"/>
          <w:szCs w:val="24"/>
        </w:rPr>
        <w:t>2.1. Self-Directed Learning and Language Learning Strategies</w:t>
      </w:r>
    </w:p>
    <w:p w14:paraId="71F2B6F3" w14:textId="77777777" w:rsidR="008D6242" w:rsidRPr="00C66A0F" w:rsidRDefault="00D47302" w:rsidP="003D25EB">
      <w:pPr>
        <w:spacing w:before="0" w:afterLines="120" w:after="288" w:line="480" w:lineRule="auto"/>
        <w:rPr>
          <w:sz w:val="24"/>
          <w:szCs w:val="24"/>
          <w:highlight w:val="cyan"/>
        </w:rPr>
      </w:pPr>
      <w:r>
        <w:rPr>
          <w:sz w:val="24"/>
          <w:szCs w:val="24"/>
        </w:rPr>
        <w:t xml:space="preserve">Self-directed learning is most often traced to Knowles (1975). He cast it as a process in which adults “take the initiative…in diagnosing their learning needs, formulating goals, identifying human and material resources, choosing and implementing appropriate learning </w:t>
      </w:r>
      <w:r>
        <w:rPr>
          <w:sz w:val="24"/>
          <w:szCs w:val="24"/>
        </w:rPr>
        <w:lastRenderedPageBreak/>
        <w:t>strategies, and evaluating outcomes” (p. 18). Curry et al. (2017) later recast SDL for the language classroom as self-directed language learning (SDLL), foregrounding awareness, management, and autonomy. Pemberton and Cooker (2012) sharpened the picture: SDLL surfaces when “students take the initiative in setting their own goals, developing learning strategies, or employing various learning styles” (p. 203).</w:t>
      </w:r>
    </w:p>
    <w:p w14:paraId="07617560" w14:textId="77777777" w:rsidR="00B13FAF" w:rsidRPr="003F2933" w:rsidRDefault="00D47302" w:rsidP="003D25EB">
      <w:pPr>
        <w:spacing w:before="0" w:afterLines="120" w:after="288" w:line="480" w:lineRule="auto"/>
        <w:rPr>
          <w:rFonts w:asciiTheme="majorBidi" w:hAnsiTheme="majorBidi" w:cstheme="majorBidi"/>
          <w:sz w:val="24"/>
          <w:szCs w:val="24"/>
        </w:rPr>
      </w:pPr>
      <w:r>
        <w:rPr>
          <w:sz w:val="24"/>
          <w:szCs w:val="24"/>
        </w:rPr>
        <w:t>Strategic action sits at the core of SDLL. Building on O’Malley and Chamot (1990) and Oxford (1990, 2016), researchers typically sort language learning strategies into four families: cognitive (manipulating the language: translating, summarizing, repetition), metacognitive (planning, monitoring, and evaluating one’s own learning), affective (managing emotions, motivation, and anxiety), and social (interacting and collaborating with others). Hawkins (2018) reworked this taxonomy into cognitive, affective, sociocultural-interactive, and meta-strategies. This study keeps the four-strategy framework. It dominates Vietnamese EFL research and yields categories that hold up across studies.</w:t>
      </w:r>
    </w:p>
    <w:p w14:paraId="40E0A955" w14:textId="77777777" w:rsidR="00EB6D23" w:rsidRPr="003F2933" w:rsidRDefault="00EB6D23" w:rsidP="003D25EB">
      <w:pPr>
        <w:pStyle w:val="RALs-Heading2"/>
        <w:spacing w:before="0" w:afterLines="120" w:after="288" w:line="480" w:lineRule="auto"/>
        <w:rPr>
          <w:rFonts w:asciiTheme="majorBidi" w:hAnsiTheme="majorBidi" w:cstheme="majorBidi"/>
          <w:sz w:val="24"/>
          <w:szCs w:val="24"/>
        </w:rPr>
      </w:pPr>
      <w:r>
        <w:rPr>
          <w:rFonts w:asciiTheme="majorBidi" w:hAnsiTheme="majorBidi" w:cstheme="majorBidi"/>
          <w:sz w:val="24"/>
          <w:szCs w:val="24"/>
        </w:rPr>
        <w:t>2.2. AI Tools in Language Learning</w:t>
      </w:r>
    </w:p>
    <w:p w14:paraId="05CD0A55" w14:textId="77777777" w:rsidR="008F6781" w:rsidRPr="00C66A0F" w:rsidRDefault="00D47302" w:rsidP="003D25EB">
      <w:pPr>
        <w:spacing w:before="0" w:afterLines="120" w:after="288" w:line="480" w:lineRule="auto"/>
        <w:rPr>
          <w:sz w:val="24"/>
          <w:szCs w:val="24"/>
          <w:highlight w:val="cyan"/>
        </w:rPr>
      </w:pPr>
      <w:r>
        <w:rPr>
          <w:sz w:val="24"/>
          <w:szCs w:val="24"/>
        </w:rPr>
        <w:t>AI entered the SDLL toolkit precisely as learners began reaching for support beyond the classroom. Three classes of tools matter most here. Generative AI applications such as ChatGPT and Gemini generate human-like text that learners mine for explanation, paraphrasing, and feedback (Caruccio et al., 2024; Peres et al., 2023). Intelligent personal assistants like Alexa and Siri draw on natural language processing to “tailor the pace, approaches, content, and activities of learning to match the interests and needs of individual language learners” (Chen et al., 2021, p. 205). Then come mobile-assisted language learning (MALL) applications (Duolingo, Busuu, HelloTalk) which fold practice into everyday digital routines (Lai et al., 2022).</w:t>
      </w:r>
    </w:p>
    <w:p w14:paraId="26121A4D" w14:textId="77777777" w:rsidR="00EB6D23" w:rsidRPr="003F2933" w:rsidRDefault="00D47302" w:rsidP="003D25EB">
      <w:pPr>
        <w:spacing w:before="0" w:afterLines="120" w:after="288" w:line="480" w:lineRule="auto"/>
        <w:rPr>
          <w:sz w:val="24"/>
          <w:szCs w:val="24"/>
        </w:rPr>
      </w:pPr>
      <w:r>
        <w:rPr>
          <w:sz w:val="24"/>
          <w:szCs w:val="24"/>
        </w:rPr>
        <w:lastRenderedPageBreak/>
        <w:t>Empirical work links these tools to gains across the four skills. Writing benefits from AI support for idea generation, organization, grammar correction, and stylistic feedback (Abdalkader, 2022; Jensen et al., 2024; Zhang et al., 2023). In speaking, chatbots and speech-recognition systems open up low-stakes rehearsal and real-time pronunciation feedback (Rukiati et al., 2023). Listening widens too: AI-mediated platforms such as Netflix and YouTube (subtitles, translation, replay) expand exposure to authentic input (Suryana et al., 2020). For reading, dictionary-style lookups, summaries, and text-to-speech tools feed vocabulary growth and comprehension (Herawati et al., 2022). Yet most reviews caution that AI’s pedagogical value rests less on the tool than on how learners use it (Mohebbi, 2025; Wang et al., 2025). This is where SDLL frameworks become useful.</w:t>
      </w:r>
    </w:p>
    <w:p w14:paraId="1F87B106" w14:textId="77777777" w:rsidR="00EB6D23" w:rsidRPr="003F2933" w:rsidRDefault="00EB6D23" w:rsidP="003D25EB">
      <w:pPr>
        <w:pStyle w:val="RALs-Heading2"/>
        <w:spacing w:before="0" w:afterLines="120" w:after="288" w:line="480" w:lineRule="auto"/>
        <w:rPr>
          <w:rFonts w:asciiTheme="majorBidi" w:hAnsiTheme="majorBidi" w:cstheme="majorBidi"/>
          <w:sz w:val="24"/>
          <w:szCs w:val="24"/>
        </w:rPr>
      </w:pPr>
      <w:r>
        <w:rPr>
          <w:rFonts w:asciiTheme="majorBidi" w:hAnsiTheme="majorBidi" w:cstheme="majorBidi"/>
          <w:sz w:val="24"/>
          <w:szCs w:val="24"/>
        </w:rPr>
        <w:t>2.3. AI-SDLL: A Strategic View of Learner Engagement</w:t>
      </w:r>
    </w:p>
    <w:p w14:paraId="339EFDBC" w14:textId="77777777" w:rsidR="00974B66" w:rsidRDefault="00000000">
      <w:pPr>
        <w:spacing w:before="0" w:afterLines="120" w:after="288" w:line="480" w:lineRule="auto"/>
        <w:rPr>
          <w:sz w:val="24"/>
          <w:szCs w:val="24"/>
        </w:rPr>
      </w:pPr>
      <w:r>
        <w:rPr>
          <w:sz w:val="24"/>
          <w:szCs w:val="24"/>
        </w:rPr>
        <w:t>Framing AI use through this four-strategy lens clarifies what AI-SDLLS denotes: AI does not replace the strategy categories so much as extend each one. Cognitively, learners offload translation, grammar correction, summarizing, and vocabulary practice to AI, which returns immediate, low-cost feedback. Metacognitively, AI can scaffold goal-setting, planning, self-monitoring, and reflection, prompting learners to evaluate their answers or ask how to improve, though these uses demand more deliberate initiative. Affectively, AI offers low-stakes, non-judgmental practice that can ease anxiety and sustain motivation, while also risking over-reliance. Socially, AI serves as an interactional partner or a rehearsal space for human contact, from conversational chatbots to checking one’s language before speaking with others. Read this way, AI-SDLLS are not new strategy types but familiar strategies re-mediated by AI affordances, which makes Oxford’s (2016) taxonomy a productive frame for analyzing them.</w:t>
      </w:r>
    </w:p>
    <w:p w14:paraId="7578E4DE" w14:textId="77777777" w:rsidR="00EB6D23" w:rsidRPr="003F2933" w:rsidRDefault="00D47302" w:rsidP="003D25EB">
      <w:pPr>
        <w:spacing w:before="0" w:afterLines="120" w:after="288" w:line="480" w:lineRule="auto"/>
        <w:rPr>
          <w:sz w:val="24"/>
          <w:szCs w:val="24"/>
        </w:rPr>
      </w:pPr>
      <w:r>
        <w:rPr>
          <w:sz w:val="24"/>
          <w:szCs w:val="24"/>
        </w:rPr>
        <w:t xml:space="preserve">Recent studies converge on three findings about AI-mediated SDL. First, learners reach for AI most readily on cognitive tasks (translation, correction, vocabulary lookup), where entry </w:t>
      </w:r>
      <w:r>
        <w:rPr>
          <w:sz w:val="24"/>
          <w:szCs w:val="24"/>
        </w:rPr>
        <w:lastRenderedPageBreak/>
        <w:t>costs little and feedback arrives at once (Annamalai et al., 2023; Jeon, 2022). Second, metacognitive use is harder to cultivate without explicit instruction; left to their own devices, learners deploy AI reactively rather than for planning or monitoring (Wang et al., 2024; White, 2008). Third, affective benefits (lower anxiety, higher motivation) are real, yet ambivalent, shadowed by recurrent risks of over-reliance and shallow engagement (Cotton et al., 2023; Özkan et al., 2024). Social use lags furthest behind. Conversational practice with chatbots stays thinly developed, reflecting both technological limits and learners’ preference for human partners (Rukiati et al., 2023).</w:t>
      </w:r>
    </w:p>
    <w:p w14:paraId="39F1151B" w14:textId="77777777" w:rsidR="008F6781" w:rsidRPr="003F2933" w:rsidRDefault="008F6781" w:rsidP="003D25EB">
      <w:pPr>
        <w:pStyle w:val="RALs-Heading2"/>
        <w:spacing w:before="0" w:afterLines="120" w:after="288" w:line="480" w:lineRule="auto"/>
        <w:rPr>
          <w:sz w:val="24"/>
          <w:szCs w:val="24"/>
        </w:rPr>
      </w:pPr>
      <w:r>
        <w:rPr>
          <w:sz w:val="24"/>
          <w:szCs w:val="24"/>
        </w:rPr>
        <w:t>2.4. Gender and AI-Mediated Language Learning</w:t>
      </w:r>
    </w:p>
    <w:p w14:paraId="70C37B68" w14:textId="1B4D6C3A" w:rsidR="008F6781" w:rsidRPr="003F2933" w:rsidRDefault="00D47302" w:rsidP="003D25EB">
      <w:pPr>
        <w:spacing w:before="0" w:afterLines="120" w:after="288" w:line="480" w:lineRule="auto"/>
        <w:rPr>
          <w:sz w:val="24"/>
          <w:szCs w:val="24"/>
        </w:rPr>
      </w:pPr>
      <w:r>
        <w:rPr>
          <w:sz w:val="24"/>
          <w:szCs w:val="24"/>
        </w:rPr>
        <w:t xml:space="preserve">Gender has long drawn interest in language learning strategy research. Female learners are sometimes reported as heavier users of metacognitive and social strategies (Alhaysony, 2017; Montero-SaizAja, 2021), though the findings waver across contexts. In AI-mediated studies the evidence thins considerably. Selim (2024) found that female Saudi undergraduates turned to Grammarly and GPT-3 to polish their academic writing more readily than male peers, even if the confidence gains stayed uncertain. Liu and Wang (2024) detected no significant gender difference in critical-thinking gains from AI in EFL literature classes. Reporting greater listening-comprehension difficulty among female learners, Huang (2024) tentatively linked it to less efficient processing strategies. Closer to home, </w:t>
      </w:r>
      <w:r w:rsidR="004D0465">
        <w:rPr>
          <w:sz w:val="24"/>
          <w:szCs w:val="24"/>
        </w:rPr>
        <w:t>Ngo</w:t>
      </w:r>
      <w:r>
        <w:rPr>
          <w:sz w:val="24"/>
          <w:szCs w:val="24"/>
        </w:rPr>
        <w:t xml:space="preserve"> et al. (2025) found no significant gender differences in overall AI use, yet pressed for finer-grained analysis of strategic patterns.</w:t>
      </w:r>
    </w:p>
    <w:p w14:paraId="16623361" w14:textId="77777777" w:rsidR="008F6781" w:rsidRPr="003F2933" w:rsidRDefault="008F6781" w:rsidP="003D25EB">
      <w:pPr>
        <w:pStyle w:val="RALs-Heading2"/>
        <w:spacing w:before="0" w:afterLines="120" w:after="288" w:line="480" w:lineRule="auto"/>
        <w:rPr>
          <w:sz w:val="24"/>
          <w:szCs w:val="24"/>
        </w:rPr>
      </w:pPr>
      <w:r>
        <w:rPr>
          <w:sz w:val="24"/>
          <w:szCs w:val="24"/>
        </w:rPr>
        <w:t>2.5. AI-SDLL in Vietnamese Higher Education</w:t>
      </w:r>
    </w:p>
    <w:p w14:paraId="5059C79C" w14:textId="7532D912" w:rsidR="008F6781" w:rsidRPr="003F2933" w:rsidRDefault="00382175" w:rsidP="003D25EB">
      <w:pPr>
        <w:spacing w:before="0" w:afterLines="120" w:after="288" w:line="480" w:lineRule="auto"/>
        <w:rPr>
          <w:sz w:val="24"/>
          <w:szCs w:val="24"/>
        </w:rPr>
      </w:pPr>
      <w:r>
        <w:rPr>
          <w:sz w:val="24"/>
          <w:szCs w:val="24"/>
        </w:rPr>
        <w:t>Vietnamese empirical work on AI-mediated SDL has expanded rapidly since 2023, but it clusters in two areas: students’ perceptions of generative AI for writing tasks (</w:t>
      </w:r>
      <w:r w:rsidR="00B21B0A">
        <w:rPr>
          <w:sz w:val="24"/>
          <w:szCs w:val="24"/>
        </w:rPr>
        <w:t>Ho</w:t>
      </w:r>
      <w:r>
        <w:rPr>
          <w:sz w:val="24"/>
          <w:szCs w:val="24"/>
        </w:rPr>
        <w:t xml:space="preserve"> et al., 2024; Vo &amp; Nguyen, 2024) and survey-based explorations of self-efficacy (</w:t>
      </w:r>
      <w:r w:rsidR="004D0465">
        <w:rPr>
          <w:sz w:val="24"/>
          <w:szCs w:val="24"/>
        </w:rPr>
        <w:t>Ngo</w:t>
      </w:r>
      <w:r>
        <w:rPr>
          <w:sz w:val="24"/>
          <w:szCs w:val="24"/>
        </w:rPr>
        <w:t xml:space="preserve"> et al., 2025). Such </w:t>
      </w:r>
      <w:r>
        <w:rPr>
          <w:sz w:val="24"/>
          <w:szCs w:val="24"/>
        </w:rPr>
        <w:lastRenderedPageBreak/>
        <w:t>work establishes that Vietnamese undergraduates use AI often and regard it favorably. What it rarely does is examine the four-strategy structure typical of Oxford-style research, folding strategy use instead into broad categories. They also draw predominantly on four-year university samples; vocational colleges, which enroll a substantial share of post-secondary learners in Vietnam and differ in proficiency, time pressure, and digital infrastructure, are largely absent from the published record. The strategic profile of vocational EFL learners therefore remains an evidence gap with direct implications for an ESL-oriented system, where learners must self-regulate across longer time horizons and more diverse communicative settings.</w:t>
      </w:r>
    </w:p>
    <w:p w14:paraId="1F4B8E6E" w14:textId="77777777" w:rsidR="008F6781" w:rsidRPr="003F2933" w:rsidRDefault="008F6781" w:rsidP="003D25EB">
      <w:pPr>
        <w:pStyle w:val="RALs-Heading2"/>
        <w:spacing w:before="0" w:afterLines="120" w:after="288" w:line="480" w:lineRule="auto"/>
        <w:rPr>
          <w:sz w:val="24"/>
          <w:szCs w:val="24"/>
        </w:rPr>
      </w:pPr>
      <w:r>
        <w:rPr>
          <w:sz w:val="24"/>
          <w:szCs w:val="24"/>
        </w:rPr>
        <w:t>2.6. The Present Study</w:t>
      </w:r>
    </w:p>
    <w:p w14:paraId="30A3D4E0" w14:textId="77777777" w:rsidR="00EB6D23" w:rsidRPr="003F2933" w:rsidRDefault="008F6781" w:rsidP="003D25EB">
      <w:pPr>
        <w:spacing w:before="0" w:afterLines="120" w:after="288" w:line="480" w:lineRule="auto"/>
        <w:rPr>
          <w:sz w:val="24"/>
          <w:szCs w:val="24"/>
        </w:rPr>
      </w:pPr>
      <w:r>
        <w:rPr>
          <w:sz w:val="24"/>
          <w:szCs w:val="24"/>
        </w:rPr>
        <w:t>This review exposes three connected gaps. The first is empirical: despite rapid growth in research on AI in Vietnamese EFL, no study has mapped the full four-strategy AI-SDLLS profile (cognitive, metacognitive, affective, and social) that learners enact when they self-direct with AI, as strategy use is typically folded into broad perception categories. The second is contextual: this evidence base draws overwhelmingly on four-year university samples, leaving vocational-college learners, who differ in proficiency, time pressure, and digital access, largely undocumented, even though they form a substantial share of Vietnam’s post-secondary population. The third is methodological: gender and strategy patterns have rarely been examined with converging quantitative and qualitative evidence, so survey-level patterns remain unexplained by accounts of how learners actually use AI. The present study addresses these three gaps together and locates its findings within the conference theme of moving from EFL to ESL practice.</w:t>
      </w:r>
    </w:p>
    <w:p w14:paraId="182A50B9" w14:textId="77777777" w:rsidR="00EB6D23" w:rsidRPr="003F2933" w:rsidRDefault="00EB6D23" w:rsidP="003D25EB">
      <w:pPr>
        <w:spacing w:before="0" w:afterLines="120" w:after="288" w:line="480" w:lineRule="auto"/>
        <w:rPr>
          <w:rFonts w:asciiTheme="majorBidi" w:hAnsiTheme="majorBidi" w:cstheme="majorBidi"/>
          <w:i/>
          <w:iCs/>
          <w:sz w:val="24"/>
          <w:szCs w:val="24"/>
        </w:rPr>
      </w:pPr>
    </w:p>
    <w:p w14:paraId="2A67774A" w14:textId="77777777" w:rsidR="00722EDE" w:rsidRPr="003F2933" w:rsidRDefault="00722EDE" w:rsidP="003D25EB">
      <w:pPr>
        <w:pStyle w:val="RALs-Heading1"/>
        <w:spacing w:before="0" w:afterLines="120" w:after="288" w:line="480" w:lineRule="auto"/>
        <w:rPr>
          <w:rFonts w:asciiTheme="majorBidi" w:hAnsiTheme="majorBidi" w:cstheme="majorBidi"/>
          <w:sz w:val="24"/>
          <w:szCs w:val="24"/>
        </w:rPr>
      </w:pPr>
      <w:r>
        <w:rPr>
          <w:rFonts w:asciiTheme="majorBidi" w:hAnsiTheme="majorBidi" w:cstheme="majorBidi"/>
          <w:sz w:val="24"/>
          <w:szCs w:val="24"/>
        </w:rPr>
        <w:lastRenderedPageBreak/>
        <w:t>3. Methodology</w:t>
      </w:r>
    </w:p>
    <w:p w14:paraId="5E58208E" w14:textId="77777777" w:rsidR="003E316B" w:rsidRPr="003F2933" w:rsidRDefault="003E316B" w:rsidP="003D25EB">
      <w:pPr>
        <w:pStyle w:val="RALs-Heading2"/>
        <w:spacing w:before="0" w:afterLines="120" w:after="288" w:line="480" w:lineRule="auto"/>
        <w:rPr>
          <w:sz w:val="24"/>
          <w:szCs w:val="24"/>
        </w:rPr>
      </w:pPr>
      <w:r>
        <w:rPr>
          <w:sz w:val="24"/>
          <w:szCs w:val="24"/>
        </w:rPr>
        <w:t>3.1. Research Design</w:t>
      </w:r>
    </w:p>
    <w:p w14:paraId="75E5DD25" w14:textId="77777777" w:rsidR="003E316B" w:rsidRPr="003F2933" w:rsidRDefault="003E316B" w:rsidP="003D25EB">
      <w:pPr>
        <w:spacing w:before="0" w:afterLines="120" w:after="288" w:line="480" w:lineRule="auto"/>
        <w:rPr>
          <w:sz w:val="24"/>
          <w:szCs w:val="24"/>
        </w:rPr>
      </w:pPr>
      <w:r>
        <w:rPr>
          <w:sz w:val="24"/>
          <w:szCs w:val="24"/>
        </w:rPr>
        <w:t>A convergent mixed-methods design (Creswell &amp; Plano Clark, 2018) was used to address the two research questions. In a convergent design, quantitative and qualitative data are collected concurrently, analyzed separately, and then merged so that each strand can corroborate, explain, or complicate the other. This logic suited the study’s dual aim: the closed-ended questionnaire was needed to establish the group-level frequency and patterning of AI-SDLLS, whereas the semi-structured interviews were needed to show how individual students actually enacted those strategies and reasoned about gender, detail that frequencies alone cannot convey. The two strands were given equal priority and were merged at the interpretation stage, where interview accounts were read against each subscale to judge whether they confirmed the survey pattern (for example, the prominence of cognitive uses), explained it (for example, why social uses lagged), or complicated it. Because the data came from a single institution, the design was intended to yield an in-depth, context-specific account rather than findings generalizable to all Vietnamese EFL undergraduates.</w:t>
      </w:r>
    </w:p>
    <w:p w14:paraId="0E61D46C" w14:textId="77777777" w:rsidR="003E316B" w:rsidRPr="003F2933" w:rsidRDefault="003E316B" w:rsidP="003D25EB">
      <w:pPr>
        <w:pStyle w:val="RALs-Heading2"/>
        <w:spacing w:before="0" w:afterLines="120" w:after="288" w:line="480" w:lineRule="auto"/>
        <w:rPr>
          <w:sz w:val="24"/>
          <w:szCs w:val="24"/>
        </w:rPr>
      </w:pPr>
      <w:r>
        <w:rPr>
          <w:sz w:val="24"/>
          <w:szCs w:val="24"/>
        </w:rPr>
        <w:t>3.2. Research Context</w:t>
      </w:r>
    </w:p>
    <w:p w14:paraId="5A1EF000" w14:textId="0337090E" w:rsidR="003E316B" w:rsidRPr="003F2933" w:rsidRDefault="003E316B" w:rsidP="003D25EB">
      <w:pPr>
        <w:spacing w:before="0" w:afterLines="120" w:after="288" w:line="480" w:lineRule="auto"/>
        <w:rPr>
          <w:sz w:val="24"/>
          <w:szCs w:val="24"/>
        </w:rPr>
      </w:pPr>
      <w:r>
        <w:rPr>
          <w:sz w:val="24"/>
          <w:szCs w:val="24"/>
        </w:rPr>
        <w:t>The study was conducted at a vocational institution in Ho Chi Minh City. The college offers programs in English Language, Business Interpretation, Hospitality and Tourism Management, Logistics, and Information Technology. Communicative competence anchors the English Language program; instructors routinely recommend AI tools (Grammarly, QuillBot, ChatGPT, Grok, Copilot, Monica) as out-of-class support, and the college runs occasional workshops on AI use.</w:t>
      </w:r>
    </w:p>
    <w:p w14:paraId="6FEA15C0" w14:textId="77777777" w:rsidR="003E316B" w:rsidRPr="003F2933" w:rsidRDefault="003E316B" w:rsidP="003D25EB">
      <w:pPr>
        <w:pStyle w:val="RALs-Heading2"/>
        <w:spacing w:before="0" w:afterLines="120" w:after="288" w:line="480" w:lineRule="auto"/>
        <w:rPr>
          <w:sz w:val="24"/>
          <w:szCs w:val="24"/>
        </w:rPr>
      </w:pPr>
      <w:r>
        <w:rPr>
          <w:sz w:val="24"/>
          <w:szCs w:val="24"/>
        </w:rPr>
        <w:lastRenderedPageBreak/>
        <w:t>3.3. Participants</w:t>
      </w:r>
    </w:p>
    <w:p w14:paraId="02515A38" w14:textId="77777777" w:rsidR="003E316B" w:rsidRPr="003F2933" w:rsidRDefault="00382175" w:rsidP="003D25EB">
      <w:pPr>
        <w:spacing w:before="0" w:afterLines="120" w:after="288" w:line="480" w:lineRule="auto"/>
        <w:rPr>
          <w:sz w:val="24"/>
          <w:szCs w:val="24"/>
        </w:rPr>
      </w:pPr>
      <w:r>
        <w:rPr>
          <w:sz w:val="24"/>
          <w:szCs w:val="24"/>
        </w:rPr>
        <w:t>Participants were recruited through convenience sampling at a single vocational college; all were enrolled EFL students who volunteered to take part. The achieved sample of 52 is modest but adequate for an exploratory, descriptive study of strategy-use patterns; as noted below, however, it affords limited statistical power for detecting small gender differences. Fifty-two undergraduate EFL students, all aged 18 or older, completed the survey. Just over half (51.9%) fell into the 18–19 band; 26.9% were 20–21, and 21.2% were 22 or older. Males made up 53.8% and females 44.2%, with 1.9% identifying as another gender. Year level skewed early: 50.0% second-years, 38.5% first-years, and 11.5% in their third year or beyond. More than a third (38.5%) had studied English for five years or longer.</w:t>
      </w:r>
    </w:p>
    <w:p w14:paraId="05FEC660" w14:textId="77777777" w:rsidR="003E316B" w:rsidRPr="003F2933" w:rsidRDefault="003E316B" w:rsidP="003D25EB">
      <w:pPr>
        <w:spacing w:before="0" w:afterLines="120" w:after="288" w:line="480" w:lineRule="auto"/>
        <w:rPr>
          <w:sz w:val="24"/>
          <w:szCs w:val="24"/>
        </w:rPr>
      </w:pPr>
      <w:r>
        <w:rPr>
          <w:sz w:val="24"/>
          <w:szCs w:val="24"/>
        </w:rPr>
        <w:t>All respondents owned a personal learning device. ChatGPT was the most-used AI tool (88.5%), followed by Google Translate (59.6%), Duolingo (50.0%), and Grammarly (32.7%). Newer generative AI tools (Gemini, DeepSeek, Character.AI) were used by 3.8% or fewer. Writing was the most-supported skill (50.0% of participants used AI for it “often” or “always”), followed by vocabulary (46.2%), reading (46.1%), listening (40.3%), and speaking (34.6%). For the interview phase, 16 survey respondents were purposively selected from those who volunteered, balancing gender (seven male, nine female) and representing different year levels. Because these participants were volunteers, some volunteer bias, toward students more engaged with AI or more confident in English, cannot be ruled out and is acknowledged as a limitation. These profile characteristics (year level, length of English study, near-universal device ownership, the concentration of use in a few tools, notably ChatGPT, and the skew toward writing and vocabulary support) are not merely descriptive; each plausibly conditions which AI-SDLLS students adopt and is therefore treated as interpretive context for the results rather than as a controlled variable.</w:t>
      </w:r>
    </w:p>
    <w:p w14:paraId="1A0D14EA" w14:textId="77777777" w:rsidR="003E316B" w:rsidRPr="003F2933" w:rsidRDefault="003E316B" w:rsidP="003D25EB">
      <w:pPr>
        <w:pStyle w:val="RALs-Heading2"/>
        <w:spacing w:before="0" w:afterLines="120" w:after="288" w:line="480" w:lineRule="auto"/>
        <w:rPr>
          <w:sz w:val="24"/>
          <w:szCs w:val="24"/>
        </w:rPr>
      </w:pPr>
      <w:r>
        <w:rPr>
          <w:sz w:val="24"/>
          <w:szCs w:val="24"/>
        </w:rPr>
        <w:lastRenderedPageBreak/>
        <w:t>3.4. Instruments</w:t>
      </w:r>
    </w:p>
    <w:p w14:paraId="02E81CC9" w14:textId="77777777" w:rsidR="003E316B" w:rsidRPr="003F2933" w:rsidRDefault="003E316B" w:rsidP="003D25EB">
      <w:pPr>
        <w:pStyle w:val="RALs-Heading3"/>
        <w:spacing w:before="0" w:afterLines="120" w:after="288" w:line="480" w:lineRule="auto"/>
        <w:rPr>
          <w:sz w:val="24"/>
          <w:szCs w:val="24"/>
        </w:rPr>
      </w:pPr>
      <w:r>
        <w:rPr>
          <w:sz w:val="24"/>
          <w:szCs w:val="24"/>
        </w:rPr>
        <w:t>3.4.1. Questionnaire</w:t>
      </w:r>
    </w:p>
    <w:p w14:paraId="1DA4EFB3" w14:textId="77777777" w:rsidR="003E316B" w:rsidRPr="003F2933" w:rsidRDefault="003E316B" w:rsidP="003D25EB">
      <w:pPr>
        <w:spacing w:before="0" w:afterLines="120" w:after="288" w:line="480" w:lineRule="auto"/>
        <w:rPr>
          <w:sz w:val="24"/>
          <w:szCs w:val="24"/>
        </w:rPr>
      </w:pPr>
      <w:r>
        <w:rPr>
          <w:sz w:val="24"/>
          <w:szCs w:val="24"/>
        </w:rPr>
        <w:t>A 43-item questionnaire was developed for this study, organized into five sections: demographics, AI tool usage, and four AI-SDLLS subscales (cognitive: 9 items; metacognitive: 7 items; affective: 6 items; social: 7 items), each rated on a 5-point Likert scale (1 = Never, 5 = Always). The subscales were constructed by taking Oxford’s (2016) four strategy families and Knowles’ (1975) SDL principles as the conceptual scaffold and writing items that re-expressed each strategy as a concrete AI-mediated behavior. Cognitive items captured using AI for translation, grammar checking, summarizing, and vocabulary practice; metacognitive items captured AI-supported goal-setting, planning, monitoring, and reflection; affective items captured using AI to manage motivation, enjoyment, and anxiety; and social items captured using AI to prepare for or mediate interaction with others. Items were newly written for this study, with wording informed by behaviors reported in prior AI-in-EFL research rather than adopted from a single validated scale, as no existing instrument operationalized AI-SDLLS across all four families.</w:t>
      </w:r>
    </w:p>
    <w:p w14:paraId="5B8C695A" w14:textId="77777777" w:rsidR="00974B66" w:rsidRDefault="00000000">
      <w:pPr>
        <w:spacing w:before="0" w:afterLines="120" w:after="288" w:line="480" w:lineRule="auto"/>
        <w:rPr>
          <w:sz w:val="24"/>
          <w:szCs w:val="24"/>
        </w:rPr>
      </w:pPr>
      <w:r>
        <w:rPr>
          <w:sz w:val="24"/>
          <w:szCs w:val="24"/>
        </w:rPr>
        <w:t>Content validity was established through expert review: two EFL instructors independently judged whether each item belonged to its intended strategy family and was clearly worded, and items were revised accordingly. The instrument was then pilot-tested with three students to confirm clarity. Internal consistency was strong across all four subscales (see Table 1). Construct validity was not formally tested through factor analysis, because the sample was too small to support a stable factor solution; this is acknowledged as a limitation of instrument validation.</w:t>
      </w:r>
    </w:p>
    <w:p w14:paraId="34B28730" w14:textId="77777777" w:rsidR="00974B66" w:rsidRDefault="00000000">
      <w:pPr>
        <w:pStyle w:val="RALs-TableCaption"/>
        <w:rPr>
          <w:b/>
          <w:bCs/>
          <w:sz w:val="24"/>
          <w:szCs w:val="24"/>
        </w:rPr>
      </w:pPr>
      <w:r>
        <w:rPr>
          <w:b/>
          <w:bCs/>
          <w:sz w:val="24"/>
          <w:szCs w:val="24"/>
        </w:rPr>
        <w:lastRenderedPageBreak/>
        <w:t>Table 1</w:t>
      </w:r>
    </w:p>
    <w:p w14:paraId="3FF9045E" w14:textId="77777777" w:rsidR="00974B66" w:rsidRDefault="00000000">
      <w:pPr>
        <w:pStyle w:val="RALs-TableCaption"/>
        <w:rPr>
          <w:i/>
          <w:iCs/>
          <w:sz w:val="24"/>
          <w:szCs w:val="24"/>
        </w:rPr>
      </w:pPr>
      <w:r>
        <w:rPr>
          <w:i/>
          <w:iCs/>
          <w:sz w:val="24"/>
          <w:szCs w:val="24"/>
        </w:rPr>
        <w:t>Internal Consistency of the AI-SDLLS Subscales</w:t>
      </w:r>
    </w:p>
    <w:tbl>
      <w:tblPr>
        <w:tblW w:w="6674" w:type="dxa"/>
        <w:tblBorders>
          <w:top w:val="single" w:sz="8" w:space="0" w:color="auto"/>
          <w:bottom w:val="single" w:sz="8" w:space="0" w:color="auto"/>
        </w:tblBorders>
        <w:tblLayout w:type="fixed"/>
        <w:tblLook w:val="06A0" w:firstRow="1" w:lastRow="0" w:firstColumn="1" w:lastColumn="0" w:noHBand="1" w:noVBand="1"/>
      </w:tblPr>
      <w:tblGrid>
        <w:gridCol w:w="3340"/>
        <w:gridCol w:w="1667"/>
        <w:gridCol w:w="1667"/>
      </w:tblGrid>
      <w:tr w:rsidR="00974B66" w14:paraId="76DCFE78" w14:textId="77777777">
        <w:tc>
          <w:tcPr>
            <w:tcW w:w="3340" w:type="dxa"/>
            <w:tcBorders>
              <w:bottom w:val="single" w:sz="8" w:space="0" w:color="auto"/>
            </w:tcBorders>
          </w:tcPr>
          <w:p w14:paraId="4F297260" w14:textId="77777777" w:rsidR="00974B66" w:rsidRDefault="00000000">
            <w:pPr>
              <w:pStyle w:val="RALs-TableText"/>
              <w:rPr>
                <w:b/>
                <w:bCs/>
              </w:rPr>
            </w:pPr>
            <w:r>
              <w:rPr>
                <w:b/>
                <w:bCs/>
              </w:rPr>
              <w:t>Subscale</w:t>
            </w:r>
          </w:p>
        </w:tc>
        <w:tc>
          <w:tcPr>
            <w:tcW w:w="1667" w:type="dxa"/>
            <w:tcBorders>
              <w:bottom w:val="single" w:sz="8" w:space="0" w:color="auto"/>
            </w:tcBorders>
          </w:tcPr>
          <w:p w14:paraId="041599C1" w14:textId="77777777" w:rsidR="00974B66" w:rsidRDefault="00000000">
            <w:pPr>
              <w:pStyle w:val="RALs-TableText"/>
              <w:rPr>
                <w:b/>
                <w:bCs/>
              </w:rPr>
            </w:pPr>
            <w:r>
              <w:rPr>
                <w:b/>
                <w:bCs/>
              </w:rPr>
              <w:t>k</w:t>
            </w:r>
          </w:p>
        </w:tc>
        <w:tc>
          <w:tcPr>
            <w:tcW w:w="1667" w:type="dxa"/>
            <w:tcBorders>
              <w:bottom w:val="single" w:sz="8" w:space="0" w:color="auto"/>
            </w:tcBorders>
          </w:tcPr>
          <w:p w14:paraId="4BB84286" w14:textId="77777777" w:rsidR="00974B66" w:rsidRDefault="00000000">
            <w:pPr>
              <w:pStyle w:val="RALs-TableText"/>
              <w:rPr>
                <w:b/>
                <w:bCs/>
              </w:rPr>
            </w:pPr>
            <w:r>
              <w:rPr>
                <w:b/>
                <w:bCs/>
              </w:rPr>
              <w:t>Cronbach’s α</w:t>
            </w:r>
          </w:p>
        </w:tc>
      </w:tr>
      <w:tr w:rsidR="00974B66" w14:paraId="5BB88F49" w14:textId="77777777">
        <w:tc>
          <w:tcPr>
            <w:tcW w:w="3340" w:type="dxa"/>
          </w:tcPr>
          <w:p w14:paraId="171B4219" w14:textId="77777777" w:rsidR="00974B66" w:rsidRDefault="00000000">
            <w:pPr>
              <w:pStyle w:val="RALs-TableText"/>
            </w:pPr>
            <w:r>
              <w:t>Cognitive</w:t>
            </w:r>
          </w:p>
        </w:tc>
        <w:tc>
          <w:tcPr>
            <w:tcW w:w="1667" w:type="dxa"/>
          </w:tcPr>
          <w:p w14:paraId="0BC38058" w14:textId="77777777" w:rsidR="00974B66" w:rsidRDefault="00000000">
            <w:pPr>
              <w:pStyle w:val="RALs-TableText"/>
            </w:pPr>
            <w:r>
              <w:t>9</w:t>
            </w:r>
          </w:p>
        </w:tc>
        <w:tc>
          <w:tcPr>
            <w:tcW w:w="1667" w:type="dxa"/>
          </w:tcPr>
          <w:p w14:paraId="661F597A" w14:textId="77777777" w:rsidR="00974B66" w:rsidRDefault="00000000">
            <w:pPr>
              <w:pStyle w:val="RALs-TableText"/>
            </w:pPr>
            <w:r>
              <w:t>.85</w:t>
            </w:r>
          </w:p>
        </w:tc>
      </w:tr>
      <w:tr w:rsidR="00974B66" w14:paraId="61CDFB23" w14:textId="77777777">
        <w:tc>
          <w:tcPr>
            <w:tcW w:w="3340" w:type="dxa"/>
          </w:tcPr>
          <w:p w14:paraId="525DC7EC" w14:textId="77777777" w:rsidR="00974B66" w:rsidRDefault="00000000">
            <w:pPr>
              <w:pStyle w:val="RALs-TableText"/>
            </w:pPr>
            <w:r>
              <w:t>Metacognitive</w:t>
            </w:r>
          </w:p>
        </w:tc>
        <w:tc>
          <w:tcPr>
            <w:tcW w:w="1667" w:type="dxa"/>
          </w:tcPr>
          <w:p w14:paraId="72CB91DB" w14:textId="77777777" w:rsidR="00974B66" w:rsidRDefault="00000000">
            <w:pPr>
              <w:pStyle w:val="RALs-TableText"/>
            </w:pPr>
            <w:r>
              <w:t>7</w:t>
            </w:r>
          </w:p>
        </w:tc>
        <w:tc>
          <w:tcPr>
            <w:tcW w:w="1667" w:type="dxa"/>
          </w:tcPr>
          <w:p w14:paraId="06A778B2" w14:textId="77777777" w:rsidR="00974B66" w:rsidRDefault="00000000">
            <w:pPr>
              <w:pStyle w:val="RALs-TableText"/>
            </w:pPr>
            <w:r>
              <w:t>.84</w:t>
            </w:r>
          </w:p>
        </w:tc>
      </w:tr>
      <w:tr w:rsidR="00974B66" w14:paraId="57F406D9" w14:textId="77777777">
        <w:tc>
          <w:tcPr>
            <w:tcW w:w="3340" w:type="dxa"/>
          </w:tcPr>
          <w:p w14:paraId="36284994" w14:textId="77777777" w:rsidR="00974B66" w:rsidRDefault="00000000">
            <w:pPr>
              <w:pStyle w:val="RALs-TableText"/>
            </w:pPr>
            <w:r>
              <w:t>Affective</w:t>
            </w:r>
          </w:p>
        </w:tc>
        <w:tc>
          <w:tcPr>
            <w:tcW w:w="1667" w:type="dxa"/>
          </w:tcPr>
          <w:p w14:paraId="429B80C4" w14:textId="77777777" w:rsidR="00974B66" w:rsidRDefault="00000000">
            <w:pPr>
              <w:pStyle w:val="RALs-TableText"/>
            </w:pPr>
            <w:r>
              <w:t>6</w:t>
            </w:r>
          </w:p>
        </w:tc>
        <w:tc>
          <w:tcPr>
            <w:tcW w:w="1667" w:type="dxa"/>
          </w:tcPr>
          <w:p w14:paraId="62A7BC6A" w14:textId="77777777" w:rsidR="00974B66" w:rsidRDefault="00000000">
            <w:pPr>
              <w:pStyle w:val="RALs-TableText"/>
            </w:pPr>
            <w:r>
              <w:t>.84</w:t>
            </w:r>
          </w:p>
        </w:tc>
      </w:tr>
      <w:tr w:rsidR="00974B66" w14:paraId="28FA1AFB" w14:textId="77777777">
        <w:tc>
          <w:tcPr>
            <w:tcW w:w="3340" w:type="dxa"/>
          </w:tcPr>
          <w:p w14:paraId="47B79297" w14:textId="77777777" w:rsidR="00974B66" w:rsidRDefault="00000000">
            <w:pPr>
              <w:pStyle w:val="RALs-TableText"/>
            </w:pPr>
            <w:r>
              <w:t>Social</w:t>
            </w:r>
          </w:p>
        </w:tc>
        <w:tc>
          <w:tcPr>
            <w:tcW w:w="1667" w:type="dxa"/>
          </w:tcPr>
          <w:p w14:paraId="687F89F0" w14:textId="77777777" w:rsidR="00974B66" w:rsidRDefault="00000000">
            <w:pPr>
              <w:pStyle w:val="RALs-TableText"/>
            </w:pPr>
            <w:r>
              <w:t>7</w:t>
            </w:r>
          </w:p>
        </w:tc>
        <w:tc>
          <w:tcPr>
            <w:tcW w:w="1667" w:type="dxa"/>
          </w:tcPr>
          <w:p w14:paraId="7FDBA948" w14:textId="77777777" w:rsidR="00974B66" w:rsidRDefault="00000000">
            <w:pPr>
              <w:pStyle w:val="RALs-TableText"/>
            </w:pPr>
            <w:r>
              <w:t>.85</w:t>
            </w:r>
          </w:p>
        </w:tc>
      </w:tr>
    </w:tbl>
    <w:p w14:paraId="67598B6F" w14:textId="71471396" w:rsidR="00DE7B3A" w:rsidRDefault="00000000" w:rsidP="00DE7B3A">
      <w:pPr>
        <w:pStyle w:val="RALs-TableNote"/>
      </w:pPr>
      <w:r>
        <w:rPr>
          <w:i/>
          <w:iCs/>
        </w:rPr>
        <w:t>Note.</w:t>
      </w:r>
      <w:r>
        <w:t xml:space="preserve"> k = number of items; N = 52.</w:t>
      </w:r>
    </w:p>
    <w:p w14:paraId="5FECABA3" w14:textId="77777777" w:rsidR="00DE7B3A" w:rsidRPr="00DE7B3A" w:rsidRDefault="00DE7B3A" w:rsidP="00DE7B3A">
      <w:pPr>
        <w:pStyle w:val="RALs-TableNote"/>
        <w:spacing w:line="480" w:lineRule="auto"/>
      </w:pPr>
    </w:p>
    <w:p w14:paraId="2E1105B8" w14:textId="5992948B" w:rsidR="003E316B" w:rsidRPr="003F2933" w:rsidRDefault="003E316B" w:rsidP="00DE7B3A">
      <w:pPr>
        <w:pStyle w:val="RALs-Heading3"/>
        <w:spacing w:before="0" w:afterLines="120" w:after="288" w:line="480" w:lineRule="auto"/>
        <w:rPr>
          <w:sz w:val="24"/>
          <w:szCs w:val="24"/>
        </w:rPr>
      </w:pPr>
      <w:r>
        <w:rPr>
          <w:sz w:val="24"/>
          <w:szCs w:val="24"/>
        </w:rPr>
        <w:t>3.4.2. Semi-structured Interview</w:t>
      </w:r>
    </w:p>
    <w:p w14:paraId="5E153B22" w14:textId="77777777" w:rsidR="003E316B" w:rsidRPr="003F2933" w:rsidRDefault="003E316B" w:rsidP="003D25EB">
      <w:pPr>
        <w:spacing w:before="0" w:afterLines="120" w:after="288" w:line="480" w:lineRule="auto"/>
        <w:rPr>
          <w:sz w:val="24"/>
          <w:szCs w:val="24"/>
        </w:rPr>
      </w:pPr>
      <w:r>
        <w:rPr>
          <w:sz w:val="24"/>
          <w:szCs w:val="24"/>
        </w:rPr>
        <w:t>A 20-question protocol covered (a) introduction, (b) AI tool usage, and (c) AI-SDLLS practice across the four strategy families. Two sources shaped the protocol: Benson’s (2011) autonomy framework and recent empirical work on AI in EFL contexts (Annamalai et al., 2023). Optional follow-up prompts nudged participants toward concrete examples. Before administration, two students piloted the protocol and two further instructors reviewed it. The full interview protocol appears in Appendix A.</w:t>
      </w:r>
    </w:p>
    <w:p w14:paraId="6F8A78A4" w14:textId="77777777" w:rsidR="003E316B" w:rsidRPr="003F2933" w:rsidRDefault="003E316B" w:rsidP="003D25EB">
      <w:pPr>
        <w:pStyle w:val="RALs-Heading2"/>
        <w:spacing w:before="0" w:afterLines="120" w:after="288" w:line="480" w:lineRule="auto"/>
        <w:rPr>
          <w:sz w:val="24"/>
          <w:szCs w:val="24"/>
        </w:rPr>
      </w:pPr>
      <w:r>
        <w:rPr>
          <w:sz w:val="24"/>
          <w:szCs w:val="24"/>
        </w:rPr>
        <w:t>3.5. Data Collection and Analysis</w:t>
      </w:r>
    </w:p>
    <w:p w14:paraId="2E431DFF" w14:textId="77777777" w:rsidR="003E316B" w:rsidRPr="003F2933" w:rsidRDefault="00382175" w:rsidP="003D25EB">
      <w:pPr>
        <w:spacing w:before="0" w:afterLines="120" w:after="288" w:line="480" w:lineRule="auto"/>
        <w:rPr>
          <w:sz w:val="24"/>
          <w:szCs w:val="24"/>
        </w:rPr>
      </w:pPr>
      <w:r>
        <w:rPr>
          <w:sz w:val="24"/>
          <w:szCs w:val="24"/>
        </w:rPr>
        <w:t>Collection ran two weeks through Google Forms. Survey respondents completed the instrument at their own pace; interview participants, having signed a consent statement, received the form and replied asynchronously in writing. This format ruled out real-time probing but permitted thoughtful and reflective responses.</w:t>
      </w:r>
    </w:p>
    <w:p w14:paraId="5FE28133" w14:textId="77777777" w:rsidR="003E316B" w:rsidRPr="003F2933" w:rsidRDefault="003E316B" w:rsidP="003D25EB">
      <w:pPr>
        <w:spacing w:before="0" w:afterLines="120" w:after="288" w:line="480" w:lineRule="auto"/>
        <w:rPr>
          <w:sz w:val="24"/>
          <w:szCs w:val="24"/>
        </w:rPr>
      </w:pPr>
      <w:r>
        <w:rPr>
          <w:sz w:val="24"/>
          <w:szCs w:val="24"/>
        </w:rPr>
        <w:t xml:space="preserve">Quantitative data were analyzed in IBM SPSS Statistics 31. Descriptive statistics (M, SD) were computed per item and per subscale. Internal consistency was tested with Cronbach’s α. Independent-samples t-tests compared male and female participants on the four subscale means (the one participant identifying as another gender was excluded from this comparison, leaving n = 51). Levene’s test indicated equal variances for all four subscales, so equal-variance results are reported, and Cohen’s d indexed effect size. Given the modest sample, these tests </w:t>
      </w:r>
      <w:r>
        <w:rPr>
          <w:sz w:val="24"/>
          <w:szCs w:val="24"/>
        </w:rPr>
        <w:lastRenderedPageBreak/>
        <w:t>had limited power to detect small effects, so non-significant results are read as consistent with either genuine similarity or insufficient power, not as evidence of no difference.</w:t>
      </w:r>
    </w:p>
    <w:p w14:paraId="0F8358E6" w14:textId="77777777" w:rsidR="008D6242" w:rsidRPr="003F2933" w:rsidRDefault="003E316B" w:rsidP="003D25EB">
      <w:pPr>
        <w:spacing w:before="0" w:afterLines="120" w:after="288" w:line="480" w:lineRule="auto"/>
        <w:rPr>
          <w:sz w:val="24"/>
          <w:szCs w:val="24"/>
        </w:rPr>
      </w:pPr>
      <w:r>
        <w:rPr>
          <w:sz w:val="24"/>
          <w:szCs w:val="24"/>
        </w:rPr>
        <w:t>Qualitative data were analyzed using Braun and Clarke’s (2006) six-phase thematic analysis: familiarization, initial coding, theme generation, theme review, definition, and reporting. Codes were generated both inductively and deductively, organized around the four-strategy framework. Trustworthiness was supported through peer debriefing, an audit trail, and triangulation with the quantitative findings. Formal member checking was not undertaken; because interviews were administered in writing through Google Forms, participants’ original responses were retained verbatim and consulted directly during analysis, and excerpts are reported with minimal editing to preserve participants’ wording. In peer debriefing, research-team members independently reviewed a subset of coded responses and discussed discrepancies until the coding scheme and theme definitions were agreed, which sharpened several category boundaries (for example, separating metacognitive monitoring from cognitive checking). Themes were merged with the quantitative results during interpretation. Participants are identified anonymously as S1–S16.</w:t>
      </w:r>
      <w:r>
        <w:rPr>
          <w:sz w:val="24"/>
          <w:szCs w:val="24"/>
          <w:highlight w:val="red"/>
        </w:rPr>
        <w:t xml:space="preserve"> </w:t>
      </w:r>
    </w:p>
    <w:p w14:paraId="3CF61B17" w14:textId="77777777" w:rsidR="006A0AE2" w:rsidRPr="003F2933" w:rsidRDefault="006A0AE2" w:rsidP="003D25EB">
      <w:pPr>
        <w:spacing w:before="0" w:afterLines="120" w:after="288" w:line="480" w:lineRule="auto"/>
        <w:ind w:firstLine="0"/>
        <w:rPr>
          <w:rFonts w:asciiTheme="majorBidi" w:hAnsiTheme="majorBidi" w:cstheme="majorBidi"/>
          <w:sz w:val="24"/>
          <w:szCs w:val="24"/>
        </w:rPr>
      </w:pPr>
    </w:p>
    <w:p w14:paraId="487A0949" w14:textId="77777777" w:rsidR="00722EDE" w:rsidRPr="003F2933" w:rsidRDefault="00934FC5" w:rsidP="003D25EB">
      <w:pPr>
        <w:pStyle w:val="RALs-Heading1"/>
        <w:spacing w:before="0" w:afterLines="120" w:after="288" w:line="480" w:lineRule="auto"/>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4. Results</w:t>
      </w:r>
    </w:p>
    <w:p w14:paraId="0CC31DC0" w14:textId="77777777" w:rsidR="003E316B" w:rsidRPr="003F2933" w:rsidRDefault="003E316B" w:rsidP="003D25EB">
      <w:pPr>
        <w:pStyle w:val="RALs-Heading2"/>
        <w:spacing w:before="0" w:afterLines="120" w:after="288" w:line="480" w:lineRule="auto"/>
        <w:rPr>
          <w:sz w:val="24"/>
          <w:szCs w:val="24"/>
        </w:rPr>
      </w:pPr>
      <w:r>
        <w:rPr>
          <w:sz w:val="24"/>
          <w:szCs w:val="24"/>
        </w:rPr>
        <w:t>4.1. AI-SDLLS Use Across the Four Strategy Families</w:t>
      </w:r>
    </w:p>
    <w:p w14:paraId="3458F544" w14:textId="77777777" w:rsidR="003E316B" w:rsidRPr="003F2933" w:rsidRDefault="003E316B" w:rsidP="003D25EB">
      <w:pPr>
        <w:spacing w:before="0" w:afterLines="120" w:after="288" w:line="480" w:lineRule="auto"/>
        <w:rPr>
          <w:sz w:val="24"/>
          <w:szCs w:val="24"/>
        </w:rPr>
      </w:pPr>
      <w:r>
        <w:rPr>
          <w:sz w:val="24"/>
          <w:szCs w:val="24"/>
        </w:rPr>
        <w:t xml:space="preserve">Across the sample, students reported using AI-SDLLS at moderate levels overall. Cognitive strategies (M = 3.38, SD = .80) were the most frequently used. Metacognitive (M = 3.09, SD = .85) and affective strategies (M = 3.09, SD = .89) followed at very similar levels, and social strategies (M = 3.02, SD = .89) ranked lowest. The clearest feature of these data is the gap between cognitive use and the other three families; the differences among </w:t>
      </w:r>
      <w:r>
        <w:rPr>
          <w:sz w:val="24"/>
          <w:szCs w:val="24"/>
        </w:rPr>
        <w:lastRenderedPageBreak/>
        <w:t>metacognitive, affective, and social use, by contrast, are small (no greater than 0.07 on the 5-point scale). Because no inferential test was conducted across the four subscale means, this ordering is reported as a descriptive tendency rather than a statistically established hierarchy (see Table 2).</w:t>
      </w:r>
    </w:p>
    <w:p w14:paraId="53C5F31D" w14:textId="77777777" w:rsidR="003E316B" w:rsidRPr="003F2933" w:rsidRDefault="003E316B" w:rsidP="003E316B">
      <w:pPr>
        <w:pStyle w:val="RALs-TableCaption"/>
        <w:rPr>
          <w:b/>
          <w:bCs/>
          <w:sz w:val="24"/>
          <w:szCs w:val="24"/>
        </w:rPr>
      </w:pPr>
      <w:r>
        <w:rPr>
          <w:b/>
          <w:bCs/>
          <w:sz w:val="24"/>
          <w:szCs w:val="24"/>
        </w:rPr>
        <w:t>Table 2</w:t>
      </w:r>
    </w:p>
    <w:p w14:paraId="6C0C8F53" w14:textId="77777777" w:rsidR="003E316B" w:rsidRPr="003F2933" w:rsidRDefault="003E316B" w:rsidP="003E316B">
      <w:pPr>
        <w:pStyle w:val="RALs-TableCaption"/>
        <w:rPr>
          <w:i/>
          <w:iCs/>
          <w:sz w:val="24"/>
          <w:szCs w:val="24"/>
        </w:rPr>
      </w:pPr>
      <w:r>
        <w:rPr>
          <w:i/>
          <w:iCs/>
          <w:sz w:val="24"/>
          <w:szCs w:val="24"/>
        </w:rPr>
        <w:t>EFL Students’ Use of AI-SDLLS</w:t>
      </w:r>
    </w:p>
    <w:tbl>
      <w:tblPr>
        <w:tblW w:w="6674" w:type="dxa"/>
        <w:tblBorders>
          <w:top w:val="single" w:sz="8" w:space="0" w:color="auto"/>
        </w:tblBorders>
        <w:tblLayout w:type="fixed"/>
        <w:tblLook w:val="06A0" w:firstRow="1" w:lastRow="0" w:firstColumn="1" w:lastColumn="0" w:noHBand="1" w:noVBand="1"/>
      </w:tblPr>
      <w:tblGrid>
        <w:gridCol w:w="1077"/>
        <w:gridCol w:w="2632"/>
        <w:gridCol w:w="1598"/>
        <w:gridCol w:w="1367"/>
      </w:tblGrid>
      <w:tr w:rsidR="005765CF" w:rsidRPr="003F2933" w14:paraId="3BB5EF14" w14:textId="77777777" w:rsidTr="00F86F9A">
        <w:trPr>
          <w:trHeight w:val="300"/>
        </w:trPr>
        <w:tc>
          <w:tcPr>
            <w:tcW w:w="1077" w:type="dxa"/>
            <w:vMerge w:val="restart"/>
            <w:tcBorders>
              <w:top w:val="single" w:sz="4" w:space="0" w:color="auto"/>
              <w:left w:val="nil"/>
              <w:right w:val="nil"/>
            </w:tcBorders>
            <w:tcMar>
              <w:top w:w="15" w:type="dxa"/>
              <w:left w:w="15" w:type="dxa"/>
              <w:bottom w:w="15" w:type="dxa"/>
              <w:right w:w="15" w:type="dxa"/>
            </w:tcMar>
            <w:vAlign w:val="center"/>
          </w:tcPr>
          <w:p w14:paraId="38E363A8" w14:textId="77777777" w:rsidR="005765CF" w:rsidRPr="003F2933" w:rsidRDefault="005765CF" w:rsidP="005765CF">
            <w:pPr>
              <w:spacing w:before="0" w:after="0" w:line="240" w:lineRule="auto"/>
              <w:ind w:firstLine="0"/>
              <w:jc w:val="center"/>
              <w:rPr>
                <w:rFonts w:cs="Times New Roman"/>
                <w:b/>
                <w:bCs/>
                <w:szCs w:val="20"/>
                <w14:ligatures w14:val="standardContextual"/>
              </w:rPr>
            </w:pPr>
            <w:r>
              <w:rPr>
                <w:rFonts w:cs="Times New Roman"/>
                <w:b/>
                <w:bCs/>
                <w:szCs w:val="20"/>
                <w14:ligatures w14:val="standardContextual"/>
              </w:rPr>
              <w:t>No.</w:t>
            </w:r>
          </w:p>
        </w:tc>
        <w:tc>
          <w:tcPr>
            <w:tcW w:w="2632" w:type="dxa"/>
            <w:vMerge w:val="restart"/>
            <w:tcBorders>
              <w:top w:val="single" w:sz="4" w:space="0" w:color="auto"/>
              <w:left w:val="nil"/>
              <w:bottom w:val="single" w:sz="8" w:space="0" w:color="auto"/>
              <w:right w:val="nil"/>
            </w:tcBorders>
            <w:tcMar>
              <w:top w:w="15" w:type="dxa"/>
              <w:left w:w="15" w:type="dxa"/>
              <w:bottom w:w="15" w:type="dxa"/>
              <w:right w:w="15" w:type="dxa"/>
            </w:tcMar>
            <w:vAlign w:val="center"/>
          </w:tcPr>
          <w:p w14:paraId="0672EB4B" w14:textId="77777777" w:rsidR="005765CF" w:rsidRPr="003F2933" w:rsidRDefault="005765CF" w:rsidP="005765CF">
            <w:pPr>
              <w:spacing w:before="0" w:after="0" w:line="240" w:lineRule="auto"/>
              <w:ind w:firstLine="0"/>
              <w:jc w:val="center"/>
              <w:rPr>
                <w:rFonts w:cs="Times New Roman"/>
                <w:b/>
                <w:bCs/>
                <w:szCs w:val="20"/>
                <w14:ligatures w14:val="standardContextual"/>
              </w:rPr>
            </w:pPr>
            <w:r>
              <w:rPr>
                <w:rFonts w:cs="Times New Roman"/>
                <w:b/>
                <w:bCs/>
                <w:szCs w:val="20"/>
                <w14:ligatures w14:val="standardContextual"/>
              </w:rPr>
              <w:t>Components</w:t>
            </w:r>
          </w:p>
        </w:tc>
        <w:tc>
          <w:tcPr>
            <w:tcW w:w="2965" w:type="dxa"/>
            <w:gridSpan w:val="2"/>
            <w:tcBorders>
              <w:top w:val="single" w:sz="4" w:space="0" w:color="auto"/>
              <w:left w:val="nil"/>
              <w:bottom w:val="single" w:sz="4" w:space="0" w:color="auto"/>
              <w:right w:val="nil"/>
            </w:tcBorders>
            <w:tcMar>
              <w:top w:w="15" w:type="dxa"/>
              <w:left w:w="15" w:type="dxa"/>
              <w:bottom w:w="15" w:type="dxa"/>
              <w:right w:w="15" w:type="dxa"/>
            </w:tcMar>
            <w:vAlign w:val="center"/>
          </w:tcPr>
          <w:p w14:paraId="01B945C3" w14:textId="77777777" w:rsidR="005765CF" w:rsidRPr="003F2933" w:rsidRDefault="005765CF" w:rsidP="005765CF">
            <w:pPr>
              <w:spacing w:before="0" w:after="0" w:line="240" w:lineRule="auto"/>
              <w:ind w:firstLine="0"/>
              <w:jc w:val="center"/>
              <w:rPr>
                <w:rFonts w:cs="Times New Roman"/>
                <w:b/>
                <w:bCs/>
                <w:szCs w:val="20"/>
                <w14:ligatures w14:val="standardContextual"/>
              </w:rPr>
            </w:pPr>
            <w:r>
              <w:rPr>
                <w:rFonts w:cs="Times New Roman"/>
                <w:b/>
                <w:bCs/>
                <w:szCs w:val="20"/>
                <w14:ligatures w14:val="standardContextual"/>
              </w:rPr>
              <w:t>N = 52</w:t>
            </w:r>
          </w:p>
        </w:tc>
      </w:tr>
      <w:tr w:rsidR="005765CF" w:rsidRPr="003F2933" w14:paraId="418B7B05" w14:textId="77777777" w:rsidTr="00F86F9A">
        <w:trPr>
          <w:trHeight w:val="300"/>
        </w:trPr>
        <w:tc>
          <w:tcPr>
            <w:tcW w:w="1077" w:type="dxa"/>
            <w:vMerge/>
            <w:tcBorders>
              <w:bottom w:val="single" w:sz="4" w:space="0" w:color="auto"/>
            </w:tcBorders>
            <w:vAlign w:val="center"/>
          </w:tcPr>
          <w:p w14:paraId="4DA1B6AC" w14:textId="77777777" w:rsidR="005765CF" w:rsidRPr="003F2933" w:rsidRDefault="005765CF" w:rsidP="005765CF">
            <w:pPr>
              <w:spacing w:before="0" w:after="0" w:line="240" w:lineRule="auto"/>
              <w:ind w:firstLine="0"/>
              <w:jc w:val="left"/>
              <w:rPr>
                <w:rFonts w:cs="Times New Roman"/>
                <w:szCs w:val="20"/>
                <w14:ligatures w14:val="standardContextual"/>
              </w:rPr>
            </w:pPr>
          </w:p>
        </w:tc>
        <w:tc>
          <w:tcPr>
            <w:tcW w:w="2632" w:type="dxa"/>
            <w:vMerge/>
            <w:tcBorders>
              <w:bottom w:val="single" w:sz="4" w:space="0" w:color="auto"/>
            </w:tcBorders>
            <w:vAlign w:val="center"/>
          </w:tcPr>
          <w:p w14:paraId="4FE9BE3F" w14:textId="77777777" w:rsidR="005765CF" w:rsidRPr="003F2933" w:rsidRDefault="005765CF" w:rsidP="005765CF">
            <w:pPr>
              <w:spacing w:before="0" w:after="0" w:line="240" w:lineRule="auto"/>
              <w:ind w:firstLine="0"/>
              <w:jc w:val="left"/>
              <w:rPr>
                <w:rFonts w:cs="Times New Roman"/>
                <w:szCs w:val="20"/>
                <w14:ligatures w14:val="standardContextual"/>
              </w:rPr>
            </w:pPr>
          </w:p>
        </w:tc>
        <w:tc>
          <w:tcPr>
            <w:tcW w:w="1598" w:type="dxa"/>
            <w:tcBorders>
              <w:top w:val="single" w:sz="4" w:space="0" w:color="auto"/>
              <w:left w:val="nil"/>
              <w:bottom w:val="single" w:sz="4" w:space="0" w:color="auto"/>
              <w:right w:val="nil"/>
            </w:tcBorders>
            <w:tcMar>
              <w:top w:w="15" w:type="dxa"/>
              <w:left w:w="15" w:type="dxa"/>
              <w:bottom w:w="15" w:type="dxa"/>
              <w:right w:w="15" w:type="dxa"/>
            </w:tcMar>
            <w:vAlign w:val="center"/>
          </w:tcPr>
          <w:p w14:paraId="553467F4" w14:textId="77777777" w:rsidR="005765CF" w:rsidRPr="003F2933" w:rsidRDefault="005765CF" w:rsidP="005765CF">
            <w:pPr>
              <w:spacing w:before="0" w:after="0" w:line="240" w:lineRule="auto"/>
              <w:ind w:firstLine="0"/>
              <w:jc w:val="center"/>
              <w:rPr>
                <w:rFonts w:cs="Times New Roman"/>
                <w:b/>
                <w:bCs/>
                <w:szCs w:val="20"/>
                <w14:ligatures w14:val="standardContextual"/>
              </w:rPr>
            </w:pPr>
            <w:r>
              <w:rPr>
                <w:rFonts w:cs="Times New Roman"/>
                <w:b/>
                <w:bCs/>
                <w:szCs w:val="20"/>
                <w14:ligatures w14:val="standardContextual"/>
              </w:rPr>
              <w:t>M</w:t>
            </w:r>
          </w:p>
        </w:tc>
        <w:tc>
          <w:tcPr>
            <w:tcW w:w="1367" w:type="dxa"/>
            <w:tcBorders>
              <w:top w:val="single" w:sz="4" w:space="0" w:color="auto"/>
              <w:left w:val="nil"/>
              <w:bottom w:val="single" w:sz="4" w:space="0" w:color="auto"/>
              <w:right w:val="nil"/>
            </w:tcBorders>
            <w:tcMar>
              <w:top w:w="15" w:type="dxa"/>
              <w:left w:w="15" w:type="dxa"/>
              <w:bottom w:w="15" w:type="dxa"/>
              <w:right w:w="15" w:type="dxa"/>
            </w:tcMar>
            <w:vAlign w:val="center"/>
          </w:tcPr>
          <w:p w14:paraId="5684D926" w14:textId="77777777" w:rsidR="005765CF" w:rsidRPr="003F2933" w:rsidRDefault="005765CF" w:rsidP="005765CF">
            <w:pPr>
              <w:spacing w:before="0" w:after="0" w:line="240" w:lineRule="auto"/>
              <w:ind w:firstLine="0"/>
              <w:jc w:val="center"/>
              <w:rPr>
                <w:rFonts w:cs="Times New Roman"/>
                <w:b/>
                <w:bCs/>
                <w:szCs w:val="20"/>
                <w14:ligatures w14:val="standardContextual"/>
              </w:rPr>
            </w:pPr>
            <w:r>
              <w:rPr>
                <w:rFonts w:cs="Times New Roman"/>
                <w:b/>
                <w:bCs/>
                <w:szCs w:val="20"/>
                <w14:ligatures w14:val="standardContextual"/>
              </w:rPr>
              <w:t>SD</w:t>
            </w:r>
          </w:p>
        </w:tc>
      </w:tr>
      <w:tr w:rsidR="005765CF" w:rsidRPr="003F2933" w14:paraId="081F98E8" w14:textId="77777777" w:rsidTr="00F86F9A">
        <w:trPr>
          <w:trHeight w:val="300"/>
        </w:trPr>
        <w:tc>
          <w:tcPr>
            <w:tcW w:w="1077" w:type="dxa"/>
            <w:tcBorders>
              <w:top w:val="single" w:sz="4" w:space="0" w:color="auto"/>
              <w:left w:val="nil"/>
              <w:bottom w:val="nil"/>
              <w:right w:val="nil"/>
            </w:tcBorders>
            <w:tcMar>
              <w:top w:w="15" w:type="dxa"/>
              <w:left w:w="15" w:type="dxa"/>
              <w:bottom w:w="15" w:type="dxa"/>
              <w:right w:w="15" w:type="dxa"/>
            </w:tcMar>
            <w:vAlign w:val="center"/>
          </w:tcPr>
          <w:p w14:paraId="1EFB3E18"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1</w:t>
            </w:r>
          </w:p>
        </w:tc>
        <w:tc>
          <w:tcPr>
            <w:tcW w:w="2632" w:type="dxa"/>
            <w:tcBorders>
              <w:top w:val="single" w:sz="4" w:space="0" w:color="auto"/>
              <w:left w:val="nil"/>
              <w:bottom w:val="nil"/>
              <w:right w:val="nil"/>
            </w:tcBorders>
            <w:tcMar>
              <w:top w:w="15" w:type="dxa"/>
              <w:left w:w="15" w:type="dxa"/>
              <w:bottom w:w="15" w:type="dxa"/>
              <w:right w:w="15" w:type="dxa"/>
            </w:tcMar>
            <w:vAlign w:val="center"/>
          </w:tcPr>
          <w:p w14:paraId="2789D8F1"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Cognitive</w:t>
            </w:r>
          </w:p>
        </w:tc>
        <w:tc>
          <w:tcPr>
            <w:tcW w:w="1598" w:type="dxa"/>
            <w:tcBorders>
              <w:top w:val="single" w:sz="4" w:space="0" w:color="auto"/>
              <w:left w:val="nil"/>
              <w:bottom w:val="nil"/>
              <w:right w:val="nil"/>
            </w:tcBorders>
            <w:tcMar>
              <w:top w:w="15" w:type="dxa"/>
              <w:left w:w="15" w:type="dxa"/>
              <w:bottom w:w="15" w:type="dxa"/>
              <w:right w:w="15" w:type="dxa"/>
            </w:tcMar>
            <w:vAlign w:val="center"/>
          </w:tcPr>
          <w:p w14:paraId="6E544E32"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3.38</w:t>
            </w:r>
          </w:p>
        </w:tc>
        <w:tc>
          <w:tcPr>
            <w:tcW w:w="1367" w:type="dxa"/>
            <w:tcBorders>
              <w:top w:val="single" w:sz="4" w:space="0" w:color="auto"/>
              <w:left w:val="nil"/>
              <w:bottom w:val="nil"/>
              <w:right w:val="nil"/>
            </w:tcBorders>
            <w:tcMar>
              <w:top w:w="15" w:type="dxa"/>
              <w:left w:w="15" w:type="dxa"/>
              <w:bottom w:w="15" w:type="dxa"/>
              <w:right w:w="15" w:type="dxa"/>
            </w:tcMar>
            <w:vAlign w:val="center"/>
          </w:tcPr>
          <w:p w14:paraId="3348BA4B"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.80</w:t>
            </w:r>
          </w:p>
        </w:tc>
      </w:tr>
      <w:tr w:rsidR="005765CF" w:rsidRPr="003F2933" w14:paraId="0F833295" w14:textId="77777777" w:rsidTr="00F86F9A">
        <w:trPr>
          <w:trHeight w:val="300"/>
        </w:trPr>
        <w:tc>
          <w:tcPr>
            <w:tcW w:w="1077" w:type="dxa"/>
            <w:tcBorders>
              <w:top w:val="nil"/>
              <w:left w:val="nil"/>
              <w:bottom w:val="nil"/>
              <w:right w:val="nil"/>
            </w:tcBorders>
            <w:tcMar>
              <w:top w:w="15" w:type="dxa"/>
              <w:left w:w="15" w:type="dxa"/>
              <w:bottom w:w="15" w:type="dxa"/>
              <w:right w:w="15" w:type="dxa"/>
            </w:tcMar>
            <w:vAlign w:val="center"/>
          </w:tcPr>
          <w:p w14:paraId="3F399E99"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2</w:t>
            </w:r>
          </w:p>
        </w:tc>
        <w:tc>
          <w:tcPr>
            <w:tcW w:w="2632" w:type="dxa"/>
            <w:tcBorders>
              <w:top w:val="nil"/>
              <w:left w:val="nil"/>
              <w:bottom w:val="nil"/>
              <w:right w:val="nil"/>
            </w:tcBorders>
            <w:tcMar>
              <w:top w:w="15" w:type="dxa"/>
              <w:left w:w="15" w:type="dxa"/>
              <w:bottom w:w="15" w:type="dxa"/>
              <w:right w:w="15" w:type="dxa"/>
            </w:tcMar>
            <w:vAlign w:val="center"/>
          </w:tcPr>
          <w:p w14:paraId="208634C4"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Metacognitive</w:t>
            </w:r>
          </w:p>
        </w:tc>
        <w:tc>
          <w:tcPr>
            <w:tcW w:w="1598" w:type="dxa"/>
            <w:tcBorders>
              <w:top w:val="nil"/>
              <w:left w:val="nil"/>
              <w:bottom w:val="nil"/>
              <w:right w:val="nil"/>
            </w:tcBorders>
            <w:tcMar>
              <w:top w:w="15" w:type="dxa"/>
              <w:left w:w="15" w:type="dxa"/>
              <w:bottom w:w="15" w:type="dxa"/>
              <w:right w:w="15" w:type="dxa"/>
            </w:tcMar>
            <w:vAlign w:val="center"/>
          </w:tcPr>
          <w:p w14:paraId="57A30D3B"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3.09</w:t>
            </w:r>
          </w:p>
        </w:tc>
        <w:tc>
          <w:tcPr>
            <w:tcW w:w="1367" w:type="dxa"/>
            <w:tcBorders>
              <w:top w:val="nil"/>
              <w:left w:val="nil"/>
              <w:bottom w:val="nil"/>
              <w:right w:val="nil"/>
            </w:tcBorders>
            <w:tcMar>
              <w:top w:w="15" w:type="dxa"/>
              <w:left w:w="15" w:type="dxa"/>
              <w:bottom w:w="15" w:type="dxa"/>
              <w:right w:w="15" w:type="dxa"/>
            </w:tcMar>
            <w:vAlign w:val="center"/>
          </w:tcPr>
          <w:p w14:paraId="253F7BF5"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.85</w:t>
            </w:r>
          </w:p>
        </w:tc>
      </w:tr>
      <w:tr w:rsidR="005765CF" w:rsidRPr="003F2933" w14:paraId="4ADC6D88" w14:textId="77777777" w:rsidTr="00F86F9A">
        <w:trPr>
          <w:trHeight w:val="300"/>
        </w:trPr>
        <w:tc>
          <w:tcPr>
            <w:tcW w:w="1077" w:type="dxa"/>
            <w:tcBorders>
              <w:top w:val="nil"/>
              <w:left w:val="nil"/>
              <w:bottom w:val="nil"/>
              <w:right w:val="nil"/>
            </w:tcBorders>
            <w:tcMar>
              <w:top w:w="15" w:type="dxa"/>
              <w:left w:w="15" w:type="dxa"/>
              <w:bottom w:w="15" w:type="dxa"/>
              <w:right w:w="15" w:type="dxa"/>
            </w:tcMar>
            <w:vAlign w:val="center"/>
          </w:tcPr>
          <w:p w14:paraId="37384A08"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3</w:t>
            </w:r>
          </w:p>
        </w:tc>
        <w:tc>
          <w:tcPr>
            <w:tcW w:w="2632" w:type="dxa"/>
            <w:tcBorders>
              <w:top w:val="nil"/>
              <w:left w:val="nil"/>
              <w:bottom w:val="nil"/>
              <w:right w:val="nil"/>
            </w:tcBorders>
            <w:tcMar>
              <w:top w:w="15" w:type="dxa"/>
              <w:left w:w="15" w:type="dxa"/>
              <w:bottom w:w="15" w:type="dxa"/>
              <w:right w:w="15" w:type="dxa"/>
            </w:tcMar>
            <w:vAlign w:val="center"/>
          </w:tcPr>
          <w:p w14:paraId="057CEED3"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Affective</w:t>
            </w:r>
          </w:p>
        </w:tc>
        <w:tc>
          <w:tcPr>
            <w:tcW w:w="1598" w:type="dxa"/>
            <w:tcBorders>
              <w:top w:val="nil"/>
              <w:left w:val="nil"/>
              <w:bottom w:val="nil"/>
              <w:right w:val="nil"/>
            </w:tcBorders>
            <w:tcMar>
              <w:top w:w="15" w:type="dxa"/>
              <w:left w:w="15" w:type="dxa"/>
              <w:bottom w:w="15" w:type="dxa"/>
              <w:right w:w="15" w:type="dxa"/>
            </w:tcMar>
            <w:vAlign w:val="center"/>
          </w:tcPr>
          <w:p w14:paraId="24E2C6EE"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3.09</w:t>
            </w:r>
          </w:p>
        </w:tc>
        <w:tc>
          <w:tcPr>
            <w:tcW w:w="1367" w:type="dxa"/>
            <w:tcBorders>
              <w:top w:val="nil"/>
              <w:left w:val="nil"/>
              <w:bottom w:val="nil"/>
              <w:right w:val="nil"/>
            </w:tcBorders>
            <w:tcMar>
              <w:top w:w="15" w:type="dxa"/>
              <w:left w:w="15" w:type="dxa"/>
              <w:bottom w:w="15" w:type="dxa"/>
              <w:right w:w="15" w:type="dxa"/>
            </w:tcMar>
            <w:vAlign w:val="center"/>
          </w:tcPr>
          <w:p w14:paraId="2AF66DBB"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.89</w:t>
            </w:r>
          </w:p>
        </w:tc>
      </w:tr>
      <w:tr w:rsidR="005765CF" w:rsidRPr="003F2933" w14:paraId="04D1F86C" w14:textId="77777777" w:rsidTr="00F86F9A">
        <w:trPr>
          <w:trHeight w:val="300"/>
        </w:trPr>
        <w:tc>
          <w:tcPr>
            <w:tcW w:w="1077" w:type="dxa"/>
            <w:tcBorders>
              <w:top w:val="nil"/>
              <w:left w:val="nil"/>
              <w:bottom w:val="single" w:sz="4" w:space="0" w:color="auto"/>
              <w:right w:val="nil"/>
            </w:tcBorders>
            <w:tcMar>
              <w:top w:w="15" w:type="dxa"/>
              <w:left w:w="15" w:type="dxa"/>
              <w:bottom w:w="15" w:type="dxa"/>
              <w:right w:w="15" w:type="dxa"/>
            </w:tcMar>
            <w:vAlign w:val="center"/>
          </w:tcPr>
          <w:p w14:paraId="0562E901"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4</w:t>
            </w:r>
          </w:p>
        </w:tc>
        <w:tc>
          <w:tcPr>
            <w:tcW w:w="2632" w:type="dxa"/>
            <w:tcBorders>
              <w:top w:val="nil"/>
              <w:left w:val="nil"/>
              <w:bottom w:val="single" w:sz="4" w:space="0" w:color="auto"/>
              <w:right w:val="nil"/>
            </w:tcBorders>
            <w:tcMar>
              <w:top w:w="15" w:type="dxa"/>
              <w:left w:w="15" w:type="dxa"/>
              <w:bottom w:w="15" w:type="dxa"/>
              <w:right w:w="15" w:type="dxa"/>
            </w:tcMar>
            <w:vAlign w:val="center"/>
          </w:tcPr>
          <w:p w14:paraId="3E9182BC"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Social</w:t>
            </w:r>
          </w:p>
        </w:tc>
        <w:tc>
          <w:tcPr>
            <w:tcW w:w="1598" w:type="dxa"/>
            <w:tcBorders>
              <w:top w:val="nil"/>
              <w:left w:val="nil"/>
              <w:bottom w:val="single" w:sz="4" w:space="0" w:color="auto"/>
              <w:right w:val="nil"/>
            </w:tcBorders>
            <w:tcMar>
              <w:top w:w="15" w:type="dxa"/>
              <w:left w:w="15" w:type="dxa"/>
              <w:bottom w:w="15" w:type="dxa"/>
              <w:right w:w="15" w:type="dxa"/>
            </w:tcMar>
            <w:vAlign w:val="center"/>
          </w:tcPr>
          <w:p w14:paraId="6F51490D"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3.02</w:t>
            </w:r>
          </w:p>
        </w:tc>
        <w:tc>
          <w:tcPr>
            <w:tcW w:w="1367" w:type="dxa"/>
            <w:tcBorders>
              <w:top w:val="nil"/>
              <w:left w:val="nil"/>
              <w:bottom w:val="single" w:sz="4" w:space="0" w:color="auto"/>
              <w:right w:val="nil"/>
            </w:tcBorders>
            <w:tcMar>
              <w:top w:w="15" w:type="dxa"/>
              <w:left w:w="15" w:type="dxa"/>
              <w:bottom w:w="15" w:type="dxa"/>
              <w:right w:w="15" w:type="dxa"/>
            </w:tcMar>
            <w:vAlign w:val="center"/>
          </w:tcPr>
          <w:p w14:paraId="1C6C6100"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.89</w:t>
            </w:r>
          </w:p>
        </w:tc>
      </w:tr>
      <w:tr w:rsidR="005765CF" w:rsidRPr="003F2933" w14:paraId="6794E208" w14:textId="77777777" w:rsidTr="00F86F9A">
        <w:trPr>
          <w:trHeight w:val="300"/>
        </w:trPr>
        <w:tc>
          <w:tcPr>
            <w:tcW w:w="1077" w:type="dxa"/>
            <w:tcBorders>
              <w:top w:val="single" w:sz="4" w:space="0" w:color="auto"/>
              <w:left w:val="nil"/>
              <w:bottom w:val="single" w:sz="4" w:space="0" w:color="auto"/>
              <w:right w:val="nil"/>
            </w:tcBorders>
            <w:tcMar>
              <w:top w:w="15" w:type="dxa"/>
              <w:left w:w="15" w:type="dxa"/>
              <w:bottom w:w="15" w:type="dxa"/>
              <w:right w:w="15" w:type="dxa"/>
            </w:tcMar>
            <w:vAlign w:val="center"/>
          </w:tcPr>
          <w:p w14:paraId="0633FC4A" w14:textId="77777777" w:rsidR="005765CF" w:rsidRPr="003F2933" w:rsidRDefault="005765CF" w:rsidP="005765CF">
            <w:pPr>
              <w:spacing w:before="0" w:after="0" w:line="240" w:lineRule="auto"/>
              <w:ind w:firstLine="0"/>
              <w:jc w:val="center"/>
              <w:rPr>
                <w:rFonts w:cs="Times New Roman"/>
                <w:szCs w:val="20"/>
                <w14:ligatures w14:val="standardContextual"/>
              </w:rPr>
            </w:pPr>
          </w:p>
        </w:tc>
        <w:tc>
          <w:tcPr>
            <w:tcW w:w="2632" w:type="dxa"/>
            <w:tcBorders>
              <w:top w:val="single" w:sz="4" w:space="0" w:color="auto"/>
              <w:left w:val="nil"/>
              <w:bottom w:val="single" w:sz="4" w:space="0" w:color="auto"/>
              <w:right w:val="nil"/>
            </w:tcBorders>
            <w:tcMar>
              <w:top w:w="15" w:type="dxa"/>
              <w:left w:w="15" w:type="dxa"/>
              <w:bottom w:w="15" w:type="dxa"/>
              <w:right w:w="15" w:type="dxa"/>
            </w:tcMar>
            <w:vAlign w:val="center"/>
          </w:tcPr>
          <w:p w14:paraId="13624714" w14:textId="77777777" w:rsidR="005765CF" w:rsidRPr="003F2933" w:rsidRDefault="005765CF" w:rsidP="005765CF">
            <w:pPr>
              <w:spacing w:before="0" w:after="0" w:line="240" w:lineRule="auto"/>
              <w:ind w:firstLine="0"/>
              <w:jc w:val="center"/>
              <w:rPr>
                <w:rFonts w:cs="Times New Roman"/>
                <w:b/>
                <w:bCs/>
                <w:szCs w:val="20"/>
                <w14:ligatures w14:val="standardContextual"/>
              </w:rPr>
            </w:pPr>
            <w:r>
              <w:rPr>
                <w:rFonts w:cs="Times New Roman"/>
                <w:b/>
                <w:bCs/>
                <w:szCs w:val="20"/>
                <w14:ligatures w14:val="standardContextual"/>
              </w:rPr>
              <w:t>Average</w:t>
            </w:r>
          </w:p>
        </w:tc>
        <w:tc>
          <w:tcPr>
            <w:tcW w:w="1598" w:type="dxa"/>
            <w:tcBorders>
              <w:top w:val="single" w:sz="4" w:space="0" w:color="auto"/>
              <w:left w:val="nil"/>
              <w:bottom w:val="single" w:sz="4" w:space="0" w:color="auto"/>
              <w:right w:val="nil"/>
            </w:tcBorders>
            <w:tcMar>
              <w:top w:w="15" w:type="dxa"/>
              <w:left w:w="15" w:type="dxa"/>
              <w:bottom w:w="15" w:type="dxa"/>
              <w:right w:w="15" w:type="dxa"/>
            </w:tcMar>
            <w:vAlign w:val="center"/>
          </w:tcPr>
          <w:p w14:paraId="3C4D737A" w14:textId="77777777" w:rsidR="005765CF" w:rsidRPr="003F2933" w:rsidRDefault="005765CF" w:rsidP="005765CF">
            <w:pPr>
              <w:spacing w:before="0" w:after="0" w:line="240" w:lineRule="auto"/>
              <w:ind w:firstLine="0"/>
              <w:jc w:val="center"/>
              <w:rPr>
                <w:rFonts w:cs="Times New Roman"/>
                <w:b/>
                <w:bCs/>
                <w:szCs w:val="20"/>
                <w14:ligatures w14:val="standardContextual"/>
              </w:rPr>
            </w:pPr>
            <w:r>
              <w:rPr>
                <w:rFonts w:cs="Times New Roman"/>
                <w:b/>
                <w:bCs/>
                <w:szCs w:val="20"/>
                <w14:ligatures w14:val="standardContextual"/>
              </w:rPr>
              <w:t>3.15</w:t>
            </w:r>
          </w:p>
        </w:tc>
        <w:tc>
          <w:tcPr>
            <w:tcW w:w="1367" w:type="dxa"/>
            <w:tcBorders>
              <w:top w:val="single" w:sz="4" w:space="0" w:color="auto"/>
              <w:left w:val="nil"/>
              <w:bottom w:val="single" w:sz="4" w:space="0" w:color="auto"/>
              <w:right w:val="nil"/>
            </w:tcBorders>
            <w:tcMar>
              <w:top w:w="15" w:type="dxa"/>
              <w:left w:w="15" w:type="dxa"/>
              <w:bottom w:w="15" w:type="dxa"/>
              <w:right w:w="15" w:type="dxa"/>
            </w:tcMar>
            <w:vAlign w:val="center"/>
          </w:tcPr>
          <w:p w14:paraId="0253E56B" w14:textId="77777777" w:rsidR="005765CF" w:rsidRPr="003F2933" w:rsidRDefault="005765CF" w:rsidP="005765CF">
            <w:pPr>
              <w:spacing w:before="0" w:after="0" w:line="240" w:lineRule="auto"/>
              <w:ind w:firstLine="0"/>
              <w:jc w:val="center"/>
              <w:rPr>
                <w:rFonts w:cs="Times New Roman"/>
                <w:b/>
                <w:bCs/>
                <w:szCs w:val="20"/>
                <w14:ligatures w14:val="standardContextual"/>
              </w:rPr>
            </w:pPr>
            <w:r>
              <w:rPr>
                <w:rFonts w:cs="Times New Roman"/>
                <w:b/>
                <w:bCs/>
                <w:szCs w:val="20"/>
                <w14:ligatures w14:val="standardContextual"/>
              </w:rPr>
              <w:t>.86</w:t>
            </w:r>
          </w:p>
        </w:tc>
      </w:tr>
    </w:tbl>
    <w:p w14:paraId="55B03489" w14:textId="77777777" w:rsidR="003E316B" w:rsidRPr="003F2933" w:rsidRDefault="00531AC5" w:rsidP="003E316B">
      <w:pPr>
        <w:pStyle w:val="RALs-TableNote"/>
        <w:rPr>
          <w:sz w:val="20"/>
        </w:rPr>
      </w:pPr>
      <w:r>
        <w:rPr>
          <w:sz w:val="20"/>
        </w:rPr>
        <w:t>*Note. Scale: 1 = Never, 5 = Always.</w:t>
      </w:r>
    </w:p>
    <w:p w14:paraId="134212D0" w14:textId="77777777" w:rsidR="00DE7B3A" w:rsidRPr="00DE7B3A" w:rsidRDefault="00DE7B3A" w:rsidP="00DE7B3A">
      <w:pPr>
        <w:pStyle w:val="RALs-TableNote"/>
        <w:spacing w:line="480" w:lineRule="auto"/>
      </w:pPr>
    </w:p>
    <w:p w14:paraId="134D9005" w14:textId="77777777" w:rsidR="003E316B" w:rsidRPr="003F2933" w:rsidRDefault="003E316B" w:rsidP="003D25EB">
      <w:pPr>
        <w:pStyle w:val="RALs-Heading2"/>
        <w:spacing w:before="0" w:after="120" w:line="480" w:lineRule="auto"/>
        <w:rPr>
          <w:sz w:val="24"/>
          <w:szCs w:val="24"/>
        </w:rPr>
      </w:pPr>
      <w:r>
        <w:rPr>
          <w:sz w:val="24"/>
          <w:szCs w:val="24"/>
        </w:rPr>
        <w:t>4.2. Cognitive Strategies</w:t>
      </w:r>
    </w:p>
    <w:p w14:paraId="219AD713" w14:textId="77777777" w:rsidR="003E316B" w:rsidRPr="003F2933" w:rsidRDefault="003E316B" w:rsidP="003D25EB">
      <w:pPr>
        <w:spacing w:before="0" w:after="120" w:line="480" w:lineRule="auto"/>
        <w:rPr>
          <w:sz w:val="24"/>
          <w:szCs w:val="24"/>
        </w:rPr>
      </w:pPr>
      <w:r>
        <w:rPr>
          <w:sz w:val="24"/>
          <w:szCs w:val="24"/>
        </w:rPr>
        <w:t>Within the cognitive subscale (Table 3), translating between English and Vietnamese (Cog2: M = 3.75, SD = 1.12) and grammar checking (Cog8: M = 3.75, SD = 1.20) were the most frequent uses. Vocabulary practice (Cog1: M = 3.58, SD = 1.09) and exploring alternative expressions (Cog6: M = 3.58, SD = 1.05) were also common. Less frequent were sentence-construction practice with new words (Cog5: M = 3.00, SD = 1.25) and pronunciation practice via text-to-speech (Cog7: M = 2.83, SD = 1.32).</w:t>
      </w:r>
    </w:p>
    <w:p w14:paraId="4C39C3C7" w14:textId="77777777" w:rsidR="00531AC5" w:rsidRDefault="00531AC5" w:rsidP="00531AC5">
      <w:pPr>
        <w:pStyle w:val="RALs-TableCaption"/>
        <w:spacing w:line="480" w:lineRule="auto"/>
        <w:rPr>
          <w:sz w:val="24"/>
          <w:szCs w:val="24"/>
        </w:rPr>
      </w:pPr>
    </w:p>
    <w:p w14:paraId="5F1874E5" w14:textId="77777777" w:rsidR="003E316B" w:rsidRPr="00531AC5" w:rsidRDefault="003E316B" w:rsidP="003E316B">
      <w:pPr>
        <w:pStyle w:val="RALs-TableCaption"/>
        <w:rPr>
          <w:b/>
          <w:bCs/>
          <w:sz w:val="24"/>
          <w:szCs w:val="24"/>
        </w:rPr>
      </w:pPr>
      <w:r>
        <w:rPr>
          <w:b/>
          <w:bCs/>
          <w:sz w:val="24"/>
          <w:szCs w:val="24"/>
        </w:rPr>
        <w:t>Table 3</w:t>
      </w:r>
    </w:p>
    <w:p w14:paraId="48495998" w14:textId="77777777" w:rsidR="003E316B" w:rsidRPr="00531AC5" w:rsidRDefault="003E316B" w:rsidP="003E316B">
      <w:pPr>
        <w:pStyle w:val="RALs-TableCaption"/>
        <w:rPr>
          <w:i/>
          <w:iCs/>
          <w:sz w:val="24"/>
          <w:szCs w:val="24"/>
        </w:rPr>
      </w:pPr>
      <w:r>
        <w:rPr>
          <w:i/>
          <w:iCs/>
          <w:sz w:val="24"/>
          <w:szCs w:val="24"/>
        </w:rPr>
        <w:t>EFL Students’ Use of Cognitive Strategies</w:t>
      </w:r>
    </w:p>
    <w:tbl>
      <w:tblPr>
        <w:tblW w:w="8561" w:type="dxa"/>
        <w:tblBorders>
          <w:top w:val="single" w:sz="8" w:space="0" w:color="auto"/>
        </w:tblBorders>
        <w:tblLayout w:type="fixed"/>
        <w:tblLook w:val="06A0" w:firstRow="1" w:lastRow="0" w:firstColumn="1" w:lastColumn="0" w:noHBand="1" w:noVBand="1"/>
      </w:tblPr>
      <w:tblGrid>
        <w:gridCol w:w="846"/>
        <w:gridCol w:w="6242"/>
        <w:gridCol w:w="813"/>
        <w:gridCol w:w="660"/>
      </w:tblGrid>
      <w:tr w:rsidR="005765CF" w:rsidRPr="003F2933" w14:paraId="6E90AB41" w14:textId="77777777" w:rsidTr="005765CF">
        <w:trPr>
          <w:trHeight w:val="420"/>
        </w:trPr>
        <w:tc>
          <w:tcPr>
            <w:tcW w:w="846" w:type="dxa"/>
            <w:vMerge w:val="restart"/>
            <w:tcBorders>
              <w:top w:val="single" w:sz="4" w:space="0" w:color="auto"/>
              <w:left w:val="nil"/>
              <w:right w:val="nil"/>
            </w:tcBorders>
            <w:tcMar>
              <w:top w:w="15" w:type="dxa"/>
              <w:left w:w="15" w:type="dxa"/>
              <w:bottom w:w="15" w:type="dxa"/>
              <w:right w:w="15" w:type="dxa"/>
            </w:tcMar>
            <w:vAlign w:val="center"/>
          </w:tcPr>
          <w:p w14:paraId="40FF0558" w14:textId="77777777" w:rsidR="005765CF" w:rsidRPr="003F2933" w:rsidRDefault="005765CF" w:rsidP="005765CF">
            <w:pPr>
              <w:spacing w:before="0" w:after="0" w:line="240" w:lineRule="auto"/>
              <w:ind w:firstLine="0"/>
              <w:jc w:val="center"/>
              <w:rPr>
                <w:rFonts w:cs="Times New Roman"/>
                <w:b/>
                <w:bCs/>
                <w:szCs w:val="20"/>
                <w14:ligatures w14:val="standardContextual"/>
              </w:rPr>
            </w:pPr>
            <w:r>
              <w:rPr>
                <w:rFonts w:cs="Times New Roman"/>
                <w:b/>
                <w:bCs/>
                <w:szCs w:val="20"/>
                <w14:ligatures w14:val="standardContextual"/>
              </w:rPr>
              <w:t>No.</w:t>
            </w:r>
          </w:p>
        </w:tc>
        <w:tc>
          <w:tcPr>
            <w:tcW w:w="6242" w:type="dxa"/>
            <w:vMerge w:val="restart"/>
            <w:tcBorders>
              <w:top w:val="single" w:sz="4" w:space="0" w:color="auto"/>
              <w:left w:val="nil"/>
              <w:bottom w:val="single" w:sz="8" w:space="0" w:color="auto"/>
              <w:right w:val="nil"/>
            </w:tcBorders>
            <w:tcMar>
              <w:top w:w="15" w:type="dxa"/>
              <w:left w:w="15" w:type="dxa"/>
              <w:bottom w:w="15" w:type="dxa"/>
              <w:right w:w="15" w:type="dxa"/>
            </w:tcMar>
            <w:vAlign w:val="center"/>
          </w:tcPr>
          <w:p w14:paraId="127CD4BE" w14:textId="77777777" w:rsidR="005765CF" w:rsidRPr="003F2933" w:rsidRDefault="005765CF" w:rsidP="005765CF">
            <w:pPr>
              <w:spacing w:before="0" w:after="0" w:line="240" w:lineRule="auto"/>
              <w:ind w:firstLine="0"/>
              <w:jc w:val="center"/>
              <w:rPr>
                <w:rFonts w:cs="Times New Roman"/>
                <w:b/>
                <w:bCs/>
                <w:szCs w:val="20"/>
                <w14:ligatures w14:val="standardContextual"/>
              </w:rPr>
            </w:pPr>
            <w:r>
              <w:rPr>
                <w:rFonts w:cs="Times New Roman"/>
                <w:b/>
                <w:bCs/>
                <w:szCs w:val="20"/>
                <w14:ligatures w14:val="standardContextual"/>
              </w:rPr>
              <w:t>Items</w:t>
            </w:r>
          </w:p>
        </w:tc>
        <w:tc>
          <w:tcPr>
            <w:tcW w:w="1473" w:type="dxa"/>
            <w:gridSpan w:val="2"/>
            <w:tcBorders>
              <w:top w:val="single" w:sz="4" w:space="0" w:color="auto"/>
              <w:left w:val="nil"/>
              <w:bottom w:val="single" w:sz="4" w:space="0" w:color="auto"/>
              <w:right w:val="nil"/>
            </w:tcBorders>
            <w:tcMar>
              <w:top w:w="15" w:type="dxa"/>
              <w:left w:w="15" w:type="dxa"/>
              <w:bottom w:w="15" w:type="dxa"/>
              <w:right w:w="15" w:type="dxa"/>
            </w:tcMar>
            <w:vAlign w:val="center"/>
          </w:tcPr>
          <w:p w14:paraId="59FA3358" w14:textId="77777777" w:rsidR="005765CF" w:rsidRPr="003F2933" w:rsidRDefault="005765CF" w:rsidP="005765CF">
            <w:pPr>
              <w:spacing w:before="0" w:after="0" w:line="240" w:lineRule="auto"/>
              <w:ind w:firstLine="0"/>
              <w:jc w:val="center"/>
              <w:rPr>
                <w:rFonts w:cs="Times New Roman"/>
                <w:b/>
                <w:bCs/>
                <w:szCs w:val="20"/>
                <w14:ligatures w14:val="standardContextual"/>
              </w:rPr>
            </w:pPr>
            <w:r>
              <w:rPr>
                <w:rFonts w:cs="Times New Roman"/>
                <w:b/>
                <w:bCs/>
                <w:szCs w:val="20"/>
                <w14:ligatures w14:val="standardContextual"/>
              </w:rPr>
              <w:t>N = 52</w:t>
            </w:r>
          </w:p>
        </w:tc>
      </w:tr>
      <w:tr w:rsidR="005765CF" w:rsidRPr="003F2933" w14:paraId="378A9AD2" w14:textId="77777777" w:rsidTr="005765CF">
        <w:trPr>
          <w:trHeight w:val="420"/>
        </w:trPr>
        <w:tc>
          <w:tcPr>
            <w:tcW w:w="846" w:type="dxa"/>
            <w:vMerge/>
            <w:vAlign w:val="center"/>
          </w:tcPr>
          <w:p w14:paraId="3F06D938" w14:textId="77777777" w:rsidR="005765CF" w:rsidRPr="003F2933" w:rsidRDefault="005765CF" w:rsidP="005765CF">
            <w:pPr>
              <w:spacing w:before="0" w:after="0" w:line="240" w:lineRule="auto"/>
              <w:ind w:firstLine="0"/>
              <w:jc w:val="left"/>
              <w:rPr>
                <w:rFonts w:cs="Times New Roman"/>
                <w:szCs w:val="20"/>
                <w14:ligatures w14:val="standardContextual"/>
              </w:rPr>
            </w:pPr>
          </w:p>
        </w:tc>
        <w:tc>
          <w:tcPr>
            <w:tcW w:w="6242" w:type="dxa"/>
            <w:vMerge/>
            <w:vAlign w:val="center"/>
          </w:tcPr>
          <w:p w14:paraId="04C815E2" w14:textId="77777777" w:rsidR="005765CF" w:rsidRPr="003F2933" w:rsidRDefault="005765CF" w:rsidP="005765CF">
            <w:pPr>
              <w:spacing w:before="0" w:after="0" w:line="240" w:lineRule="auto"/>
              <w:ind w:firstLine="0"/>
              <w:jc w:val="left"/>
              <w:rPr>
                <w:rFonts w:cs="Times New Roman"/>
                <w:szCs w:val="20"/>
                <w14:ligatures w14:val="standardContextual"/>
              </w:rPr>
            </w:pPr>
          </w:p>
        </w:tc>
        <w:tc>
          <w:tcPr>
            <w:tcW w:w="813" w:type="dxa"/>
            <w:tcBorders>
              <w:top w:val="single" w:sz="4" w:space="0" w:color="auto"/>
              <w:left w:val="nil"/>
              <w:bottom w:val="single" w:sz="4" w:space="0" w:color="auto"/>
              <w:right w:val="nil"/>
            </w:tcBorders>
            <w:tcMar>
              <w:top w:w="15" w:type="dxa"/>
              <w:left w:w="15" w:type="dxa"/>
              <w:bottom w:w="15" w:type="dxa"/>
              <w:right w:w="15" w:type="dxa"/>
            </w:tcMar>
            <w:vAlign w:val="center"/>
          </w:tcPr>
          <w:p w14:paraId="0AFC3F18" w14:textId="77777777" w:rsidR="005765CF" w:rsidRPr="003F2933" w:rsidRDefault="005765CF" w:rsidP="005765CF">
            <w:pPr>
              <w:spacing w:before="0" w:after="0" w:line="240" w:lineRule="auto"/>
              <w:ind w:firstLine="0"/>
              <w:jc w:val="center"/>
              <w:rPr>
                <w:rFonts w:cs="Times New Roman"/>
                <w:b/>
                <w:bCs/>
                <w:szCs w:val="20"/>
                <w14:ligatures w14:val="standardContextual"/>
              </w:rPr>
            </w:pPr>
            <w:r>
              <w:rPr>
                <w:rFonts w:cs="Times New Roman"/>
                <w:b/>
                <w:bCs/>
                <w:szCs w:val="20"/>
                <w14:ligatures w14:val="standardContextual"/>
              </w:rPr>
              <w:t>M</w:t>
            </w:r>
          </w:p>
        </w:tc>
        <w:tc>
          <w:tcPr>
            <w:tcW w:w="660" w:type="dxa"/>
            <w:tcBorders>
              <w:top w:val="single" w:sz="4" w:space="0" w:color="auto"/>
              <w:left w:val="nil"/>
              <w:bottom w:val="single" w:sz="4" w:space="0" w:color="auto"/>
              <w:right w:val="nil"/>
            </w:tcBorders>
            <w:tcMar>
              <w:top w:w="15" w:type="dxa"/>
              <w:left w:w="15" w:type="dxa"/>
              <w:bottom w:w="15" w:type="dxa"/>
              <w:right w:w="15" w:type="dxa"/>
            </w:tcMar>
            <w:vAlign w:val="center"/>
          </w:tcPr>
          <w:p w14:paraId="0A0D33D8" w14:textId="77777777" w:rsidR="005765CF" w:rsidRPr="003F2933" w:rsidRDefault="005765CF" w:rsidP="005765CF">
            <w:pPr>
              <w:spacing w:before="0" w:after="0" w:line="240" w:lineRule="auto"/>
              <w:ind w:firstLine="0"/>
              <w:jc w:val="center"/>
              <w:rPr>
                <w:rFonts w:cs="Times New Roman"/>
                <w:b/>
                <w:bCs/>
                <w:szCs w:val="20"/>
                <w14:ligatures w14:val="standardContextual"/>
              </w:rPr>
            </w:pPr>
            <w:r>
              <w:rPr>
                <w:rFonts w:cs="Times New Roman"/>
                <w:b/>
                <w:bCs/>
                <w:szCs w:val="20"/>
                <w14:ligatures w14:val="standardContextual"/>
              </w:rPr>
              <w:t>SD</w:t>
            </w:r>
          </w:p>
        </w:tc>
      </w:tr>
      <w:tr w:rsidR="005765CF" w:rsidRPr="003F2933" w14:paraId="0975CDB5" w14:textId="77777777" w:rsidTr="005765CF">
        <w:trPr>
          <w:trHeight w:val="315"/>
        </w:trPr>
        <w:tc>
          <w:tcPr>
            <w:tcW w:w="846" w:type="dxa"/>
            <w:tcBorders>
              <w:top w:val="single" w:sz="4" w:space="0" w:color="auto"/>
              <w:left w:val="nil"/>
              <w:bottom w:val="nil"/>
              <w:right w:val="nil"/>
            </w:tcBorders>
            <w:tcMar>
              <w:top w:w="15" w:type="dxa"/>
              <w:left w:w="15" w:type="dxa"/>
              <w:bottom w:w="15" w:type="dxa"/>
              <w:right w:w="15" w:type="dxa"/>
            </w:tcMar>
          </w:tcPr>
          <w:p w14:paraId="5B622A5A"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Cog1</w:t>
            </w:r>
          </w:p>
        </w:tc>
        <w:tc>
          <w:tcPr>
            <w:tcW w:w="6242" w:type="dxa"/>
            <w:tcBorders>
              <w:top w:val="single" w:sz="4" w:space="0" w:color="auto"/>
              <w:left w:val="nil"/>
              <w:bottom w:val="nil"/>
              <w:right w:val="nil"/>
            </w:tcBorders>
            <w:tcMar>
              <w:top w:w="15" w:type="dxa"/>
              <w:left w:w="15" w:type="dxa"/>
              <w:bottom w:w="15" w:type="dxa"/>
              <w:right w:w="15" w:type="dxa"/>
            </w:tcMar>
            <w:vAlign w:val="center"/>
          </w:tcPr>
          <w:p w14:paraId="5FFFA426"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I use AI to practice new vocabulary.</w:t>
            </w:r>
          </w:p>
        </w:tc>
        <w:tc>
          <w:tcPr>
            <w:tcW w:w="813" w:type="dxa"/>
            <w:tcBorders>
              <w:top w:val="single" w:sz="4" w:space="0" w:color="auto"/>
              <w:left w:val="nil"/>
              <w:bottom w:val="nil"/>
              <w:right w:val="nil"/>
            </w:tcBorders>
            <w:tcMar>
              <w:top w:w="15" w:type="dxa"/>
              <w:left w:w="15" w:type="dxa"/>
              <w:bottom w:w="15" w:type="dxa"/>
              <w:right w:w="15" w:type="dxa"/>
            </w:tcMar>
          </w:tcPr>
          <w:p w14:paraId="6D491D65"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3.58</w:t>
            </w:r>
          </w:p>
        </w:tc>
        <w:tc>
          <w:tcPr>
            <w:tcW w:w="660" w:type="dxa"/>
            <w:tcBorders>
              <w:top w:val="single" w:sz="4" w:space="0" w:color="auto"/>
              <w:left w:val="nil"/>
              <w:bottom w:val="nil"/>
              <w:right w:val="nil"/>
            </w:tcBorders>
            <w:tcMar>
              <w:top w:w="15" w:type="dxa"/>
              <w:left w:w="15" w:type="dxa"/>
              <w:bottom w:w="15" w:type="dxa"/>
              <w:right w:w="15" w:type="dxa"/>
            </w:tcMar>
          </w:tcPr>
          <w:p w14:paraId="28F9927F"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1.09</w:t>
            </w:r>
          </w:p>
        </w:tc>
      </w:tr>
      <w:tr w:rsidR="005765CF" w:rsidRPr="003F2933" w14:paraId="555D6D3F" w14:textId="77777777" w:rsidTr="005765CF">
        <w:trPr>
          <w:trHeight w:val="315"/>
        </w:trPr>
        <w:tc>
          <w:tcPr>
            <w:tcW w:w="846" w:type="dxa"/>
            <w:tcBorders>
              <w:top w:val="nil"/>
              <w:left w:val="nil"/>
              <w:bottom w:val="nil"/>
              <w:right w:val="nil"/>
            </w:tcBorders>
            <w:tcMar>
              <w:top w:w="15" w:type="dxa"/>
              <w:left w:w="15" w:type="dxa"/>
              <w:bottom w:w="15" w:type="dxa"/>
              <w:right w:w="15" w:type="dxa"/>
            </w:tcMar>
          </w:tcPr>
          <w:p w14:paraId="07615BBE"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Cog2</w:t>
            </w:r>
          </w:p>
        </w:tc>
        <w:tc>
          <w:tcPr>
            <w:tcW w:w="6242" w:type="dxa"/>
            <w:tcBorders>
              <w:top w:val="nil"/>
              <w:left w:val="nil"/>
              <w:bottom w:val="nil"/>
              <w:right w:val="nil"/>
            </w:tcBorders>
            <w:tcMar>
              <w:top w:w="15" w:type="dxa"/>
              <w:left w:w="15" w:type="dxa"/>
              <w:bottom w:w="15" w:type="dxa"/>
              <w:right w:w="15" w:type="dxa"/>
            </w:tcMar>
            <w:vAlign w:val="center"/>
          </w:tcPr>
          <w:p w14:paraId="3D094A56"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I use AI to translate between English and Vietnamese.</w:t>
            </w:r>
          </w:p>
        </w:tc>
        <w:tc>
          <w:tcPr>
            <w:tcW w:w="813" w:type="dxa"/>
            <w:tcBorders>
              <w:top w:val="nil"/>
              <w:left w:val="nil"/>
              <w:bottom w:val="nil"/>
              <w:right w:val="nil"/>
            </w:tcBorders>
            <w:tcMar>
              <w:top w:w="15" w:type="dxa"/>
              <w:left w:w="15" w:type="dxa"/>
              <w:bottom w:w="15" w:type="dxa"/>
              <w:right w:w="15" w:type="dxa"/>
            </w:tcMar>
          </w:tcPr>
          <w:p w14:paraId="28759591"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3.75</w:t>
            </w:r>
          </w:p>
        </w:tc>
        <w:tc>
          <w:tcPr>
            <w:tcW w:w="660" w:type="dxa"/>
            <w:tcBorders>
              <w:top w:val="nil"/>
              <w:left w:val="nil"/>
              <w:bottom w:val="nil"/>
              <w:right w:val="nil"/>
            </w:tcBorders>
            <w:tcMar>
              <w:top w:w="15" w:type="dxa"/>
              <w:left w:w="15" w:type="dxa"/>
              <w:bottom w:w="15" w:type="dxa"/>
              <w:right w:w="15" w:type="dxa"/>
            </w:tcMar>
          </w:tcPr>
          <w:p w14:paraId="41F7AABA"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1.12</w:t>
            </w:r>
          </w:p>
        </w:tc>
      </w:tr>
      <w:tr w:rsidR="005765CF" w:rsidRPr="003F2933" w14:paraId="2266EBE6" w14:textId="77777777" w:rsidTr="005765CF">
        <w:trPr>
          <w:trHeight w:val="315"/>
        </w:trPr>
        <w:tc>
          <w:tcPr>
            <w:tcW w:w="846" w:type="dxa"/>
            <w:tcBorders>
              <w:top w:val="nil"/>
              <w:left w:val="nil"/>
              <w:bottom w:val="nil"/>
              <w:right w:val="nil"/>
            </w:tcBorders>
            <w:tcMar>
              <w:top w:w="15" w:type="dxa"/>
              <w:left w:w="15" w:type="dxa"/>
              <w:bottom w:w="15" w:type="dxa"/>
              <w:right w:w="15" w:type="dxa"/>
            </w:tcMar>
          </w:tcPr>
          <w:p w14:paraId="7C34F541"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lastRenderedPageBreak/>
              <w:t>Cog3</w:t>
            </w:r>
          </w:p>
        </w:tc>
        <w:tc>
          <w:tcPr>
            <w:tcW w:w="6242" w:type="dxa"/>
            <w:tcBorders>
              <w:top w:val="nil"/>
              <w:left w:val="nil"/>
              <w:bottom w:val="nil"/>
              <w:right w:val="nil"/>
            </w:tcBorders>
            <w:tcMar>
              <w:top w:w="15" w:type="dxa"/>
              <w:left w:w="15" w:type="dxa"/>
              <w:bottom w:w="15" w:type="dxa"/>
              <w:right w:w="15" w:type="dxa"/>
            </w:tcMar>
            <w:vAlign w:val="center"/>
          </w:tcPr>
          <w:p w14:paraId="16B1C9FC"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I use AI to summarize English texts to understand better.</w:t>
            </w:r>
          </w:p>
        </w:tc>
        <w:tc>
          <w:tcPr>
            <w:tcW w:w="813" w:type="dxa"/>
            <w:tcBorders>
              <w:top w:val="nil"/>
              <w:left w:val="nil"/>
              <w:bottom w:val="nil"/>
              <w:right w:val="nil"/>
            </w:tcBorders>
            <w:tcMar>
              <w:top w:w="15" w:type="dxa"/>
              <w:left w:w="15" w:type="dxa"/>
              <w:bottom w:w="15" w:type="dxa"/>
              <w:right w:w="15" w:type="dxa"/>
            </w:tcMar>
          </w:tcPr>
          <w:p w14:paraId="3D9E7654"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3.39</w:t>
            </w:r>
          </w:p>
        </w:tc>
        <w:tc>
          <w:tcPr>
            <w:tcW w:w="660" w:type="dxa"/>
            <w:tcBorders>
              <w:top w:val="nil"/>
              <w:left w:val="nil"/>
              <w:bottom w:val="nil"/>
              <w:right w:val="nil"/>
            </w:tcBorders>
            <w:tcMar>
              <w:top w:w="15" w:type="dxa"/>
              <w:left w:w="15" w:type="dxa"/>
              <w:bottom w:w="15" w:type="dxa"/>
              <w:right w:w="15" w:type="dxa"/>
            </w:tcMar>
          </w:tcPr>
          <w:p w14:paraId="032E4DAF"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1.16</w:t>
            </w:r>
          </w:p>
        </w:tc>
      </w:tr>
      <w:tr w:rsidR="005765CF" w:rsidRPr="003F2933" w14:paraId="75130BFD" w14:textId="77777777" w:rsidTr="005765CF">
        <w:trPr>
          <w:trHeight w:val="315"/>
        </w:trPr>
        <w:tc>
          <w:tcPr>
            <w:tcW w:w="846" w:type="dxa"/>
            <w:tcBorders>
              <w:top w:val="nil"/>
              <w:left w:val="nil"/>
              <w:bottom w:val="nil"/>
              <w:right w:val="nil"/>
            </w:tcBorders>
            <w:tcMar>
              <w:top w:w="15" w:type="dxa"/>
              <w:left w:w="15" w:type="dxa"/>
              <w:bottom w:w="15" w:type="dxa"/>
              <w:right w:w="15" w:type="dxa"/>
            </w:tcMar>
          </w:tcPr>
          <w:p w14:paraId="6174884F"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Cog4</w:t>
            </w:r>
          </w:p>
        </w:tc>
        <w:tc>
          <w:tcPr>
            <w:tcW w:w="6242" w:type="dxa"/>
            <w:tcBorders>
              <w:top w:val="nil"/>
              <w:left w:val="nil"/>
              <w:bottom w:val="nil"/>
              <w:right w:val="nil"/>
            </w:tcBorders>
            <w:tcMar>
              <w:top w:w="15" w:type="dxa"/>
              <w:left w:w="15" w:type="dxa"/>
              <w:bottom w:w="15" w:type="dxa"/>
              <w:right w:w="15" w:type="dxa"/>
            </w:tcMar>
            <w:vAlign w:val="center"/>
          </w:tcPr>
          <w:p w14:paraId="4E9E208E"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I use AI to make practice questions for myself.</w:t>
            </w:r>
          </w:p>
        </w:tc>
        <w:tc>
          <w:tcPr>
            <w:tcW w:w="813" w:type="dxa"/>
            <w:tcBorders>
              <w:top w:val="nil"/>
              <w:left w:val="nil"/>
              <w:bottom w:val="nil"/>
              <w:right w:val="nil"/>
            </w:tcBorders>
            <w:tcMar>
              <w:top w:w="15" w:type="dxa"/>
              <w:left w:w="15" w:type="dxa"/>
              <w:bottom w:w="15" w:type="dxa"/>
              <w:right w:w="15" w:type="dxa"/>
            </w:tcMar>
          </w:tcPr>
          <w:p w14:paraId="2353C9F8"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3.19</w:t>
            </w:r>
          </w:p>
        </w:tc>
        <w:tc>
          <w:tcPr>
            <w:tcW w:w="660" w:type="dxa"/>
            <w:tcBorders>
              <w:top w:val="nil"/>
              <w:left w:val="nil"/>
              <w:bottom w:val="nil"/>
              <w:right w:val="nil"/>
            </w:tcBorders>
            <w:tcMar>
              <w:top w:w="15" w:type="dxa"/>
              <w:left w:w="15" w:type="dxa"/>
              <w:bottom w:w="15" w:type="dxa"/>
              <w:right w:w="15" w:type="dxa"/>
            </w:tcMar>
          </w:tcPr>
          <w:p w14:paraId="6077F586"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1.14</w:t>
            </w:r>
          </w:p>
        </w:tc>
      </w:tr>
      <w:tr w:rsidR="005765CF" w:rsidRPr="003F2933" w14:paraId="25D9BA07" w14:textId="77777777" w:rsidTr="005765CF">
        <w:trPr>
          <w:trHeight w:val="315"/>
        </w:trPr>
        <w:tc>
          <w:tcPr>
            <w:tcW w:w="846" w:type="dxa"/>
            <w:tcBorders>
              <w:top w:val="nil"/>
              <w:left w:val="nil"/>
              <w:bottom w:val="nil"/>
              <w:right w:val="nil"/>
            </w:tcBorders>
            <w:tcMar>
              <w:top w:w="15" w:type="dxa"/>
              <w:left w:w="15" w:type="dxa"/>
              <w:bottom w:w="15" w:type="dxa"/>
              <w:right w:w="15" w:type="dxa"/>
            </w:tcMar>
          </w:tcPr>
          <w:p w14:paraId="76BFE1D7"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Cog5</w:t>
            </w:r>
          </w:p>
        </w:tc>
        <w:tc>
          <w:tcPr>
            <w:tcW w:w="6242" w:type="dxa"/>
            <w:tcBorders>
              <w:top w:val="nil"/>
              <w:left w:val="nil"/>
              <w:bottom w:val="nil"/>
              <w:right w:val="nil"/>
            </w:tcBorders>
            <w:tcMar>
              <w:top w:w="15" w:type="dxa"/>
              <w:left w:w="15" w:type="dxa"/>
              <w:bottom w:w="15" w:type="dxa"/>
              <w:right w:w="15" w:type="dxa"/>
            </w:tcMar>
            <w:vAlign w:val="center"/>
          </w:tcPr>
          <w:p w14:paraId="3A47FBE7"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I use AI to make sentences with new vocabulary items.</w:t>
            </w:r>
          </w:p>
        </w:tc>
        <w:tc>
          <w:tcPr>
            <w:tcW w:w="813" w:type="dxa"/>
            <w:tcBorders>
              <w:top w:val="nil"/>
              <w:left w:val="nil"/>
              <w:bottom w:val="nil"/>
              <w:right w:val="nil"/>
            </w:tcBorders>
            <w:tcMar>
              <w:top w:w="15" w:type="dxa"/>
              <w:left w:w="15" w:type="dxa"/>
              <w:bottom w:w="15" w:type="dxa"/>
              <w:right w:w="15" w:type="dxa"/>
            </w:tcMar>
          </w:tcPr>
          <w:p w14:paraId="76979E10"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3.00</w:t>
            </w:r>
          </w:p>
        </w:tc>
        <w:tc>
          <w:tcPr>
            <w:tcW w:w="660" w:type="dxa"/>
            <w:tcBorders>
              <w:top w:val="nil"/>
              <w:left w:val="nil"/>
              <w:bottom w:val="nil"/>
              <w:right w:val="nil"/>
            </w:tcBorders>
            <w:tcMar>
              <w:top w:w="15" w:type="dxa"/>
              <w:left w:w="15" w:type="dxa"/>
              <w:bottom w:w="15" w:type="dxa"/>
              <w:right w:w="15" w:type="dxa"/>
            </w:tcMar>
          </w:tcPr>
          <w:p w14:paraId="3197C127"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1.25</w:t>
            </w:r>
          </w:p>
        </w:tc>
      </w:tr>
      <w:tr w:rsidR="005765CF" w:rsidRPr="003F2933" w14:paraId="6188E40D" w14:textId="77777777" w:rsidTr="005765CF">
        <w:trPr>
          <w:trHeight w:val="315"/>
        </w:trPr>
        <w:tc>
          <w:tcPr>
            <w:tcW w:w="846" w:type="dxa"/>
            <w:tcBorders>
              <w:top w:val="nil"/>
              <w:left w:val="nil"/>
              <w:bottom w:val="nil"/>
              <w:right w:val="nil"/>
            </w:tcBorders>
            <w:tcMar>
              <w:top w:w="15" w:type="dxa"/>
              <w:left w:w="15" w:type="dxa"/>
              <w:bottom w:w="15" w:type="dxa"/>
              <w:right w:w="15" w:type="dxa"/>
            </w:tcMar>
          </w:tcPr>
          <w:p w14:paraId="2CC2759C"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Cog6</w:t>
            </w:r>
          </w:p>
        </w:tc>
        <w:tc>
          <w:tcPr>
            <w:tcW w:w="6242" w:type="dxa"/>
            <w:tcBorders>
              <w:top w:val="nil"/>
              <w:left w:val="nil"/>
              <w:bottom w:val="nil"/>
              <w:right w:val="nil"/>
            </w:tcBorders>
            <w:tcMar>
              <w:top w:w="15" w:type="dxa"/>
              <w:left w:w="15" w:type="dxa"/>
              <w:bottom w:w="15" w:type="dxa"/>
              <w:right w:w="15" w:type="dxa"/>
            </w:tcMar>
            <w:vAlign w:val="center"/>
          </w:tcPr>
          <w:p w14:paraId="3B26BE0F"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I use AI to know different ways to express my ideas.</w:t>
            </w:r>
          </w:p>
        </w:tc>
        <w:tc>
          <w:tcPr>
            <w:tcW w:w="813" w:type="dxa"/>
            <w:tcBorders>
              <w:top w:val="nil"/>
              <w:left w:val="nil"/>
              <w:bottom w:val="nil"/>
              <w:right w:val="nil"/>
            </w:tcBorders>
            <w:tcMar>
              <w:top w:w="15" w:type="dxa"/>
              <w:left w:w="15" w:type="dxa"/>
              <w:bottom w:w="15" w:type="dxa"/>
              <w:right w:w="15" w:type="dxa"/>
            </w:tcMar>
          </w:tcPr>
          <w:p w14:paraId="58561DDD"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3.58</w:t>
            </w:r>
          </w:p>
        </w:tc>
        <w:tc>
          <w:tcPr>
            <w:tcW w:w="660" w:type="dxa"/>
            <w:tcBorders>
              <w:top w:val="nil"/>
              <w:left w:val="nil"/>
              <w:bottom w:val="nil"/>
              <w:right w:val="nil"/>
            </w:tcBorders>
            <w:tcMar>
              <w:top w:w="15" w:type="dxa"/>
              <w:left w:w="15" w:type="dxa"/>
              <w:bottom w:w="15" w:type="dxa"/>
              <w:right w:w="15" w:type="dxa"/>
            </w:tcMar>
          </w:tcPr>
          <w:p w14:paraId="7AC48E02"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1.05</w:t>
            </w:r>
          </w:p>
        </w:tc>
      </w:tr>
      <w:tr w:rsidR="005765CF" w:rsidRPr="003F2933" w14:paraId="26C06DAD" w14:textId="77777777" w:rsidTr="005765CF">
        <w:trPr>
          <w:trHeight w:val="315"/>
        </w:trPr>
        <w:tc>
          <w:tcPr>
            <w:tcW w:w="846" w:type="dxa"/>
            <w:tcBorders>
              <w:top w:val="nil"/>
              <w:left w:val="nil"/>
              <w:bottom w:val="nil"/>
              <w:right w:val="nil"/>
            </w:tcBorders>
            <w:tcMar>
              <w:top w:w="15" w:type="dxa"/>
              <w:left w:w="15" w:type="dxa"/>
              <w:bottom w:w="15" w:type="dxa"/>
              <w:right w:w="15" w:type="dxa"/>
            </w:tcMar>
          </w:tcPr>
          <w:p w14:paraId="5BA1B457"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Cog7</w:t>
            </w:r>
          </w:p>
        </w:tc>
        <w:tc>
          <w:tcPr>
            <w:tcW w:w="6242" w:type="dxa"/>
            <w:tcBorders>
              <w:top w:val="nil"/>
              <w:left w:val="nil"/>
              <w:bottom w:val="nil"/>
              <w:right w:val="nil"/>
            </w:tcBorders>
            <w:tcMar>
              <w:top w:w="15" w:type="dxa"/>
              <w:left w:w="15" w:type="dxa"/>
              <w:bottom w:w="15" w:type="dxa"/>
              <w:right w:w="15" w:type="dxa"/>
            </w:tcMar>
            <w:vAlign w:val="center"/>
          </w:tcPr>
          <w:p w14:paraId="659063D7"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I listen to AI text-to-speech to listen to and copy correct pronunciation.</w:t>
            </w:r>
          </w:p>
        </w:tc>
        <w:tc>
          <w:tcPr>
            <w:tcW w:w="813" w:type="dxa"/>
            <w:tcBorders>
              <w:top w:val="nil"/>
              <w:left w:val="nil"/>
              <w:bottom w:val="nil"/>
              <w:right w:val="nil"/>
            </w:tcBorders>
            <w:tcMar>
              <w:top w:w="15" w:type="dxa"/>
              <w:left w:w="15" w:type="dxa"/>
              <w:bottom w:w="15" w:type="dxa"/>
              <w:right w:w="15" w:type="dxa"/>
            </w:tcMar>
          </w:tcPr>
          <w:p w14:paraId="6F532112"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2.83</w:t>
            </w:r>
          </w:p>
        </w:tc>
        <w:tc>
          <w:tcPr>
            <w:tcW w:w="660" w:type="dxa"/>
            <w:tcBorders>
              <w:top w:val="nil"/>
              <w:left w:val="nil"/>
              <w:bottom w:val="nil"/>
              <w:right w:val="nil"/>
            </w:tcBorders>
            <w:tcMar>
              <w:top w:w="15" w:type="dxa"/>
              <w:left w:w="15" w:type="dxa"/>
              <w:bottom w:w="15" w:type="dxa"/>
              <w:right w:w="15" w:type="dxa"/>
            </w:tcMar>
          </w:tcPr>
          <w:p w14:paraId="632893F1"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1.32</w:t>
            </w:r>
          </w:p>
        </w:tc>
      </w:tr>
      <w:tr w:rsidR="005765CF" w:rsidRPr="003F2933" w14:paraId="403A1892" w14:textId="77777777" w:rsidTr="005765CF">
        <w:trPr>
          <w:trHeight w:val="315"/>
        </w:trPr>
        <w:tc>
          <w:tcPr>
            <w:tcW w:w="846" w:type="dxa"/>
            <w:tcBorders>
              <w:top w:val="nil"/>
              <w:left w:val="nil"/>
              <w:bottom w:val="nil"/>
              <w:right w:val="nil"/>
            </w:tcBorders>
            <w:tcMar>
              <w:top w:w="15" w:type="dxa"/>
              <w:left w:w="15" w:type="dxa"/>
              <w:bottom w:w="15" w:type="dxa"/>
              <w:right w:w="15" w:type="dxa"/>
            </w:tcMar>
          </w:tcPr>
          <w:p w14:paraId="3F3C599E"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Cog8</w:t>
            </w:r>
          </w:p>
        </w:tc>
        <w:tc>
          <w:tcPr>
            <w:tcW w:w="6242" w:type="dxa"/>
            <w:tcBorders>
              <w:top w:val="nil"/>
              <w:left w:val="nil"/>
              <w:bottom w:val="nil"/>
              <w:right w:val="nil"/>
            </w:tcBorders>
            <w:tcMar>
              <w:top w:w="15" w:type="dxa"/>
              <w:left w:w="15" w:type="dxa"/>
              <w:bottom w:w="15" w:type="dxa"/>
              <w:right w:w="15" w:type="dxa"/>
            </w:tcMar>
            <w:vAlign w:val="center"/>
          </w:tcPr>
          <w:p w14:paraId="0946DF17"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I use AI to check my grammar when I write.</w:t>
            </w:r>
          </w:p>
        </w:tc>
        <w:tc>
          <w:tcPr>
            <w:tcW w:w="813" w:type="dxa"/>
            <w:tcBorders>
              <w:top w:val="nil"/>
              <w:left w:val="nil"/>
              <w:bottom w:val="nil"/>
              <w:right w:val="nil"/>
            </w:tcBorders>
            <w:tcMar>
              <w:top w:w="15" w:type="dxa"/>
              <w:left w:w="15" w:type="dxa"/>
              <w:bottom w:w="15" w:type="dxa"/>
              <w:right w:w="15" w:type="dxa"/>
            </w:tcMar>
          </w:tcPr>
          <w:p w14:paraId="7EE91CEA"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3.75</w:t>
            </w:r>
          </w:p>
        </w:tc>
        <w:tc>
          <w:tcPr>
            <w:tcW w:w="660" w:type="dxa"/>
            <w:tcBorders>
              <w:top w:val="nil"/>
              <w:left w:val="nil"/>
              <w:bottom w:val="nil"/>
              <w:right w:val="nil"/>
            </w:tcBorders>
            <w:tcMar>
              <w:top w:w="15" w:type="dxa"/>
              <w:left w:w="15" w:type="dxa"/>
              <w:bottom w:w="15" w:type="dxa"/>
              <w:right w:w="15" w:type="dxa"/>
            </w:tcMar>
          </w:tcPr>
          <w:p w14:paraId="5007399D"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1.20</w:t>
            </w:r>
          </w:p>
        </w:tc>
      </w:tr>
      <w:tr w:rsidR="005765CF" w:rsidRPr="003F2933" w14:paraId="67D41E16" w14:textId="77777777" w:rsidTr="005765CF">
        <w:trPr>
          <w:trHeight w:val="315"/>
        </w:trPr>
        <w:tc>
          <w:tcPr>
            <w:tcW w:w="846" w:type="dxa"/>
            <w:tcBorders>
              <w:top w:val="nil"/>
              <w:left w:val="nil"/>
              <w:bottom w:val="single" w:sz="4" w:space="0" w:color="auto"/>
              <w:right w:val="nil"/>
            </w:tcBorders>
            <w:tcMar>
              <w:top w:w="15" w:type="dxa"/>
              <w:left w:w="15" w:type="dxa"/>
              <w:bottom w:w="15" w:type="dxa"/>
              <w:right w:w="15" w:type="dxa"/>
            </w:tcMar>
          </w:tcPr>
          <w:p w14:paraId="0FCD7F65"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Cog9</w:t>
            </w:r>
          </w:p>
        </w:tc>
        <w:tc>
          <w:tcPr>
            <w:tcW w:w="6242" w:type="dxa"/>
            <w:tcBorders>
              <w:top w:val="nil"/>
              <w:left w:val="nil"/>
              <w:bottom w:val="single" w:sz="4" w:space="0" w:color="auto"/>
              <w:right w:val="nil"/>
            </w:tcBorders>
            <w:tcMar>
              <w:top w:w="15" w:type="dxa"/>
              <w:left w:w="15" w:type="dxa"/>
              <w:bottom w:w="15" w:type="dxa"/>
              <w:right w:w="15" w:type="dxa"/>
            </w:tcMar>
            <w:vAlign w:val="center"/>
          </w:tcPr>
          <w:p w14:paraId="599CFDD0"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I use AI tools to compare my writing with better examples.</w:t>
            </w:r>
          </w:p>
        </w:tc>
        <w:tc>
          <w:tcPr>
            <w:tcW w:w="813" w:type="dxa"/>
            <w:tcBorders>
              <w:top w:val="nil"/>
              <w:left w:val="nil"/>
              <w:bottom w:val="single" w:sz="4" w:space="0" w:color="auto"/>
              <w:right w:val="nil"/>
            </w:tcBorders>
            <w:tcMar>
              <w:top w:w="15" w:type="dxa"/>
              <w:left w:w="15" w:type="dxa"/>
              <w:bottom w:w="15" w:type="dxa"/>
              <w:right w:w="15" w:type="dxa"/>
            </w:tcMar>
          </w:tcPr>
          <w:p w14:paraId="76C1F046"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3.35</w:t>
            </w:r>
          </w:p>
        </w:tc>
        <w:tc>
          <w:tcPr>
            <w:tcW w:w="660" w:type="dxa"/>
            <w:tcBorders>
              <w:top w:val="nil"/>
              <w:left w:val="nil"/>
              <w:bottom w:val="single" w:sz="4" w:space="0" w:color="auto"/>
              <w:right w:val="nil"/>
            </w:tcBorders>
            <w:tcMar>
              <w:top w:w="15" w:type="dxa"/>
              <w:left w:w="15" w:type="dxa"/>
              <w:bottom w:w="15" w:type="dxa"/>
              <w:right w:w="15" w:type="dxa"/>
            </w:tcMar>
          </w:tcPr>
          <w:p w14:paraId="092B93DC"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1.20</w:t>
            </w:r>
          </w:p>
        </w:tc>
      </w:tr>
    </w:tbl>
    <w:p w14:paraId="4F93108D" w14:textId="77777777" w:rsidR="003F2933" w:rsidRDefault="003F2933" w:rsidP="00531AC5">
      <w:pPr>
        <w:spacing w:line="480" w:lineRule="auto"/>
      </w:pPr>
    </w:p>
    <w:p w14:paraId="57EED3E7" w14:textId="77777777" w:rsidR="003E316B" w:rsidRPr="003F2933" w:rsidRDefault="003E316B" w:rsidP="003D25EB">
      <w:pPr>
        <w:spacing w:before="0" w:after="120" w:line="480" w:lineRule="auto"/>
        <w:rPr>
          <w:sz w:val="24"/>
          <w:szCs w:val="24"/>
        </w:rPr>
      </w:pPr>
      <w:r>
        <w:rPr>
          <w:sz w:val="24"/>
          <w:szCs w:val="24"/>
        </w:rPr>
        <w:t>Interview accounts supported the quantitative pattern. S1 explained, “To be honest, I am really bad at writing and grammar, so I often use AI tools to practice them.” S3 added, “I often use AI tools to practice reading. It helps me read faster, understand new words, and check whether I did it right or wrong.” These accounts illustrate why cognitive support emerged as AI’s most prominent role for participants: it addressed perceived weaknesses with immediate, low-effort feedback.</w:t>
      </w:r>
    </w:p>
    <w:p w14:paraId="0044273A" w14:textId="77777777" w:rsidR="003E316B" w:rsidRPr="003F2933" w:rsidRDefault="003E316B" w:rsidP="003D25EB">
      <w:pPr>
        <w:pStyle w:val="RALs-Heading2"/>
        <w:spacing w:before="0" w:after="120" w:line="480" w:lineRule="auto"/>
        <w:rPr>
          <w:sz w:val="24"/>
          <w:szCs w:val="24"/>
        </w:rPr>
      </w:pPr>
      <w:r>
        <w:rPr>
          <w:sz w:val="24"/>
          <w:szCs w:val="24"/>
        </w:rPr>
        <w:t>4.3. Metacognitive Strategies</w:t>
      </w:r>
    </w:p>
    <w:p w14:paraId="51A19B89" w14:textId="77777777" w:rsidR="003E316B" w:rsidRDefault="00382175" w:rsidP="003D25EB">
      <w:pPr>
        <w:spacing w:before="0" w:after="120" w:line="480" w:lineRule="auto"/>
        <w:rPr>
          <w:sz w:val="24"/>
          <w:szCs w:val="24"/>
        </w:rPr>
      </w:pPr>
      <w:r>
        <w:rPr>
          <w:sz w:val="24"/>
          <w:szCs w:val="24"/>
        </w:rPr>
        <w:t>For metacognitive strategies (Table 4), one item alone crossed the “often” threshold: evaluating answers after exercises (MetaCog6: M = 3.46, SD = 1.15). Reviewing mistakes to learn from them followed it narrowly (MetaCog3: M = 3.44, SD = 1.13). Long-term planning fared worse. Arranging a learning schedule through AI (MetaCog2: M = 2.77, SD = 1.23) and soliciting AI suggestions for further improvement (MetaCog7: M = 2.79, SD = 1.19) drew the lowest ratings.</w:t>
      </w:r>
    </w:p>
    <w:p w14:paraId="3FD8AAD7" w14:textId="77777777" w:rsidR="00983B18" w:rsidRPr="003F2933" w:rsidRDefault="00983B18" w:rsidP="003D25EB">
      <w:pPr>
        <w:spacing w:before="0" w:after="120" w:line="480" w:lineRule="auto"/>
        <w:rPr>
          <w:sz w:val="24"/>
          <w:szCs w:val="24"/>
        </w:rPr>
      </w:pPr>
    </w:p>
    <w:p w14:paraId="761EDAAF" w14:textId="77777777" w:rsidR="003E316B" w:rsidRPr="00983B18" w:rsidRDefault="003E316B" w:rsidP="003E316B">
      <w:pPr>
        <w:pStyle w:val="RALs-TableCaption"/>
        <w:rPr>
          <w:b/>
          <w:bCs/>
          <w:sz w:val="24"/>
          <w:szCs w:val="24"/>
        </w:rPr>
      </w:pPr>
      <w:r>
        <w:rPr>
          <w:b/>
          <w:bCs/>
          <w:sz w:val="24"/>
          <w:szCs w:val="24"/>
        </w:rPr>
        <w:t>Table 4</w:t>
      </w:r>
    </w:p>
    <w:p w14:paraId="18B870F3" w14:textId="77777777" w:rsidR="003E316B" w:rsidRPr="00983B18" w:rsidRDefault="003E316B" w:rsidP="003E316B">
      <w:pPr>
        <w:pStyle w:val="RALs-TableCaption"/>
        <w:rPr>
          <w:i/>
          <w:iCs/>
          <w:sz w:val="24"/>
          <w:szCs w:val="24"/>
        </w:rPr>
      </w:pPr>
      <w:r>
        <w:rPr>
          <w:i/>
          <w:iCs/>
          <w:sz w:val="24"/>
          <w:szCs w:val="24"/>
        </w:rPr>
        <w:t>EFL Students’ Use of Metacognitive Strategies</w:t>
      </w:r>
    </w:p>
    <w:tbl>
      <w:tblPr>
        <w:tblW w:w="0" w:type="auto"/>
        <w:tblBorders>
          <w:top w:val="single" w:sz="8" w:space="0" w:color="auto"/>
        </w:tblBorders>
        <w:tblLayout w:type="fixed"/>
        <w:tblLook w:val="06A0" w:firstRow="1" w:lastRow="0" w:firstColumn="1" w:lastColumn="0" w:noHBand="1" w:noVBand="1"/>
      </w:tblPr>
      <w:tblGrid>
        <w:gridCol w:w="1134"/>
        <w:gridCol w:w="646"/>
        <w:gridCol w:w="5198"/>
        <w:gridCol w:w="1119"/>
        <w:gridCol w:w="728"/>
      </w:tblGrid>
      <w:tr w:rsidR="005765CF" w:rsidRPr="003F2933" w14:paraId="50012970" w14:textId="77777777" w:rsidTr="00F86F9A">
        <w:trPr>
          <w:trHeight w:val="420"/>
        </w:trPr>
        <w:tc>
          <w:tcPr>
            <w:tcW w:w="1780" w:type="dxa"/>
            <w:gridSpan w:val="2"/>
            <w:vMerge w:val="restart"/>
            <w:tcBorders>
              <w:top w:val="single" w:sz="4" w:space="0" w:color="auto"/>
              <w:left w:val="nil"/>
              <w:right w:val="nil"/>
            </w:tcBorders>
            <w:tcMar>
              <w:top w:w="15" w:type="dxa"/>
              <w:left w:w="15" w:type="dxa"/>
              <w:bottom w:w="15" w:type="dxa"/>
              <w:right w:w="15" w:type="dxa"/>
            </w:tcMar>
            <w:vAlign w:val="center"/>
          </w:tcPr>
          <w:p w14:paraId="76D1DA0A" w14:textId="77777777" w:rsidR="005765CF" w:rsidRPr="003F2933" w:rsidRDefault="005765CF" w:rsidP="005765CF">
            <w:pPr>
              <w:spacing w:before="0" w:after="0" w:line="240" w:lineRule="auto"/>
              <w:ind w:firstLine="0"/>
              <w:jc w:val="center"/>
              <w:rPr>
                <w:rFonts w:cs="Times New Roman"/>
                <w:b/>
                <w:bCs/>
                <w:szCs w:val="20"/>
                <w14:ligatures w14:val="standardContextual"/>
              </w:rPr>
            </w:pPr>
            <w:r>
              <w:rPr>
                <w:rFonts w:cs="Times New Roman"/>
                <w:b/>
                <w:bCs/>
                <w:szCs w:val="20"/>
                <w14:ligatures w14:val="standardContextual"/>
              </w:rPr>
              <w:t>No.</w:t>
            </w:r>
          </w:p>
        </w:tc>
        <w:tc>
          <w:tcPr>
            <w:tcW w:w="5198" w:type="dxa"/>
            <w:vMerge w:val="restart"/>
            <w:tcBorders>
              <w:top w:val="single" w:sz="4" w:space="0" w:color="auto"/>
              <w:left w:val="nil"/>
              <w:bottom w:val="single" w:sz="8" w:space="0" w:color="auto"/>
              <w:right w:val="nil"/>
            </w:tcBorders>
            <w:tcMar>
              <w:top w:w="15" w:type="dxa"/>
              <w:left w:w="15" w:type="dxa"/>
              <w:bottom w:w="15" w:type="dxa"/>
              <w:right w:w="15" w:type="dxa"/>
            </w:tcMar>
            <w:vAlign w:val="center"/>
          </w:tcPr>
          <w:p w14:paraId="6BA6A193" w14:textId="77777777" w:rsidR="005765CF" w:rsidRPr="003F2933" w:rsidRDefault="005765CF" w:rsidP="005765CF">
            <w:pPr>
              <w:spacing w:before="0" w:after="0" w:line="240" w:lineRule="auto"/>
              <w:ind w:firstLine="0"/>
              <w:jc w:val="center"/>
              <w:rPr>
                <w:rFonts w:cs="Times New Roman"/>
                <w:b/>
                <w:bCs/>
                <w:szCs w:val="20"/>
                <w14:ligatures w14:val="standardContextual"/>
              </w:rPr>
            </w:pPr>
            <w:r>
              <w:rPr>
                <w:rFonts w:cs="Times New Roman"/>
                <w:b/>
                <w:bCs/>
                <w:szCs w:val="20"/>
                <w14:ligatures w14:val="standardContextual"/>
              </w:rPr>
              <w:t>Items</w:t>
            </w:r>
          </w:p>
        </w:tc>
        <w:tc>
          <w:tcPr>
            <w:tcW w:w="1847" w:type="dxa"/>
            <w:gridSpan w:val="2"/>
            <w:tcBorders>
              <w:top w:val="single" w:sz="4" w:space="0" w:color="auto"/>
              <w:left w:val="nil"/>
              <w:bottom w:val="single" w:sz="4" w:space="0" w:color="auto"/>
              <w:right w:val="nil"/>
            </w:tcBorders>
            <w:tcMar>
              <w:top w:w="15" w:type="dxa"/>
              <w:left w:w="15" w:type="dxa"/>
              <w:bottom w:w="15" w:type="dxa"/>
              <w:right w:w="15" w:type="dxa"/>
            </w:tcMar>
            <w:vAlign w:val="center"/>
          </w:tcPr>
          <w:p w14:paraId="72916CA0" w14:textId="77777777" w:rsidR="005765CF" w:rsidRPr="003F2933" w:rsidRDefault="005765CF" w:rsidP="005765CF">
            <w:pPr>
              <w:spacing w:before="0" w:after="0" w:line="240" w:lineRule="auto"/>
              <w:ind w:firstLine="0"/>
              <w:jc w:val="center"/>
              <w:rPr>
                <w:rFonts w:cs="Times New Roman"/>
                <w:b/>
                <w:bCs/>
                <w:szCs w:val="20"/>
                <w14:ligatures w14:val="standardContextual"/>
              </w:rPr>
            </w:pPr>
            <w:r>
              <w:rPr>
                <w:rFonts w:cs="Times New Roman"/>
                <w:b/>
                <w:bCs/>
                <w:szCs w:val="20"/>
                <w14:ligatures w14:val="standardContextual"/>
              </w:rPr>
              <w:t>N = 52</w:t>
            </w:r>
          </w:p>
        </w:tc>
      </w:tr>
      <w:tr w:rsidR="005765CF" w:rsidRPr="003F2933" w14:paraId="7564D43A" w14:textId="77777777" w:rsidTr="00F86F9A">
        <w:trPr>
          <w:trHeight w:val="420"/>
        </w:trPr>
        <w:tc>
          <w:tcPr>
            <w:tcW w:w="1780" w:type="dxa"/>
            <w:gridSpan w:val="2"/>
            <w:vMerge/>
            <w:vAlign w:val="center"/>
          </w:tcPr>
          <w:p w14:paraId="579F9C81" w14:textId="77777777" w:rsidR="005765CF" w:rsidRPr="003F2933" w:rsidRDefault="005765CF" w:rsidP="005765CF">
            <w:pPr>
              <w:spacing w:before="0" w:after="0" w:line="240" w:lineRule="auto"/>
              <w:ind w:firstLine="0"/>
              <w:jc w:val="left"/>
              <w:rPr>
                <w:rFonts w:cs="Times New Roman"/>
                <w:szCs w:val="20"/>
                <w14:ligatures w14:val="standardContextual"/>
              </w:rPr>
            </w:pPr>
          </w:p>
        </w:tc>
        <w:tc>
          <w:tcPr>
            <w:tcW w:w="5198" w:type="dxa"/>
            <w:vMerge/>
            <w:vAlign w:val="center"/>
          </w:tcPr>
          <w:p w14:paraId="2143F381" w14:textId="77777777" w:rsidR="005765CF" w:rsidRPr="003F2933" w:rsidRDefault="005765CF" w:rsidP="005765CF">
            <w:pPr>
              <w:spacing w:before="0" w:after="0" w:line="240" w:lineRule="auto"/>
              <w:ind w:firstLine="0"/>
              <w:jc w:val="left"/>
              <w:rPr>
                <w:rFonts w:cs="Times New Roman"/>
                <w:szCs w:val="20"/>
                <w14:ligatures w14:val="standardContextual"/>
              </w:rPr>
            </w:pPr>
          </w:p>
        </w:tc>
        <w:tc>
          <w:tcPr>
            <w:tcW w:w="1119" w:type="dxa"/>
            <w:tcBorders>
              <w:top w:val="single" w:sz="4" w:space="0" w:color="auto"/>
              <w:left w:val="nil"/>
              <w:bottom w:val="single" w:sz="4" w:space="0" w:color="auto"/>
              <w:right w:val="nil"/>
            </w:tcBorders>
            <w:tcMar>
              <w:top w:w="15" w:type="dxa"/>
              <w:left w:w="15" w:type="dxa"/>
              <w:bottom w:w="15" w:type="dxa"/>
              <w:right w:w="15" w:type="dxa"/>
            </w:tcMar>
            <w:vAlign w:val="center"/>
          </w:tcPr>
          <w:p w14:paraId="46E17241" w14:textId="77777777" w:rsidR="005765CF" w:rsidRPr="003F2933" w:rsidRDefault="005765CF" w:rsidP="005765CF">
            <w:pPr>
              <w:spacing w:before="0" w:after="0" w:line="240" w:lineRule="auto"/>
              <w:ind w:firstLine="0"/>
              <w:jc w:val="center"/>
              <w:rPr>
                <w:rFonts w:cs="Times New Roman"/>
                <w:b/>
                <w:bCs/>
                <w:szCs w:val="20"/>
                <w14:ligatures w14:val="standardContextual"/>
              </w:rPr>
            </w:pPr>
            <w:r>
              <w:rPr>
                <w:rFonts w:cs="Times New Roman"/>
                <w:b/>
                <w:bCs/>
                <w:szCs w:val="20"/>
                <w14:ligatures w14:val="standardContextual"/>
              </w:rPr>
              <w:t>M</w:t>
            </w:r>
          </w:p>
        </w:tc>
        <w:tc>
          <w:tcPr>
            <w:tcW w:w="728" w:type="dxa"/>
            <w:tcBorders>
              <w:top w:val="single" w:sz="4" w:space="0" w:color="auto"/>
              <w:left w:val="nil"/>
              <w:bottom w:val="single" w:sz="4" w:space="0" w:color="auto"/>
              <w:right w:val="nil"/>
            </w:tcBorders>
            <w:tcMar>
              <w:top w:w="15" w:type="dxa"/>
              <w:left w:w="15" w:type="dxa"/>
              <w:bottom w:w="15" w:type="dxa"/>
              <w:right w:w="15" w:type="dxa"/>
            </w:tcMar>
            <w:vAlign w:val="center"/>
          </w:tcPr>
          <w:p w14:paraId="51E91203" w14:textId="77777777" w:rsidR="005765CF" w:rsidRPr="003F2933" w:rsidRDefault="005765CF" w:rsidP="005765CF">
            <w:pPr>
              <w:spacing w:before="0" w:after="0" w:line="240" w:lineRule="auto"/>
              <w:ind w:firstLine="0"/>
              <w:jc w:val="center"/>
              <w:rPr>
                <w:rFonts w:cs="Times New Roman"/>
                <w:b/>
                <w:bCs/>
                <w:szCs w:val="20"/>
                <w14:ligatures w14:val="standardContextual"/>
              </w:rPr>
            </w:pPr>
            <w:r>
              <w:rPr>
                <w:rFonts w:cs="Times New Roman"/>
                <w:b/>
                <w:bCs/>
                <w:szCs w:val="20"/>
                <w14:ligatures w14:val="standardContextual"/>
              </w:rPr>
              <w:t>SD</w:t>
            </w:r>
          </w:p>
        </w:tc>
      </w:tr>
      <w:tr w:rsidR="005765CF" w:rsidRPr="003F2933" w14:paraId="758EAEDA" w14:textId="77777777" w:rsidTr="00F86F9A">
        <w:trPr>
          <w:trHeight w:val="315"/>
        </w:trPr>
        <w:tc>
          <w:tcPr>
            <w:tcW w:w="1134" w:type="dxa"/>
            <w:tcBorders>
              <w:top w:val="single" w:sz="4" w:space="0" w:color="auto"/>
              <w:left w:val="nil"/>
              <w:bottom w:val="nil"/>
              <w:right w:val="nil"/>
            </w:tcBorders>
            <w:tcMar>
              <w:top w:w="15" w:type="dxa"/>
              <w:left w:w="15" w:type="dxa"/>
              <w:bottom w:w="15" w:type="dxa"/>
              <w:right w:w="15" w:type="dxa"/>
            </w:tcMar>
          </w:tcPr>
          <w:p w14:paraId="382EBECA"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MetaCog1</w:t>
            </w:r>
          </w:p>
        </w:tc>
        <w:tc>
          <w:tcPr>
            <w:tcW w:w="5844" w:type="dxa"/>
            <w:gridSpan w:val="2"/>
            <w:tcBorders>
              <w:top w:val="single" w:sz="4" w:space="0" w:color="auto"/>
              <w:left w:val="nil"/>
              <w:bottom w:val="nil"/>
              <w:right w:val="nil"/>
            </w:tcBorders>
            <w:tcMar>
              <w:top w:w="15" w:type="dxa"/>
              <w:left w:w="15" w:type="dxa"/>
              <w:bottom w:w="15" w:type="dxa"/>
              <w:right w:w="15" w:type="dxa"/>
            </w:tcMar>
            <w:vAlign w:val="center"/>
          </w:tcPr>
          <w:p w14:paraId="745A1FD3"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I use AI to set learning goals.</w:t>
            </w:r>
          </w:p>
        </w:tc>
        <w:tc>
          <w:tcPr>
            <w:tcW w:w="1119" w:type="dxa"/>
            <w:tcBorders>
              <w:top w:val="single" w:sz="4" w:space="0" w:color="auto"/>
              <w:left w:val="nil"/>
              <w:bottom w:val="nil"/>
              <w:right w:val="nil"/>
            </w:tcBorders>
            <w:tcMar>
              <w:top w:w="15" w:type="dxa"/>
              <w:left w:w="15" w:type="dxa"/>
              <w:bottom w:w="15" w:type="dxa"/>
              <w:right w:w="15" w:type="dxa"/>
            </w:tcMar>
          </w:tcPr>
          <w:p w14:paraId="4083D6B1"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2.92</w:t>
            </w:r>
          </w:p>
        </w:tc>
        <w:tc>
          <w:tcPr>
            <w:tcW w:w="728" w:type="dxa"/>
            <w:tcBorders>
              <w:top w:val="single" w:sz="4" w:space="0" w:color="auto"/>
              <w:left w:val="nil"/>
              <w:bottom w:val="nil"/>
              <w:right w:val="nil"/>
            </w:tcBorders>
            <w:tcMar>
              <w:top w:w="15" w:type="dxa"/>
              <w:left w:w="15" w:type="dxa"/>
              <w:bottom w:w="15" w:type="dxa"/>
              <w:right w:w="15" w:type="dxa"/>
            </w:tcMar>
          </w:tcPr>
          <w:p w14:paraId="1CD013A7"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1.27</w:t>
            </w:r>
          </w:p>
        </w:tc>
      </w:tr>
      <w:tr w:rsidR="005765CF" w:rsidRPr="003F2933" w14:paraId="0F90DE3C" w14:textId="77777777" w:rsidTr="00F86F9A">
        <w:trPr>
          <w:trHeight w:val="315"/>
        </w:trPr>
        <w:tc>
          <w:tcPr>
            <w:tcW w:w="1134" w:type="dxa"/>
            <w:tcBorders>
              <w:top w:val="nil"/>
              <w:left w:val="nil"/>
              <w:bottom w:val="nil"/>
              <w:right w:val="nil"/>
            </w:tcBorders>
            <w:tcMar>
              <w:top w:w="15" w:type="dxa"/>
              <w:left w:w="15" w:type="dxa"/>
              <w:bottom w:w="15" w:type="dxa"/>
              <w:right w:w="15" w:type="dxa"/>
            </w:tcMar>
          </w:tcPr>
          <w:p w14:paraId="7DD6E271"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MetaCog2</w:t>
            </w:r>
          </w:p>
        </w:tc>
        <w:tc>
          <w:tcPr>
            <w:tcW w:w="5844" w:type="dxa"/>
            <w:gridSpan w:val="2"/>
            <w:tcBorders>
              <w:top w:val="nil"/>
              <w:left w:val="nil"/>
              <w:bottom w:val="nil"/>
              <w:right w:val="nil"/>
            </w:tcBorders>
            <w:tcMar>
              <w:top w:w="15" w:type="dxa"/>
              <w:left w:w="15" w:type="dxa"/>
              <w:bottom w:w="15" w:type="dxa"/>
              <w:right w:w="15" w:type="dxa"/>
            </w:tcMar>
            <w:vAlign w:val="center"/>
          </w:tcPr>
          <w:p w14:paraId="37BA15FE"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I plan my study by asking AI to make a study schedule for me.</w:t>
            </w:r>
          </w:p>
        </w:tc>
        <w:tc>
          <w:tcPr>
            <w:tcW w:w="1119" w:type="dxa"/>
            <w:tcBorders>
              <w:top w:val="nil"/>
              <w:left w:val="nil"/>
              <w:bottom w:val="nil"/>
              <w:right w:val="nil"/>
            </w:tcBorders>
            <w:tcMar>
              <w:top w:w="15" w:type="dxa"/>
              <w:left w:w="15" w:type="dxa"/>
              <w:bottom w:w="15" w:type="dxa"/>
              <w:right w:w="15" w:type="dxa"/>
            </w:tcMar>
          </w:tcPr>
          <w:p w14:paraId="78EA7E5F"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2.77</w:t>
            </w:r>
          </w:p>
        </w:tc>
        <w:tc>
          <w:tcPr>
            <w:tcW w:w="728" w:type="dxa"/>
            <w:tcBorders>
              <w:top w:val="nil"/>
              <w:left w:val="nil"/>
              <w:bottom w:val="nil"/>
              <w:right w:val="nil"/>
            </w:tcBorders>
            <w:tcMar>
              <w:top w:w="15" w:type="dxa"/>
              <w:left w:w="15" w:type="dxa"/>
              <w:bottom w:w="15" w:type="dxa"/>
              <w:right w:w="15" w:type="dxa"/>
            </w:tcMar>
          </w:tcPr>
          <w:p w14:paraId="56FEFF31"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1.23</w:t>
            </w:r>
          </w:p>
        </w:tc>
      </w:tr>
      <w:tr w:rsidR="005765CF" w:rsidRPr="003F2933" w14:paraId="0132B4DD" w14:textId="77777777" w:rsidTr="00F86F9A">
        <w:trPr>
          <w:trHeight w:val="315"/>
        </w:trPr>
        <w:tc>
          <w:tcPr>
            <w:tcW w:w="1134" w:type="dxa"/>
            <w:tcBorders>
              <w:top w:val="nil"/>
              <w:left w:val="nil"/>
              <w:bottom w:val="nil"/>
              <w:right w:val="nil"/>
            </w:tcBorders>
            <w:tcMar>
              <w:top w:w="15" w:type="dxa"/>
              <w:left w:w="15" w:type="dxa"/>
              <w:bottom w:w="15" w:type="dxa"/>
              <w:right w:w="15" w:type="dxa"/>
            </w:tcMar>
          </w:tcPr>
          <w:p w14:paraId="43AA58B2"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lastRenderedPageBreak/>
              <w:t>MetaCog3</w:t>
            </w:r>
          </w:p>
        </w:tc>
        <w:tc>
          <w:tcPr>
            <w:tcW w:w="5844" w:type="dxa"/>
            <w:gridSpan w:val="2"/>
            <w:tcBorders>
              <w:top w:val="nil"/>
              <w:left w:val="nil"/>
              <w:bottom w:val="nil"/>
              <w:right w:val="nil"/>
            </w:tcBorders>
            <w:tcMar>
              <w:top w:w="15" w:type="dxa"/>
              <w:left w:w="15" w:type="dxa"/>
              <w:bottom w:w="15" w:type="dxa"/>
              <w:right w:w="15" w:type="dxa"/>
            </w:tcMar>
            <w:vAlign w:val="center"/>
          </w:tcPr>
          <w:p w14:paraId="791987A4"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I use AI tools to review my mistakes and learn from them.</w:t>
            </w:r>
          </w:p>
        </w:tc>
        <w:tc>
          <w:tcPr>
            <w:tcW w:w="1119" w:type="dxa"/>
            <w:tcBorders>
              <w:top w:val="nil"/>
              <w:left w:val="nil"/>
              <w:bottom w:val="nil"/>
              <w:right w:val="nil"/>
            </w:tcBorders>
            <w:tcMar>
              <w:top w:w="15" w:type="dxa"/>
              <w:left w:w="15" w:type="dxa"/>
              <w:bottom w:w="15" w:type="dxa"/>
              <w:right w:w="15" w:type="dxa"/>
            </w:tcMar>
          </w:tcPr>
          <w:p w14:paraId="63759CC1"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3.44</w:t>
            </w:r>
          </w:p>
        </w:tc>
        <w:tc>
          <w:tcPr>
            <w:tcW w:w="728" w:type="dxa"/>
            <w:tcBorders>
              <w:top w:val="nil"/>
              <w:left w:val="nil"/>
              <w:bottom w:val="nil"/>
              <w:right w:val="nil"/>
            </w:tcBorders>
            <w:tcMar>
              <w:top w:w="15" w:type="dxa"/>
              <w:left w:w="15" w:type="dxa"/>
              <w:bottom w:w="15" w:type="dxa"/>
              <w:right w:w="15" w:type="dxa"/>
            </w:tcMar>
          </w:tcPr>
          <w:p w14:paraId="320B93D2"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1.13</w:t>
            </w:r>
          </w:p>
        </w:tc>
      </w:tr>
      <w:tr w:rsidR="005765CF" w:rsidRPr="003F2933" w14:paraId="6F2B7CE9" w14:textId="77777777" w:rsidTr="00F86F9A">
        <w:trPr>
          <w:trHeight w:val="315"/>
        </w:trPr>
        <w:tc>
          <w:tcPr>
            <w:tcW w:w="1134" w:type="dxa"/>
            <w:tcBorders>
              <w:top w:val="nil"/>
              <w:left w:val="nil"/>
              <w:bottom w:val="nil"/>
              <w:right w:val="nil"/>
            </w:tcBorders>
            <w:tcMar>
              <w:top w:w="15" w:type="dxa"/>
              <w:left w:w="15" w:type="dxa"/>
              <w:bottom w:w="15" w:type="dxa"/>
              <w:right w:w="15" w:type="dxa"/>
            </w:tcMar>
          </w:tcPr>
          <w:p w14:paraId="11512009"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MetaCog4</w:t>
            </w:r>
          </w:p>
        </w:tc>
        <w:tc>
          <w:tcPr>
            <w:tcW w:w="5844" w:type="dxa"/>
            <w:gridSpan w:val="2"/>
            <w:tcBorders>
              <w:top w:val="nil"/>
              <w:left w:val="nil"/>
              <w:bottom w:val="nil"/>
              <w:right w:val="nil"/>
            </w:tcBorders>
            <w:tcMar>
              <w:top w:w="15" w:type="dxa"/>
              <w:left w:w="15" w:type="dxa"/>
              <w:bottom w:w="15" w:type="dxa"/>
              <w:right w:w="15" w:type="dxa"/>
            </w:tcMar>
            <w:vAlign w:val="center"/>
          </w:tcPr>
          <w:p w14:paraId="7046B104"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I use AI tools to choose exercises that match my level.</w:t>
            </w:r>
          </w:p>
        </w:tc>
        <w:tc>
          <w:tcPr>
            <w:tcW w:w="1119" w:type="dxa"/>
            <w:tcBorders>
              <w:top w:val="nil"/>
              <w:left w:val="nil"/>
              <w:bottom w:val="nil"/>
              <w:right w:val="nil"/>
            </w:tcBorders>
            <w:tcMar>
              <w:top w:w="15" w:type="dxa"/>
              <w:left w:w="15" w:type="dxa"/>
              <w:bottom w:w="15" w:type="dxa"/>
              <w:right w:w="15" w:type="dxa"/>
            </w:tcMar>
          </w:tcPr>
          <w:p w14:paraId="6301D130"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3.15</w:t>
            </w:r>
          </w:p>
        </w:tc>
        <w:tc>
          <w:tcPr>
            <w:tcW w:w="728" w:type="dxa"/>
            <w:tcBorders>
              <w:top w:val="nil"/>
              <w:left w:val="nil"/>
              <w:bottom w:val="nil"/>
              <w:right w:val="nil"/>
            </w:tcBorders>
            <w:tcMar>
              <w:top w:w="15" w:type="dxa"/>
              <w:left w:w="15" w:type="dxa"/>
              <w:bottom w:w="15" w:type="dxa"/>
              <w:right w:w="15" w:type="dxa"/>
            </w:tcMar>
          </w:tcPr>
          <w:p w14:paraId="57C301DE"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1.27</w:t>
            </w:r>
          </w:p>
        </w:tc>
      </w:tr>
      <w:tr w:rsidR="005765CF" w:rsidRPr="003F2933" w14:paraId="346FA4EA" w14:textId="77777777" w:rsidTr="00F86F9A">
        <w:trPr>
          <w:trHeight w:val="315"/>
        </w:trPr>
        <w:tc>
          <w:tcPr>
            <w:tcW w:w="1134" w:type="dxa"/>
            <w:tcBorders>
              <w:top w:val="nil"/>
              <w:left w:val="nil"/>
              <w:bottom w:val="nil"/>
              <w:right w:val="nil"/>
            </w:tcBorders>
            <w:tcMar>
              <w:top w:w="15" w:type="dxa"/>
              <w:left w:w="15" w:type="dxa"/>
              <w:bottom w:w="15" w:type="dxa"/>
              <w:right w:w="15" w:type="dxa"/>
            </w:tcMar>
          </w:tcPr>
          <w:p w14:paraId="7263D99F"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MetaCog5</w:t>
            </w:r>
          </w:p>
        </w:tc>
        <w:tc>
          <w:tcPr>
            <w:tcW w:w="5844" w:type="dxa"/>
            <w:gridSpan w:val="2"/>
            <w:tcBorders>
              <w:top w:val="nil"/>
              <w:left w:val="nil"/>
              <w:bottom w:val="nil"/>
              <w:right w:val="nil"/>
            </w:tcBorders>
            <w:tcMar>
              <w:top w:w="15" w:type="dxa"/>
              <w:left w:w="15" w:type="dxa"/>
              <w:bottom w:w="15" w:type="dxa"/>
              <w:right w:w="15" w:type="dxa"/>
            </w:tcMar>
            <w:vAlign w:val="center"/>
          </w:tcPr>
          <w:p w14:paraId="7BA0A703"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I ask AI for feedback on my speaking or writing.</w:t>
            </w:r>
          </w:p>
        </w:tc>
        <w:tc>
          <w:tcPr>
            <w:tcW w:w="1119" w:type="dxa"/>
            <w:tcBorders>
              <w:top w:val="nil"/>
              <w:left w:val="nil"/>
              <w:bottom w:val="nil"/>
              <w:right w:val="nil"/>
            </w:tcBorders>
            <w:tcMar>
              <w:top w:w="15" w:type="dxa"/>
              <w:left w:w="15" w:type="dxa"/>
              <w:bottom w:w="15" w:type="dxa"/>
              <w:right w:w="15" w:type="dxa"/>
            </w:tcMar>
          </w:tcPr>
          <w:p w14:paraId="5D3420D7"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3.12</w:t>
            </w:r>
          </w:p>
        </w:tc>
        <w:tc>
          <w:tcPr>
            <w:tcW w:w="728" w:type="dxa"/>
            <w:tcBorders>
              <w:top w:val="nil"/>
              <w:left w:val="nil"/>
              <w:bottom w:val="nil"/>
              <w:right w:val="nil"/>
            </w:tcBorders>
            <w:tcMar>
              <w:top w:w="15" w:type="dxa"/>
              <w:left w:w="15" w:type="dxa"/>
              <w:bottom w:w="15" w:type="dxa"/>
              <w:right w:w="15" w:type="dxa"/>
            </w:tcMar>
          </w:tcPr>
          <w:p w14:paraId="33DCB099"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1.15</w:t>
            </w:r>
          </w:p>
        </w:tc>
      </w:tr>
      <w:tr w:rsidR="005765CF" w:rsidRPr="003F2933" w14:paraId="30398619" w14:textId="77777777" w:rsidTr="00F86F9A">
        <w:trPr>
          <w:trHeight w:val="315"/>
        </w:trPr>
        <w:tc>
          <w:tcPr>
            <w:tcW w:w="1134" w:type="dxa"/>
            <w:tcBorders>
              <w:top w:val="nil"/>
              <w:left w:val="nil"/>
              <w:bottom w:val="nil"/>
              <w:right w:val="nil"/>
            </w:tcBorders>
            <w:tcMar>
              <w:top w:w="15" w:type="dxa"/>
              <w:left w:w="15" w:type="dxa"/>
              <w:bottom w:w="15" w:type="dxa"/>
              <w:right w:w="15" w:type="dxa"/>
            </w:tcMar>
          </w:tcPr>
          <w:p w14:paraId="3A167BDA"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MetaCog6</w:t>
            </w:r>
          </w:p>
        </w:tc>
        <w:tc>
          <w:tcPr>
            <w:tcW w:w="5844" w:type="dxa"/>
            <w:gridSpan w:val="2"/>
            <w:tcBorders>
              <w:top w:val="nil"/>
              <w:left w:val="nil"/>
              <w:bottom w:val="nil"/>
              <w:right w:val="nil"/>
            </w:tcBorders>
            <w:tcMar>
              <w:top w:w="15" w:type="dxa"/>
              <w:left w:w="15" w:type="dxa"/>
              <w:bottom w:w="15" w:type="dxa"/>
              <w:right w:w="15" w:type="dxa"/>
            </w:tcMar>
            <w:vAlign w:val="center"/>
          </w:tcPr>
          <w:p w14:paraId="0B9A21AE"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I use AI to evaluate my answers after finishing exercises.</w:t>
            </w:r>
          </w:p>
        </w:tc>
        <w:tc>
          <w:tcPr>
            <w:tcW w:w="1119" w:type="dxa"/>
            <w:tcBorders>
              <w:top w:val="nil"/>
              <w:left w:val="nil"/>
              <w:bottom w:val="nil"/>
              <w:right w:val="nil"/>
            </w:tcBorders>
            <w:tcMar>
              <w:top w:w="15" w:type="dxa"/>
              <w:left w:w="15" w:type="dxa"/>
              <w:bottom w:w="15" w:type="dxa"/>
              <w:right w:w="15" w:type="dxa"/>
            </w:tcMar>
          </w:tcPr>
          <w:p w14:paraId="330ACEA1"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3.46</w:t>
            </w:r>
          </w:p>
        </w:tc>
        <w:tc>
          <w:tcPr>
            <w:tcW w:w="728" w:type="dxa"/>
            <w:tcBorders>
              <w:top w:val="nil"/>
              <w:left w:val="nil"/>
              <w:bottom w:val="nil"/>
              <w:right w:val="nil"/>
            </w:tcBorders>
            <w:tcMar>
              <w:top w:w="15" w:type="dxa"/>
              <w:left w:w="15" w:type="dxa"/>
              <w:bottom w:w="15" w:type="dxa"/>
              <w:right w:w="15" w:type="dxa"/>
            </w:tcMar>
          </w:tcPr>
          <w:p w14:paraId="40A5B5BA"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1.15</w:t>
            </w:r>
          </w:p>
        </w:tc>
      </w:tr>
      <w:tr w:rsidR="005765CF" w:rsidRPr="003F2933" w14:paraId="3326299F" w14:textId="77777777" w:rsidTr="00F86F9A">
        <w:trPr>
          <w:trHeight w:val="315"/>
        </w:trPr>
        <w:tc>
          <w:tcPr>
            <w:tcW w:w="1134" w:type="dxa"/>
            <w:tcBorders>
              <w:top w:val="nil"/>
              <w:left w:val="nil"/>
              <w:bottom w:val="single" w:sz="4" w:space="0" w:color="auto"/>
              <w:right w:val="nil"/>
            </w:tcBorders>
            <w:tcMar>
              <w:top w:w="15" w:type="dxa"/>
              <w:left w:w="15" w:type="dxa"/>
              <w:bottom w:w="15" w:type="dxa"/>
              <w:right w:w="15" w:type="dxa"/>
            </w:tcMar>
          </w:tcPr>
          <w:p w14:paraId="29DA4BA5"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MetaCog7</w:t>
            </w:r>
          </w:p>
        </w:tc>
        <w:tc>
          <w:tcPr>
            <w:tcW w:w="5844" w:type="dxa"/>
            <w:gridSpan w:val="2"/>
            <w:tcBorders>
              <w:top w:val="nil"/>
              <w:left w:val="nil"/>
              <w:bottom w:val="single" w:sz="4" w:space="0" w:color="auto"/>
              <w:right w:val="nil"/>
            </w:tcBorders>
            <w:tcMar>
              <w:top w:w="15" w:type="dxa"/>
              <w:left w:w="15" w:type="dxa"/>
              <w:bottom w:w="15" w:type="dxa"/>
              <w:right w:w="15" w:type="dxa"/>
            </w:tcMar>
            <w:vAlign w:val="center"/>
          </w:tcPr>
          <w:p w14:paraId="3694B542"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I reflect on my study by asking AI, “How can I do better next time?”</w:t>
            </w:r>
          </w:p>
        </w:tc>
        <w:tc>
          <w:tcPr>
            <w:tcW w:w="1119" w:type="dxa"/>
            <w:tcBorders>
              <w:top w:val="nil"/>
              <w:left w:val="nil"/>
              <w:bottom w:val="single" w:sz="4" w:space="0" w:color="auto"/>
              <w:right w:val="nil"/>
            </w:tcBorders>
            <w:tcMar>
              <w:top w:w="15" w:type="dxa"/>
              <w:left w:w="15" w:type="dxa"/>
              <w:bottom w:w="15" w:type="dxa"/>
              <w:right w:w="15" w:type="dxa"/>
            </w:tcMar>
          </w:tcPr>
          <w:p w14:paraId="01FA8749"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2.79</w:t>
            </w:r>
          </w:p>
        </w:tc>
        <w:tc>
          <w:tcPr>
            <w:tcW w:w="728" w:type="dxa"/>
            <w:tcBorders>
              <w:top w:val="nil"/>
              <w:left w:val="nil"/>
              <w:bottom w:val="single" w:sz="4" w:space="0" w:color="auto"/>
              <w:right w:val="nil"/>
            </w:tcBorders>
            <w:tcMar>
              <w:top w:w="15" w:type="dxa"/>
              <w:left w:w="15" w:type="dxa"/>
              <w:bottom w:w="15" w:type="dxa"/>
              <w:right w:w="15" w:type="dxa"/>
            </w:tcMar>
          </w:tcPr>
          <w:p w14:paraId="0324BAFD"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1.19</w:t>
            </w:r>
          </w:p>
        </w:tc>
      </w:tr>
    </w:tbl>
    <w:p w14:paraId="5A177B98" w14:textId="77777777" w:rsidR="003F2933" w:rsidRDefault="003F2933" w:rsidP="00983B18">
      <w:pPr>
        <w:spacing w:line="480" w:lineRule="auto"/>
      </w:pPr>
    </w:p>
    <w:p w14:paraId="51ED4950" w14:textId="77777777" w:rsidR="003E316B" w:rsidRPr="003F2933" w:rsidRDefault="00382175" w:rsidP="003D25EB">
      <w:pPr>
        <w:spacing w:before="0" w:after="120" w:line="480" w:lineRule="auto"/>
        <w:rPr>
          <w:sz w:val="24"/>
          <w:szCs w:val="24"/>
        </w:rPr>
      </w:pPr>
      <w:r>
        <w:rPr>
          <w:sz w:val="24"/>
          <w:szCs w:val="24"/>
        </w:rPr>
        <w:t>The interviews exposed the same lopsidedness. S2 used AI mainly to diagnose weaknesses: “I’ll ask for a sample test and AI will check it and explain what my problems are and what I need to improve.” A minority did set goals or monitor progress with AI. S10 reported, “I set [a goal] to reach 70+ at PTE in 6 months, and like a coach every day I [log] the day I learn,” and S9 explained, “When I write a paragraph, I ask ChatGPT to give me feedback and show my mistakes. It tells me what parts are weak, like grammar or vocabulary.” Yet sustained planning remained the exception; as one student admitted, “I make plans for using AI, but I cannot always follow them.” Diagnosis and on-the-spot evaluation came easily; disciplined, forward-looking planning did not.</w:t>
      </w:r>
    </w:p>
    <w:p w14:paraId="17226CC3" w14:textId="77777777" w:rsidR="003E316B" w:rsidRPr="003F2933" w:rsidRDefault="003E316B" w:rsidP="003D25EB">
      <w:pPr>
        <w:pStyle w:val="RALs-Heading2"/>
        <w:spacing w:before="0" w:after="120" w:line="480" w:lineRule="auto"/>
        <w:rPr>
          <w:sz w:val="24"/>
          <w:szCs w:val="24"/>
        </w:rPr>
      </w:pPr>
      <w:r>
        <w:rPr>
          <w:sz w:val="24"/>
          <w:szCs w:val="24"/>
        </w:rPr>
        <w:t>4.4. Affective Strategies</w:t>
      </w:r>
    </w:p>
    <w:p w14:paraId="1EB3417E" w14:textId="77777777" w:rsidR="003E316B" w:rsidRDefault="00382175" w:rsidP="003D25EB">
      <w:pPr>
        <w:spacing w:before="0" w:after="120" w:line="480" w:lineRule="auto"/>
        <w:rPr>
          <w:sz w:val="24"/>
          <w:szCs w:val="24"/>
        </w:rPr>
      </w:pPr>
      <w:r>
        <w:rPr>
          <w:sz w:val="24"/>
          <w:szCs w:val="24"/>
        </w:rPr>
        <w:t>Affective strategy use (Table 5) was moderate. Three uses clustered closely: AI sustained motivation through immediate feedback (Affect4: M = 3.27, SD = 1.14), made learning enjoyable via gamified applications (Affect3: M = 3.17, SD = 1.26), and offered encouragement through achievements and rewards (Affect5: M = 3.17, SD = 1.09). Reducing the fear of mistakes rated slightly higher (Affect6: M = 3.33, SD = 1.13). Rarest of all was building speaking confidence through chatbot interaction (Affect1: M = 2.67, SD = 1.28).</w:t>
      </w:r>
    </w:p>
    <w:p w14:paraId="5DE451A5" w14:textId="77777777" w:rsidR="002177BC" w:rsidRPr="003F2933" w:rsidRDefault="002177BC" w:rsidP="002177BC">
      <w:pPr>
        <w:spacing w:before="0" w:after="120" w:line="480" w:lineRule="auto"/>
        <w:rPr>
          <w:sz w:val="24"/>
          <w:szCs w:val="24"/>
        </w:rPr>
      </w:pPr>
    </w:p>
    <w:p w14:paraId="1B1CFCBD" w14:textId="77777777" w:rsidR="003E316B" w:rsidRPr="002177BC" w:rsidRDefault="003E316B" w:rsidP="003E316B">
      <w:pPr>
        <w:pStyle w:val="RALs-TableCaption"/>
        <w:rPr>
          <w:b/>
          <w:bCs/>
          <w:sz w:val="24"/>
          <w:szCs w:val="24"/>
        </w:rPr>
      </w:pPr>
      <w:r>
        <w:rPr>
          <w:b/>
          <w:bCs/>
          <w:sz w:val="24"/>
          <w:szCs w:val="24"/>
        </w:rPr>
        <w:t>Table 5</w:t>
      </w:r>
    </w:p>
    <w:p w14:paraId="42189150" w14:textId="77777777" w:rsidR="003E316B" w:rsidRPr="002177BC" w:rsidRDefault="003E316B" w:rsidP="003E316B">
      <w:pPr>
        <w:pStyle w:val="RALs-TableCaption"/>
        <w:rPr>
          <w:i/>
          <w:iCs/>
          <w:sz w:val="24"/>
          <w:szCs w:val="24"/>
        </w:rPr>
      </w:pPr>
      <w:r>
        <w:rPr>
          <w:i/>
          <w:iCs/>
          <w:sz w:val="24"/>
          <w:szCs w:val="24"/>
        </w:rPr>
        <w:t>EFL Students’ Use of Affective Strategies</w:t>
      </w:r>
    </w:p>
    <w:tbl>
      <w:tblPr>
        <w:tblW w:w="0" w:type="auto"/>
        <w:tblBorders>
          <w:top w:val="single" w:sz="4" w:space="0" w:color="auto"/>
          <w:bottom w:val="single" w:sz="4" w:space="0" w:color="auto"/>
        </w:tblBorders>
        <w:tblLayout w:type="fixed"/>
        <w:tblLook w:val="06A0" w:firstRow="1" w:lastRow="0" w:firstColumn="1" w:lastColumn="0" w:noHBand="1" w:noVBand="1"/>
      </w:tblPr>
      <w:tblGrid>
        <w:gridCol w:w="988"/>
        <w:gridCol w:w="6107"/>
        <w:gridCol w:w="952"/>
        <w:gridCol w:w="688"/>
      </w:tblGrid>
      <w:tr w:rsidR="005765CF" w:rsidRPr="003F2933" w14:paraId="4E267136" w14:textId="77777777" w:rsidTr="00F86F9A">
        <w:trPr>
          <w:trHeight w:val="420"/>
        </w:trPr>
        <w:tc>
          <w:tcPr>
            <w:tcW w:w="988" w:type="dxa"/>
            <w:vMerge w:val="restart"/>
            <w:tcMar>
              <w:top w:w="15" w:type="dxa"/>
              <w:left w:w="15" w:type="dxa"/>
              <w:bottom w:w="15" w:type="dxa"/>
              <w:right w:w="15" w:type="dxa"/>
            </w:tcMar>
            <w:vAlign w:val="center"/>
          </w:tcPr>
          <w:p w14:paraId="438B7BCF" w14:textId="77777777" w:rsidR="005765CF" w:rsidRPr="003F2933" w:rsidRDefault="005765CF" w:rsidP="005765CF">
            <w:pPr>
              <w:spacing w:before="0" w:after="0" w:line="240" w:lineRule="auto"/>
              <w:ind w:firstLine="0"/>
              <w:jc w:val="center"/>
              <w:rPr>
                <w:rFonts w:cs="Times New Roman"/>
                <w:b/>
                <w:bCs/>
                <w:szCs w:val="20"/>
                <w14:ligatures w14:val="standardContextual"/>
              </w:rPr>
            </w:pPr>
            <w:r>
              <w:rPr>
                <w:rFonts w:cs="Times New Roman"/>
                <w:b/>
                <w:bCs/>
                <w:szCs w:val="20"/>
                <w14:ligatures w14:val="standardContextual"/>
              </w:rPr>
              <w:t>No.</w:t>
            </w:r>
          </w:p>
        </w:tc>
        <w:tc>
          <w:tcPr>
            <w:tcW w:w="6107" w:type="dxa"/>
            <w:vMerge w:val="restart"/>
            <w:tcBorders>
              <w:bottom w:val="nil"/>
            </w:tcBorders>
            <w:tcMar>
              <w:top w:w="15" w:type="dxa"/>
              <w:left w:w="15" w:type="dxa"/>
              <w:bottom w:w="15" w:type="dxa"/>
              <w:right w:w="15" w:type="dxa"/>
            </w:tcMar>
            <w:vAlign w:val="center"/>
          </w:tcPr>
          <w:p w14:paraId="5919948E" w14:textId="77777777" w:rsidR="005765CF" w:rsidRPr="003F2933" w:rsidRDefault="005765CF" w:rsidP="005765CF">
            <w:pPr>
              <w:spacing w:before="0" w:after="0" w:line="240" w:lineRule="auto"/>
              <w:ind w:firstLine="0"/>
              <w:jc w:val="center"/>
              <w:rPr>
                <w:rFonts w:cs="Times New Roman"/>
                <w:b/>
                <w:bCs/>
                <w:szCs w:val="20"/>
                <w14:ligatures w14:val="standardContextual"/>
              </w:rPr>
            </w:pPr>
            <w:r>
              <w:rPr>
                <w:rFonts w:cs="Times New Roman"/>
                <w:b/>
                <w:bCs/>
                <w:szCs w:val="20"/>
                <w14:ligatures w14:val="standardContextual"/>
              </w:rPr>
              <w:t>Items</w:t>
            </w:r>
          </w:p>
        </w:tc>
        <w:tc>
          <w:tcPr>
            <w:tcW w:w="1640" w:type="dxa"/>
            <w:gridSpan w:val="2"/>
            <w:tcBorders>
              <w:top w:val="single" w:sz="4" w:space="0" w:color="auto"/>
              <w:bottom w:val="single" w:sz="4" w:space="0" w:color="auto"/>
            </w:tcBorders>
            <w:tcMar>
              <w:top w:w="15" w:type="dxa"/>
              <w:left w:w="15" w:type="dxa"/>
              <w:bottom w:w="15" w:type="dxa"/>
              <w:right w:w="15" w:type="dxa"/>
            </w:tcMar>
            <w:vAlign w:val="center"/>
          </w:tcPr>
          <w:p w14:paraId="4564FC0E" w14:textId="77777777" w:rsidR="005765CF" w:rsidRPr="003F2933" w:rsidRDefault="005765CF" w:rsidP="005765CF">
            <w:pPr>
              <w:spacing w:before="0" w:after="0" w:line="240" w:lineRule="auto"/>
              <w:ind w:firstLine="0"/>
              <w:jc w:val="center"/>
              <w:rPr>
                <w:rFonts w:cs="Times New Roman"/>
                <w:b/>
                <w:bCs/>
                <w:szCs w:val="20"/>
                <w14:ligatures w14:val="standardContextual"/>
              </w:rPr>
            </w:pPr>
            <w:r>
              <w:rPr>
                <w:rFonts w:cs="Times New Roman"/>
                <w:b/>
                <w:bCs/>
                <w:szCs w:val="20"/>
                <w14:ligatures w14:val="standardContextual"/>
              </w:rPr>
              <w:t>N = 52</w:t>
            </w:r>
          </w:p>
        </w:tc>
      </w:tr>
      <w:tr w:rsidR="005765CF" w:rsidRPr="003F2933" w14:paraId="2D31AE8A" w14:textId="77777777" w:rsidTr="00F86F9A">
        <w:trPr>
          <w:trHeight w:val="420"/>
        </w:trPr>
        <w:tc>
          <w:tcPr>
            <w:tcW w:w="988" w:type="dxa"/>
            <w:vMerge/>
            <w:tcBorders>
              <w:bottom w:val="single" w:sz="4" w:space="0" w:color="auto"/>
            </w:tcBorders>
            <w:vAlign w:val="center"/>
          </w:tcPr>
          <w:p w14:paraId="33D21370" w14:textId="77777777" w:rsidR="005765CF" w:rsidRPr="003F2933" w:rsidRDefault="005765CF" w:rsidP="005765CF">
            <w:pPr>
              <w:spacing w:before="0" w:after="0" w:line="240" w:lineRule="auto"/>
              <w:ind w:firstLine="0"/>
              <w:jc w:val="left"/>
              <w:rPr>
                <w:rFonts w:cs="Times New Roman"/>
                <w:szCs w:val="20"/>
                <w14:ligatures w14:val="standardContextual"/>
              </w:rPr>
            </w:pPr>
          </w:p>
        </w:tc>
        <w:tc>
          <w:tcPr>
            <w:tcW w:w="6107" w:type="dxa"/>
            <w:vMerge/>
            <w:tcBorders>
              <w:top w:val="nil"/>
              <w:bottom w:val="single" w:sz="4" w:space="0" w:color="auto"/>
            </w:tcBorders>
            <w:vAlign w:val="center"/>
          </w:tcPr>
          <w:p w14:paraId="1D407BF8" w14:textId="77777777" w:rsidR="005765CF" w:rsidRPr="003F2933" w:rsidRDefault="005765CF" w:rsidP="005765CF">
            <w:pPr>
              <w:spacing w:before="0" w:after="0" w:line="240" w:lineRule="auto"/>
              <w:ind w:firstLine="0"/>
              <w:jc w:val="left"/>
              <w:rPr>
                <w:rFonts w:cs="Times New Roman"/>
                <w:szCs w:val="20"/>
                <w14:ligatures w14:val="standardContextual"/>
              </w:rPr>
            </w:pPr>
          </w:p>
        </w:tc>
        <w:tc>
          <w:tcPr>
            <w:tcW w:w="952" w:type="dxa"/>
            <w:tcBorders>
              <w:top w:val="single" w:sz="4" w:space="0" w:color="auto"/>
              <w:bottom w:val="single" w:sz="4" w:space="0" w:color="auto"/>
            </w:tcBorders>
            <w:tcMar>
              <w:top w:w="15" w:type="dxa"/>
              <w:left w:w="15" w:type="dxa"/>
              <w:bottom w:w="15" w:type="dxa"/>
              <w:right w:w="15" w:type="dxa"/>
            </w:tcMar>
            <w:vAlign w:val="center"/>
          </w:tcPr>
          <w:p w14:paraId="4DE0891F" w14:textId="77777777" w:rsidR="005765CF" w:rsidRPr="003F2933" w:rsidRDefault="005765CF" w:rsidP="005765CF">
            <w:pPr>
              <w:spacing w:before="0" w:after="0" w:line="240" w:lineRule="auto"/>
              <w:ind w:firstLine="0"/>
              <w:jc w:val="center"/>
              <w:rPr>
                <w:rFonts w:cs="Times New Roman"/>
                <w:b/>
                <w:bCs/>
                <w:szCs w:val="20"/>
                <w14:ligatures w14:val="standardContextual"/>
              </w:rPr>
            </w:pPr>
            <w:r>
              <w:rPr>
                <w:rFonts w:cs="Times New Roman"/>
                <w:b/>
                <w:bCs/>
                <w:szCs w:val="20"/>
                <w14:ligatures w14:val="standardContextual"/>
              </w:rPr>
              <w:t>M</w:t>
            </w:r>
          </w:p>
        </w:tc>
        <w:tc>
          <w:tcPr>
            <w:tcW w:w="688" w:type="dxa"/>
            <w:tcBorders>
              <w:top w:val="single" w:sz="4" w:space="0" w:color="auto"/>
              <w:bottom w:val="single" w:sz="4" w:space="0" w:color="auto"/>
            </w:tcBorders>
            <w:tcMar>
              <w:top w:w="15" w:type="dxa"/>
              <w:left w:w="15" w:type="dxa"/>
              <w:bottom w:w="15" w:type="dxa"/>
              <w:right w:w="15" w:type="dxa"/>
            </w:tcMar>
            <w:vAlign w:val="center"/>
          </w:tcPr>
          <w:p w14:paraId="39F954A9" w14:textId="77777777" w:rsidR="005765CF" w:rsidRPr="003F2933" w:rsidRDefault="005765CF" w:rsidP="005765CF">
            <w:pPr>
              <w:spacing w:before="0" w:after="0" w:line="240" w:lineRule="auto"/>
              <w:ind w:firstLine="0"/>
              <w:jc w:val="center"/>
              <w:rPr>
                <w:rFonts w:cs="Times New Roman"/>
                <w:b/>
                <w:bCs/>
                <w:szCs w:val="20"/>
                <w14:ligatures w14:val="standardContextual"/>
              </w:rPr>
            </w:pPr>
            <w:r>
              <w:rPr>
                <w:rFonts w:cs="Times New Roman"/>
                <w:b/>
                <w:bCs/>
                <w:szCs w:val="20"/>
                <w14:ligatures w14:val="standardContextual"/>
              </w:rPr>
              <w:t>SD</w:t>
            </w:r>
          </w:p>
        </w:tc>
      </w:tr>
      <w:tr w:rsidR="005765CF" w:rsidRPr="003F2933" w14:paraId="36EBB0FF" w14:textId="77777777" w:rsidTr="00F86F9A">
        <w:trPr>
          <w:trHeight w:val="315"/>
        </w:trPr>
        <w:tc>
          <w:tcPr>
            <w:tcW w:w="988" w:type="dxa"/>
            <w:tcBorders>
              <w:top w:val="single" w:sz="4" w:space="0" w:color="auto"/>
            </w:tcBorders>
            <w:tcMar>
              <w:top w:w="15" w:type="dxa"/>
              <w:left w:w="15" w:type="dxa"/>
              <w:bottom w:w="15" w:type="dxa"/>
              <w:right w:w="15" w:type="dxa"/>
            </w:tcMar>
            <w:vAlign w:val="center"/>
          </w:tcPr>
          <w:p w14:paraId="6601A11F"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Affect1</w:t>
            </w:r>
          </w:p>
        </w:tc>
        <w:tc>
          <w:tcPr>
            <w:tcW w:w="6107" w:type="dxa"/>
            <w:tcBorders>
              <w:top w:val="single" w:sz="4" w:space="0" w:color="auto"/>
            </w:tcBorders>
            <w:tcMar>
              <w:top w:w="15" w:type="dxa"/>
              <w:left w:w="15" w:type="dxa"/>
              <w:bottom w:w="15" w:type="dxa"/>
              <w:right w:w="15" w:type="dxa"/>
            </w:tcMar>
            <w:vAlign w:val="center"/>
          </w:tcPr>
          <w:p w14:paraId="678F1CEB"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I talk with AI chatbots to build confidence in speaking.</w:t>
            </w:r>
          </w:p>
        </w:tc>
        <w:tc>
          <w:tcPr>
            <w:tcW w:w="952" w:type="dxa"/>
            <w:tcBorders>
              <w:top w:val="single" w:sz="4" w:space="0" w:color="auto"/>
            </w:tcBorders>
            <w:tcMar>
              <w:top w:w="15" w:type="dxa"/>
              <w:left w:w="15" w:type="dxa"/>
              <w:bottom w:w="15" w:type="dxa"/>
              <w:right w:w="15" w:type="dxa"/>
            </w:tcMar>
            <w:vAlign w:val="center"/>
          </w:tcPr>
          <w:p w14:paraId="78554A78"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2.67</w:t>
            </w:r>
          </w:p>
        </w:tc>
        <w:tc>
          <w:tcPr>
            <w:tcW w:w="688" w:type="dxa"/>
            <w:tcBorders>
              <w:top w:val="single" w:sz="4" w:space="0" w:color="auto"/>
            </w:tcBorders>
            <w:tcMar>
              <w:top w:w="15" w:type="dxa"/>
              <w:left w:w="15" w:type="dxa"/>
              <w:bottom w:w="15" w:type="dxa"/>
              <w:right w:w="15" w:type="dxa"/>
            </w:tcMar>
            <w:vAlign w:val="center"/>
          </w:tcPr>
          <w:p w14:paraId="7B16DB65"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1.28</w:t>
            </w:r>
          </w:p>
        </w:tc>
      </w:tr>
      <w:tr w:rsidR="005765CF" w:rsidRPr="003F2933" w14:paraId="7CB2665E" w14:textId="77777777" w:rsidTr="00F86F9A">
        <w:trPr>
          <w:trHeight w:val="525"/>
        </w:trPr>
        <w:tc>
          <w:tcPr>
            <w:tcW w:w="988" w:type="dxa"/>
            <w:tcMar>
              <w:top w:w="15" w:type="dxa"/>
              <w:left w:w="15" w:type="dxa"/>
              <w:bottom w:w="15" w:type="dxa"/>
              <w:right w:w="15" w:type="dxa"/>
            </w:tcMar>
            <w:vAlign w:val="center"/>
          </w:tcPr>
          <w:p w14:paraId="0AF1F17E"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Affect2</w:t>
            </w:r>
          </w:p>
        </w:tc>
        <w:tc>
          <w:tcPr>
            <w:tcW w:w="6107" w:type="dxa"/>
            <w:tcMar>
              <w:top w:w="15" w:type="dxa"/>
              <w:left w:w="15" w:type="dxa"/>
              <w:bottom w:w="15" w:type="dxa"/>
              <w:right w:w="15" w:type="dxa"/>
            </w:tcMar>
            <w:vAlign w:val="center"/>
          </w:tcPr>
          <w:p w14:paraId="7ECA33DB"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I use AI tools to reduce stress before tests.</w:t>
            </w:r>
          </w:p>
        </w:tc>
        <w:tc>
          <w:tcPr>
            <w:tcW w:w="952" w:type="dxa"/>
            <w:tcMar>
              <w:top w:w="15" w:type="dxa"/>
              <w:left w:w="15" w:type="dxa"/>
              <w:bottom w:w="15" w:type="dxa"/>
              <w:right w:w="15" w:type="dxa"/>
            </w:tcMar>
            <w:vAlign w:val="center"/>
          </w:tcPr>
          <w:p w14:paraId="2E344488"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2.94</w:t>
            </w:r>
          </w:p>
        </w:tc>
        <w:tc>
          <w:tcPr>
            <w:tcW w:w="688" w:type="dxa"/>
            <w:tcMar>
              <w:top w:w="15" w:type="dxa"/>
              <w:left w:w="15" w:type="dxa"/>
              <w:bottom w:w="15" w:type="dxa"/>
              <w:right w:w="15" w:type="dxa"/>
            </w:tcMar>
            <w:vAlign w:val="center"/>
          </w:tcPr>
          <w:p w14:paraId="2635E582"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1.26</w:t>
            </w:r>
          </w:p>
        </w:tc>
      </w:tr>
      <w:tr w:rsidR="005765CF" w:rsidRPr="003F2933" w14:paraId="3BF85186" w14:textId="77777777" w:rsidTr="00F86F9A">
        <w:trPr>
          <w:trHeight w:val="315"/>
        </w:trPr>
        <w:tc>
          <w:tcPr>
            <w:tcW w:w="988" w:type="dxa"/>
            <w:tcMar>
              <w:top w:w="15" w:type="dxa"/>
              <w:left w:w="15" w:type="dxa"/>
              <w:bottom w:w="15" w:type="dxa"/>
              <w:right w:w="15" w:type="dxa"/>
            </w:tcMar>
            <w:vAlign w:val="center"/>
          </w:tcPr>
          <w:p w14:paraId="630E228D"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Affect3</w:t>
            </w:r>
          </w:p>
        </w:tc>
        <w:tc>
          <w:tcPr>
            <w:tcW w:w="6107" w:type="dxa"/>
            <w:tcMar>
              <w:top w:w="15" w:type="dxa"/>
              <w:left w:w="15" w:type="dxa"/>
              <w:bottom w:w="15" w:type="dxa"/>
              <w:right w:w="15" w:type="dxa"/>
            </w:tcMar>
            <w:vAlign w:val="center"/>
          </w:tcPr>
          <w:p w14:paraId="3050658C"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I use AI games or apps to make learning fun.</w:t>
            </w:r>
          </w:p>
        </w:tc>
        <w:tc>
          <w:tcPr>
            <w:tcW w:w="952" w:type="dxa"/>
            <w:tcMar>
              <w:top w:w="15" w:type="dxa"/>
              <w:left w:w="15" w:type="dxa"/>
              <w:bottom w:w="15" w:type="dxa"/>
              <w:right w:w="15" w:type="dxa"/>
            </w:tcMar>
            <w:vAlign w:val="center"/>
          </w:tcPr>
          <w:p w14:paraId="17547C09"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3.17</w:t>
            </w:r>
          </w:p>
        </w:tc>
        <w:tc>
          <w:tcPr>
            <w:tcW w:w="688" w:type="dxa"/>
            <w:tcMar>
              <w:top w:w="15" w:type="dxa"/>
              <w:left w:w="15" w:type="dxa"/>
              <w:bottom w:w="15" w:type="dxa"/>
              <w:right w:w="15" w:type="dxa"/>
            </w:tcMar>
            <w:vAlign w:val="center"/>
          </w:tcPr>
          <w:p w14:paraId="1F272662"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1.26</w:t>
            </w:r>
          </w:p>
        </w:tc>
      </w:tr>
      <w:tr w:rsidR="005765CF" w:rsidRPr="003F2933" w14:paraId="0ABB3F03" w14:textId="77777777" w:rsidTr="00F86F9A">
        <w:trPr>
          <w:trHeight w:val="315"/>
        </w:trPr>
        <w:tc>
          <w:tcPr>
            <w:tcW w:w="988" w:type="dxa"/>
            <w:tcMar>
              <w:top w:w="15" w:type="dxa"/>
              <w:left w:w="15" w:type="dxa"/>
              <w:bottom w:w="15" w:type="dxa"/>
              <w:right w:w="15" w:type="dxa"/>
            </w:tcMar>
            <w:vAlign w:val="center"/>
          </w:tcPr>
          <w:p w14:paraId="405C45F1"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Affect4</w:t>
            </w:r>
          </w:p>
        </w:tc>
        <w:tc>
          <w:tcPr>
            <w:tcW w:w="6107" w:type="dxa"/>
            <w:tcMar>
              <w:top w:w="15" w:type="dxa"/>
              <w:left w:w="15" w:type="dxa"/>
              <w:bottom w:w="15" w:type="dxa"/>
              <w:right w:w="15" w:type="dxa"/>
            </w:tcMar>
            <w:vAlign w:val="center"/>
          </w:tcPr>
          <w:p w14:paraId="2EF3F43C"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I use AI tools to stay motivated by seeing quick results.</w:t>
            </w:r>
          </w:p>
        </w:tc>
        <w:tc>
          <w:tcPr>
            <w:tcW w:w="952" w:type="dxa"/>
            <w:tcMar>
              <w:top w:w="15" w:type="dxa"/>
              <w:left w:w="15" w:type="dxa"/>
              <w:bottom w:w="15" w:type="dxa"/>
              <w:right w:w="15" w:type="dxa"/>
            </w:tcMar>
            <w:vAlign w:val="center"/>
          </w:tcPr>
          <w:p w14:paraId="5FED78C9"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3.27</w:t>
            </w:r>
          </w:p>
        </w:tc>
        <w:tc>
          <w:tcPr>
            <w:tcW w:w="688" w:type="dxa"/>
            <w:tcMar>
              <w:top w:w="15" w:type="dxa"/>
              <w:left w:w="15" w:type="dxa"/>
              <w:bottom w:w="15" w:type="dxa"/>
              <w:right w:w="15" w:type="dxa"/>
            </w:tcMar>
            <w:vAlign w:val="center"/>
          </w:tcPr>
          <w:p w14:paraId="343FB2CD"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1.14</w:t>
            </w:r>
          </w:p>
        </w:tc>
      </w:tr>
      <w:tr w:rsidR="005765CF" w:rsidRPr="003F2933" w14:paraId="49BEF3B3" w14:textId="77777777" w:rsidTr="00F86F9A">
        <w:trPr>
          <w:trHeight w:val="315"/>
        </w:trPr>
        <w:tc>
          <w:tcPr>
            <w:tcW w:w="988" w:type="dxa"/>
            <w:tcMar>
              <w:top w:w="15" w:type="dxa"/>
              <w:left w:w="15" w:type="dxa"/>
              <w:bottom w:w="15" w:type="dxa"/>
              <w:right w:w="15" w:type="dxa"/>
            </w:tcMar>
            <w:vAlign w:val="center"/>
          </w:tcPr>
          <w:p w14:paraId="4C6D1614"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Affect5</w:t>
            </w:r>
          </w:p>
        </w:tc>
        <w:tc>
          <w:tcPr>
            <w:tcW w:w="6107" w:type="dxa"/>
            <w:tcMar>
              <w:top w:w="15" w:type="dxa"/>
              <w:left w:w="15" w:type="dxa"/>
              <w:bottom w:w="15" w:type="dxa"/>
              <w:right w:w="15" w:type="dxa"/>
            </w:tcMar>
            <w:vAlign w:val="center"/>
          </w:tcPr>
          <w:p w14:paraId="0FF4DBC1"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Learning with AI helps me stay motivated with rewards for reaching milestones.</w:t>
            </w:r>
          </w:p>
        </w:tc>
        <w:tc>
          <w:tcPr>
            <w:tcW w:w="952" w:type="dxa"/>
            <w:tcMar>
              <w:top w:w="15" w:type="dxa"/>
              <w:left w:w="15" w:type="dxa"/>
              <w:bottom w:w="15" w:type="dxa"/>
              <w:right w:w="15" w:type="dxa"/>
            </w:tcMar>
            <w:vAlign w:val="center"/>
          </w:tcPr>
          <w:p w14:paraId="3F9F3076"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3.17</w:t>
            </w:r>
          </w:p>
        </w:tc>
        <w:tc>
          <w:tcPr>
            <w:tcW w:w="688" w:type="dxa"/>
            <w:tcMar>
              <w:top w:w="15" w:type="dxa"/>
              <w:left w:w="15" w:type="dxa"/>
              <w:bottom w:w="15" w:type="dxa"/>
              <w:right w:w="15" w:type="dxa"/>
            </w:tcMar>
            <w:vAlign w:val="center"/>
          </w:tcPr>
          <w:p w14:paraId="5913054B"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1.09</w:t>
            </w:r>
          </w:p>
        </w:tc>
      </w:tr>
      <w:tr w:rsidR="005765CF" w:rsidRPr="003F2933" w14:paraId="00677BE0" w14:textId="77777777" w:rsidTr="00F86F9A">
        <w:trPr>
          <w:trHeight w:val="315"/>
        </w:trPr>
        <w:tc>
          <w:tcPr>
            <w:tcW w:w="988" w:type="dxa"/>
            <w:tcMar>
              <w:top w:w="15" w:type="dxa"/>
              <w:left w:w="15" w:type="dxa"/>
              <w:bottom w:w="15" w:type="dxa"/>
              <w:right w:w="15" w:type="dxa"/>
            </w:tcMar>
            <w:vAlign w:val="center"/>
          </w:tcPr>
          <w:p w14:paraId="3D97F19E"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Affect6</w:t>
            </w:r>
          </w:p>
        </w:tc>
        <w:tc>
          <w:tcPr>
            <w:tcW w:w="6107" w:type="dxa"/>
            <w:tcMar>
              <w:top w:w="15" w:type="dxa"/>
              <w:left w:w="15" w:type="dxa"/>
              <w:bottom w:w="15" w:type="dxa"/>
              <w:right w:w="15" w:type="dxa"/>
            </w:tcMar>
            <w:vAlign w:val="center"/>
          </w:tcPr>
          <w:p w14:paraId="091D2134"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Learning with AI helps me feel less afraid of making mistakes.</w:t>
            </w:r>
          </w:p>
        </w:tc>
        <w:tc>
          <w:tcPr>
            <w:tcW w:w="952" w:type="dxa"/>
            <w:tcMar>
              <w:top w:w="15" w:type="dxa"/>
              <w:left w:w="15" w:type="dxa"/>
              <w:bottom w:w="15" w:type="dxa"/>
              <w:right w:w="15" w:type="dxa"/>
            </w:tcMar>
            <w:vAlign w:val="center"/>
          </w:tcPr>
          <w:p w14:paraId="3D8F8376"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3.33</w:t>
            </w:r>
          </w:p>
        </w:tc>
        <w:tc>
          <w:tcPr>
            <w:tcW w:w="688" w:type="dxa"/>
            <w:tcMar>
              <w:top w:w="15" w:type="dxa"/>
              <w:left w:w="15" w:type="dxa"/>
              <w:bottom w:w="15" w:type="dxa"/>
              <w:right w:w="15" w:type="dxa"/>
            </w:tcMar>
            <w:vAlign w:val="center"/>
          </w:tcPr>
          <w:p w14:paraId="45B308DA"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1.13</w:t>
            </w:r>
          </w:p>
        </w:tc>
      </w:tr>
    </w:tbl>
    <w:p w14:paraId="1D07EA56" w14:textId="77777777" w:rsidR="003F2933" w:rsidRDefault="003F2933" w:rsidP="002177BC">
      <w:pPr>
        <w:spacing w:line="480" w:lineRule="auto"/>
      </w:pPr>
    </w:p>
    <w:p w14:paraId="53B5B44B" w14:textId="77777777" w:rsidR="003E316B" w:rsidRPr="003F2933" w:rsidRDefault="00382175" w:rsidP="003D25EB">
      <w:pPr>
        <w:spacing w:before="0" w:after="120" w:line="480" w:lineRule="auto"/>
        <w:rPr>
          <w:sz w:val="24"/>
          <w:szCs w:val="24"/>
        </w:rPr>
      </w:pPr>
      <w:r>
        <w:rPr>
          <w:sz w:val="24"/>
          <w:szCs w:val="24"/>
        </w:rPr>
        <w:t>Interview responses split along the same lines. For some, AI relieved anxiety: S13 valued that “it’s just an AI, not a real human, so I’m not afraid to be judged if I have a mistake,” and S12 said, “I feel relaxed and motivated because it helps me with everything, from checking mistakes to giving me new exercises.” Others were cooler or warier. S10 reported feeling “nothing... [I treat] it as just a tool, nothing more, nothing less,” while S2 felt, “Sometimes I feel really bored because myself depend on AI.” Such ambivalence hints that AI can ease anxiety yet, overused, may dull intrinsic interest.</w:t>
      </w:r>
    </w:p>
    <w:p w14:paraId="7CD27B4E" w14:textId="77777777" w:rsidR="003E316B" w:rsidRPr="003F2933" w:rsidRDefault="003E316B" w:rsidP="003D25EB">
      <w:pPr>
        <w:pStyle w:val="RALs-Heading2"/>
        <w:spacing w:before="0" w:after="120" w:line="480" w:lineRule="auto"/>
        <w:rPr>
          <w:sz w:val="24"/>
          <w:szCs w:val="24"/>
        </w:rPr>
      </w:pPr>
      <w:r>
        <w:rPr>
          <w:sz w:val="24"/>
          <w:szCs w:val="24"/>
        </w:rPr>
        <w:t>4.5. Social Strategies</w:t>
      </w:r>
    </w:p>
    <w:p w14:paraId="31D16C47" w14:textId="77777777" w:rsidR="003E316B" w:rsidRDefault="003E316B" w:rsidP="003D25EB">
      <w:pPr>
        <w:spacing w:before="0" w:after="120" w:line="480" w:lineRule="auto"/>
        <w:rPr>
          <w:sz w:val="24"/>
          <w:szCs w:val="24"/>
        </w:rPr>
      </w:pPr>
      <w:r>
        <w:rPr>
          <w:sz w:val="24"/>
          <w:szCs w:val="24"/>
        </w:rPr>
        <w:t>Social strategies (Table 6) were the least frequently used. Students did use AI to generate ideas for group activities (Social4: M = 3.48, SD = 1.02), to check English before social interaction (Social5: M = 3.40, SD = 1.16), and to clarify peers’ or teachers’ English (Social7: M = 3.12, SD = 1.34). However, treating AI as a speaking partner (Social1: M = 2.54, SD = 1.31) and practicing virtual conversations (Social3: M = 2.60, SD = 1.23) were rare.</w:t>
      </w:r>
    </w:p>
    <w:p w14:paraId="4A33ACE5" w14:textId="77777777" w:rsidR="002177BC" w:rsidRPr="003F2933" w:rsidRDefault="002177BC" w:rsidP="003D25EB">
      <w:pPr>
        <w:spacing w:before="0" w:after="120" w:line="480" w:lineRule="auto"/>
        <w:rPr>
          <w:sz w:val="24"/>
          <w:szCs w:val="24"/>
        </w:rPr>
      </w:pPr>
    </w:p>
    <w:p w14:paraId="3B7CA382" w14:textId="77777777" w:rsidR="003E316B" w:rsidRPr="002177BC" w:rsidRDefault="003E316B" w:rsidP="003E316B">
      <w:pPr>
        <w:pStyle w:val="RALs-TableCaption"/>
        <w:rPr>
          <w:b/>
          <w:bCs/>
          <w:sz w:val="24"/>
          <w:szCs w:val="24"/>
        </w:rPr>
      </w:pPr>
      <w:r>
        <w:rPr>
          <w:b/>
          <w:bCs/>
          <w:sz w:val="24"/>
          <w:szCs w:val="24"/>
        </w:rPr>
        <w:t>Table 6</w:t>
      </w:r>
    </w:p>
    <w:p w14:paraId="379995A8" w14:textId="77777777" w:rsidR="003E316B" w:rsidRPr="002177BC" w:rsidRDefault="003E316B" w:rsidP="003E316B">
      <w:pPr>
        <w:pStyle w:val="RALs-TableCaption"/>
        <w:rPr>
          <w:i/>
          <w:iCs/>
          <w:sz w:val="24"/>
          <w:szCs w:val="24"/>
        </w:rPr>
      </w:pPr>
      <w:r>
        <w:rPr>
          <w:i/>
          <w:iCs/>
          <w:sz w:val="24"/>
          <w:szCs w:val="24"/>
        </w:rPr>
        <w:t>EFL Students’ Use of Social Strategies</w:t>
      </w:r>
    </w:p>
    <w:tbl>
      <w:tblPr>
        <w:tblW w:w="0" w:type="auto"/>
        <w:tblBorders>
          <w:top w:val="single" w:sz="4" w:space="0" w:color="auto"/>
          <w:bottom w:val="single" w:sz="4" w:space="0" w:color="auto"/>
        </w:tblBorders>
        <w:tblLayout w:type="fixed"/>
        <w:tblLook w:val="06A0" w:firstRow="1" w:lastRow="0" w:firstColumn="1" w:lastColumn="0" w:noHBand="1" w:noVBand="1"/>
      </w:tblPr>
      <w:tblGrid>
        <w:gridCol w:w="1125"/>
        <w:gridCol w:w="6391"/>
        <w:gridCol w:w="535"/>
        <w:gridCol w:w="935"/>
      </w:tblGrid>
      <w:tr w:rsidR="005765CF" w:rsidRPr="003F2933" w14:paraId="3F162ECF" w14:textId="77777777" w:rsidTr="00F86F9A">
        <w:trPr>
          <w:trHeight w:val="420"/>
        </w:trPr>
        <w:tc>
          <w:tcPr>
            <w:tcW w:w="1125" w:type="dxa"/>
            <w:tcBorders>
              <w:bottom w:val="nil"/>
            </w:tcBorders>
            <w:tcMar>
              <w:top w:w="15" w:type="dxa"/>
              <w:left w:w="15" w:type="dxa"/>
              <w:bottom w:w="15" w:type="dxa"/>
              <w:right w:w="15" w:type="dxa"/>
            </w:tcMar>
            <w:vAlign w:val="center"/>
          </w:tcPr>
          <w:p w14:paraId="1A0F294C" w14:textId="77777777" w:rsidR="005765CF" w:rsidRPr="003F2933" w:rsidRDefault="005765CF" w:rsidP="005765CF">
            <w:pPr>
              <w:spacing w:before="0" w:after="0" w:line="240" w:lineRule="auto"/>
              <w:ind w:firstLine="0"/>
              <w:jc w:val="center"/>
              <w:rPr>
                <w:rFonts w:cs="Times New Roman"/>
                <w:b/>
                <w:bCs/>
                <w:szCs w:val="20"/>
                <w14:ligatures w14:val="standardContextual"/>
              </w:rPr>
            </w:pPr>
            <w:r>
              <w:rPr>
                <w:rFonts w:cs="Times New Roman"/>
                <w:b/>
                <w:bCs/>
                <w:szCs w:val="20"/>
                <w14:ligatures w14:val="standardContextual"/>
              </w:rPr>
              <w:t>No.</w:t>
            </w:r>
          </w:p>
        </w:tc>
        <w:tc>
          <w:tcPr>
            <w:tcW w:w="6391" w:type="dxa"/>
            <w:vMerge w:val="restart"/>
            <w:tcBorders>
              <w:bottom w:val="nil"/>
            </w:tcBorders>
            <w:tcMar>
              <w:top w:w="15" w:type="dxa"/>
              <w:left w:w="15" w:type="dxa"/>
              <w:bottom w:w="15" w:type="dxa"/>
              <w:right w:w="15" w:type="dxa"/>
            </w:tcMar>
            <w:vAlign w:val="center"/>
          </w:tcPr>
          <w:p w14:paraId="52B0053A" w14:textId="77777777" w:rsidR="005765CF" w:rsidRPr="003F2933" w:rsidRDefault="005765CF" w:rsidP="005765CF">
            <w:pPr>
              <w:spacing w:before="0" w:after="0" w:line="240" w:lineRule="auto"/>
              <w:ind w:firstLine="0"/>
              <w:jc w:val="center"/>
              <w:rPr>
                <w:rFonts w:cs="Times New Roman"/>
                <w:b/>
                <w:bCs/>
                <w:szCs w:val="20"/>
                <w14:ligatures w14:val="standardContextual"/>
              </w:rPr>
            </w:pPr>
            <w:r>
              <w:rPr>
                <w:rFonts w:cs="Times New Roman"/>
                <w:b/>
                <w:bCs/>
                <w:szCs w:val="20"/>
                <w14:ligatures w14:val="standardContextual"/>
              </w:rPr>
              <w:t>Items</w:t>
            </w:r>
          </w:p>
        </w:tc>
        <w:tc>
          <w:tcPr>
            <w:tcW w:w="1470" w:type="dxa"/>
            <w:gridSpan w:val="2"/>
            <w:tcBorders>
              <w:top w:val="single" w:sz="4" w:space="0" w:color="auto"/>
              <w:bottom w:val="single" w:sz="4" w:space="0" w:color="auto"/>
            </w:tcBorders>
            <w:tcMar>
              <w:top w:w="15" w:type="dxa"/>
              <w:left w:w="15" w:type="dxa"/>
              <w:bottom w:w="15" w:type="dxa"/>
              <w:right w:w="15" w:type="dxa"/>
            </w:tcMar>
            <w:vAlign w:val="center"/>
          </w:tcPr>
          <w:p w14:paraId="45C559E3" w14:textId="77777777" w:rsidR="005765CF" w:rsidRPr="003F2933" w:rsidRDefault="005765CF" w:rsidP="005765CF">
            <w:pPr>
              <w:spacing w:before="0" w:after="0" w:line="240" w:lineRule="auto"/>
              <w:ind w:firstLine="0"/>
              <w:jc w:val="center"/>
              <w:rPr>
                <w:rFonts w:cs="Times New Roman"/>
                <w:b/>
                <w:bCs/>
                <w:szCs w:val="20"/>
                <w14:ligatures w14:val="standardContextual"/>
              </w:rPr>
            </w:pPr>
            <w:r>
              <w:rPr>
                <w:rFonts w:cs="Times New Roman"/>
                <w:b/>
                <w:bCs/>
                <w:szCs w:val="20"/>
                <w14:ligatures w14:val="standardContextual"/>
              </w:rPr>
              <w:t>N = 52</w:t>
            </w:r>
          </w:p>
        </w:tc>
      </w:tr>
      <w:tr w:rsidR="005765CF" w:rsidRPr="003F2933" w14:paraId="47A30DD4" w14:textId="77777777" w:rsidTr="00F86F9A">
        <w:trPr>
          <w:trHeight w:val="420"/>
        </w:trPr>
        <w:tc>
          <w:tcPr>
            <w:tcW w:w="1125" w:type="dxa"/>
            <w:tcBorders>
              <w:top w:val="nil"/>
              <w:bottom w:val="single" w:sz="4" w:space="0" w:color="auto"/>
            </w:tcBorders>
            <w:vAlign w:val="center"/>
          </w:tcPr>
          <w:p w14:paraId="510E90C4" w14:textId="77777777" w:rsidR="005765CF" w:rsidRPr="003F2933" w:rsidRDefault="005765CF" w:rsidP="005765CF">
            <w:pPr>
              <w:spacing w:before="0" w:after="0" w:line="240" w:lineRule="auto"/>
              <w:ind w:firstLine="0"/>
              <w:jc w:val="left"/>
              <w:rPr>
                <w:rFonts w:cs="Times New Roman"/>
                <w:szCs w:val="20"/>
                <w14:ligatures w14:val="standardContextual"/>
              </w:rPr>
            </w:pPr>
          </w:p>
        </w:tc>
        <w:tc>
          <w:tcPr>
            <w:tcW w:w="6391" w:type="dxa"/>
            <w:vMerge/>
            <w:tcBorders>
              <w:top w:val="nil"/>
              <w:bottom w:val="single" w:sz="4" w:space="0" w:color="auto"/>
            </w:tcBorders>
            <w:vAlign w:val="center"/>
          </w:tcPr>
          <w:p w14:paraId="36D499AD" w14:textId="77777777" w:rsidR="005765CF" w:rsidRPr="003F2933" w:rsidRDefault="005765CF" w:rsidP="005765CF">
            <w:pPr>
              <w:spacing w:before="0" w:after="0" w:line="240" w:lineRule="auto"/>
              <w:ind w:firstLine="0"/>
              <w:jc w:val="left"/>
              <w:rPr>
                <w:rFonts w:cs="Times New Roman"/>
                <w:szCs w:val="20"/>
                <w14:ligatures w14:val="standardContextual"/>
              </w:rPr>
            </w:pPr>
          </w:p>
        </w:tc>
        <w:tc>
          <w:tcPr>
            <w:tcW w:w="535" w:type="dxa"/>
            <w:tcBorders>
              <w:top w:val="single" w:sz="4" w:space="0" w:color="auto"/>
              <w:bottom w:val="single" w:sz="4" w:space="0" w:color="auto"/>
            </w:tcBorders>
            <w:tcMar>
              <w:top w:w="15" w:type="dxa"/>
              <w:left w:w="15" w:type="dxa"/>
              <w:bottom w:w="15" w:type="dxa"/>
              <w:right w:w="15" w:type="dxa"/>
            </w:tcMar>
            <w:vAlign w:val="center"/>
          </w:tcPr>
          <w:p w14:paraId="15185FF6" w14:textId="77777777" w:rsidR="005765CF" w:rsidRPr="003F2933" w:rsidRDefault="005765CF" w:rsidP="005765CF">
            <w:pPr>
              <w:spacing w:before="0" w:after="0" w:line="240" w:lineRule="auto"/>
              <w:ind w:firstLine="0"/>
              <w:jc w:val="center"/>
              <w:rPr>
                <w:rFonts w:cs="Times New Roman"/>
                <w:b/>
                <w:bCs/>
                <w:szCs w:val="20"/>
                <w14:ligatures w14:val="standardContextual"/>
              </w:rPr>
            </w:pPr>
            <w:r>
              <w:rPr>
                <w:rFonts w:cs="Times New Roman"/>
                <w:b/>
                <w:bCs/>
                <w:szCs w:val="20"/>
                <w14:ligatures w14:val="standardContextual"/>
              </w:rPr>
              <w:t>M</w:t>
            </w:r>
          </w:p>
        </w:tc>
        <w:tc>
          <w:tcPr>
            <w:tcW w:w="935" w:type="dxa"/>
            <w:tcBorders>
              <w:top w:val="single" w:sz="4" w:space="0" w:color="auto"/>
              <w:bottom w:val="single" w:sz="4" w:space="0" w:color="auto"/>
            </w:tcBorders>
            <w:tcMar>
              <w:top w:w="15" w:type="dxa"/>
              <w:left w:w="15" w:type="dxa"/>
              <w:bottom w:w="15" w:type="dxa"/>
              <w:right w:w="15" w:type="dxa"/>
            </w:tcMar>
            <w:vAlign w:val="center"/>
          </w:tcPr>
          <w:p w14:paraId="6326193C" w14:textId="77777777" w:rsidR="005765CF" w:rsidRPr="003F2933" w:rsidRDefault="005765CF" w:rsidP="005765CF">
            <w:pPr>
              <w:spacing w:before="0" w:after="0" w:line="240" w:lineRule="auto"/>
              <w:ind w:firstLine="0"/>
              <w:jc w:val="center"/>
              <w:rPr>
                <w:rFonts w:cs="Times New Roman"/>
                <w:b/>
                <w:bCs/>
                <w:szCs w:val="20"/>
                <w14:ligatures w14:val="standardContextual"/>
              </w:rPr>
            </w:pPr>
            <w:r>
              <w:rPr>
                <w:rFonts w:cs="Times New Roman"/>
                <w:b/>
                <w:bCs/>
                <w:szCs w:val="20"/>
                <w14:ligatures w14:val="standardContextual"/>
              </w:rPr>
              <w:t>SD</w:t>
            </w:r>
          </w:p>
        </w:tc>
      </w:tr>
      <w:tr w:rsidR="005765CF" w:rsidRPr="003F2933" w14:paraId="57BB6354" w14:textId="77777777" w:rsidTr="00F86F9A">
        <w:trPr>
          <w:trHeight w:val="315"/>
        </w:trPr>
        <w:tc>
          <w:tcPr>
            <w:tcW w:w="1125" w:type="dxa"/>
            <w:tcBorders>
              <w:top w:val="single" w:sz="4" w:space="0" w:color="auto"/>
            </w:tcBorders>
            <w:tcMar>
              <w:top w:w="15" w:type="dxa"/>
              <w:left w:w="15" w:type="dxa"/>
              <w:bottom w:w="15" w:type="dxa"/>
              <w:right w:w="15" w:type="dxa"/>
            </w:tcMar>
          </w:tcPr>
          <w:p w14:paraId="55566198"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Social1</w:t>
            </w:r>
          </w:p>
        </w:tc>
        <w:tc>
          <w:tcPr>
            <w:tcW w:w="6391" w:type="dxa"/>
            <w:tcBorders>
              <w:top w:val="single" w:sz="4" w:space="0" w:color="auto"/>
            </w:tcBorders>
            <w:tcMar>
              <w:top w:w="15" w:type="dxa"/>
              <w:left w:w="15" w:type="dxa"/>
              <w:bottom w:w="15" w:type="dxa"/>
              <w:right w:w="15" w:type="dxa"/>
            </w:tcMar>
          </w:tcPr>
          <w:p w14:paraId="6DEAED6A"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I use AI as a speaking partner.</w:t>
            </w:r>
          </w:p>
        </w:tc>
        <w:tc>
          <w:tcPr>
            <w:tcW w:w="535" w:type="dxa"/>
            <w:tcBorders>
              <w:top w:val="single" w:sz="4" w:space="0" w:color="auto"/>
            </w:tcBorders>
            <w:tcMar>
              <w:top w:w="15" w:type="dxa"/>
              <w:left w:w="15" w:type="dxa"/>
              <w:bottom w:w="15" w:type="dxa"/>
              <w:right w:w="15" w:type="dxa"/>
            </w:tcMar>
          </w:tcPr>
          <w:p w14:paraId="68A2FC9B"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2.54</w:t>
            </w:r>
          </w:p>
        </w:tc>
        <w:tc>
          <w:tcPr>
            <w:tcW w:w="935" w:type="dxa"/>
            <w:tcBorders>
              <w:top w:val="single" w:sz="4" w:space="0" w:color="auto"/>
            </w:tcBorders>
            <w:tcMar>
              <w:top w:w="15" w:type="dxa"/>
              <w:left w:w="15" w:type="dxa"/>
              <w:bottom w:w="15" w:type="dxa"/>
              <w:right w:w="15" w:type="dxa"/>
            </w:tcMar>
          </w:tcPr>
          <w:p w14:paraId="4FC1C550"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1.31</w:t>
            </w:r>
          </w:p>
        </w:tc>
      </w:tr>
      <w:tr w:rsidR="005765CF" w:rsidRPr="003F2933" w14:paraId="3BCCD891" w14:textId="77777777" w:rsidTr="00F86F9A">
        <w:trPr>
          <w:trHeight w:val="315"/>
        </w:trPr>
        <w:tc>
          <w:tcPr>
            <w:tcW w:w="1125" w:type="dxa"/>
            <w:tcMar>
              <w:top w:w="15" w:type="dxa"/>
              <w:left w:w="15" w:type="dxa"/>
              <w:bottom w:w="15" w:type="dxa"/>
              <w:right w:w="15" w:type="dxa"/>
            </w:tcMar>
          </w:tcPr>
          <w:p w14:paraId="4ADE827A"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lastRenderedPageBreak/>
              <w:t>Social2</w:t>
            </w:r>
          </w:p>
        </w:tc>
        <w:tc>
          <w:tcPr>
            <w:tcW w:w="6391" w:type="dxa"/>
            <w:tcMar>
              <w:top w:w="15" w:type="dxa"/>
              <w:left w:w="15" w:type="dxa"/>
              <w:bottom w:w="15" w:type="dxa"/>
              <w:right w:w="15" w:type="dxa"/>
            </w:tcMar>
          </w:tcPr>
          <w:p w14:paraId="554070EA"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I share AI-generated ideas with my friends to start conversations.</w:t>
            </w:r>
          </w:p>
        </w:tc>
        <w:tc>
          <w:tcPr>
            <w:tcW w:w="535" w:type="dxa"/>
            <w:tcMar>
              <w:top w:w="15" w:type="dxa"/>
              <w:left w:w="15" w:type="dxa"/>
              <w:bottom w:w="15" w:type="dxa"/>
              <w:right w:w="15" w:type="dxa"/>
            </w:tcMar>
          </w:tcPr>
          <w:p w14:paraId="24389EBF"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2.87</w:t>
            </w:r>
          </w:p>
        </w:tc>
        <w:tc>
          <w:tcPr>
            <w:tcW w:w="935" w:type="dxa"/>
            <w:tcMar>
              <w:top w:w="15" w:type="dxa"/>
              <w:left w:w="15" w:type="dxa"/>
              <w:bottom w:w="15" w:type="dxa"/>
              <w:right w:w="15" w:type="dxa"/>
            </w:tcMar>
          </w:tcPr>
          <w:p w14:paraId="2B2EC1C8"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1.31</w:t>
            </w:r>
          </w:p>
        </w:tc>
      </w:tr>
      <w:tr w:rsidR="005765CF" w:rsidRPr="003F2933" w14:paraId="3712B7F3" w14:textId="77777777" w:rsidTr="00F86F9A">
        <w:trPr>
          <w:trHeight w:val="315"/>
        </w:trPr>
        <w:tc>
          <w:tcPr>
            <w:tcW w:w="1125" w:type="dxa"/>
            <w:tcMar>
              <w:top w:w="15" w:type="dxa"/>
              <w:left w:w="15" w:type="dxa"/>
              <w:bottom w:w="15" w:type="dxa"/>
              <w:right w:w="15" w:type="dxa"/>
            </w:tcMar>
          </w:tcPr>
          <w:p w14:paraId="3C9D1462"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Social3</w:t>
            </w:r>
          </w:p>
        </w:tc>
        <w:tc>
          <w:tcPr>
            <w:tcW w:w="6391" w:type="dxa"/>
            <w:tcMar>
              <w:top w:w="15" w:type="dxa"/>
              <w:left w:w="15" w:type="dxa"/>
              <w:bottom w:w="15" w:type="dxa"/>
              <w:right w:w="15" w:type="dxa"/>
            </w:tcMar>
          </w:tcPr>
          <w:p w14:paraId="7123C80B"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I use AI tools as virtual friends to practice real-life conversation.</w:t>
            </w:r>
          </w:p>
        </w:tc>
        <w:tc>
          <w:tcPr>
            <w:tcW w:w="535" w:type="dxa"/>
            <w:tcMar>
              <w:top w:w="15" w:type="dxa"/>
              <w:left w:w="15" w:type="dxa"/>
              <w:bottom w:w="15" w:type="dxa"/>
              <w:right w:w="15" w:type="dxa"/>
            </w:tcMar>
          </w:tcPr>
          <w:p w14:paraId="04BE430A"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2.60</w:t>
            </w:r>
          </w:p>
        </w:tc>
        <w:tc>
          <w:tcPr>
            <w:tcW w:w="935" w:type="dxa"/>
            <w:tcMar>
              <w:top w:w="15" w:type="dxa"/>
              <w:left w:w="15" w:type="dxa"/>
              <w:bottom w:w="15" w:type="dxa"/>
              <w:right w:w="15" w:type="dxa"/>
            </w:tcMar>
          </w:tcPr>
          <w:p w14:paraId="121E7F9F"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1.23</w:t>
            </w:r>
          </w:p>
        </w:tc>
      </w:tr>
      <w:tr w:rsidR="005765CF" w:rsidRPr="003F2933" w14:paraId="02382F5C" w14:textId="77777777" w:rsidTr="00F86F9A">
        <w:trPr>
          <w:trHeight w:val="315"/>
        </w:trPr>
        <w:tc>
          <w:tcPr>
            <w:tcW w:w="1125" w:type="dxa"/>
            <w:tcMar>
              <w:top w:w="15" w:type="dxa"/>
              <w:left w:w="15" w:type="dxa"/>
              <w:bottom w:w="15" w:type="dxa"/>
              <w:right w:w="15" w:type="dxa"/>
            </w:tcMar>
          </w:tcPr>
          <w:p w14:paraId="6427C02A"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Social4</w:t>
            </w:r>
          </w:p>
        </w:tc>
        <w:tc>
          <w:tcPr>
            <w:tcW w:w="6391" w:type="dxa"/>
            <w:tcMar>
              <w:top w:w="15" w:type="dxa"/>
              <w:left w:w="15" w:type="dxa"/>
              <w:bottom w:w="15" w:type="dxa"/>
              <w:right w:w="15" w:type="dxa"/>
            </w:tcMar>
          </w:tcPr>
          <w:p w14:paraId="6403F1C2"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I use AI tools for ideas to complete group activities.</w:t>
            </w:r>
          </w:p>
        </w:tc>
        <w:tc>
          <w:tcPr>
            <w:tcW w:w="535" w:type="dxa"/>
            <w:tcMar>
              <w:top w:w="15" w:type="dxa"/>
              <w:left w:w="15" w:type="dxa"/>
              <w:bottom w:w="15" w:type="dxa"/>
              <w:right w:w="15" w:type="dxa"/>
            </w:tcMar>
          </w:tcPr>
          <w:p w14:paraId="065E8BE7"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3.48</w:t>
            </w:r>
          </w:p>
        </w:tc>
        <w:tc>
          <w:tcPr>
            <w:tcW w:w="935" w:type="dxa"/>
            <w:tcMar>
              <w:top w:w="15" w:type="dxa"/>
              <w:left w:w="15" w:type="dxa"/>
              <w:bottom w:w="15" w:type="dxa"/>
              <w:right w:w="15" w:type="dxa"/>
            </w:tcMar>
          </w:tcPr>
          <w:p w14:paraId="7429CA06"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1.02</w:t>
            </w:r>
          </w:p>
        </w:tc>
      </w:tr>
      <w:tr w:rsidR="005765CF" w:rsidRPr="003F2933" w14:paraId="24E178C9" w14:textId="77777777" w:rsidTr="00F86F9A">
        <w:trPr>
          <w:trHeight w:val="315"/>
        </w:trPr>
        <w:tc>
          <w:tcPr>
            <w:tcW w:w="1125" w:type="dxa"/>
            <w:tcMar>
              <w:top w:w="15" w:type="dxa"/>
              <w:left w:w="15" w:type="dxa"/>
              <w:bottom w:w="15" w:type="dxa"/>
              <w:right w:w="15" w:type="dxa"/>
            </w:tcMar>
          </w:tcPr>
          <w:p w14:paraId="407D948B"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Social5</w:t>
            </w:r>
          </w:p>
        </w:tc>
        <w:tc>
          <w:tcPr>
            <w:tcW w:w="6391" w:type="dxa"/>
            <w:tcMar>
              <w:top w:w="15" w:type="dxa"/>
              <w:left w:w="15" w:type="dxa"/>
              <w:bottom w:w="15" w:type="dxa"/>
              <w:right w:w="15" w:type="dxa"/>
            </w:tcMar>
          </w:tcPr>
          <w:p w14:paraId="2CB87436"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I use AI to check my English before talking with others.</w:t>
            </w:r>
          </w:p>
        </w:tc>
        <w:tc>
          <w:tcPr>
            <w:tcW w:w="535" w:type="dxa"/>
            <w:tcMar>
              <w:top w:w="15" w:type="dxa"/>
              <w:left w:w="15" w:type="dxa"/>
              <w:bottom w:w="15" w:type="dxa"/>
              <w:right w:w="15" w:type="dxa"/>
            </w:tcMar>
          </w:tcPr>
          <w:p w14:paraId="3B4F12AF"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3.40</w:t>
            </w:r>
          </w:p>
        </w:tc>
        <w:tc>
          <w:tcPr>
            <w:tcW w:w="935" w:type="dxa"/>
            <w:tcMar>
              <w:top w:w="15" w:type="dxa"/>
              <w:left w:w="15" w:type="dxa"/>
              <w:bottom w:w="15" w:type="dxa"/>
              <w:right w:w="15" w:type="dxa"/>
            </w:tcMar>
          </w:tcPr>
          <w:p w14:paraId="638C9FF5"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1.16</w:t>
            </w:r>
          </w:p>
        </w:tc>
      </w:tr>
      <w:tr w:rsidR="005765CF" w:rsidRPr="003F2933" w14:paraId="19D4E0A2" w14:textId="77777777" w:rsidTr="00F86F9A">
        <w:trPr>
          <w:trHeight w:val="315"/>
        </w:trPr>
        <w:tc>
          <w:tcPr>
            <w:tcW w:w="1125" w:type="dxa"/>
            <w:tcMar>
              <w:top w:w="15" w:type="dxa"/>
              <w:left w:w="15" w:type="dxa"/>
              <w:bottom w:w="15" w:type="dxa"/>
              <w:right w:w="15" w:type="dxa"/>
            </w:tcMar>
          </w:tcPr>
          <w:p w14:paraId="78E37761"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Social6</w:t>
            </w:r>
          </w:p>
        </w:tc>
        <w:tc>
          <w:tcPr>
            <w:tcW w:w="6391" w:type="dxa"/>
            <w:tcMar>
              <w:top w:w="15" w:type="dxa"/>
              <w:left w:w="15" w:type="dxa"/>
              <w:bottom w:w="15" w:type="dxa"/>
              <w:right w:w="15" w:type="dxa"/>
            </w:tcMar>
          </w:tcPr>
          <w:p w14:paraId="4967C590"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I ask AI to suggest topics to discuss with other people.</w:t>
            </w:r>
          </w:p>
        </w:tc>
        <w:tc>
          <w:tcPr>
            <w:tcW w:w="535" w:type="dxa"/>
            <w:tcMar>
              <w:top w:w="15" w:type="dxa"/>
              <w:left w:w="15" w:type="dxa"/>
              <w:bottom w:w="15" w:type="dxa"/>
              <w:right w:w="15" w:type="dxa"/>
            </w:tcMar>
          </w:tcPr>
          <w:p w14:paraId="2D1312EF"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3.17</w:t>
            </w:r>
          </w:p>
        </w:tc>
        <w:tc>
          <w:tcPr>
            <w:tcW w:w="935" w:type="dxa"/>
            <w:tcMar>
              <w:top w:w="15" w:type="dxa"/>
              <w:left w:w="15" w:type="dxa"/>
              <w:bottom w:w="15" w:type="dxa"/>
              <w:right w:w="15" w:type="dxa"/>
            </w:tcMar>
          </w:tcPr>
          <w:p w14:paraId="4FCA2AB2"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1.18</w:t>
            </w:r>
          </w:p>
        </w:tc>
      </w:tr>
      <w:tr w:rsidR="005765CF" w:rsidRPr="003F2933" w14:paraId="23E6784E" w14:textId="77777777" w:rsidTr="00F86F9A">
        <w:trPr>
          <w:trHeight w:val="315"/>
        </w:trPr>
        <w:tc>
          <w:tcPr>
            <w:tcW w:w="1125" w:type="dxa"/>
            <w:tcMar>
              <w:top w:w="15" w:type="dxa"/>
              <w:left w:w="15" w:type="dxa"/>
              <w:bottom w:w="15" w:type="dxa"/>
              <w:right w:w="15" w:type="dxa"/>
            </w:tcMar>
          </w:tcPr>
          <w:p w14:paraId="16BA64E5"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Social7</w:t>
            </w:r>
          </w:p>
        </w:tc>
        <w:tc>
          <w:tcPr>
            <w:tcW w:w="6391" w:type="dxa"/>
            <w:tcMar>
              <w:top w:w="15" w:type="dxa"/>
              <w:left w:w="15" w:type="dxa"/>
              <w:bottom w:w="15" w:type="dxa"/>
              <w:right w:w="15" w:type="dxa"/>
            </w:tcMar>
          </w:tcPr>
          <w:p w14:paraId="07BD67F5" w14:textId="77777777" w:rsidR="005765CF" w:rsidRPr="003F2933" w:rsidRDefault="005765CF" w:rsidP="005765CF">
            <w:pPr>
              <w:spacing w:before="0" w:after="0" w:line="240" w:lineRule="auto"/>
              <w:ind w:firstLine="0"/>
              <w:jc w:val="left"/>
              <w:rPr>
                <w:rFonts w:cs="Times New Roman"/>
                <w:szCs w:val="20"/>
                <w14:ligatures w14:val="standardContextual"/>
              </w:rPr>
            </w:pPr>
            <w:r>
              <w:rPr>
                <w:rFonts w:cs="Times New Roman"/>
                <w:szCs w:val="20"/>
                <w14:ligatures w14:val="standardContextual"/>
              </w:rPr>
              <w:t>I use AI to help me understand classmates’ or teachers’ English.</w:t>
            </w:r>
          </w:p>
        </w:tc>
        <w:tc>
          <w:tcPr>
            <w:tcW w:w="535" w:type="dxa"/>
            <w:tcMar>
              <w:top w:w="15" w:type="dxa"/>
              <w:left w:w="15" w:type="dxa"/>
              <w:bottom w:w="15" w:type="dxa"/>
              <w:right w:w="15" w:type="dxa"/>
            </w:tcMar>
          </w:tcPr>
          <w:p w14:paraId="0849CF6A"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3.12</w:t>
            </w:r>
          </w:p>
        </w:tc>
        <w:tc>
          <w:tcPr>
            <w:tcW w:w="935" w:type="dxa"/>
            <w:tcMar>
              <w:top w:w="15" w:type="dxa"/>
              <w:left w:w="15" w:type="dxa"/>
              <w:bottom w:w="15" w:type="dxa"/>
              <w:right w:w="15" w:type="dxa"/>
            </w:tcMar>
          </w:tcPr>
          <w:p w14:paraId="12A6CBD5" w14:textId="77777777" w:rsidR="005765CF" w:rsidRPr="003F2933" w:rsidRDefault="005765CF" w:rsidP="005765CF">
            <w:pPr>
              <w:spacing w:before="0" w:after="0" w:line="240" w:lineRule="auto"/>
              <w:ind w:firstLine="0"/>
              <w:jc w:val="center"/>
              <w:rPr>
                <w:rFonts w:cs="Times New Roman"/>
                <w:szCs w:val="20"/>
                <w14:ligatures w14:val="standardContextual"/>
              </w:rPr>
            </w:pPr>
            <w:r>
              <w:rPr>
                <w:rFonts w:cs="Times New Roman"/>
                <w:szCs w:val="20"/>
                <w14:ligatures w14:val="standardContextual"/>
              </w:rPr>
              <w:t>1.34</w:t>
            </w:r>
          </w:p>
        </w:tc>
      </w:tr>
    </w:tbl>
    <w:p w14:paraId="5BA21E94" w14:textId="77777777" w:rsidR="003F2933" w:rsidRDefault="003F2933" w:rsidP="002177BC">
      <w:pPr>
        <w:spacing w:line="480" w:lineRule="auto"/>
      </w:pPr>
    </w:p>
    <w:p w14:paraId="757BF039" w14:textId="77777777" w:rsidR="003E316B" w:rsidRPr="003F2933" w:rsidRDefault="00382175" w:rsidP="003D25EB">
      <w:pPr>
        <w:spacing w:before="0" w:after="120" w:line="480" w:lineRule="auto"/>
        <w:rPr>
          <w:sz w:val="24"/>
          <w:szCs w:val="24"/>
        </w:rPr>
      </w:pPr>
      <w:r>
        <w:rPr>
          <w:sz w:val="24"/>
          <w:szCs w:val="24"/>
        </w:rPr>
        <w:t>The interviews echoed the numbers. Where students used AI socially, it was mostly to prepare for human interaction: S13 explained, “I often use AI to prepare for discussing with my classmates or answering questions from teachers; I ask AI for the main points, then I widen ideas from them.” A few embraced it as a conversational partner. S14 said, “When it comes to speaking, I tell ChatGPT to make a conversation for me and we talk like friends,” and S8 noted, “I think we can talk to AI anytime, anywhere.” Even so, most ultimately favored peers and teachers for genuine social practice; as S3 put it, “a good partner for speaking practice is a classmate, because real people will be better than AI.”</w:t>
      </w:r>
    </w:p>
    <w:p w14:paraId="2EBBC075" w14:textId="77777777" w:rsidR="003E316B" w:rsidRPr="003F2933" w:rsidRDefault="003E316B" w:rsidP="003D25EB">
      <w:pPr>
        <w:pStyle w:val="RALs-Heading2"/>
        <w:spacing w:before="0" w:after="120" w:line="480" w:lineRule="auto"/>
        <w:rPr>
          <w:sz w:val="24"/>
          <w:szCs w:val="24"/>
        </w:rPr>
      </w:pPr>
      <w:r>
        <w:rPr>
          <w:sz w:val="24"/>
          <w:szCs w:val="24"/>
        </w:rPr>
        <w:t>4.6. Gender Differences in AI-SDLLS</w:t>
      </w:r>
    </w:p>
    <w:p w14:paraId="73D304D1" w14:textId="77777777" w:rsidR="003E316B" w:rsidRDefault="00382175" w:rsidP="003D25EB">
      <w:pPr>
        <w:spacing w:before="0" w:after="120" w:line="480" w:lineRule="auto"/>
        <w:rPr>
          <w:sz w:val="24"/>
          <w:szCs w:val="24"/>
        </w:rPr>
      </w:pPr>
      <w:r>
        <w:rPr>
          <w:sz w:val="24"/>
          <w:szCs w:val="24"/>
        </w:rPr>
        <w:t xml:space="preserve">Independent-samples t-tests revealed no statistically significant gender differences on any of the four subscales (Table 7). Levene’s test indicated equal variances throughout, so equal-variance results are reported, t(49). Mean differences were small, no larger than about 0.15 on the 5-point scale, and effect sizes were negligible to small (d = -.18 to .13). Female participants edged ahead on cognitive (M = 3.44 vs. 3.30) and affective (M = 3.16 vs. 3.01) use, and male participants on metacognitive use (M = 3.13 vs. 3.01), while social-strategy use barely differed (M = 3.05 vs. 3.00). These null results should be read with caution: at this sample size the t-tests had limited power to detect small effects, so the absence of significant differences is consistent with either genuine similarity or insufficient power. The interviews likewise surfaced no marked gendered patterns, with male and female participants alike emphasizing cognitive uses; however, because the interviews were not designed primarily to </w:t>
      </w:r>
      <w:r>
        <w:rPr>
          <w:sz w:val="24"/>
          <w:szCs w:val="24"/>
        </w:rPr>
        <w:lastRenderedPageBreak/>
        <w:t>elicit gendered accounts, this convergence is treated as broadly consistent with the survey rather than as independent confirmation of no gender difference.</w:t>
      </w:r>
    </w:p>
    <w:p w14:paraId="016CCE99" w14:textId="77777777" w:rsidR="002177BC" w:rsidRPr="003F2933" w:rsidRDefault="002177BC" w:rsidP="003D25EB">
      <w:pPr>
        <w:spacing w:before="0" w:after="120" w:line="480" w:lineRule="auto"/>
        <w:rPr>
          <w:sz w:val="24"/>
          <w:szCs w:val="24"/>
        </w:rPr>
      </w:pPr>
    </w:p>
    <w:p w14:paraId="463E830C" w14:textId="77777777" w:rsidR="003E316B" w:rsidRPr="002177BC" w:rsidRDefault="003E316B" w:rsidP="003E316B">
      <w:pPr>
        <w:pStyle w:val="RALs-TableCaption"/>
        <w:rPr>
          <w:b/>
          <w:bCs/>
          <w:sz w:val="24"/>
          <w:szCs w:val="24"/>
        </w:rPr>
      </w:pPr>
      <w:r>
        <w:rPr>
          <w:b/>
          <w:bCs/>
          <w:sz w:val="24"/>
          <w:szCs w:val="24"/>
        </w:rPr>
        <w:t>Table 7</w:t>
      </w:r>
    </w:p>
    <w:p w14:paraId="6736376E" w14:textId="77777777" w:rsidR="003E316B" w:rsidRPr="002177BC" w:rsidRDefault="003E316B" w:rsidP="003E316B">
      <w:pPr>
        <w:pStyle w:val="RALs-TableCaption"/>
        <w:rPr>
          <w:i/>
          <w:iCs/>
          <w:sz w:val="24"/>
          <w:szCs w:val="24"/>
        </w:rPr>
      </w:pPr>
      <w:r>
        <w:rPr>
          <w:i/>
          <w:iCs/>
          <w:sz w:val="24"/>
          <w:szCs w:val="24"/>
        </w:rPr>
        <w:t>Differences in EFL Students’ Use of AI-SDLLS by Gender</w:t>
      </w:r>
    </w:p>
    <w:tbl>
      <w:tblPr>
        <w:tblW w:w="0" w:type="auto"/>
        <w:tblLayout w:type="fixed"/>
        <w:tblLook w:val="06A0" w:firstRow="1" w:lastRow="0" w:firstColumn="1" w:lastColumn="0" w:noHBand="1" w:noVBand="1"/>
      </w:tblPr>
      <w:tblGrid>
        <w:gridCol w:w="1701"/>
        <w:gridCol w:w="1701"/>
        <w:gridCol w:w="1701"/>
        <w:gridCol w:w="1701"/>
        <w:gridCol w:w="873"/>
        <w:gridCol w:w="805"/>
      </w:tblGrid>
      <w:tr w:rsidR="005765CF" w:rsidRPr="003F2933" w14:paraId="3CBC2E2F" w14:textId="77777777" w:rsidTr="00F86F9A">
        <w:trPr>
          <w:trHeight w:val="300"/>
        </w:trPr>
        <w:tc>
          <w:tcPr>
            <w:tcW w:w="1701" w:type="dxa"/>
            <w:tcBorders>
              <w:top w:val="single" w:sz="8" w:space="0" w:color="auto"/>
              <w:left w:val="nil"/>
              <w:bottom w:val="single" w:sz="8" w:space="0" w:color="auto"/>
              <w:right w:val="nil"/>
            </w:tcBorders>
            <w:tcMar>
              <w:top w:w="15" w:type="dxa"/>
              <w:left w:w="15" w:type="dxa"/>
              <w:bottom w:w="15" w:type="dxa"/>
              <w:right w:w="15" w:type="dxa"/>
            </w:tcMar>
            <w:vAlign w:val="center"/>
          </w:tcPr>
          <w:p w14:paraId="25F954A0" w14:textId="77777777" w:rsidR="005765CF" w:rsidRPr="003F2933" w:rsidRDefault="005765CF" w:rsidP="005765CF">
            <w:pPr>
              <w:spacing w:after="120" w:line="240" w:lineRule="auto"/>
              <w:ind w:firstLine="0"/>
              <w:jc w:val="center"/>
              <w:rPr>
                <w:rFonts w:cs="Times New Roman"/>
                <w:b/>
                <w:bCs/>
                <w:szCs w:val="20"/>
                <w14:ligatures w14:val="standardContextual"/>
              </w:rPr>
            </w:pPr>
            <w:r>
              <w:rPr>
                <w:rFonts w:cs="Times New Roman"/>
                <w:b/>
                <w:bCs/>
                <w:szCs w:val="20"/>
                <w14:ligatures w14:val="standardContextual"/>
              </w:rPr>
              <w:t>Subscale</w:t>
            </w:r>
          </w:p>
        </w:tc>
        <w:tc>
          <w:tcPr>
            <w:tcW w:w="1701" w:type="dxa"/>
            <w:tcBorders>
              <w:top w:val="single" w:sz="8" w:space="0" w:color="auto"/>
              <w:left w:val="nil"/>
              <w:bottom w:val="single" w:sz="8" w:space="0" w:color="auto"/>
              <w:right w:val="nil"/>
            </w:tcBorders>
            <w:tcMar>
              <w:top w:w="15" w:type="dxa"/>
              <w:left w:w="15" w:type="dxa"/>
              <w:bottom w:w="15" w:type="dxa"/>
              <w:right w:w="15" w:type="dxa"/>
            </w:tcMar>
            <w:vAlign w:val="center"/>
          </w:tcPr>
          <w:p w14:paraId="6930338C" w14:textId="77777777" w:rsidR="005765CF" w:rsidRPr="003F2933" w:rsidRDefault="005765CF" w:rsidP="005765CF">
            <w:pPr>
              <w:spacing w:after="120" w:line="240" w:lineRule="auto"/>
              <w:ind w:firstLine="0"/>
              <w:jc w:val="center"/>
              <w:rPr>
                <w:rFonts w:cs="Times New Roman"/>
                <w:b/>
                <w:bCs/>
                <w:szCs w:val="20"/>
                <w14:ligatures w14:val="standardContextual"/>
              </w:rPr>
            </w:pPr>
            <w:r>
              <w:rPr>
                <w:rFonts w:cs="Times New Roman"/>
                <w:b/>
                <w:bCs/>
                <w:szCs w:val="20"/>
                <w14:ligatures w14:val="standardContextual"/>
              </w:rPr>
              <w:t>Male M (SD)</w:t>
            </w:r>
          </w:p>
        </w:tc>
        <w:tc>
          <w:tcPr>
            <w:tcW w:w="1701" w:type="dxa"/>
            <w:tcBorders>
              <w:top w:val="single" w:sz="8" w:space="0" w:color="auto"/>
              <w:left w:val="nil"/>
              <w:bottom w:val="single" w:sz="8" w:space="0" w:color="auto"/>
              <w:right w:val="nil"/>
            </w:tcBorders>
            <w:tcMar>
              <w:top w:w="15" w:type="dxa"/>
              <w:left w:w="15" w:type="dxa"/>
              <w:bottom w:w="15" w:type="dxa"/>
              <w:right w:w="15" w:type="dxa"/>
            </w:tcMar>
            <w:vAlign w:val="center"/>
          </w:tcPr>
          <w:p w14:paraId="79366F40" w14:textId="77777777" w:rsidR="005765CF" w:rsidRPr="003F2933" w:rsidRDefault="005765CF" w:rsidP="005765CF">
            <w:pPr>
              <w:spacing w:after="120" w:line="240" w:lineRule="auto"/>
              <w:ind w:firstLine="0"/>
              <w:jc w:val="center"/>
              <w:rPr>
                <w:rFonts w:cs="Times New Roman"/>
                <w:b/>
                <w:bCs/>
                <w:szCs w:val="20"/>
                <w14:ligatures w14:val="standardContextual"/>
              </w:rPr>
            </w:pPr>
            <w:r>
              <w:rPr>
                <w:rFonts w:cs="Times New Roman"/>
                <w:b/>
                <w:bCs/>
                <w:szCs w:val="20"/>
                <w14:ligatures w14:val="standardContextual"/>
              </w:rPr>
              <w:t>Female M (SD)</w:t>
            </w:r>
          </w:p>
        </w:tc>
        <w:tc>
          <w:tcPr>
            <w:tcW w:w="1701" w:type="dxa"/>
            <w:tcBorders>
              <w:top w:val="single" w:sz="8" w:space="0" w:color="auto"/>
              <w:left w:val="nil"/>
              <w:bottom w:val="single" w:sz="8" w:space="0" w:color="auto"/>
              <w:right w:val="nil"/>
            </w:tcBorders>
            <w:tcMar>
              <w:top w:w="15" w:type="dxa"/>
              <w:left w:w="15" w:type="dxa"/>
              <w:bottom w:w="15" w:type="dxa"/>
              <w:right w:w="15" w:type="dxa"/>
            </w:tcMar>
            <w:vAlign w:val="center"/>
          </w:tcPr>
          <w:p w14:paraId="3856F1F2" w14:textId="77777777" w:rsidR="005765CF" w:rsidRPr="003F2933" w:rsidRDefault="005765CF" w:rsidP="005765CF">
            <w:pPr>
              <w:spacing w:after="120" w:line="240" w:lineRule="auto"/>
              <w:ind w:firstLine="0"/>
              <w:jc w:val="center"/>
              <w:rPr>
                <w:rFonts w:cs="Times New Roman"/>
                <w:b/>
                <w:bCs/>
                <w:szCs w:val="20"/>
                <w14:ligatures w14:val="standardContextual"/>
              </w:rPr>
            </w:pPr>
            <w:r>
              <w:rPr>
                <w:rFonts w:cs="Times New Roman"/>
                <w:b/>
                <w:bCs/>
                <w:i/>
                <w:iCs/>
                <w:szCs w:val="20"/>
                <w14:ligatures w14:val="standardContextual"/>
              </w:rPr>
              <w:t>t</w:t>
            </w:r>
            <w:r>
              <w:rPr>
                <w:rFonts w:cs="Times New Roman"/>
                <w:b/>
                <w:bCs/>
                <w:szCs w:val="20"/>
                <w14:ligatures w14:val="standardContextual"/>
              </w:rPr>
              <w:t xml:space="preserve"> (df)</w:t>
            </w:r>
          </w:p>
        </w:tc>
        <w:tc>
          <w:tcPr>
            <w:tcW w:w="873" w:type="dxa"/>
            <w:tcBorders>
              <w:top w:val="single" w:sz="8" w:space="0" w:color="auto"/>
              <w:left w:val="nil"/>
              <w:bottom w:val="single" w:sz="8" w:space="0" w:color="auto"/>
              <w:right w:val="nil"/>
            </w:tcBorders>
            <w:tcMar>
              <w:top w:w="15" w:type="dxa"/>
              <w:left w:w="15" w:type="dxa"/>
              <w:bottom w:w="15" w:type="dxa"/>
              <w:right w:w="15" w:type="dxa"/>
            </w:tcMar>
            <w:vAlign w:val="center"/>
          </w:tcPr>
          <w:p w14:paraId="7A8CA8F4" w14:textId="77777777" w:rsidR="005765CF" w:rsidRPr="003F2933" w:rsidRDefault="005765CF" w:rsidP="005765CF">
            <w:pPr>
              <w:spacing w:after="120" w:line="240" w:lineRule="auto"/>
              <w:ind w:firstLine="0"/>
              <w:jc w:val="center"/>
              <w:rPr>
                <w:rFonts w:cs="Times New Roman"/>
                <w:b/>
                <w:bCs/>
                <w:i/>
                <w:iCs/>
                <w:szCs w:val="20"/>
                <w14:ligatures w14:val="standardContextual"/>
              </w:rPr>
            </w:pPr>
            <w:r>
              <w:rPr>
                <w:rFonts w:cs="Times New Roman"/>
                <w:b/>
                <w:bCs/>
                <w:i/>
                <w:iCs/>
                <w:szCs w:val="20"/>
                <w14:ligatures w14:val="standardContextual"/>
              </w:rPr>
              <w:t>p</w:t>
            </w:r>
          </w:p>
        </w:tc>
        <w:tc>
          <w:tcPr>
            <w:tcW w:w="805" w:type="dxa"/>
            <w:tcBorders>
              <w:top w:val="single" w:sz="8" w:space="0" w:color="auto"/>
              <w:left w:val="nil"/>
              <w:bottom w:val="single" w:sz="8" w:space="0" w:color="auto"/>
              <w:right w:val="nil"/>
            </w:tcBorders>
            <w:tcMar>
              <w:top w:w="15" w:type="dxa"/>
              <w:left w:w="15" w:type="dxa"/>
              <w:bottom w:w="15" w:type="dxa"/>
              <w:right w:w="15" w:type="dxa"/>
            </w:tcMar>
            <w:vAlign w:val="center"/>
          </w:tcPr>
          <w:p w14:paraId="013A82E5" w14:textId="77777777" w:rsidR="005765CF" w:rsidRPr="003F2933" w:rsidRDefault="005765CF" w:rsidP="005765CF">
            <w:pPr>
              <w:spacing w:after="120" w:line="240" w:lineRule="auto"/>
              <w:ind w:firstLine="0"/>
              <w:jc w:val="center"/>
              <w:rPr>
                <w:rFonts w:cs="Times New Roman"/>
                <w:b/>
                <w:bCs/>
                <w:i/>
                <w:iCs/>
                <w:szCs w:val="20"/>
                <w14:ligatures w14:val="standardContextual"/>
              </w:rPr>
            </w:pPr>
            <w:r>
              <w:rPr>
                <w:rFonts w:cs="Times New Roman"/>
                <w:b/>
                <w:bCs/>
                <w:i/>
                <w:iCs/>
                <w:szCs w:val="20"/>
                <w14:ligatures w14:val="standardContextual"/>
              </w:rPr>
              <w:t>d</w:t>
            </w:r>
          </w:p>
        </w:tc>
      </w:tr>
      <w:tr w:rsidR="005765CF" w:rsidRPr="003F2933" w14:paraId="68DD7809" w14:textId="77777777" w:rsidTr="00F86F9A">
        <w:trPr>
          <w:trHeight w:val="300"/>
        </w:trPr>
        <w:tc>
          <w:tcPr>
            <w:tcW w:w="1701" w:type="dxa"/>
            <w:tcMar>
              <w:top w:w="15" w:type="dxa"/>
              <w:left w:w="15" w:type="dxa"/>
              <w:bottom w:w="15" w:type="dxa"/>
              <w:right w:w="15" w:type="dxa"/>
            </w:tcMar>
            <w:vAlign w:val="center"/>
          </w:tcPr>
          <w:p w14:paraId="1A449440" w14:textId="77777777" w:rsidR="005765CF" w:rsidRPr="003F2933" w:rsidRDefault="005765CF" w:rsidP="005765CF">
            <w:pPr>
              <w:spacing w:before="240" w:after="0" w:line="240" w:lineRule="auto"/>
              <w:ind w:firstLine="0"/>
              <w:jc w:val="left"/>
              <w:rPr>
                <w:rFonts w:cs="Times New Roman"/>
                <w:szCs w:val="20"/>
                <w14:ligatures w14:val="standardContextual"/>
              </w:rPr>
            </w:pPr>
            <w:r>
              <w:rPr>
                <w:rFonts w:cs="Times New Roman"/>
                <w:szCs w:val="20"/>
                <w14:ligatures w14:val="standardContextual"/>
              </w:rPr>
              <w:t>Cognitive</w:t>
            </w:r>
          </w:p>
        </w:tc>
        <w:tc>
          <w:tcPr>
            <w:tcW w:w="1701" w:type="dxa"/>
            <w:tcMar>
              <w:top w:w="15" w:type="dxa"/>
              <w:left w:w="15" w:type="dxa"/>
              <w:bottom w:w="15" w:type="dxa"/>
              <w:right w:w="15" w:type="dxa"/>
            </w:tcMar>
            <w:vAlign w:val="center"/>
          </w:tcPr>
          <w:p w14:paraId="53F80BA7" w14:textId="77777777" w:rsidR="005765CF" w:rsidRPr="003F2933" w:rsidRDefault="005765CF" w:rsidP="005765CF">
            <w:pPr>
              <w:spacing w:before="240" w:after="0" w:line="240" w:lineRule="auto"/>
              <w:ind w:firstLine="0"/>
              <w:jc w:val="center"/>
              <w:rPr>
                <w:rFonts w:cs="Times New Roman"/>
                <w:szCs w:val="20"/>
                <w14:ligatures w14:val="standardContextual"/>
              </w:rPr>
            </w:pPr>
            <w:r>
              <w:rPr>
                <w:rFonts w:cs="Times New Roman"/>
                <w:szCs w:val="20"/>
                <w14:ligatures w14:val="standardContextual"/>
              </w:rPr>
              <w:t>3.30 (0.85)</w:t>
            </w:r>
          </w:p>
        </w:tc>
        <w:tc>
          <w:tcPr>
            <w:tcW w:w="1701" w:type="dxa"/>
            <w:tcMar>
              <w:top w:w="15" w:type="dxa"/>
              <w:left w:w="15" w:type="dxa"/>
              <w:bottom w:w="15" w:type="dxa"/>
              <w:right w:w="15" w:type="dxa"/>
            </w:tcMar>
            <w:vAlign w:val="center"/>
          </w:tcPr>
          <w:p w14:paraId="6DE3EC8B" w14:textId="77777777" w:rsidR="005765CF" w:rsidRPr="003F2933" w:rsidRDefault="005765CF" w:rsidP="005765CF">
            <w:pPr>
              <w:spacing w:before="240" w:after="0" w:line="240" w:lineRule="auto"/>
              <w:ind w:firstLine="0"/>
              <w:jc w:val="center"/>
              <w:rPr>
                <w:rFonts w:cs="Times New Roman"/>
                <w:szCs w:val="20"/>
                <w14:ligatures w14:val="standardContextual"/>
              </w:rPr>
            </w:pPr>
            <w:r>
              <w:rPr>
                <w:rFonts w:cs="Times New Roman"/>
                <w:szCs w:val="20"/>
                <w14:ligatures w14:val="standardContextual"/>
              </w:rPr>
              <w:t>3.44 (0.75)</w:t>
            </w:r>
          </w:p>
        </w:tc>
        <w:tc>
          <w:tcPr>
            <w:tcW w:w="1701" w:type="dxa"/>
            <w:tcMar>
              <w:top w:w="15" w:type="dxa"/>
              <w:left w:w="15" w:type="dxa"/>
              <w:bottom w:w="15" w:type="dxa"/>
              <w:right w:w="15" w:type="dxa"/>
            </w:tcMar>
            <w:vAlign w:val="center"/>
          </w:tcPr>
          <w:p w14:paraId="5BF67965" w14:textId="77777777" w:rsidR="005765CF" w:rsidRPr="003F2933" w:rsidRDefault="005765CF" w:rsidP="005765CF">
            <w:pPr>
              <w:spacing w:before="240" w:after="0" w:line="240" w:lineRule="auto"/>
              <w:ind w:firstLine="0"/>
              <w:jc w:val="center"/>
              <w:rPr>
                <w:rFonts w:cs="Times New Roman"/>
                <w:szCs w:val="20"/>
                <w14:ligatures w14:val="standardContextual"/>
              </w:rPr>
            </w:pPr>
            <w:r>
              <w:rPr>
                <w:rFonts w:cs="Times New Roman"/>
                <w:szCs w:val="20"/>
                <w14:ligatures w14:val="standardContextual"/>
              </w:rPr>
              <w:t>-0.63(49)</w:t>
            </w:r>
          </w:p>
        </w:tc>
        <w:tc>
          <w:tcPr>
            <w:tcW w:w="873" w:type="dxa"/>
            <w:tcMar>
              <w:top w:w="15" w:type="dxa"/>
              <w:left w:w="15" w:type="dxa"/>
              <w:bottom w:w="15" w:type="dxa"/>
              <w:right w:w="15" w:type="dxa"/>
            </w:tcMar>
            <w:vAlign w:val="center"/>
          </w:tcPr>
          <w:p w14:paraId="199BFCEC" w14:textId="77777777" w:rsidR="005765CF" w:rsidRPr="003F2933" w:rsidRDefault="005765CF" w:rsidP="005765CF">
            <w:pPr>
              <w:spacing w:before="240" w:after="0" w:line="240" w:lineRule="auto"/>
              <w:ind w:firstLine="0"/>
              <w:jc w:val="center"/>
              <w:rPr>
                <w:rFonts w:cs="Times New Roman"/>
                <w:szCs w:val="20"/>
                <w14:ligatures w14:val="standardContextual"/>
              </w:rPr>
            </w:pPr>
            <w:r>
              <w:rPr>
                <w:rFonts w:cs="Times New Roman"/>
                <w:szCs w:val="20"/>
                <w14:ligatures w14:val="standardContextual"/>
              </w:rPr>
              <w:t>.53</w:t>
            </w:r>
          </w:p>
        </w:tc>
        <w:tc>
          <w:tcPr>
            <w:tcW w:w="805" w:type="dxa"/>
            <w:tcMar>
              <w:top w:w="15" w:type="dxa"/>
              <w:left w:w="15" w:type="dxa"/>
              <w:bottom w:w="15" w:type="dxa"/>
              <w:right w:w="15" w:type="dxa"/>
            </w:tcMar>
            <w:vAlign w:val="center"/>
          </w:tcPr>
          <w:p w14:paraId="1042AC6C" w14:textId="77777777" w:rsidR="005765CF" w:rsidRPr="003F2933" w:rsidRDefault="005765CF" w:rsidP="005765CF">
            <w:pPr>
              <w:spacing w:before="240" w:after="0" w:line="240" w:lineRule="auto"/>
              <w:ind w:firstLine="0"/>
              <w:jc w:val="center"/>
              <w:rPr>
                <w:rFonts w:cs="Times New Roman"/>
                <w:szCs w:val="20"/>
                <w14:ligatures w14:val="standardContextual"/>
              </w:rPr>
            </w:pPr>
            <w:r>
              <w:rPr>
                <w:rFonts w:cs="Times New Roman"/>
                <w:szCs w:val="20"/>
                <w14:ligatures w14:val="standardContextual"/>
              </w:rPr>
              <w:t>-0.18</w:t>
            </w:r>
          </w:p>
        </w:tc>
      </w:tr>
      <w:tr w:rsidR="005765CF" w:rsidRPr="003F2933" w14:paraId="669E0CBF" w14:textId="77777777" w:rsidTr="00F86F9A">
        <w:trPr>
          <w:trHeight w:val="300"/>
        </w:trPr>
        <w:tc>
          <w:tcPr>
            <w:tcW w:w="1701" w:type="dxa"/>
            <w:tcMar>
              <w:top w:w="15" w:type="dxa"/>
              <w:left w:w="15" w:type="dxa"/>
              <w:bottom w:w="15" w:type="dxa"/>
              <w:right w:w="15" w:type="dxa"/>
            </w:tcMar>
            <w:vAlign w:val="center"/>
          </w:tcPr>
          <w:p w14:paraId="1352D214" w14:textId="77777777" w:rsidR="005765CF" w:rsidRPr="003F2933" w:rsidRDefault="005765CF" w:rsidP="005765CF">
            <w:pPr>
              <w:spacing w:before="240" w:after="0" w:line="240" w:lineRule="auto"/>
              <w:ind w:firstLine="0"/>
              <w:jc w:val="left"/>
              <w:rPr>
                <w:rFonts w:cs="Times New Roman"/>
                <w:szCs w:val="20"/>
                <w14:ligatures w14:val="standardContextual"/>
              </w:rPr>
            </w:pPr>
            <w:r>
              <w:rPr>
                <w:rFonts w:cs="Times New Roman"/>
                <w:szCs w:val="20"/>
                <w14:ligatures w14:val="standardContextual"/>
              </w:rPr>
              <w:t>Metacognitive</w:t>
            </w:r>
          </w:p>
        </w:tc>
        <w:tc>
          <w:tcPr>
            <w:tcW w:w="1701" w:type="dxa"/>
            <w:tcMar>
              <w:top w:w="15" w:type="dxa"/>
              <w:left w:w="15" w:type="dxa"/>
              <w:bottom w:w="15" w:type="dxa"/>
              <w:right w:w="15" w:type="dxa"/>
            </w:tcMar>
            <w:vAlign w:val="center"/>
          </w:tcPr>
          <w:p w14:paraId="6B5216D0" w14:textId="77777777" w:rsidR="005765CF" w:rsidRPr="003F2933" w:rsidRDefault="005765CF" w:rsidP="005765CF">
            <w:pPr>
              <w:spacing w:before="240" w:after="0" w:line="240" w:lineRule="auto"/>
              <w:ind w:firstLine="0"/>
              <w:jc w:val="center"/>
              <w:rPr>
                <w:rFonts w:cs="Times New Roman"/>
                <w:szCs w:val="20"/>
                <w14:ligatures w14:val="standardContextual"/>
              </w:rPr>
            </w:pPr>
            <w:r>
              <w:rPr>
                <w:rFonts w:cs="Times New Roman"/>
                <w:szCs w:val="20"/>
                <w14:ligatures w14:val="standardContextual"/>
              </w:rPr>
              <w:t>3.13 (0.93)</w:t>
            </w:r>
          </w:p>
        </w:tc>
        <w:tc>
          <w:tcPr>
            <w:tcW w:w="1701" w:type="dxa"/>
            <w:tcMar>
              <w:top w:w="15" w:type="dxa"/>
              <w:left w:w="15" w:type="dxa"/>
              <w:bottom w:w="15" w:type="dxa"/>
              <w:right w:w="15" w:type="dxa"/>
            </w:tcMar>
            <w:vAlign w:val="center"/>
          </w:tcPr>
          <w:p w14:paraId="474229B1" w14:textId="77777777" w:rsidR="005765CF" w:rsidRPr="003F2933" w:rsidRDefault="005765CF" w:rsidP="005765CF">
            <w:pPr>
              <w:spacing w:before="240" w:after="0" w:line="240" w:lineRule="auto"/>
              <w:ind w:firstLine="0"/>
              <w:jc w:val="center"/>
              <w:rPr>
                <w:rFonts w:cs="Times New Roman"/>
                <w:szCs w:val="20"/>
                <w14:ligatures w14:val="standardContextual"/>
              </w:rPr>
            </w:pPr>
            <w:r>
              <w:rPr>
                <w:rFonts w:cs="Times New Roman"/>
                <w:szCs w:val="20"/>
                <w14:ligatures w14:val="standardContextual"/>
              </w:rPr>
              <w:t>3.01 (0.76)</w:t>
            </w:r>
          </w:p>
        </w:tc>
        <w:tc>
          <w:tcPr>
            <w:tcW w:w="1701" w:type="dxa"/>
            <w:tcMar>
              <w:top w:w="15" w:type="dxa"/>
              <w:left w:w="15" w:type="dxa"/>
              <w:bottom w:w="15" w:type="dxa"/>
              <w:right w:w="15" w:type="dxa"/>
            </w:tcMar>
            <w:vAlign w:val="center"/>
          </w:tcPr>
          <w:p w14:paraId="50463627" w14:textId="77777777" w:rsidR="005765CF" w:rsidRPr="003F2933" w:rsidRDefault="005765CF" w:rsidP="005765CF">
            <w:pPr>
              <w:spacing w:before="240" w:after="0" w:line="240" w:lineRule="auto"/>
              <w:ind w:firstLine="0"/>
              <w:jc w:val="center"/>
              <w:rPr>
                <w:rFonts w:cs="Times New Roman"/>
                <w:szCs w:val="20"/>
                <w14:ligatures w14:val="standardContextual"/>
              </w:rPr>
            </w:pPr>
            <w:r>
              <w:rPr>
                <w:rFonts w:cs="Times New Roman"/>
                <w:szCs w:val="20"/>
                <w14:ligatures w14:val="standardContextual"/>
              </w:rPr>
              <w:t>0.48(49)</w:t>
            </w:r>
          </w:p>
        </w:tc>
        <w:tc>
          <w:tcPr>
            <w:tcW w:w="873" w:type="dxa"/>
            <w:tcMar>
              <w:top w:w="15" w:type="dxa"/>
              <w:left w:w="15" w:type="dxa"/>
              <w:bottom w:w="15" w:type="dxa"/>
              <w:right w:w="15" w:type="dxa"/>
            </w:tcMar>
            <w:vAlign w:val="center"/>
          </w:tcPr>
          <w:p w14:paraId="3098619E" w14:textId="77777777" w:rsidR="005765CF" w:rsidRPr="003F2933" w:rsidRDefault="005765CF" w:rsidP="005765CF">
            <w:pPr>
              <w:spacing w:before="240" w:after="0" w:line="240" w:lineRule="auto"/>
              <w:ind w:firstLine="0"/>
              <w:jc w:val="center"/>
              <w:rPr>
                <w:rFonts w:cs="Times New Roman"/>
                <w:szCs w:val="20"/>
                <w14:ligatures w14:val="standardContextual"/>
              </w:rPr>
            </w:pPr>
            <w:r>
              <w:rPr>
                <w:rFonts w:cs="Times New Roman"/>
                <w:szCs w:val="20"/>
                <w14:ligatures w14:val="standardContextual"/>
              </w:rPr>
              <w:t>.64</w:t>
            </w:r>
          </w:p>
        </w:tc>
        <w:tc>
          <w:tcPr>
            <w:tcW w:w="805" w:type="dxa"/>
            <w:tcMar>
              <w:top w:w="15" w:type="dxa"/>
              <w:left w:w="15" w:type="dxa"/>
              <w:bottom w:w="15" w:type="dxa"/>
              <w:right w:w="15" w:type="dxa"/>
            </w:tcMar>
            <w:vAlign w:val="center"/>
          </w:tcPr>
          <w:p w14:paraId="60E5B001" w14:textId="77777777" w:rsidR="005765CF" w:rsidRPr="003F2933" w:rsidRDefault="005765CF" w:rsidP="005765CF">
            <w:pPr>
              <w:spacing w:before="240" w:after="0" w:line="240" w:lineRule="auto"/>
              <w:ind w:firstLine="0"/>
              <w:jc w:val="center"/>
              <w:rPr>
                <w:rFonts w:cs="Times New Roman"/>
                <w:szCs w:val="20"/>
                <w14:ligatures w14:val="standardContextual"/>
              </w:rPr>
            </w:pPr>
            <w:r>
              <w:rPr>
                <w:rFonts w:cs="Times New Roman"/>
                <w:szCs w:val="20"/>
                <w14:ligatures w14:val="standardContextual"/>
              </w:rPr>
              <w:t>0.13</w:t>
            </w:r>
          </w:p>
        </w:tc>
      </w:tr>
      <w:tr w:rsidR="005765CF" w:rsidRPr="003F2933" w14:paraId="26594960" w14:textId="77777777" w:rsidTr="00F86F9A">
        <w:trPr>
          <w:trHeight w:val="300"/>
        </w:trPr>
        <w:tc>
          <w:tcPr>
            <w:tcW w:w="1701" w:type="dxa"/>
            <w:tcMar>
              <w:top w:w="15" w:type="dxa"/>
              <w:left w:w="15" w:type="dxa"/>
              <w:bottom w:w="15" w:type="dxa"/>
              <w:right w:w="15" w:type="dxa"/>
            </w:tcMar>
            <w:vAlign w:val="center"/>
          </w:tcPr>
          <w:p w14:paraId="585BFB4A" w14:textId="77777777" w:rsidR="005765CF" w:rsidRPr="003F2933" w:rsidRDefault="005765CF" w:rsidP="005765CF">
            <w:pPr>
              <w:spacing w:before="240" w:after="0" w:line="240" w:lineRule="auto"/>
              <w:ind w:firstLine="0"/>
              <w:jc w:val="left"/>
              <w:rPr>
                <w:rFonts w:cs="Times New Roman"/>
                <w:szCs w:val="20"/>
                <w14:ligatures w14:val="standardContextual"/>
              </w:rPr>
            </w:pPr>
            <w:r>
              <w:rPr>
                <w:rFonts w:cs="Times New Roman"/>
                <w:szCs w:val="20"/>
                <w14:ligatures w14:val="standardContextual"/>
              </w:rPr>
              <w:t>Affective</w:t>
            </w:r>
          </w:p>
        </w:tc>
        <w:tc>
          <w:tcPr>
            <w:tcW w:w="1701" w:type="dxa"/>
            <w:tcMar>
              <w:top w:w="15" w:type="dxa"/>
              <w:left w:w="15" w:type="dxa"/>
              <w:bottom w:w="15" w:type="dxa"/>
              <w:right w:w="15" w:type="dxa"/>
            </w:tcMar>
            <w:vAlign w:val="center"/>
          </w:tcPr>
          <w:p w14:paraId="5BC4220B" w14:textId="77777777" w:rsidR="005765CF" w:rsidRPr="003F2933" w:rsidRDefault="005765CF" w:rsidP="005765CF">
            <w:pPr>
              <w:spacing w:before="240" w:after="0" w:line="240" w:lineRule="auto"/>
              <w:ind w:firstLine="0"/>
              <w:jc w:val="center"/>
              <w:rPr>
                <w:rFonts w:cs="Times New Roman"/>
                <w:szCs w:val="20"/>
                <w14:ligatures w14:val="standardContextual"/>
              </w:rPr>
            </w:pPr>
            <w:r>
              <w:rPr>
                <w:rFonts w:cs="Times New Roman"/>
                <w:szCs w:val="20"/>
                <w14:ligatures w14:val="standardContextual"/>
              </w:rPr>
              <w:t>3.01 (1.02)</w:t>
            </w:r>
          </w:p>
        </w:tc>
        <w:tc>
          <w:tcPr>
            <w:tcW w:w="1701" w:type="dxa"/>
            <w:tcMar>
              <w:top w:w="15" w:type="dxa"/>
              <w:left w:w="15" w:type="dxa"/>
              <w:bottom w:w="15" w:type="dxa"/>
              <w:right w:w="15" w:type="dxa"/>
            </w:tcMar>
            <w:vAlign w:val="center"/>
          </w:tcPr>
          <w:p w14:paraId="0E5AE9E0" w14:textId="77777777" w:rsidR="005765CF" w:rsidRPr="003F2933" w:rsidRDefault="005765CF" w:rsidP="005765CF">
            <w:pPr>
              <w:spacing w:before="240" w:after="0" w:line="240" w:lineRule="auto"/>
              <w:ind w:firstLine="0"/>
              <w:jc w:val="center"/>
              <w:rPr>
                <w:rFonts w:cs="Times New Roman"/>
                <w:szCs w:val="20"/>
                <w14:ligatures w14:val="standardContextual"/>
              </w:rPr>
            </w:pPr>
            <w:r>
              <w:rPr>
                <w:rFonts w:cs="Times New Roman"/>
                <w:szCs w:val="20"/>
                <w14:ligatures w14:val="standardContextual"/>
              </w:rPr>
              <w:t>3.16 (0.72)</w:t>
            </w:r>
          </w:p>
        </w:tc>
        <w:tc>
          <w:tcPr>
            <w:tcW w:w="1701" w:type="dxa"/>
            <w:tcMar>
              <w:top w:w="15" w:type="dxa"/>
              <w:left w:w="15" w:type="dxa"/>
              <w:bottom w:w="15" w:type="dxa"/>
              <w:right w:w="15" w:type="dxa"/>
            </w:tcMar>
            <w:vAlign w:val="center"/>
          </w:tcPr>
          <w:p w14:paraId="50CADCBD" w14:textId="77777777" w:rsidR="005765CF" w:rsidRPr="003F2933" w:rsidRDefault="005765CF" w:rsidP="005765CF">
            <w:pPr>
              <w:spacing w:before="240" w:after="0" w:line="240" w:lineRule="auto"/>
              <w:ind w:firstLine="0"/>
              <w:jc w:val="center"/>
              <w:rPr>
                <w:rFonts w:cs="Times New Roman"/>
                <w:szCs w:val="20"/>
                <w14:ligatures w14:val="standardContextual"/>
              </w:rPr>
            </w:pPr>
            <w:r>
              <w:rPr>
                <w:rFonts w:cs="Times New Roman"/>
                <w:szCs w:val="20"/>
                <w14:ligatures w14:val="standardContextual"/>
              </w:rPr>
              <w:t>-0.61(49)</w:t>
            </w:r>
          </w:p>
        </w:tc>
        <w:tc>
          <w:tcPr>
            <w:tcW w:w="873" w:type="dxa"/>
            <w:tcMar>
              <w:top w:w="15" w:type="dxa"/>
              <w:left w:w="15" w:type="dxa"/>
              <w:bottom w:w="15" w:type="dxa"/>
              <w:right w:w="15" w:type="dxa"/>
            </w:tcMar>
            <w:vAlign w:val="center"/>
          </w:tcPr>
          <w:p w14:paraId="11831881" w14:textId="77777777" w:rsidR="005765CF" w:rsidRPr="003F2933" w:rsidRDefault="005765CF" w:rsidP="005765CF">
            <w:pPr>
              <w:spacing w:before="240" w:after="0" w:line="240" w:lineRule="auto"/>
              <w:ind w:firstLine="0"/>
              <w:jc w:val="center"/>
              <w:rPr>
                <w:rFonts w:cs="Times New Roman"/>
                <w:szCs w:val="20"/>
                <w14:ligatures w14:val="standardContextual"/>
              </w:rPr>
            </w:pPr>
            <w:r>
              <w:rPr>
                <w:rFonts w:cs="Times New Roman"/>
                <w:szCs w:val="20"/>
                <w14:ligatures w14:val="standardContextual"/>
              </w:rPr>
              <w:t>.55</w:t>
            </w:r>
          </w:p>
        </w:tc>
        <w:tc>
          <w:tcPr>
            <w:tcW w:w="805" w:type="dxa"/>
            <w:tcMar>
              <w:top w:w="15" w:type="dxa"/>
              <w:left w:w="15" w:type="dxa"/>
              <w:bottom w:w="15" w:type="dxa"/>
              <w:right w:w="15" w:type="dxa"/>
            </w:tcMar>
            <w:vAlign w:val="center"/>
          </w:tcPr>
          <w:p w14:paraId="6D4FB82B" w14:textId="77777777" w:rsidR="005765CF" w:rsidRPr="003F2933" w:rsidRDefault="005765CF" w:rsidP="005765CF">
            <w:pPr>
              <w:spacing w:before="240" w:after="0" w:line="240" w:lineRule="auto"/>
              <w:ind w:firstLine="0"/>
              <w:jc w:val="center"/>
              <w:rPr>
                <w:rFonts w:cs="Times New Roman"/>
                <w:szCs w:val="20"/>
                <w14:ligatures w14:val="standardContextual"/>
              </w:rPr>
            </w:pPr>
            <w:r>
              <w:rPr>
                <w:rFonts w:cs="Times New Roman"/>
                <w:szCs w:val="20"/>
                <w14:ligatures w14:val="standardContextual"/>
              </w:rPr>
              <w:t>-0.17</w:t>
            </w:r>
          </w:p>
        </w:tc>
      </w:tr>
      <w:tr w:rsidR="005765CF" w:rsidRPr="003F2933" w14:paraId="6BD4C56C" w14:textId="77777777" w:rsidTr="00F86F9A">
        <w:trPr>
          <w:trHeight w:val="300"/>
        </w:trPr>
        <w:tc>
          <w:tcPr>
            <w:tcW w:w="1701" w:type="dxa"/>
            <w:tcBorders>
              <w:left w:val="nil"/>
              <w:bottom w:val="single" w:sz="8" w:space="0" w:color="auto"/>
              <w:right w:val="nil"/>
            </w:tcBorders>
            <w:tcMar>
              <w:top w:w="15" w:type="dxa"/>
              <w:left w:w="15" w:type="dxa"/>
              <w:bottom w:w="15" w:type="dxa"/>
              <w:right w:w="15" w:type="dxa"/>
            </w:tcMar>
            <w:vAlign w:val="center"/>
          </w:tcPr>
          <w:p w14:paraId="4A60B62D" w14:textId="77777777" w:rsidR="005765CF" w:rsidRPr="003F2933" w:rsidRDefault="005765CF" w:rsidP="005765CF">
            <w:pPr>
              <w:spacing w:before="240" w:after="0" w:line="240" w:lineRule="auto"/>
              <w:ind w:firstLine="0"/>
              <w:jc w:val="left"/>
              <w:rPr>
                <w:rFonts w:cs="Times New Roman"/>
                <w:szCs w:val="20"/>
                <w14:ligatures w14:val="standardContextual"/>
              </w:rPr>
            </w:pPr>
            <w:r>
              <w:rPr>
                <w:rFonts w:cs="Times New Roman"/>
                <w:szCs w:val="20"/>
                <w14:ligatures w14:val="standardContextual"/>
              </w:rPr>
              <w:t>Social</w:t>
            </w:r>
          </w:p>
        </w:tc>
        <w:tc>
          <w:tcPr>
            <w:tcW w:w="1701" w:type="dxa"/>
            <w:tcBorders>
              <w:left w:val="nil"/>
              <w:bottom w:val="single" w:sz="8" w:space="0" w:color="auto"/>
              <w:right w:val="nil"/>
            </w:tcBorders>
            <w:tcMar>
              <w:top w:w="15" w:type="dxa"/>
              <w:left w:w="15" w:type="dxa"/>
              <w:bottom w:w="15" w:type="dxa"/>
              <w:right w:w="15" w:type="dxa"/>
            </w:tcMar>
            <w:vAlign w:val="center"/>
          </w:tcPr>
          <w:p w14:paraId="7B39AF11" w14:textId="77777777" w:rsidR="005765CF" w:rsidRPr="003F2933" w:rsidRDefault="005765CF" w:rsidP="005765CF">
            <w:pPr>
              <w:spacing w:before="240" w:after="0" w:line="240" w:lineRule="auto"/>
              <w:ind w:firstLine="0"/>
              <w:jc w:val="center"/>
              <w:rPr>
                <w:rFonts w:cs="Times New Roman"/>
                <w:szCs w:val="20"/>
                <w14:ligatures w14:val="standardContextual"/>
              </w:rPr>
            </w:pPr>
            <w:r>
              <w:rPr>
                <w:rFonts w:cs="Times New Roman"/>
                <w:szCs w:val="20"/>
                <w14:ligatures w14:val="standardContextual"/>
              </w:rPr>
              <w:t>3.00 (0.98)</w:t>
            </w:r>
          </w:p>
        </w:tc>
        <w:tc>
          <w:tcPr>
            <w:tcW w:w="1701" w:type="dxa"/>
            <w:tcBorders>
              <w:left w:val="nil"/>
              <w:bottom w:val="single" w:sz="8" w:space="0" w:color="auto"/>
              <w:right w:val="nil"/>
            </w:tcBorders>
            <w:tcMar>
              <w:top w:w="15" w:type="dxa"/>
              <w:left w:w="15" w:type="dxa"/>
              <w:bottom w:w="15" w:type="dxa"/>
              <w:right w:w="15" w:type="dxa"/>
            </w:tcMar>
            <w:vAlign w:val="center"/>
          </w:tcPr>
          <w:p w14:paraId="6EFE0D65" w14:textId="77777777" w:rsidR="005765CF" w:rsidRPr="003F2933" w:rsidRDefault="005765CF" w:rsidP="005765CF">
            <w:pPr>
              <w:spacing w:before="240" w:after="0" w:line="240" w:lineRule="auto"/>
              <w:ind w:firstLine="0"/>
              <w:jc w:val="center"/>
              <w:rPr>
                <w:rFonts w:cs="Times New Roman"/>
                <w:szCs w:val="20"/>
                <w14:ligatures w14:val="standardContextual"/>
              </w:rPr>
            </w:pPr>
            <w:r>
              <w:rPr>
                <w:rFonts w:cs="Times New Roman"/>
                <w:szCs w:val="20"/>
                <w14:ligatures w14:val="standardContextual"/>
              </w:rPr>
              <w:t>3.05 (0.81)</w:t>
            </w:r>
          </w:p>
        </w:tc>
        <w:tc>
          <w:tcPr>
            <w:tcW w:w="1701" w:type="dxa"/>
            <w:tcBorders>
              <w:left w:val="nil"/>
              <w:bottom w:val="single" w:sz="8" w:space="0" w:color="auto"/>
              <w:right w:val="nil"/>
            </w:tcBorders>
            <w:tcMar>
              <w:top w:w="15" w:type="dxa"/>
              <w:left w:w="15" w:type="dxa"/>
              <w:bottom w:w="15" w:type="dxa"/>
              <w:right w:w="15" w:type="dxa"/>
            </w:tcMar>
            <w:vAlign w:val="center"/>
          </w:tcPr>
          <w:p w14:paraId="2354BD06" w14:textId="77777777" w:rsidR="005765CF" w:rsidRPr="003F2933" w:rsidRDefault="005765CF" w:rsidP="005765CF">
            <w:pPr>
              <w:spacing w:before="240" w:after="0" w:line="240" w:lineRule="auto"/>
              <w:ind w:firstLine="0"/>
              <w:jc w:val="center"/>
              <w:rPr>
                <w:rFonts w:cs="Times New Roman"/>
                <w:szCs w:val="20"/>
                <w14:ligatures w14:val="standardContextual"/>
              </w:rPr>
            </w:pPr>
            <w:r>
              <w:rPr>
                <w:rFonts w:cs="Times New Roman"/>
                <w:szCs w:val="20"/>
                <w14:ligatures w14:val="standardContextual"/>
              </w:rPr>
              <w:t>-0.20(49)</w:t>
            </w:r>
          </w:p>
        </w:tc>
        <w:tc>
          <w:tcPr>
            <w:tcW w:w="873" w:type="dxa"/>
            <w:tcBorders>
              <w:left w:val="nil"/>
              <w:bottom w:val="single" w:sz="8" w:space="0" w:color="auto"/>
              <w:right w:val="nil"/>
            </w:tcBorders>
            <w:tcMar>
              <w:top w:w="15" w:type="dxa"/>
              <w:left w:w="15" w:type="dxa"/>
              <w:bottom w:w="15" w:type="dxa"/>
              <w:right w:w="15" w:type="dxa"/>
            </w:tcMar>
            <w:vAlign w:val="center"/>
          </w:tcPr>
          <w:p w14:paraId="04E46739" w14:textId="77777777" w:rsidR="005765CF" w:rsidRPr="003F2933" w:rsidRDefault="005765CF" w:rsidP="005765CF">
            <w:pPr>
              <w:spacing w:before="240" w:after="0" w:line="240" w:lineRule="auto"/>
              <w:ind w:firstLine="0"/>
              <w:jc w:val="center"/>
              <w:rPr>
                <w:rFonts w:cs="Times New Roman"/>
                <w:szCs w:val="20"/>
                <w14:ligatures w14:val="standardContextual"/>
              </w:rPr>
            </w:pPr>
            <w:r>
              <w:rPr>
                <w:rFonts w:cs="Times New Roman"/>
                <w:szCs w:val="20"/>
                <w14:ligatures w14:val="standardContextual"/>
              </w:rPr>
              <w:t>.85</w:t>
            </w:r>
          </w:p>
        </w:tc>
        <w:tc>
          <w:tcPr>
            <w:tcW w:w="805" w:type="dxa"/>
            <w:tcBorders>
              <w:left w:val="nil"/>
              <w:bottom w:val="single" w:sz="8" w:space="0" w:color="auto"/>
              <w:right w:val="nil"/>
            </w:tcBorders>
            <w:tcMar>
              <w:top w:w="15" w:type="dxa"/>
              <w:left w:w="15" w:type="dxa"/>
              <w:bottom w:w="15" w:type="dxa"/>
              <w:right w:w="15" w:type="dxa"/>
            </w:tcMar>
            <w:vAlign w:val="center"/>
          </w:tcPr>
          <w:p w14:paraId="4958B998" w14:textId="77777777" w:rsidR="005765CF" w:rsidRPr="003F2933" w:rsidRDefault="005765CF" w:rsidP="005765CF">
            <w:pPr>
              <w:spacing w:before="240" w:after="0" w:line="240" w:lineRule="auto"/>
              <w:ind w:firstLine="0"/>
              <w:jc w:val="center"/>
              <w:rPr>
                <w:rFonts w:cs="Times New Roman"/>
                <w:szCs w:val="20"/>
                <w14:ligatures w14:val="standardContextual"/>
              </w:rPr>
            </w:pPr>
            <w:r>
              <w:rPr>
                <w:rFonts w:cs="Times New Roman"/>
                <w:szCs w:val="20"/>
                <w14:ligatures w14:val="standardContextual"/>
              </w:rPr>
              <w:t>-0.05</w:t>
            </w:r>
          </w:p>
        </w:tc>
      </w:tr>
    </w:tbl>
    <w:p w14:paraId="5CA6ABD4" w14:textId="77777777" w:rsidR="00974B66" w:rsidRDefault="00000000">
      <w:pPr>
        <w:pStyle w:val="RALs-TableNote"/>
      </w:pPr>
      <w:r>
        <w:rPr>
          <w:i/>
          <w:iCs/>
        </w:rPr>
        <w:t>Note.</w:t>
      </w:r>
      <w:r>
        <w:t xml:space="preserve"> N = 51 (male = 28, female = 23); the one participant identifying as another gender was excluded from this comparison. Equal variances assumed (Levene’s p &gt; .05 for all subscales). d = Cohen’s d.</w:t>
      </w:r>
    </w:p>
    <w:p w14:paraId="011ADDEE" w14:textId="77777777" w:rsidR="003E316B" w:rsidRDefault="003E316B" w:rsidP="003E316B"/>
    <w:p w14:paraId="7EC094E0" w14:textId="77777777" w:rsidR="00AD29B9" w:rsidRPr="00230B4C" w:rsidRDefault="00AD29B9" w:rsidP="002177BC">
      <w:pPr>
        <w:pStyle w:val="RALs-Normal"/>
        <w:spacing w:line="480" w:lineRule="auto"/>
        <w:ind w:firstLine="0"/>
        <w:rPr>
          <w:sz w:val="24"/>
          <w:szCs w:val="24"/>
        </w:rPr>
      </w:pPr>
    </w:p>
    <w:p w14:paraId="3D1C5607" w14:textId="77777777" w:rsidR="00722EDE" w:rsidRPr="003F2933" w:rsidRDefault="00722EDE" w:rsidP="003D25EB">
      <w:pPr>
        <w:pStyle w:val="RALs-Heading1"/>
        <w:spacing w:before="0" w:afterLines="120" w:after="288" w:line="480" w:lineRule="auto"/>
        <w:rPr>
          <w:rFonts w:asciiTheme="majorBidi" w:hAnsiTheme="majorBidi" w:cstheme="majorBidi"/>
          <w:sz w:val="24"/>
          <w:szCs w:val="24"/>
        </w:rPr>
      </w:pPr>
      <w:r>
        <w:rPr>
          <w:rFonts w:asciiTheme="majorBidi" w:hAnsiTheme="majorBidi" w:cstheme="majorBidi"/>
          <w:sz w:val="24"/>
          <w:szCs w:val="24"/>
        </w:rPr>
        <w:t xml:space="preserve">5. Discussion </w:t>
      </w:r>
    </w:p>
    <w:p w14:paraId="031D2B48" w14:textId="77777777" w:rsidR="003E316B" w:rsidRPr="003F2933" w:rsidRDefault="00382175" w:rsidP="003D25EB">
      <w:pPr>
        <w:spacing w:before="0" w:afterLines="120" w:after="288" w:line="480" w:lineRule="auto"/>
        <w:rPr>
          <w:sz w:val="24"/>
          <w:szCs w:val="24"/>
        </w:rPr>
      </w:pPr>
      <w:r>
        <w:rPr>
          <w:sz w:val="24"/>
          <w:szCs w:val="24"/>
        </w:rPr>
        <w:t>This study set out to map how Vietnamese EFL undergraduates draw on AI-SDLLS, and whether gender shapes that use. Three patterns stand out, each worth reading against Vietnam’s broader move toward ESL.</w:t>
      </w:r>
    </w:p>
    <w:p w14:paraId="11120961" w14:textId="77777777" w:rsidR="003E316B" w:rsidRPr="003F2933" w:rsidRDefault="003E316B" w:rsidP="003D25EB">
      <w:pPr>
        <w:pStyle w:val="RALs-Heading2"/>
        <w:spacing w:before="0" w:afterLines="120" w:after="288" w:line="480" w:lineRule="auto"/>
        <w:rPr>
          <w:sz w:val="24"/>
          <w:szCs w:val="24"/>
        </w:rPr>
      </w:pPr>
      <w:r>
        <w:rPr>
          <w:sz w:val="24"/>
          <w:szCs w:val="24"/>
        </w:rPr>
        <w:t>5.1. A Strategy Hierarchy Anchored in Cognitive Use</w:t>
      </w:r>
    </w:p>
    <w:p w14:paraId="7BFE85C2" w14:textId="77777777" w:rsidR="003E316B" w:rsidRPr="003F2933" w:rsidRDefault="00382175" w:rsidP="003D25EB">
      <w:pPr>
        <w:spacing w:before="0" w:afterLines="120" w:after="288" w:line="480" w:lineRule="auto"/>
        <w:rPr>
          <w:sz w:val="24"/>
          <w:szCs w:val="24"/>
        </w:rPr>
      </w:pPr>
      <w:r>
        <w:rPr>
          <w:sz w:val="24"/>
          <w:szCs w:val="24"/>
        </w:rPr>
        <w:t xml:space="preserve">Cognitive strategies dominated. This replicates earlier findings that learners first exploit AI for concrete, surface-level scaffolding like grammar correction, translation, idea generation (Annamalai et al., 2023; Jensen et al., 2024). For Oxford (2016), such strategies form the most accessible entry point into strategic learning, a reading that fits our participants’ A2–B1 proficiency. Yet an ESL-oriented system carries a particular risk: learners stall at this cognitive </w:t>
      </w:r>
      <w:r>
        <w:rPr>
          <w:sz w:val="24"/>
          <w:szCs w:val="24"/>
        </w:rPr>
        <w:lastRenderedPageBreak/>
        <w:t>layer. AI becomes a pair of “task hands” rather than a partner in extended, autonomous learning.</w:t>
      </w:r>
    </w:p>
    <w:p w14:paraId="6E5E6B2B" w14:textId="77777777" w:rsidR="003E316B" w:rsidRPr="003F2933" w:rsidRDefault="003E316B" w:rsidP="003D25EB">
      <w:pPr>
        <w:pStyle w:val="RALs-Heading2"/>
        <w:spacing w:before="0" w:afterLines="120" w:after="288" w:line="480" w:lineRule="auto"/>
        <w:rPr>
          <w:sz w:val="24"/>
          <w:szCs w:val="24"/>
        </w:rPr>
      </w:pPr>
      <w:r>
        <w:rPr>
          <w:sz w:val="24"/>
          <w:szCs w:val="24"/>
        </w:rPr>
        <w:t>5.2. Underdeveloped Metacognitive and Affective Use</w:t>
      </w:r>
    </w:p>
    <w:p w14:paraId="37424F07" w14:textId="453AEAED" w:rsidR="003E316B" w:rsidRPr="00C66A0F" w:rsidRDefault="00382175" w:rsidP="003D25EB">
      <w:pPr>
        <w:spacing w:before="0" w:afterLines="120" w:after="288" w:line="480" w:lineRule="auto"/>
        <w:rPr>
          <w:sz w:val="24"/>
          <w:szCs w:val="24"/>
          <w:highlight w:val="cyan"/>
        </w:rPr>
      </w:pPr>
      <w:r>
        <w:rPr>
          <w:sz w:val="24"/>
          <w:szCs w:val="24"/>
        </w:rPr>
        <w:t>Metacognitive use was uneven. Students turned to AI to evaluate and review finished work, yet rarely to plan ahead or set long-term goals. White (2008) and Lai et al. (2022) noted the same: metacognitive growth seldom happens without explicit support. Vietnam’s traditional teacher-centered classroom may sharpen the problem. Where instruction prizes accuracy and teacher direction over self-regulation, students reach AI-mediated SDL with few planning habits in place (</w:t>
      </w:r>
      <w:r w:rsidR="004D0465">
        <w:rPr>
          <w:sz w:val="24"/>
          <w:szCs w:val="24"/>
        </w:rPr>
        <w:t>Ngo</w:t>
      </w:r>
      <w:r>
        <w:rPr>
          <w:sz w:val="24"/>
          <w:szCs w:val="24"/>
        </w:rPr>
        <w:t xml:space="preserve"> et al., 2025).</w:t>
      </w:r>
    </w:p>
    <w:p w14:paraId="05DE8382" w14:textId="77777777" w:rsidR="003E316B" w:rsidRPr="003F2933" w:rsidRDefault="00382175" w:rsidP="003D25EB">
      <w:pPr>
        <w:spacing w:before="0" w:afterLines="120" w:after="288" w:line="480" w:lineRule="auto"/>
        <w:rPr>
          <w:sz w:val="24"/>
          <w:szCs w:val="24"/>
        </w:rPr>
      </w:pPr>
      <w:r>
        <w:rPr>
          <w:sz w:val="24"/>
          <w:szCs w:val="24"/>
        </w:rPr>
        <w:t>Affective use proved equally ambivalent. For some students, AI worked as a non-judgmental partner that took the edge off anxiety (Lai et al., 2022). Others described boredom and dependence, an echo of Cotton et al. (2023) and Amaro et al. (2023) on shallow engagement and over-reliance. Juggling jobs alongside coursework, with little time for deliberate practice, the vocational students here look especially prone to passive dependence on AI.</w:t>
      </w:r>
    </w:p>
    <w:p w14:paraId="4467BC09" w14:textId="77777777" w:rsidR="003E316B" w:rsidRPr="003F2933" w:rsidRDefault="003E316B" w:rsidP="003D25EB">
      <w:pPr>
        <w:pStyle w:val="RALs-Heading2"/>
        <w:spacing w:before="0" w:afterLines="120" w:after="288" w:line="480" w:lineRule="auto"/>
        <w:rPr>
          <w:sz w:val="24"/>
          <w:szCs w:val="24"/>
        </w:rPr>
      </w:pPr>
      <w:r>
        <w:rPr>
          <w:sz w:val="24"/>
          <w:szCs w:val="24"/>
        </w:rPr>
        <w:t>5.3. The Social Gap</w:t>
      </w:r>
    </w:p>
    <w:p w14:paraId="5AA58CBF" w14:textId="77777777" w:rsidR="003E316B" w:rsidRPr="003F2933" w:rsidRDefault="00382175" w:rsidP="003D25EB">
      <w:pPr>
        <w:spacing w:before="0" w:afterLines="120" w:after="288" w:line="480" w:lineRule="auto"/>
        <w:rPr>
          <w:sz w:val="24"/>
          <w:szCs w:val="24"/>
        </w:rPr>
      </w:pPr>
      <w:r>
        <w:rPr>
          <w:sz w:val="24"/>
          <w:szCs w:val="24"/>
        </w:rPr>
        <w:t>Social strategies lagged furthest behind. Few students used AI as a conversational partner, and many called the chatbot exchanges “robotic,” squaring with Rukiati et al. (2023) on how poorly chatbots reproduce human affective nuance. Two contextual factors likely contribute. Free-tier tools seldom offer high-quality voice interaction, leaving cost-conscious learners with text alone. Low oral proficiency, in turn, makes sustained AI dialogue hard to keep going. Where authentic spoken interaction sits at the center of an ESL-oriented system, this gap is the most pedagogically urgent.</w:t>
      </w:r>
    </w:p>
    <w:p w14:paraId="1C154F4F" w14:textId="77777777" w:rsidR="003E316B" w:rsidRPr="003F2933" w:rsidRDefault="003E316B" w:rsidP="003D25EB">
      <w:pPr>
        <w:pStyle w:val="RALs-Heading2"/>
        <w:spacing w:before="0" w:afterLines="120" w:after="288" w:line="480" w:lineRule="auto"/>
        <w:rPr>
          <w:sz w:val="24"/>
          <w:szCs w:val="24"/>
        </w:rPr>
      </w:pPr>
      <w:r>
        <w:rPr>
          <w:sz w:val="24"/>
          <w:szCs w:val="24"/>
        </w:rPr>
        <w:lastRenderedPageBreak/>
        <w:t>5.4. Gender: Small and Context-Dependent</w:t>
      </w:r>
    </w:p>
    <w:p w14:paraId="78904DF5" w14:textId="17CE204C" w:rsidR="003E316B" w:rsidRPr="003F2933" w:rsidRDefault="00382175" w:rsidP="003D25EB">
      <w:pPr>
        <w:spacing w:before="0" w:afterLines="120" w:after="288" w:line="480" w:lineRule="auto"/>
        <w:rPr>
          <w:sz w:val="24"/>
          <w:szCs w:val="24"/>
        </w:rPr>
      </w:pPr>
      <w:r>
        <w:rPr>
          <w:sz w:val="24"/>
          <w:szCs w:val="24"/>
        </w:rPr>
        <w:t>No statistically significant gender differences emerged. This contrasts with earlier strategy research (e.g., Alhaysony, 2017), though it aligns with more recent Vietnamese work (</w:t>
      </w:r>
      <w:r w:rsidR="004D0465">
        <w:rPr>
          <w:sz w:val="24"/>
          <w:szCs w:val="24"/>
        </w:rPr>
        <w:t>Ngo</w:t>
      </w:r>
      <w:r>
        <w:rPr>
          <w:sz w:val="24"/>
          <w:szCs w:val="24"/>
        </w:rPr>
        <w:t xml:space="preserve"> et al., 2025). Two cautions frame this null result. First, the modest sample gave the t-tests limited power to detect small effects, so the finding is best read as an absence of evidence for sizable gender differences rather than evidence of their absence. Second, the interviews were not designed primarily to elicit gendered accounts, and they too surfaced no marked pattern. Taken together, these results suggest that in a relatively homogeneous vocational sample, gender is a weaker predictor of AI-SDLLS than factors such as proficiency, digital literacy, time pressure, and access to tools, variables that plausibly shape strategy use more directly and that cut across gender. This does not render gender irrelevant, since small directional differences could matter at scale; rather, it implies that AI-strategy instruction should be designed for all students while attending to the conditions that more clearly differentiate them.</w:t>
      </w:r>
    </w:p>
    <w:p w14:paraId="530B9C0D" w14:textId="77777777" w:rsidR="003E316B" w:rsidRPr="003F2933" w:rsidRDefault="003E316B" w:rsidP="003D25EB">
      <w:pPr>
        <w:pStyle w:val="RALs-Heading2"/>
        <w:spacing w:before="0" w:afterLines="120" w:after="288" w:line="480" w:lineRule="auto"/>
        <w:rPr>
          <w:sz w:val="24"/>
          <w:szCs w:val="24"/>
        </w:rPr>
      </w:pPr>
      <w:r>
        <w:rPr>
          <w:sz w:val="24"/>
          <w:szCs w:val="24"/>
        </w:rPr>
        <w:t>5.5. Implications for the EFL-to-ESL Transition</w:t>
      </w:r>
    </w:p>
    <w:p w14:paraId="7F6E75DC" w14:textId="77777777" w:rsidR="003E316B" w:rsidRPr="003F2933" w:rsidRDefault="003E316B" w:rsidP="003D25EB">
      <w:pPr>
        <w:spacing w:before="0" w:afterLines="120" w:after="288" w:line="480" w:lineRule="auto"/>
        <w:rPr>
          <w:sz w:val="24"/>
          <w:szCs w:val="24"/>
        </w:rPr>
      </w:pPr>
      <w:r>
        <w:rPr>
          <w:sz w:val="24"/>
          <w:szCs w:val="24"/>
        </w:rPr>
        <w:t>Read together, these patterns of AI use, heavily weighted toward task-level cognitive support and lighter on planning, self-regulation, and interaction, are consistent with, though not direct proof of, a broadly task-oriented use of AI rather than the autonomous, communicative use implied by an ESL orientation. It bears emphasizing that the study measured how students use AI strategically, not their broader stance toward English or their identity as EFL or ESL learners; the link to the EFL-to-ESL transition is therefore interpretive rather than demonstrated. With that caveat, the findings suggest that supporting an ESL-oriented shift will require deliberate scaffolding of metacognitive and social strategies, not merely access to more powerful tools.</w:t>
      </w:r>
    </w:p>
    <w:p w14:paraId="4BAC82A4" w14:textId="77777777" w:rsidR="003E316B" w:rsidRPr="003F2933" w:rsidRDefault="003E316B" w:rsidP="003D25EB">
      <w:pPr>
        <w:pStyle w:val="RALs-Heading2"/>
        <w:spacing w:before="0" w:afterLines="120" w:after="288" w:line="480" w:lineRule="auto"/>
        <w:rPr>
          <w:sz w:val="24"/>
          <w:szCs w:val="24"/>
        </w:rPr>
      </w:pPr>
      <w:r>
        <w:rPr>
          <w:sz w:val="24"/>
          <w:szCs w:val="24"/>
        </w:rPr>
        <w:lastRenderedPageBreak/>
        <w:t>5.6. Pedagogical Moves for Teachers and Programs</w:t>
      </w:r>
    </w:p>
    <w:p w14:paraId="341CA206" w14:textId="77777777" w:rsidR="003E316B" w:rsidRPr="003F2933" w:rsidRDefault="003E316B" w:rsidP="003D25EB">
      <w:pPr>
        <w:spacing w:before="0" w:afterLines="120" w:after="288" w:line="480" w:lineRule="auto"/>
        <w:rPr>
          <w:sz w:val="24"/>
          <w:szCs w:val="24"/>
        </w:rPr>
      </w:pPr>
      <w:r>
        <w:rPr>
          <w:sz w:val="24"/>
          <w:szCs w:val="24"/>
        </w:rPr>
        <w:t>Three concrete moves emerge from the findings. The first is targeted strategy instruction. Because cognitive use of AI is already established, classroom time can be devoted to the layers that are underdeveloped: planning, monitoring, and reflective evaluation of AI feedback. Brief in-class routines (i.e. setting a weekly AI-use goal, logging the prompts that worked, comparing AI suggestions with peer feedback) convert AI from a hidden out-of-class crutch into a visible object of metacognitive learning. These routines align with the autonomy framework of Benson (2011) and with recent work on AI-supported self-regulation (Mohebbi, 2025).</w:t>
      </w:r>
    </w:p>
    <w:p w14:paraId="49808EDB" w14:textId="77777777" w:rsidR="003E316B" w:rsidRPr="003F2933" w:rsidRDefault="003E316B" w:rsidP="003D25EB">
      <w:pPr>
        <w:spacing w:before="0" w:afterLines="120" w:after="288" w:line="480" w:lineRule="auto"/>
        <w:rPr>
          <w:sz w:val="24"/>
          <w:szCs w:val="24"/>
        </w:rPr>
      </w:pPr>
      <w:r>
        <w:rPr>
          <w:sz w:val="24"/>
          <w:szCs w:val="24"/>
        </w:rPr>
        <w:t>The second is the deliberate design of social practice. Where chatbot conversations feel robotic to learners, teachers can scaffold hybrid activities: peer dialogues informed by AI preparation, role-plays that mix human and AI interlocutors, and small-group reviews of AI-generated transcripts. Such activities preserve the human relational dimension that learners value while extracting the linguistic affordances of AI. They are also well aligned with strand 6 of the conference theme, which positions technology and AI as supports for ESL development rather than as ends in themselves.</w:t>
      </w:r>
    </w:p>
    <w:p w14:paraId="63F536C2" w14:textId="77777777" w:rsidR="003E316B" w:rsidRPr="003F2933" w:rsidRDefault="00382175" w:rsidP="003D25EB">
      <w:pPr>
        <w:spacing w:before="0" w:afterLines="120" w:after="288" w:line="480" w:lineRule="auto"/>
        <w:rPr>
          <w:sz w:val="24"/>
          <w:szCs w:val="24"/>
        </w:rPr>
      </w:pPr>
      <w:r>
        <w:rPr>
          <w:sz w:val="24"/>
          <w:szCs w:val="24"/>
        </w:rPr>
        <w:t>The third is teacher preparation. Because students already access AI for cognitive support, teacher development should target not basic access but higher-order use: designing reflective prompts, evaluating the accuracy and usefulness of AI feedback, comparing AI output with peer and teacher feedback, using AI ethically, and recognizing and countering overreliance. Pre-service and in-service teachers need experiential training that equips them to model this kind of AI literacy rather than merely police AI use; teacher-education programs can fold in brief modules on prompt design, ethical evaluation of AI outputs, and strategy-</w:t>
      </w:r>
      <w:r>
        <w:rPr>
          <w:sz w:val="24"/>
          <w:szCs w:val="24"/>
        </w:rPr>
        <w:lastRenderedPageBreak/>
        <w:t>explicit assignment design (Eldin, 2024). Skip this preparation, and the gap between policy aspirations for ESL competence and classroom realities will only widen.</w:t>
      </w:r>
    </w:p>
    <w:p w14:paraId="51428A17" w14:textId="77777777" w:rsidR="00974B66" w:rsidRDefault="00000000">
      <w:pPr>
        <w:spacing w:before="0" w:afterLines="120" w:after="288" w:line="480" w:lineRule="auto"/>
        <w:rPr>
          <w:sz w:val="24"/>
          <w:szCs w:val="24"/>
        </w:rPr>
      </w:pPr>
      <w:r>
        <w:rPr>
          <w:sz w:val="24"/>
          <w:szCs w:val="24"/>
        </w:rPr>
        <w:t>These moves must be set against a backdrop of unequal access. Although every student in this sample owned a learning device, free-tier tools, premium features such as advanced voice interaction, and, critically for working vocational students, stable time to practice are not evenly distributed. Equitable AI integration therefore means more than supplying tools; it means attending to which learners can realistically reach the higher-quality, interactive features that an ESL-oriented use of AI depends on.</w:t>
      </w:r>
    </w:p>
    <w:p w14:paraId="00B8777D" w14:textId="77777777" w:rsidR="00722EDE" w:rsidRPr="003F2933" w:rsidRDefault="00722EDE" w:rsidP="003D25EB">
      <w:pPr>
        <w:pStyle w:val="RALs-Heading1"/>
        <w:spacing w:before="0" w:afterLines="120" w:after="288" w:line="480" w:lineRule="auto"/>
        <w:rPr>
          <w:rFonts w:asciiTheme="majorBidi" w:hAnsiTheme="majorBidi" w:cstheme="majorBidi"/>
          <w:sz w:val="24"/>
          <w:szCs w:val="24"/>
        </w:rPr>
      </w:pPr>
      <w:r>
        <w:rPr>
          <w:rFonts w:asciiTheme="majorBidi" w:hAnsiTheme="majorBidi" w:cstheme="majorBidi"/>
          <w:sz w:val="24"/>
          <w:szCs w:val="24"/>
        </w:rPr>
        <w:t>6. Conclusion</w:t>
      </w:r>
    </w:p>
    <w:p w14:paraId="3FCCB5CD" w14:textId="77777777" w:rsidR="003E316B" w:rsidRPr="0004357B" w:rsidRDefault="00382175" w:rsidP="003D25EB">
      <w:pPr>
        <w:spacing w:before="0" w:afterLines="120" w:after="288" w:line="480" w:lineRule="auto"/>
        <w:rPr>
          <w:sz w:val="24"/>
          <w:szCs w:val="24"/>
          <w:highlight w:val="cyan"/>
        </w:rPr>
      </w:pPr>
      <w:r>
        <w:rPr>
          <w:sz w:val="24"/>
          <w:szCs w:val="24"/>
        </w:rPr>
        <w:t>This mixed-methods study examined how Vietnamese EFL undergraduates at a vocational college in Ho Chi Minh City use AI-driven self-directed language learning strategies, and whether that use varies by gender. A consistent hierarchy emerged: cognitive strategies dominate, metacognitive and affective strategies see moderate use, and social strategies remain underdeveloped. Independent-samples t-tests turned up no significant gender differences across the four subscales.</w:t>
      </w:r>
    </w:p>
    <w:p w14:paraId="2B674694" w14:textId="77777777" w:rsidR="003E316B" w:rsidRPr="0004357B" w:rsidRDefault="00382175" w:rsidP="003D25EB">
      <w:pPr>
        <w:spacing w:before="0" w:afterLines="120" w:after="288" w:line="480" w:lineRule="auto"/>
        <w:rPr>
          <w:sz w:val="24"/>
          <w:szCs w:val="24"/>
          <w:highlight w:val="cyan"/>
        </w:rPr>
      </w:pPr>
      <w:r>
        <w:rPr>
          <w:sz w:val="24"/>
          <w:szCs w:val="24"/>
        </w:rPr>
        <w:t xml:space="preserve">Three pedagogical implications follow. First, classroom programs should treat AI literacy as an explicit learning objective, set beside language skills. Students need guided practice in moving past surface-level correction toward planning, monitoring, and critically weighing AI feedback, the very activities at the heart of self-regulated learning. Second, teachers need professional development that frames AI as a pedagogical resource rather than a competitor or threat; absent such support, principled classroom integration stays out of reach. Third, equity deserves explicit attention. Language proficiency, time pressure, and uneven access to premium tools shape who benefits most from AI, and the stakes run highest in </w:t>
      </w:r>
      <w:r>
        <w:rPr>
          <w:sz w:val="24"/>
          <w:szCs w:val="24"/>
        </w:rPr>
        <w:lastRenderedPageBreak/>
        <w:t>vocational and under-resourced settings. Unless these conditions are addressed, Vietnam’s move toward English as a second language risks becoming stratified by digital access rather than inclusive.</w:t>
      </w:r>
    </w:p>
    <w:p w14:paraId="340B572F" w14:textId="77777777" w:rsidR="003E316B" w:rsidRPr="0004357B" w:rsidRDefault="00382175" w:rsidP="003D25EB">
      <w:pPr>
        <w:spacing w:before="0" w:afterLines="120" w:after="288" w:line="480" w:lineRule="auto"/>
        <w:rPr>
          <w:sz w:val="24"/>
          <w:szCs w:val="24"/>
          <w:highlight w:val="cyan"/>
        </w:rPr>
      </w:pPr>
      <w:r>
        <w:rPr>
          <w:sz w:val="24"/>
          <w:szCs w:val="24"/>
        </w:rPr>
        <w:t>Several limitations warrant acknowledgment. Modest in size and drawn through convenience and voluntary sampling from a single vocational college, the sample constrains generalizability to other Vietnamese institutional contexts, and its size gave the gender comparison limited statistical power to detect small effects. The data were entirely self-reported, with no direct evidence from AI-interaction logs, learning diaries, or language-performance measures, and the asynchronous interview format limited real-time probing of nuanced responses. Future research could triangulate self-reports with proficiency measures, AI-interaction logs, and longitudinal designs tracking how AI-SDLLS evolve over a program. Comparative work across institutional types (secondary schools, universities, and vocational colleges) would further clarify how contextual factors shape AI-SDLLS adoption as Vietnam continues its transition from EFL to ESL practice.</w:t>
      </w:r>
    </w:p>
    <w:p w14:paraId="321C817D" w14:textId="77777777" w:rsidR="003E316B" w:rsidRPr="0004357B" w:rsidRDefault="00382175" w:rsidP="003D25EB">
      <w:pPr>
        <w:spacing w:before="0" w:afterLines="120" w:after="288" w:line="480" w:lineRule="auto"/>
        <w:rPr>
          <w:sz w:val="24"/>
          <w:szCs w:val="24"/>
          <w:highlight w:val="cyan"/>
        </w:rPr>
      </w:pPr>
      <w:r>
        <w:rPr>
          <w:sz w:val="24"/>
          <w:szCs w:val="24"/>
        </w:rPr>
        <w:t>Three directions for future research deserve specific attention. The first calls for intervention studies, testing whether short, targeted instruction in metacognitive and social AI strategies measurably shifts the strategy profile reported here. The second requires larger, stratified samples to see whether the small directional gender differences here hold up as statistically reliable in more powered designs. The third points to qualitative work tracking individual learners across a semester, complementing cross-sectional findings by showing how AI-SDLLS evolve in response to course demands, assessment formats, and teacher intervention.</w:t>
      </w:r>
    </w:p>
    <w:p w14:paraId="0AA062F8" w14:textId="77777777" w:rsidR="003D25EB" w:rsidRPr="0004357B" w:rsidRDefault="003E316B" w:rsidP="0004357B">
      <w:pPr>
        <w:spacing w:before="0" w:afterLines="120" w:after="288" w:line="480" w:lineRule="auto"/>
        <w:rPr>
          <w:sz w:val="24"/>
          <w:szCs w:val="24"/>
        </w:rPr>
      </w:pPr>
      <w:r>
        <w:rPr>
          <w:sz w:val="24"/>
          <w:szCs w:val="24"/>
        </w:rPr>
        <w:t xml:space="preserve">Despite these limitations, the study contributes a localized portrait of AI-mediated SDL in a context rarely visible in the international literature. It speaks directly to the HUFLIT </w:t>
      </w:r>
      <w:r>
        <w:rPr>
          <w:sz w:val="24"/>
          <w:szCs w:val="24"/>
        </w:rPr>
        <w:lastRenderedPageBreak/>
        <w:t>INTESOL 2026 theme, showing what the EFL-to-ESL transition looks like at the level of individual learners working with AI tools, and what teacher educators, curriculum designers, and policy actors can do to support it.</w:t>
      </w:r>
      <w:r>
        <w:rPr>
          <w:rFonts w:asciiTheme="majorBidi" w:hAnsiTheme="majorBidi" w:cstheme="majorBidi"/>
          <w:sz w:val="24"/>
          <w:szCs w:val="24"/>
        </w:rPr>
        <w:br w:type="page"/>
      </w:r>
    </w:p>
    <w:p w14:paraId="46016D4E" w14:textId="77777777" w:rsidR="00722EDE" w:rsidRPr="003D25EB" w:rsidRDefault="00722EDE" w:rsidP="000A7C45">
      <w:pPr>
        <w:pStyle w:val="RALs-Heading1"/>
        <w:rPr>
          <w:rFonts w:asciiTheme="majorBidi" w:hAnsiTheme="majorBidi" w:cstheme="majorBidi"/>
          <w:sz w:val="24"/>
          <w:szCs w:val="24"/>
        </w:rPr>
      </w:pPr>
      <w:r>
        <w:rPr>
          <w:rFonts w:asciiTheme="majorBidi" w:hAnsiTheme="majorBidi" w:cstheme="majorBidi"/>
          <w:sz w:val="24"/>
          <w:szCs w:val="24"/>
        </w:rPr>
        <w:lastRenderedPageBreak/>
        <w:t>References</w:t>
      </w:r>
    </w:p>
    <w:p w14:paraId="3FCB1F6E" w14:textId="19139EDE" w:rsidR="000A7C45" w:rsidRPr="001F353F" w:rsidRDefault="000A7C45" w:rsidP="000A7C45">
      <w:pPr>
        <w:pStyle w:val="RALs-ReferencesList"/>
        <w:ind w:left="425" w:hanging="425"/>
        <w:rPr>
          <w:sz w:val="24"/>
          <w:szCs w:val="24"/>
        </w:rPr>
      </w:pPr>
      <w:r>
        <w:rPr>
          <w:sz w:val="24"/>
          <w:szCs w:val="24"/>
        </w:rPr>
        <w:t xml:space="preserve">Abdalkader, S. M. A. (2022). Using artificial intelligence to improve writing fluency for the preparatory stage students in distinguished governmental language schools. </w:t>
      </w:r>
      <w:r>
        <w:rPr>
          <w:i/>
          <w:iCs/>
          <w:sz w:val="24"/>
          <w:szCs w:val="24"/>
        </w:rPr>
        <w:t>Egyptian Journal of Educational Sciences, 39</w:t>
      </w:r>
      <w:r>
        <w:rPr>
          <w:sz w:val="24"/>
          <w:szCs w:val="24"/>
        </w:rPr>
        <w:t xml:space="preserve">(2), 1–32. </w:t>
      </w:r>
      <w:hyperlink r:id="rId8" w:history="1">
        <w:r w:rsidR="007C381A" w:rsidRPr="00646549">
          <w:rPr>
            <w:rStyle w:val="Hyperlink"/>
            <w:sz w:val="24"/>
            <w:szCs w:val="24"/>
          </w:rPr>
          <w:t>https://web.archive.org/web/20250805013449/https://ejes.journals.ekb.eg/article_270694.html</w:t>
        </w:r>
      </w:hyperlink>
      <w:r w:rsidR="007C381A">
        <w:rPr>
          <w:sz w:val="24"/>
          <w:szCs w:val="24"/>
        </w:rPr>
        <w:t xml:space="preserve"> </w:t>
      </w:r>
    </w:p>
    <w:p w14:paraId="6E818D7C" w14:textId="6D07C20D" w:rsidR="000A7C45" w:rsidRPr="001F353F" w:rsidRDefault="000A7C45" w:rsidP="000A7C45">
      <w:pPr>
        <w:pStyle w:val="RALs-ReferencesList"/>
        <w:ind w:left="425" w:hanging="425"/>
        <w:rPr>
          <w:sz w:val="24"/>
          <w:szCs w:val="24"/>
        </w:rPr>
      </w:pPr>
      <w:r>
        <w:rPr>
          <w:sz w:val="24"/>
          <w:szCs w:val="24"/>
        </w:rPr>
        <w:t xml:space="preserve">Alhaysony, M. (2017). Language learning strategies use by Saudi EFL students: The effect of duration of English language study and gender. </w:t>
      </w:r>
      <w:r>
        <w:rPr>
          <w:i/>
          <w:iCs/>
          <w:sz w:val="24"/>
          <w:szCs w:val="24"/>
        </w:rPr>
        <w:t>Theory and Practice in Language Studies, 7</w:t>
      </w:r>
      <w:r>
        <w:rPr>
          <w:sz w:val="24"/>
          <w:szCs w:val="24"/>
        </w:rPr>
        <w:t xml:space="preserve">(1), 18–28. </w:t>
      </w:r>
      <w:hyperlink r:id="rId9" w:history="1">
        <w:r w:rsidR="007C381A" w:rsidRPr="00646549">
          <w:rPr>
            <w:rStyle w:val="Hyperlink"/>
            <w:sz w:val="24"/>
            <w:szCs w:val="24"/>
          </w:rPr>
          <w:t>https://doi.org/10.17507/TPLS.0701.03</w:t>
        </w:r>
      </w:hyperlink>
      <w:r>
        <w:rPr>
          <w:sz w:val="24"/>
          <w:szCs w:val="24"/>
        </w:rPr>
        <w:t xml:space="preserve"> </w:t>
      </w:r>
    </w:p>
    <w:p w14:paraId="7B1DB5AB" w14:textId="77777777" w:rsidR="000A7C45" w:rsidRPr="001F353F" w:rsidRDefault="000A7C45" w:rsidP="000A7C45">
      <w:pPr>
        <w:pStyle w:val="RALs-ReferencesList"/>
        <w:ind w:left="425" w:hanging="425"/>
        <w:rPr>
          <w:sz w:val="24"/>
          <w:szCs w:val="24"/>
        </w:rPr>
      </w:pPr>
      <w:r>
        <w:rPr>
          <w:sz w:val="24"/>
          <w:szCs w:val="24"/>
        </w:rPr>
        <w:t xml:space="preserve">Amaro, I., Della Greca, A., Francese, R., Tortora, G., &amp; Tucci, C. (2023). AI unreliable answers: A case study on ChatGPT. In H. Degen &amp; S. Ntoa (Eds.), </w:t>
      </w:r>
      <w:r>
        <w:rPr>
          <w:i/>
          <w:iCs/>
          <w:sz w:val="24"/>
          <w:szCs w:val="24"/>
        </w:rPr>
        <w:t>Artificial intelligence in HCI. HCII 2023. Lecture notes in computer science</w:t>
      </w:r>
      <w:r>
        <w:rPr>
          <w:sz w:val="24"/>
          <w:szCs w:val="24"/>
        </w:rPr>
        <w:t xml:space="preserve"> (pp. 23–40). Springer. </w:t>
      </w:r>
      <w:hyperlink r:id="rId10" w:history="1">
        <w:r>
          <w:rPr>
            <w:rStyle w:val="Hyperlink"/>
            <w:sz w:val="24"/>
            <w:szCs w:val="24"/>
            <w:u w:val="none"/>
          </w:rPr>
          <w:t>https://doi.org/10.1007/978-3-031-35894-4_2</w:t>
        </w:r>
      </w:hyperlink>
      <w:r>
        <w:rPr>
          <w:sz w:val="24"/>
          <w:szCs w:val="24"/>
        </w:rPr>
        <w:t xml:space="preserve"> </w:t>
      </w:r>
    </w:p>
    <w:p w14:paraId="3DCF696B" w14:textId="77777777" w:rsidR="000A7C45" w:rsidRPr="001F353F" w:rsidRDefault="000A7C45" w:rsidP="000A7C45">
      <w:pPr>
        <w:pStyle w:val="RALs-ReferencesList"/>
        <w:ind w:left="425" w:hanging="425"/>
        <w:rPr>
          <w:sz w:val="24"/>
          <w:szCs w:val="24"/>
        </w:rPr>
      </w:pPr>
      <w:r>
        <w:rPr>
          <w:sz w:val="24"/>
          <w:szCs w:val="24"/>
        </w:rPr>
        <w:t xml:space="preserve">Annamalai, N., Rashid, R. A., Munir Hashmi, U., Mohamed, M., Harb Alqaryouti, M., &amp; Eddin Sadeq, A. (2023). Using chatbots for English language learning in higher education. </w:t>
      </w:r>
      <w:r>
        <w:rPr>
          <w:i/>
          <w:iCs/>
          <w:sz w:val="24"/>
          <w:szCs w:val="24"/>
        </w:rPr>
        <w:t>Computers and Education: Artificial Intelligence, 5</w:t>
      </w:r>
      <w:r>
        <w:rPr>
          <w:sz w:val="24"/>
          <w:szCs w:val="24"/>
        </w:rPr>
        <w:t xml:space="preserve">, 100153. </w:t>
      </w:r>
      <w:hyperlink r:id="rId11" w:history="1">
        <w:r>
          <w:rPr>
            <w:rStyle w:val="Hyperlink"/>
            <w:sz w:val="24"/>
            <w:szCs w:val="24"/>
            <w:u w:val="none"/>
          </w:rPr>
          <w:t>https://doi.org/10.1016/j.caeai.2023.100153</w:t>
        </w:r>
      </w:hyperlink>
      <w:r>
        <w:rPr>
          <w:sz w:val="24"/>
          <w:szCs w:val="24"/>
        </w:rPr>
        <w:t xml:space="preserve"> </w:t>
      </w:r>
    </w:p>
    <w:p w14:paraId="590BF0EE" w14:textId="77777777" w:rsidR="000A7C45" w:rsidRPr="001F353F" w:rsidRDefault="000A7C45" w:rsidP="000A7C45">
      <w:pPr>
        <w:pStyle w:val="RALs-ReferencesList"/>
        <w:ind w:left="425" w:hanging="425"/>
        <w:rPr>
          <w:sz w:val="24"/>
          <w:szCs w:val="24"/>
        </w:rPr>
      </w:pPr>
      <w:r>
        <w:rPr>
          <w:sz w:val="24"/>
          <w:szCs w:val="24"/>
        </w:rPr>
        <w:t xml:space="preserve">Baskara, F. X., &amp; Mukarto, F. X. (2023). Exploring the implications of ChatGPT for language learning in higher education. </w:t>
      </w:r>
      <w:r>
        <w:rPr>
          <w:i/>
          <w:iCs/>
          <w:sz w:val="24"/>
          <w:szCs w:val="24"/>
        </w:rPr>
        <w:t>Indonesian Journal of English Language Teaching and Applied Linguistics, 7</w:t>
      </w:r>
      <w:r>
        <w:rPr>
          <w:sz w:val="24"/>
          <w:szCs w:val="24"/>
        </w:rPr>
        <w:t xml:space="preserve">(2), 343–358. </w:t>
      </w:r>
      <w:hyperlink r:id="rId12" w:history="1">
        <w:r>
          <w:rPr>
            <w:rStyle w:val="Hyperlink"/>
            <w:sz w:val="24"/>
            <w:szCs w:val="24"/>
            <w:u w:val="none"/>
          </w:rPr>
          <w:t>https://doi.org/10.21093/ijeltal.v7i2.1387</w:t>
        </w:r>
      </w:hyperlink>
      <w:r>
        <w:rPr>
          <w:sz w:val="24"/>
          <w:szCs w:val="24"/>
        </w:rPr>
        <w:t xml:space="preserve"> </w:t>
      </w:r>
    </w:p>
    <w:p w14:paraId="3A26CA1B" w14:textId="77777777" w:rsidR="000A7C45" w:rsidRPr="001F353F" w:rsidRDefault="000A7C45" w:rsidP="000A7C45">
      <w:pPr>
        <w:pStyle w:val="RALs-ReferencesList"/>
        <w:ind w:left="425" w:hanging="425"/>
        <w:rPr>
          <w:sz w:val="24"/>
          <w:szCs w:val="24"/>
        </w:rPr>
      </w:pPr>
      <w:r>
        <w:rPr>
          <w:sz w:val="24"/>
          <w:szCs w:val="24"/>
        </w:rPr>
        <w:t xml:space="preserve">Benek, K. (2025). EFL learners’ and teachers’ perceptions of AI-powered language learning technologies: Benefits and challenges. </w:t>
      </w:r>
      <w:r>
        <w:rPr>
          <w:i/>
          <w:iCs/>
          <w:sz w:val="24"/>
          <w:szCs w:val="24"/>
        </w:rPr>
        <w:t>International Journal of Instruction, 18</w:t>
      </w:r>
      <w:r>
        <w:rPr>
          <w:sz w:val="24"/>
          <w:szCs w:val="24"/>
        </w:rPr>
        <w:t xml:space="preserve">(2), 103–120. </w:t>
      </w:r>
      <w:hyperlink r:id="rId13" w:history="1">
        <w:r>
          <w:rPr>
            <w:rStyle w:val="Hyperlink"/>
            <w:sz w:val="24"/>
            <w:szCs w:val="24"/>
            <w:u w:val="none"/>
          </w:rPr>
          <w:t>https://doi.org/10.29333/iji.2025.1827a</w:t>
        </w:r>
      </w:hyperlink>
      <w:r>
        <w:rPr>
          <w:sz w:val="24"/>
          <w:szCs w:val="24"/>
        </w:rPr>
        <w:t xml:space="preserve"> </w:t>
      </w:r>
    </w:p>
    <w:p w14:paraId="49F8FBEE" w14:textId="77777777" w:rsidR="001C1374" w:rsidRPr="00702505" w:rsidRDefault="001C1374" w:rsidP="001C1374">
      <w:pPr>
        <w:pStyle w:val="RALs-ReferencesList"/>
        <w:ind w:left="425" w:hanging="425"/>
        <w:rPr>
          <w:sz w:val="24"/>
          <w:szCs w:val="24"/>
        </w:rPr>
      </w:pPr>
      <w:r>
        <w:rPr>
          <w:sz w:val="24"/>
          <w:szCs w:val="24"/>
        </w:rPr>
        <w:t xml:space="preserve">Benson, P. (2011). </w:t>
      </w:r>
      <w:r>
        <w:rPr>
          <w:i/>
          <w:iCs/>
          <w:sz w:val="24"/>
          <w:szCs w:val="24"/>
        </w:rPr>
        <w:t>Teaching and researching: Autonomy in language learning</w:t>
      </w:r>
      <w:r>
        <w:rPr>
          <w:sz w:val="24"/>
          <w:szCs w:val="24"/>
        </w:rPr>
        <w:t xml:space="preserve"> (2nd ed.). </w:t>
      </w:r>
      <w:r w:rsidRPr="00702505">
        <w:rPr>
          <w:sz w:val="24"/>
          <w:szCs w:val="24"/>
        </w:rPr>
        <w:t xml:space="preserve">Routledge. </w:t>
      </w:r>
      <w:hyperlink r:id="rId14" w:history="1">
        <w:r w:rsidRPr="00702505">
          <w:rPr>
            <w:rStyle w:val="Hyperlink"/>
            <w:sz w:val="24"/>
            <w:szCs w:val="24"/>
            <w:u w:val="none"/>
          </w:rPr>
          <w:t>https://doi.org/10.4324/9781315833767</w:t>
        </w:r>
      </w:hyperlink>
      <w:r w:rsidRPr="00702505">
        <w:rPr>
          <w:sz w:val="24"/>
          <w:szCs w:val="24"/>
        </w:rPr>
        <w:t xml:space="preserve"> </w:t>
      </w:r>
    </w:p>
    <w:p w14:paraId="71D25483" w14:textId="77777777" w:rsidR="000A7C45" w:rsidRPr="001F353F" w:rsidRDefault="000A7C45" w:rsidP="000A7C45">
      <w:pPr>
        <w:pStyle w:val="RALs-ReferencesList"/>
        <w:ind w:left="425" w:hanging="425"/>
        <w:rPr>
          <w:sz w:val="24"/>
          <w:szCs w:val="24"/>
        </w:rPr>
      </w:pPr>
      <w:r>
        <w:rPr>
          <w:sz w:val="24"/>
          <w:szCs w:val="24"/>
        </w:rPr>
        <w:t xml:space="preserve">Braun, V., &amp; Clarke, V. (2006). Using thematic analysis in psychology. </w:t>
      </w:r>
      <w:r>
        <w:rPr>
          <w:i/>
          <w:iCs/>
          <w:sz w:val="24"/>
          <w:szCs w:val="24"/>
        </w:rPr>
        <w:t>Qualitative Research in Psychology, 3</w:t>
      </w:r>
      <w:r>
        <w:rPr>
          <w:sz w:val="24"/>
          <w:szCs w:val="24"/>
        </w:rPr>
        <w:t xml:space="preserve">(2), 77–101. </w:t>
      </w:r>
      <w:hyperlink r:id="rId15" w:history="1">
        <w:r>
          <w:rPr>
            <w:rStyle w:val="Hyperlink"/>
            <w:sz w:val="24"/>
            <w:szCs w:val="24"/>
            <w:u w:val="none"/>
          </w:rPr>
          <w:t>https://doi.org/10.1191/1478088706qp063oa</w:t>
        </w:r>
      </w:hyperlink>
      <w:r>
        <w:rPr>
          <w:sz w:val="24"/>
          <w:szCs w:val="24"/>
        </w:rPr>
        <w:t xml:space="preserve"> </w:t>
      </w:r>
    </w:p>
    <w:p w14:paraId="2D01141C" w14:textId="77777777" w:rsidR="000A7C45" w:rsidRPr="001F353F" w:rsidRDefault="000A7C45" w:rsidP="000A7C45">
      <w:pPr>
        <w:pStyle w:val="RALs-ReferencesList"/>
        <w:ind w:left="425" w:hanging="425"/>
        <w:rPr>
          <w:sz w:val="24"/>
          <w:szCs w:val="24"/>
        </w:rPr>
      </w:pPr>
      <w:r>
        <w:rPr>
          <w:sz w:val="24"/>
          <w:szCs w:val="24"/>
        </w:rPr>
        <w:t xml:space="preserve">Caruccio, L., Cirillo, S., Polese, G., Solimando, G., Sundaramurthy, S., &amp; Tortora, G. (2024). Can ChatGPT provide intelligent diagnoses? A comparative study between predictive models and ChatGPT to define a new medical diagnostic bot. </w:t>
      </w:r>
      <w:r>
        <w:rPr>
          <w:i/>
          <w:iCs/>
          <w:sz w:val="24"/>
          <w:szCs w:val="24"/>
        </w:rPr>
        <w:t>Expert Systems with Applications, 235</w:t>
      </w:r>
      <w:r>
        <w:rPr>
          <w:sz w:val="24"/>
          <w:szCs w:val="24"/>
        </w:rPr>
        <w:t xml:space="preserve">, 121186. </w:t>
      </w:r>
      <w:hyperlink r:id="rId16" w:history="1">
        <w:r>
          <w:rPr>
            <w:rStyle w:val="Hyperlink"/>
            <w:sz w:val="24"/>
            <w:szCs w:val="24"/>
            <w:u w:val="none"/>
          </w:rPr>
          <w:t>https://doi.org/10.1016/j.eswa.2023.121186</w:t>
        </w:r>
      </w:hyperlink>
      <w:r>
        <w:rPr>
          <w:sz w:val="24"/>
          <w:szCs w:val="24"/>
        </w:rPr>
        <w:t xml:space="preserve"> </w:t>
      </w:r>
    </w:p>
    <w:p w14:paraId="1D6D4D04" w14:textId="77777777" w:rsidR="000A7C45" w:rsidRPr="001F353F" w:rsidRDefault="000A7C45" w:rsidP="000A7C45">
      <w:pPr>
        <w:pStyle w:val="RALs-ReferencesList"/>
        <w:ind w:left="425" w:hanging="425"/>
        <w:rPr>
          <w:sz w:val="24"/>
          <w:szCs w:val="24"/>
        </w:rPr>
      </w:pPr>
      <w:r>
        <w:rPr>
          <w:sz w:val="24"/>
          <w:szCs w:val="24"/>
        </w:rPr>
        <w:t xml:space="preserve">Chen, X., Zou, D., Xie, H., &amp; Cheng, G. (2021). Twenty years of personalized language learning: Topic modeling and knowledge mapping. </w:t>
      </w:r>
      <w:r>
        <w:rPr>
          <w:i/>
          <w:iCs/>
          <w:sz w:val="24"/>
          <w:szCs w:val="24"/>
        </w:rPr>
        <w:t>Educational Technology &amp; Society, 24</w:t>
      </w:r>
      <w:r>
        <w:rPr>
          <w:sz w:val="24"/>
          <w:szCs w:val="24"/>
        </w:rPr>
        <w:t xml:space="preserve">(1), 205–222. </w:t>
      </w:r>
      <w:hyperlink r:id="rId17" w:history="1">
        <w:r>
          <w:rPr>
            <w:rStyle w:val="Hyperlink"/>
            <w:sz w:val="24"/>
            <w:szCs w:val="24"/>
            <w:u w:val="none"/>
          </w:rPr>
          <w:t>https://www.jstor.org/stable/26977868</w:t>
        </w:r>
      </w:hyperlink>
      <w:r>
        <w:rPr>
          <w:sz w:val="24"/>
          <w:szCs w:val="24"/>
        </w:rPr>
        <w:t xml:space="preserve"> </w:t>
      </w:r>
    </w:p>
    <w:p w14:paraId="625E9B8C" w14:textId="77777777" w:rsidR="000A7C45" w:rsidRPr="001F353F" w:rsidRDefault="000A7C45" w:rsidP="000A7C45">
      <w:pPr>
        <w:pStyle w:val="RALs-ReferencesList"/>
        <w:ind w:left="425" w:hanging="425"/>
        <w:rPr>
          <w:sz w:val="24"/>
          <w:szCs w:val="24"/>
        </w:rPr>
      </w:pPr>
      <w:r>
        <w:rPr>
          <w:sz w:val="24"/>
          <w:szCs w:val="24"/>
        </w:rPr>
        <w:t xml:space="preserve">Cotton, D. R. E., Cotton, P. A., &amp; Shipway, J. R. (2023). Chatting and cheating: Ensuring academic integrity in the era of ChatGPT. </w:t>
      </w:r>
      <w:r>
        <w:rPr>
          <w:i/>
          <w:iCs/>
          <w:sz w:val="24"/>
          <w:szCs w:val="24"/>
        </w:rPr>
        <w:t>Innovations in Education and Teaching International, 61</w:t>
      </w:r>
      <w:r>
        <w:rPr>
          <w:sz w:val="24"/>
          <w:szCs w:val="24"/>
        </w:rPr>
        <w:t xml:space="preserve">(6), 1126–1137. </w:t>
      </w:r>
      <w:hyperlink r:id="rId18" w:history="1">
        <w:r>
          <w:rPr>
            <w:rStyle w:val="Hyperlink"/>
            <w:sz w:val="24"/>
            <w:szCs w:val="24"/>
            <w:u w:val="none"/>
          </w:rPr>
          <w:t>https://doi.org/10.1080/14703297.2023.2190148</w:t>
        </w:r>
      </w:hyperlink>
      <w:r>
        <w:rPr>
          <w:sz w:val="24"/>
          <w:szCs w:val="24"/>
        </w:rPr>
        <w:t xml:space="preserve"> </w:t>
      </w:r>
    </w:p>
    <w:p w14:paraId="62822F63" w14:textId="77777777" w:rsidR="000A7C45" w:rsidRPr="001F353F" w:rsidRDefault="000A7C45" w:rsidP="000A7C45">
      <w:pPr>
        <w:pStyle w:val="RALs-ReferencesList"/>
        <w:ind w:left="425" w:hanging="425"/>
        <w:rPr>
          <w:sz w:val="24"/>
          <w:szCs w:val="24"/>
        </w:rPr>
      </w:pPr>
      <w:r>
        <w:rPr>
          <w:sz w:val="24"/>
          <w:szCs w:val="24"/>
        </w:rPr>
        <w:t xml:space="preserve">Creswell, J. W., &amp; Plano Clark, V. L. (2018). </w:t>
      </w:r>
      <w:r>
        <w:rPr>
          <w:i/>
          <w:iCs/>
          <w:sz w:val="24"/>
          <w:szCs w:val="24"/>
        </w:rPr>
        <w:t>Designing and conducting mixed methods research</w:t>
      </w:r>
      <w:r>
        <w:rPr>
          <w:sz w:val="24"/>
          <w:szCs w:val="24"/>
        </w:rPr>
        <w:t xml:space="preserve"> (3rd ed.). SAGE.</w:t>
      </w:r>
    </w:p>
    <w:p w14:paraId="3760C786" w14:textId="77777777" w:rsidR="000A7C45" w:rsidRPr="001F353F" w:rsidRDefault="000A7C45" w:rsidP="000A7C45">
      <w:pPr>
        <w:pStyle w:val="RALs-ReferencesList"/>
        <w:ind w:left="425" w:hanging="425"/>
        <w:rPr>
          <w:sz w:val="24"/>
          <w:szCs w:val="24"/>
        </w:rPr>
      </w:pPr>
      <w:r>
        <w:rPr>
          <w:sz w:val="24"/>
          <w:szCs w:val="24"/>
        </w:rPr>
        <w:lastRenderedPageBreak/>
        <w:t xml:space="preserve">Curry, N., Mynard, J., Noguchi, J., &amp; Watkins, S. (2017). Evaluating a self-directed language learning course in a Japanese university. </w:t>
      </w:r>
      <w:r>
        <w:rPr>
          <w:i/>
          <w:iCs/>
          <w:sz w:val="24"/>
          <w:szCs w:val="24"/>
        </w:rPr>
        <w:t>International Journal of Self-Directed Learning, 14</w:t>
      </w:r>
      <w:r>
        <w:rPr>
          <w:sz w:val="24"/>
          <w:szCs w:val="24"/>
        </w:rPr>
        <w:t>(1), 17–36.</w:t>
      </w:r>
      <w:r>
        <w:t xml:space="preserve"> </w:t>
      </w:r>
      <w:hyperlink r:id="rId19" w:history="1">
        <w:r>
          <w:rPr>
            <w:rStyle w:val="Hyperlink"/>
            <w:sz w:val="24"/>
            <w:szCs w:val="24"/>
            <w:u w:val="none"/>
          </w:rPr>
          <w:t>https://www.researchgate.net/publication/330350116</w:t>
        </w:r>
      </w:hyperlink>
      <w:r>
        <w:rPr>
          <w:sz w:val="24"/>
          <w:szCs w:val="24"/>
        </w:rPr>
        <w:t xml:space="preserve"> </w:t>
      </w:r>
    </w:p>
    <w:p w14:paraId="34B87AE4" w14:textId="77777777" w:rsidR="003647CD" w:rsidRPr="001F353F" w:rsidRDefault="003647CD" w:rsidP="003647CD">
      <w:pPr>
        <w:pStyle w:val="RALs-ReferencesList"/>
        <w:ind w:left="425" w:hanging="425"/>
        <w:rPr>
          <w:sz w:val="24"/>
          <w:szCs w:val="24"/>
        </w:rPr>
      </w:pPr>
      <w:r>
        <w:rPr>
          <w:sz w:val="24"/>
          <w:szCs w:val="24"/>
        </w:rPr>
        <w:t xml:space="preserve">Eldin, A. H. S. (2024). Using artificial intelligence in EFL teacher education programs. </w:t>
      </w:r>
      <w:r>
        <w:rPr>
          <w:i/>
          <w:iCs/>
          <w:sz w:val="24"/>
          <w:szCs w:val="24"/>
        </w:rPr>
        <w:t>Sustainability Education Globe, 2</w:t>
      </w:r>
      <w:r>
        <w:rPr>
          <w:sz w:val="24"/>
          <w:szCs w:val="24"/>
        </w:rPr>
        <w:t xml:space="preserve">(1), 26–35. </w:t>
      </w:r>
      <w:hyperlink r:id="rId20" w:history="1">
        <w:r w:rsidRPr="00646549">
          <w:rPr>
            <w:rStyle w:val="Hyperlink"/>
            <w:sz w:val="24"/>
            <w:szCs w:val="24"/>
          </w:rPr>
          <w:t>https://web.archive.org/web/20250315173243/https://seg.journals.ekb.eg/article_348587.html</w:t>
        </w:r>
      </w:hyperlink>
      <w:r>
        <w:rPr>
          <w:sz w:val="24"/>
          <w:szCs w:val="24"/>
        </w:rPr>
        <w:t xml:space="preserve"> </w:t>
      </w:r>
    </w:p>
    <w:p w14:paraId="16D3425D" w14:textId="5055A3D7" w:rsidR="000A7C45" w:rsidRPr="001F353F" w:rsidRDefault="000A7C45" w:rsidP="000A7C45">
      <w:pPr>
        <w:pStyle w:val="RALs-ReferencesList"/>
        <w:ind w:left="425" w:hanging="425"/>
        <w:rPr>
          <w:sz w:val="24"/>
          <w:szCs w:val="24"/>
        </w:rPr>
      </w:pPr>
      <w:r>
        <w:rPr>
          <w:sz w:val="24"/>
          <w:szCs w:val="24"/>
        </w:rPr>
        <w:t>Hawkins, M.</w:t>
      </w:r>
      <w:r w:rsidR="008D43D0">
        <w:rPr>
          <w:sz w:val="24"/>
          <w:szCs w:val="24"/>
        </w:rPr>
        <w:t xml:space="preserve"> W.</w:t>
      </w:r>
      <w:r>
        <w:rPr>
          <w:sz w:val="24"/>
          <w:szCs w:val="24"/>
        </w:rPr>
        <w:t xml:space="preserve"> (2018). </w:t>
      </w:r>
      <w:r w:rsidR="003E0397" w:rsidRPr="003E0397">
        <w:rPr>
          <w:sz w:val="24"/>
          <w:szCs w:val="24"/>
        </w:rPr>
        <w:t xml:space="preserve">Self-directed learning as related to learning strategies, self-regulation, and autonomy in an English language program: A local application with global implications. </w:t>
      </w:r>
      <w:r w:rsidR="003E0397" w:rsidRPr="003E0397">
        <w:rPr>
          <w:i/>
          <w:iCs/>
          <w:sz w:val="24"/>
          <w:szCs w:val="24"/>
        </w:rPr>
        <w:t>Studies in Second Language Learning and Teaching, 8</w:t>
      </w:r>
      <w:r w:rsidR="003E0397" w:rsidRPr="003E0397">
        <w:rPr>
          <w:sz w:val="24"/>
          <w:szCs w:val="24"/>
        </w:rPr>
        <w:t>(2), 445–469.</w:t>
      </w:r>
      <w:r>
        <w:rPr>
          <w:sz w:val="24"/>
          <w:szCs w:val="24"/>
        </w:rPr>
        <w:t xml:space="preserve"> </w:t>
      </w:r>
      <w:hyperlink r:id="rId21" w:history="1">
        <w:r>
          <w:rPr>
            <w:rStyle w:val="Hyperlink"/>
            <w:sz w:val="24"/>
            <w:szCs w:val="24"/>
            <w:u w:val="none"/>
          </w:rPr>
          <w:t>https://doi.org/10.14746/ssllt</w:t>
        </w:r>
        <w:r>
          <w:rPr>
            <w:rStyle w:val="Hyperlink"/>
            <w:sz w:val="24"/>
            <w:szCs w:val="24"/>
            <w:u w:val="none"/>
          </w:rPr>
          <w:t>.</w:t>
        </w:r>
        <w:r>
          <w:rPr>
            <w:rStyle w:val="Hyperlink"/>
            <w:sz w:val="24"/>
            <w:szCs w:val="24"/>
            <w:u w:val="none"/>
          </w:rPr>
          <w:t>201</w:t>
        </w:r>
        <w:r>
          <w:rPr>
            <w:rStyle w:val="Hyperlink"/>
            <w:sz w:val="24"/>
            <w:szCs w:val="24"/>
            <w:u w:val="none"/>
          </w:rPr>
          <w:t>8</w:t>
        </w:r>
        <w:r>
          <w:rPr>
            <w:rStyle w:val="Hyperlink"/>
            <w:sz w:val="24"/>
            <w:szCs w:val="24"/>
            <w:u w:val="none"/>
          </w:rPr>
          <w:t>.8</w:t>
        </w:r>
        <w:r>
          <w:rPr>
            <w:rStyle w:val="Hyperlink"/>
            <w:sz w:val="24"/>
            <w:szCs w:val="24"/>
            <w:u w:val="none"/>
          </w:rPr>
          <w:t>.</w:t>
        </w:r>
        <w:r>
          <w:rPr>
            <w:rStyle w:val="Hyperlink"/>
            <w:sz w:val="24"/>
            <w:szCs w:val="24"/>
            <w:u w:val="none"/>
          </w:rPr>
          <w:t>2.12</w:t>
        </w:r>
      </w:hyperlink>
      <w:r>
        <w:rPr>
          <w:sz w:val="24"/>
          <w:szCs w:val="24"/>
        </w:rPr>
        <w:t xml:space="preserve"> </w:t>
      </w:r>
    </w:p>
    <w:p w14:paraId="41A5A5BA" w14:textId="77777777" w:rsidR="000A7C45" w:rsidRPr="001F353F" w:rsidRDefault="000A7C45" w:rsidP="000A7C45">
      <w:pPr>
        <w:pStyle w:val="RALs-ReferencesList"/>
        <w:ind w:left="425" w:hanging="425"/>
        <w:rPr>
          <w:sz w:val="24"/>
          <w:szCs w:val="24"/>
        </w:rPr>
      </w:pPr>
      <w:r>
        <w:rPr>
          <w:sz w:val="24"/>
          <w:szCs w:val="24"/>
        </w:rPr>
        <w:t xml:space="preserve">Herawati, D. R. N., Widajati, W., &amp; Sartinah, E. P. (2022). The role of text-to-speech assistive technology to improve reading ability in e-learning for ADHD students. </w:t>
      </w:r>
      <w:r>
        <w:rPr>
          <w:i/>
          <w:iCs/>
          <w:sz w:val="24"/>
          <w:szCs w:val="24"/>
        </w:rPr>
        <w:t>Journal of ICSAR, 6</w:t>
      </w:r>
      <w:r>
        <w:rPr>
          <w:sz w:val="24"/>
          <w:szCs w:val="24"/>
        </w:rPr>
        <w:t xml:space="preserve">(2), 169–174. </w:t>
      </w:r>
      <w:hyperlink r:id="rId22" w:history="1">
        <w:r>
          <w:rPr>
            <w:rStyle w:val="Hyperlink"/>
            <w:sz w:val="24"/>
            <w:szCs w:val="24"/>
            <w:u w:val="none"/>
          </w:rPr>
          <w:t>https://doi.org/10.17977/um005v</w:t>
        </w:r>
        <w:r>
          <w:rPr>
            <w:rStyle w:val="Hyperlink"/>
            <w:sz w:val="24"/>
            <w:szCs w:val="24"/>
            <w:u w:val="none"/>
          </w:rPr>
          <w:t>6</w:t>
        </w:r>
        <w:r>
          <w:rPr>
            <w:rStyle w:val="Hyperlink"/>
            <w:sz w:val="24"/>
            <w:szCs w:val="24"/>
            <w:u w:val="none"/>
          </w:rPr>
          <w:t>i22022p169</w:t>
        </w:r>
      </w:hyperlink>
      <w:r>
        <w:rPr>
          <w:sz w:val="24"/>
          <w:szCs w:val="24"/>
        </w:rPr>
        <w:t xml:space="preserve"> </w:t>
      </w:r>
    </w:p>
    <w:p w14:paraId="1104018B" w14:textId="77777777" w:rsidR="008D43D0" w:rsidRPr="001F353F" w:rsidRDefault="008D43D0" w:rsidP="008D43D0">
      <w:pPr>
        <w:pStyle w:val="RALs-ReferencesList"/>
        <w:ind w:left="425" w:hanging="425"/>
        <w:rPr>
          <w:sz w:val="24"/>
          <w:szCs w:val="24"/>
        </w:rPr>
      </w:pPr>
      <w:r>
        <w:rPr>
          <w:sz w:val="24"/>
          <w:szCs w:val="24"/>
        </w:rPr>
        <w:t xml:space="preserve">Ho, H. B. N., Ho, H. B. N., &amp; Thai, C. D. (2024). EFL students’ perceptions and practices of using ChatGPT for developing English argumentative essay writing skills. </w:t>
      </w:r>
      <w:r>
        <w:rPr>
          <w:i/>
          <w:iCs/>
          <w:sz w:val="24"/>
          <w:szCs w:val="24"/>
        </w:rPr>
        <w:t>European Journal of Alternative Education Studies, 9</w:t>
      </w:r>
      <w:r>
        <w:rPr>
          <w:sz w:val="24"/>
          <w:szCs w:val="24"/>
        </w:rPr>
        <w:t xml:space="preserve">(1). </w:t>
      </w:r>
      <w:hyperlink r:id="rId23" w:history="1">
        <w:r>
          <w:rPr>
            <w:rStyle w:val="Hyperlink"/>
            <w:sz w:val="24"/>
            <w:szCs w:val="24"/>
            <w:u w:val="none"/>
          </w:rPr>
          <w:t>https://doi.org/10.4</w:t>
        </w:r>
        <w:r>
          <w:rPr>
            <w:rStyle w:val="Hyperlink"/>
            <w:sz w:val="24"/>
            <w:szCs w:val="24"/>
            <w:u w:val="none"/>
          </w:rPr>
          <w:t>6</w:t>
        </w:r>
        <w:r>
          <w:rPr>
            <w:rStyle w:val="Hyperlink"/>
            <w:sz w:val="24"/>
            <w:szCs w:val="24"/>
            <w:u w:val="none"/>
          </w:rPr>
          <w:t>827/ejae.v9i1</w:t>
        </w:r>
        <w:r>
          <w:rPr>
            <w:rStyle w:val="Hyperlink"/>
            <w:sz w:val="24"/>
            <w:szCs w:val="24"/>
            <w:u w:val="none"/>
          </w:rPr>
          <w:t>.</w:t>
        </w:r>
        <w:r>
          <w:rPr>
            <w:rStyle w:val="Hyperlink"/>
            <w:sz w:val="24"/>
            <w:szCs w:val="24"/>
            <w:u w:val="none"/>
          </w:rPr>
          <w:t>5341</w:t>
        </w:r>
      </w:hyperlink>
      <w:r>
        <w:rPr>
          <w:sz w:val="24"/>
          <w:szCs w:val="24"/>
        </w:rPr>
        <w:t xml:space="preserve"> </w:t>
      </w:r>
    </w:p>
    <w:p w14:paraId="0AD3B667" w14:textId="77777777" w:rsidR="000A7C45" w:rsidRPr="001F353F" w:rsidRDefault="000A7C45" w:rsidP="000A7C45">
      <w:pPr>
        <w:pStyle w:val="RALs-ReferencesList"/>
        <w:ind w:left="425" w:hanging="425"/>
        <w:rPr>
          <w:sz w:val="24"/>
          <w:szCs w:val="24"/>
        </w:rPr>
      </w:pPr>
      <w:r>
        <w:rPr>
          <w:sz w:val="24"/>
          <w:szCs w:val="24"/>
        </w:rPr>
        <w:t xml:space="preserve">Huang, S.-H. (2024). Exploring gender and language proficiency variations in English listening comprehension difficulties among college EFL learners. </w:t>
      </w:r>
      <w:r>
        <w:rPr>
          <w:i/>
          <w:iCs/>
          <w:sz w:val="24"/>
          <w:szCs w:val="24"/>
        </w:rPr>
        <w:t>Language Education &amp; Assessment, 7</w:t>
      </w:r>
      <w:r>
        <w:rPr>
          <w:sz w:val="24"/>
          <w:szCs w:val="24"/>
        </w:rPr>
        <w:t xml:space="preserve">(1), 1243. </w:t>
      </w:r>
      <w:hyperlink r:id="rId24" w:history="1">
        <w:r>
          <w:rPr>
            <w:rStyle w:val="Hyperlink"/>
            <w:sz w:val="24"/>
            <w:szCs w:val="24"/>
            <w:u w:val="none"/>
          </w:rPr>
          <w:t>https://doi.org/10.291</w:t>
        </w:r>
        <w:r>
          <w:rPr>
            <w:rStyle w:val="Hyperlink"/>
            <w:sz w:val="24"/>
            <w:szCs w:val="24"/>
            <w:u w:val="none"/>
          </w:rPr>
          <w:t>4</w:t>
        </w:r>
        <w:r>
          <w:rPr>
            <w:rStyle w:val="Hyperlink"/>
            <w:sz w:val="24"/>
            <w:szCs w:val="24"/>
            <w:u w:val="none"/>
          </w:rPr>
          <w:t>0/lea.v7n1.1243</w:t>
        </w:r>
      </w:hyperlink>
      <w:r>
        <w:rPr>
          <w:sz w:val="24"/>
          <w:szCs w:val="24"/>
        </w:rPr>
        <w:t xml:space="preserve"> </w:t>
      </w:r>
    </w:p>
    <w:p w14:paraId="77093B1F" w14:textId="55064CE0" w:rsidR="000A7C45" w:rsidRPr="001F353F" w:rsidRDefault="000A7C45" w:rsidP="000A7C45">
      <w:pPr>
        <w:pStyle w:val="RALs-ReferencesList"/>
        <w:ind w:left="425" w:hanging="425"/>
        <w:rPr>
          <w:sz w:val="24"/>
          <w:szCs w:val="24"/>
        </w:rPr>
      </w:pPr>
      <w:r>
        <w:rPr>
          <w:sz w:val="24"/>
          <w:szCs w:val="24"/>
        </w:rPr>
        <w:t xml:space="preserve">Jensen, L. X., Buhl, A., Sharma, A., &amp; Bearman, M. (2024). Generative AI and higher education: A review of claims from the first months of ChatGPT. </w:t>
      </w:r>
      <w:r>
        <w:rPr>
          <w:i/>
          <w:iCs/>
          <w:sz w:val="24"/>
          <w:szCs w:val="24"/>
        </w:rPr>
        <w:t>Higher Education</w:t>
      </w:r>
      <w:r>
        <w:rPr>
          <w:sz w:val="24"/>
          <w:szCs w:val="24"/>
        </w:rPr>
        <w:t xml:space="preserve">, </w:t>
      </w:r>
      <w:r w:rsidR="004F6C81" w:rsidRPr="004F6C81">
        <w:rPr>
          <w:i/>
          <w:iCs/>
          <w:sz w:val="24"/>
          <w:szCs w:val="24"/>
        </w:rPr>
        <w:t>89</w:t>
      </w:r>
      <w:r w:rsidR="004F6C81">
        <w:rPr>
          <w:sz w:val="24"/>
          <w:szCs w:val="24"/>
        </w:rPr>
        <w:t>(4)</w:t>
      </w:r>
      <w:r>
        <w:rPr>
          <w:sz w:val="24"/>
          <w:szCs w:val="24"/>
        </w:rPr>
        <w:t>1</w:t>
      </w:r>
      <w:r w:rsidR="004F6C81">
        <w:rPr>
          <w:sz w:val="24"/>
          <w:szCs w:val="24"/>
        </w:rPr>
        <w:t>145</w:t>
      </w:r>
      <w:r>
        <w:rPr>
          <w:sz w:val="24"/>
          <w:szCs w:val="24"/>
        </w:rPr>
        <w:t>-</w:t>
      </w:r>
      <w:r w:rsidR="004F6C81">
        <w:rPr>
          <w:sz w:val="24"/>
          <w:szCs w:val="24"/>
        </w:rPr>
        <w:t>1</w:t>
      </w:r>
      <w:r>
        <w:rPr>
          <w:sz w:val="24"/>
          <w:szCs w:val="24"/>
        </w:rPr>
        <w:t>1</w:t>
      </w:r>
      <w:r w:rsidR="004F6C81">
        <w:rPr>
          <w:sz w:val="24"/>
          <w:szCs w:val="24"/>
        </w:rPr>
        <w:t>61</w:t>
      </w:r>
      <w:r>
        <w:rPr>
          <w:sz w:val="24"/>
          <w:szCs w:val="24"/>
        </w:rPr>
        <w:t xml:space="preserve">. </w:t>
      </w:r>
      <w:hyperlink r:id="rId25" w:history="1">
        <w:r>
          <w:rPr>
            <w:rStyle w:val="Hyperlink"/>
            <w:sz w:val="24"/>
            <w:szCs w:val="24"/>
            <w:u w:val="none"/>
          </w:rPr>
          <w:t>https://doi.org/10.1007/s10734-024-01265-3</w:t>
        </w:r>
      </w:hyperlink>
      <w:r>
        <w:rPr>
          <w:sz w:val="24"/>
          <w:szCs w:val="24"/>
        </w:rPr>
        <w:t xml:space="preserve"> </w:t>
      </w:r>
    </w:p>
    <w:p w14:paraId="382E0CD2" w14:textId="77777777" w:rsidR="000A7C45" w:rsidRPr="001F353F" w:rsidRDefault="000A7C45" w:rsidP="000A7C45">
      <w:pPr>
        <w:pStyle w:val="RALs-ReferencesList"/>
        <w:ind w:left="425" w:hanging="425"/>
        <w:rPr>
          <w:sz w:val="24"/>
          <w:szCs w:val="24"/>
        </w:rPr>
      </w:pPr>
      <w:r>
        <w:rPr>
          <w:sz w:val="24"/>
          <w:szCs w:val="24"/>
        </w:rPr>
        <w:t xml:space="preserve">Jeon, J. (2022). Exploring a self-directed interactive app for informal EFL learning: A self-determination theory perspective. </w:t>
      </w:r>
      <w:r>
        <w:rPr>
          <w:i/>
          <w:iCs/>
          <w:sz w:val="24"/>
          <w:szCs w:val="24"/>
        </w:rPr>
        <w:t>Education and Information Technologies, 27</w:t>
      </w:r>
      <w:r>
        <w:rPr>
          <w:sz w:val="24"/>
          <w:szCs w:val="24"/>
        </w:rPr>
        <w:t xml:space="preserve">(4), 5767–5787. </w:t>
      </w:r>
      <w:hyperlink r:id="rId26" w:history="1">
        <w:r>
          <w:rPr>
            <w:rStyle w:val="Hyperlink"/>
            <w:sz w:val="24"/>
            <w:szCs w:val="24"/>
            <w:u w:val="none"/>
          </w:rPr>
          <w:t>https://doi.org/10.1007/s10639-021-10839-y</w:t>
        </w:r>
      </w:hyperlink>
      <w:r>
        <w:rPr>
          <w:sz w:val="24"/>
          <w:szCs w:val="24"/>
        </w:rPr>
        <w:t xml:space="preserve"> </w:t>
      </w:r>
    </w:p>
    <w:p w14:paraId="59AEB82B" w14:textId="77777777" w:rsidR="000A7C45" w:rsidRPr="001F353F" w:rsidRDefault="000A7C45" w:rsidP="000A7C45">
      <w:pPr>
        <w:pStyle w:val="RALs-ReferencesList"/>
        <w:ind w:left="425" w:hanging="425"/>
        <w:rPr>
          <w:sz w:val="24"/>
          <w:szCs w:val="24"/>
        </w:rPr>
      </w:pPr>
      <w:r>
        <w:rPr>
          <w:sz w:val="24"/>
          <w:szCs w:val="24"/>
        </w:rPr>
        <w:t xml:space="preserve">Knowles, M. S. (1975). </w:t>
      </w:r>
      <w:r>
        <w:rPr>
          <w:i/>
          <w:iCs/>
          <w:sz w:val="24"/>
          <w:szCs w:val="24"/>
        </w:rPr>
        <w:t>Self-directed learning: A guide for learners and teachers</w:t>
      </w:r>
      <w:r>
        <w:rPr>
          <w:sz w:val="24"/>
          <w:szCs w:val="24"/>
        </w:rPr>
        <w:t>. Association Press.</w:t>
      </w:r>
    </w:p>
    <w:p w14:paraId="1EDC2855" w14:textId="77777777" w:rsidR="000A7C45" w:rsidRPr="001F353F" w:rsidRDefault="000A7C45" w:rsidP="000A7C45">
      <w:pPr>
        <w:pStyle w:val="RALs-ReferencesList"/>
        <w:ind w:left="425" w:hanging="425"/>
        <w:rPr>
          <w:sz w:val="24"/>
          <w:szCs w:val="24"/>
        </w:rPr>
      </w:pPr>
      <w:r>
        <w:rPr>
          <w:sz w:val="24"/>
          <w:szCs w:val="24"/>
        </w:rPr>
        <w:t xml:space="preserve">Lai, Y., Saab, N., &amp; Admiraal, W. (2022). Learning strategies in self-directed language learning using mobile technology in higher education: A systematic scoping review. </w:t>
      </w:r>
      <w:r>
        <w:rPr>
          <w:i/>
          <w:iCs/>
          <w:sz w:val="24"/>
          <w:szCs w:val="24"/>
        </w:rPr>
        <w:t>Education and Information Technologies, 27</w:t>
      </w:r>
      <w:r>
        <w:rPr>
          <w:sz w:val="24"/>
          <w:szCs w:val="24"/>
        </w:rPr>
        <w:t xml:space="preserve">(6), 7749–7780. </w:t>
      </w:r>
      <w:hyperlink r:id="rId27" w:history="1">
        <w:r>
          <w:rPr>
            <w:rStyle w:val="Hyperlink"/>
            <w:sz w:val="24"/>
            <w:szCs w:val="24"/>
            <w:u w:val="none"/>
          </w:rPr>
          <w:t>https://doi.org/10.1007/s10639-022-10945-5</w:t>
        </w:r>
      </w:hyperlink>
      <w:r>
        <w:rPr>
          <w:sz w:val="24"/>
          <w:szCs w:val="24"/>
        </w:rPr>
        <w:t xml:space="preserve"> </w:t>
      </w:r>
    </w:p>
    <w:p w14:paraId="7F040F21" w14:textId="77777777" w:rsidR="000A7C45" w:rsidRPr="001F353F" w:rsidRDefault="000A7C45" w:rsidP="000A7C45">
      <w:pPr>
        <w:pStyle w:val="RALs-ReferencesList"/>
        <w:ind w:left="425" w:hanging="425"/>
        <w:rPr>
          <w:sz w:val="24"/>
          <w:szCs w:val="24"/>
        </w:rPr>
      </w:pPr>
      <w:r>
        <w:rPr>
          <w:sz w:val="24"/>
          <w:szCs w:val="24"/>
        </w:rPr>
        <w:t xml:space="preserve">Lam, T. Q. A. (2024). AI chatbots in English language teaching and learning: A critical review. </w:t>
      </w:r>
      <w:r>
        <w:rPr>
          <w:i/>
          <w:iCs/>
          <w:sz w:val="24"/>
          <w:szCs w:val="24"/>
        </w:rPr>
        <w:t>Journal of Knowledge Learning and Science Technology, 3</w:t>
      </w:r>
      <w:r>
        <w:rPr>
          <w:sz w:val="24"/>
          <w:szCs w:val="24"/>
        </w:rPr>
        <w:t xml:space="preserve">(2), 185–195. </w:t>
      </w:r>
      <w:hyperlink r:id="rId28" w:history="1">
        <w:r>
          <w:rPr>
            <w:rStyle w:val="Hyperlink"/>
            <w:sz w:val="24"/>
            <w:szCs w:val="24"/>
            <w:u w:val="none"/>
          </w:rPr>
          <w:t>https://doi.org/10.60087/jklst.vol3.n2.p195</w:t>
        </w:r>
      </w:hyperlink>
      <w:r>
        <w:rPr>
          <w:sz w:val="24"/>
          <w:szCs w:val="24"/>
        </w:rPr>
        <w:t xml:space="preserve"> </w:t>
      </w:r>
    </w:p>
    <w:p w14:paraId="59C5656A" w14:textId="77777777" w:rsidR="000A7C45" w:rsidRPr="001F353F" w:rsidRDefault="000A7C45" w:rsidP="000A7C45">
      <w:pPr>
        <w:pStyle w:val="RALs-ReferencesList"/>
        <w:ind w:left="425" w:hanging="425"/>
        <w:rPr>
          <w:sz w:val="24"/>
          <w:szCs w:val="24"/>
        </w:rPr>
      </w:pPr>
      <w:r>
        <w:rPr>
          <w:sz w:val="24"/>
          <w:szCs w:val="24"/>
        </w:rPr>
        <w:t xml:space="preserve">Liu, W., &amp; Wang, Y. (2024). The effects of using AI tools on critical thinking in English literature classes among EFL learners: An intervention study. </w:t>
      </w:r>
      <w:r>
        <w:rPr>
          <w:i/>
          <w:iCs/>
          <w:sz w:val="24"/>
          <w:szCs w:val="24"/>
        </w:rPr>
        <w:t>European Journal of Education</w:t>
      </w:r>
      <w:r>
        <w:rPr>
          <w:sz w:val="24"/>
          <w:szCs w:val="24"/>
        </w:rPr>
        <w:t xml:space="preserve">. </w:t>
      </w:r>
      <w:hyperlink r:id="rId29" w:history="1">
        <w:r>
          <w:rPr>
            <w:rStyle w:val="Hyperlink"/>
            <w:sz w:val="24"/>
            <w:szCs w:val="24"/>
            <w:u w:val="none"/>
          </w:rPr>
          <w:t>https://doi.org/10.1111/ejed.12804</w:t>
        </w:r>
      </w:hyperlink>
      <w:r>
        <w:rPr>
          <w:sz w:val="24"/>
          <w:szCs w:val="24"/>
        </w:rPr>
        <w:t xml:space="preserve"> </w:t>
      </w:r>
    </w:p>
    <w:p w14:paraId="04D07A3D" w14:textId="77777777" w:rsidR="000A7C45" w:rsidRPr="001F353F" w:rsidRDefault="000A7C45" w:rsidP="000A7C45">
      <w:pPr>
        <w:pStyle w:val="RALs-ReferencesList"/>
        <w:ind w:left="425" w:hanging="425"/>
        <w:rPr>
          <w:sz w:val="24"/>
          <w:szCs w:val="24"/>
        </w:rPr>
      </w:pPr>
      <w:r>
        <w:rPr>
          <w:sz w:val="24"/>
          <w:szCs w:val="24"/>
        </w:rPr>
        <w:lastRenderedPageBreak/>
        <w:t xml:space="preserve">Mohebbi, A. (2025). Enabling learner independence and self-regulation in language education using AI tools: A systematic review. </w:t>
      </w:r>
      <w:r>
        <w:rPr>
          <w:i/>
          <w:iCs/>
          <w:sz w:val="24"/>
          <w:szCs w:val="24"/>
        </w:rPr>
        <w:t>Cogent Education, 12</w:t>
      </w:r>
      <w:r>
        <w:rPr>
          <w:sz w:val="24"/>
          <w:szCs w:val="24"/>
        </w:rPr>
        <w:t xml:space="preserve">(1). </w:t>
      </w:r>
      <w:hyperlink r:id="rId30" w:history="1">
        <w:r>
          <w:rPr>
            <w:rStyle w:val="Hyperlink"/>
            <w:sz w:val="24"/>
            <w:szCs w:val="24"/>
            <w:u w:val="none"/>
          </w:rPr>
          <w:t>https://doi.org/10.1080/2331186X.2024.2433814</w:t>
        </w:r>
      </w:hyperlink>
      <w:r>
        <w:rPr>
          <w:sz w:val="24"/>
          <w:szCs w:val="24"/>
        </w:rPr>
        <w:t xml:space="preserve"> </w:t>
      </w:r>
    </w:p>
    <w:p w14:paraId="4CEE2AC2" w14:textId="77777777" w:rsidR="000A7C45" w:rsidRPr="001F353F" w:rsidRDefault="000A7C45" w:rsidP="000A7C45">
      <w:pPr>
        <w:pStyle w:val="RALs-ReferencesList"/>
        <w:ind w:left="425" w:hanging="425"/>
        <w:rPr>
          <w:sz w:val="24"/>
          <w:szCs w:val="24"/>
        </w:rPr>
      </w:pPr>
      <w:r>
        <w:rPr>
          <w:sz w:val="24"/>
          <w:szCs w:val="24"/>
        </w:rPr>
        <w:t xml:space="preserve">Montero-SaizAja, A. (2021). Gender-based differences in EFL learners’ language learning strategies and productive vocabulary. </w:t>
      </w:r>
      <w:r>
        <w:rPr>
          <w:i/>
          <w:iCs/>
          <w:sz w:val="24"/>
          <w:szCs w:val="24"/>
        </w:rPr>
        <w:t>Theory and Practice of Second Language Acquisition, 7</w:t>
      </w:r>
      <w:r>
        <w:rPr>
          <w:sz w:val="24"/>
          <w:szCs w:val="24"/>
        </w:rPr>
        <w:t xml:space="preserve">(2), 83–107. </w:t>
      </w:r>
      <w:hyperlink r:id="rId31" w:history="1">
        <w:r>
          <w:rPr>
            <w:rStyle w:val="Hyperlink"/>
            <w:sz w:val="24"/>
            <w:szCs w:val="24"/>
            <w:u w:val="none"/>
          </w:rPr>
          <w:t>https://doi.org/10.31261/TAPSLA.8594</w:t>
        </w:r>
      </w:hyperlink>
      <w:r>
        <w:rPr>
          <w:sz w:val="24"/>
          <w:szCs w:val="24"/>
        </w:rPr>
        <w:t xml:space="preserve"> </w:t>
      </w:r>
    </w:p>
    <w:p w14:paraId="2EE39557" w14:textId="6E543B8F" w:rsidR="00627588" w:rsidRPr="00B21B0A" w:rsidRDefault="00627588" w:rsidP="00627588">
      <w:pPr>
        <w:pStyle w:val="RALs-ReferencesList"/>
        <w:ind w:left="425" w:hanging="425"/>
        <w:rPr>
          <w:sz w:val="24"/>
          <w:szCs w:val="24"/>
        </w:rPr>
      </w:pPr>
      <w:r>
        <w:rPr>
          <w:sz w:val="24"/>
          <w:szCs w:val="24"/>
        </w:rPr>
        <w:t xml:space="preserve">Ngo, C.-L., Bui, N. V. C., Nguyen, P. N. N., &amp; Nguyen, T. M. P. (2025). Exploring Vietnamese EFL learners’ generative AI usage patterns, self-efficacy and self-directed learning: Preliminary findings. </w:t>
      </w:r>
      <w:r>
        <w:rPr>
          <w:i/>
          <w:iCs/>
          <w:sz w:val="24"/>
          <w:szCs w:val="24"/>
        </w:rPr>
        <w:t>Proceedings of the 13th OpenTESOL 2025 International Hybrid Conference</w:t>
      </w:r>
      <w:r>
        <w:rPr>
          <w:sz w:val="24"/>
          <w:szCs w:val="24"/>
        </w:rPr>
        <w:t>, Ho Chi Minh City Open University.</w:t>
      </w:r>
      <w:r w:rsidR="00B21B0A">
        <w:rPr>
          <w:sz w:val="24"/>
          <w:szCs w:val="24"/>
        </w:rPr>
        <w:t xml:space="preserve"> </w:t>
      </w:r>
      <w:hyperlink r:id="rId32" w:history="1">
        <w:r w:rsidR="00B21B0A" w:rsidRPr="00B21B0A">
          <w:rPr>
            <w:rStyle w:val="Hyperlink"/>
            <w:sz w:val="24"/>
            <w:szCs w:val="24"/>
            <w:u w:val="none"/>
          </w:rPr>
          <w:t>https://www.researchgate.net/publication/396498666_Exploring_Vietnamese_EFL_learners'_generative_ai_usage_patterns_self-efficacy_and_self-directed_learning_preliminary_findings</w:t>
        </w:r>
      </w:hyperlink>
      <w:r w:rsidR="00B21B0A" w:rsidRPr="00B21B0A">
        <w:rPr>
          <w:sz w:val="24"/>
          <w:szCs w:val="24"/>
        </w:rPr>
        <w:t xml:space="preserve"> </w:t>
      </w:r>
    </w:p>
    <w:p w14:paraId="474DC937" w14:textId="77777777" w:rsidR="000A7C45" w:rsidRPr="001F353F" w:rsidRDefault="000A7C45" w:rsidP="000A7C45">
      <w:pPr>
        <w:pStyle w:val="RALs-ReferencesList"/>
        <w:ind w:left="425" w:hanging="425"/>
        <w:rPr>
          <w:sz w:val="24"/>
          <w:szCs w:val="24"/>
        </w:rPr>
      </w:pPr>
      <w:r>
        <w:rPr>
          <w:sz w:val="24"/>
          <w:szCs w:val="24"/>
        </w:rPr>
        <w:t xml:space="preserve">O’Malley, J. M., &amp; Chamot, A. U. (2012). </w:t>
      </w:r>
      <w:r>
        <w:rPr>
          <w:i/>
          <w:iCs/>
          <w:sz w:val="24"/>
          <w:szCs w:val="24"/>
        </w:rPr>
        <w:t>Learning strategies in second language acquisition</w:t>
      </w:r>
      <w:r>
        <w:rPr>
          <w:sz w:val="24"/>
          <w:szCs w:val="24"/>
        </w:rPr>
        <w:t xml:space="preserve">. Cambridge University Press. </w:t>
      </w:r>
      <w:hyperlink r:id="rId33" w:history="1">
        <w:r>
          <w:rPr>
            <w:rStyle w:val="Hyperlink"/>
            <w:sz w:val="24"/>
            <w:szCs w:val="24"/>
            <w:u w:val="none"/>
          </w:rPr>
          <w:t>https:/</w:t>
        </w:r>
        <w:r>
          <w:rPr>
            <w:rStyle w:val="Hyperlink"/>
            <w:sz w:val="24"/>
            <w:szCs w:val="24"/>
            <w:u w:val="none"/>
          </w:rPr>
          <w:t>/</w:t>
        </w:r>
        <w:r>
          <w:rPr>
            <w:rStyle w:val="Hyperlink"/>
            <w:sz w:val="24"/>
            <w:szCs w:val="24"/>
            <w:u w:val="none"/>
          </w:rPr>
          <w:t>doi.org/10.1017/CBO9781139524490</w:t>
        </w:r>
      </w:hyperlink>
      <w:r>
        <w:rPr>
          <w:sz w:val="24"/>
          <w:szCs w:val="24"/>
        </w:rPr>
        <w:t xml:space="preserve"> </w:t>
      </w:r>
    </w:p>
    <w:p w14:paraId="0E2D16D4" w14:textId="77777777" w:rsidR="000A7C45" w:rsidRPr="001F353F" w:rsidRDefault="000A7C45" w:rsidP="000A7C45">
      <w:pPr>
        <w:pStyle w:val="RALs-ReferencesList"/>
        <w:ind w:left="425" w:hanging="425"/>
        <w:rPr>
          <w:sz w:val="24"/>
          <w:szCs w:val="24"/>
        </w:rPr>
      </w:pPr>
      <w:r>
        <w:rPr>
          <w:sz w:val="24"/>
          <w:szCs w:val="24"/>
        </w:rPr>
        <w:t xml:space="preserve">Oxford, R. L. (1990). </w:t>
      </w:r>
      <w:r>
        <w:rPr>
          <w:i/>
          <w:iCs/>
          <w:sz w:val="24"/>
          <w:szCs w:val="24"/>
        </w:rPr>
        <w:t>Language learning strategies: What every teacher should know</w:t>
      </w:r>
      <w:r>
        <w:rPr>
          <w:sz w:val="24"/>
          <w:szCs w:val="24"/>
        </w:rPr>
        <w:t>. Heinle &amp; Heinle.</w:t>
      </w:r>
    </w:p>
    <w:p w14:paraId="72D1804E" w14:textId="77777777" w:rsidR="000A7C45" w:rsidRPr="001F353F" w:rsidRDefault="000A7C45" w:rsidP="000A7C45">
      <w:pPr>
        <w:pStyle w:val="RALs-ReferencesList"/>
        <w:ind w:left="425" w:hanging="425"/>
        <w:rPr>
          <w:sz w:val="24"/>
          <w:szCs w:val="24"/>
        </w:rPr>
      </w:pPr>
      <w:r>
        <w:rPr>
          <w:sz w:val="24"/>
          <w:szCs w:val="24"/>
        </w:rPr>
        <w:t xml:space="preserve">Oxford, R. L. (2016). </w:t>
      </w:r>
      <w:r>
        <w:rPr>
          <w:i/>
          <w:iCs/>
          <w:sz w:val="24"/>
          <w:szCs w:val="24"/>
        </w:rPr>
        <w:t>Teaching and researching language learning strategies: Self-regulation in context</w:t>
      </w:r>
      <w:r>
        <w:rPr>
          <w:sz w:val="24"/>
          <w:szCs w:val="24"/>
        </w:rPr>
        <w:t xml:space="preserve"> (1st ed.). Routledge. </w:t>
      </w:r>
      <w:hyperlink r:id="rId34" w:history="1">
        <w:r>
          <w:rPr>
            <w:rStyle w:val="Hyperlink"/>
            <w:sz w:val="24"/>
            <w:szCs w:val="24"/>
            <w:u w:val="none"/>
          </w:rPr>
          <w:t>https://doi.org/10.4</w:t>
        </w:r>
        <w:r>
          <w:rPr>
            <w:rStyle w:val="Hyperlink"/>
            <w:sz w:val="24"/>
            <w:szCs w:val="24"/>
            <w:u w:val="none"/>
          </w:rPr>
          <w:t>3</w:t>
        </w:r>
        <w:r>
          <w:rPr>
            <w:rStyle w:val="Hyperlink"/>
            <w:sz w:val="24"/>
            <w:szCs w:val="24"/>
            <w:u w:val="none"/>
          </w:rPr>
          <w:t>24/9781315719146</w:t>
        </w:r>
      </w:hyperlink>
      <w:r>
        <w:rPr>
          <w:sz w:val="24"/>
          <w:szCs w:val="24"/>
        </w:rPr>
        <w:t xml:space="preserve"> </w:t>
      </w:r>
    </w:p>
    <w:p w14:paraId="6A342080" w14:textId="77777777" w:rsidR="000A7C45" w:rsidRPr="001F353F" w:rsidRDefault="000A7C45" w:rsidP="000A7C45">
      <w:pPr>
        <w:pStyle w:val="RALs-ReferencesList"/>
        <w:ind w:left="425" w:hanging="425"/>
        <w:rPr>
          <w:sz w:val="24"/>
          <w:szCs w:val="24"/>
        </w:rPr>
      </w:pPr>
      <w:r>
        <w:rPr>
          <w:sz w:val="24"/>
          <w:szCs w:val="24"/>
        </w:rPr>
        <w:t xml:space="preserve">Özkan, E. K., Erdemir, N., &amp; Coşkun, D. (2024). A systematic review of EFL teachers’ perspectives on artificial intelligence technologies. </w:t>
      </w:r>
      <w:r>
        <w:rPr>
          <w:i/>
          <w:iCs/>
          <w:sz w:val="24"/>
          <w:szCs w:val="24"/>
        </w:rPr>
        <w:t>Ihlara Eğitim Araştırmaları Dergisi, 9</w:t>
      </w:r>
      <w:r>
        <w:rPr>
          <w:sz w:val="24"/>
          <w:szCs w:val="24"/>
        </w:rPr>
        <w:t xml:space="preserve">(2), 150–168. </w:t>
      </w:r>
      <w:hyperlink r:id="rId35" w:history="1">
        <w:r>
          <w:rPr>
            <w:rStyle w:val="Hyperlink"/>
            <w:sz w:val="24"/>
            <w:szCs w:val="24"/>
            <w:u w:val="none"/>
          </w:rPr>
          <w:t>https://doi.</w:t>
        </w:r>
        <w:r>
          <w:rPr>
            <w:rStyle w:val="Hyperlink"/>
            <w:sz w:val="24"/>
            <w:szCs w:val="24"/>
            <w:u w:val="none"/>
          </w:rPr>
          <w:t>o</w:t>
        </w:r>
        <w:r>
          <w:rPr>
            <w:rStyle w:val="Hyperlink"/>
            <w:sz w:val="24"/>
            <w:szCs w:val="24"/>
            <w:u w:val="none"/>
          </w:rPr>
          <w:t>rg/10.47479/ihead.1535035</w:t>
        </w:r>
      </w:hyperlink>
      <w:r>
        <w:rPr>
          <w:sz w:val="24"/>
          <w:szCs w:val="24"/>
        </w:rPr>
        <w:t xml:space="preserve"> </w:t>
      </w:r>
    </w:p>
    <w:p w14:paraId="6CCFCB8E" w14:textId="77777777" w:rsidR="000A7C45" w:rsidRPr="001F353F" w:rsidRDefault="000A7C45" w:rsidP="000A7C45">
      <w:pPr>
        <w:pStyle w:val="RALs-ReferencesList"/>
        <w:ind w:left="425" w:hanging="425"/>
        <w:rPr>
          <w:sz w:val="24"/>
          <w:szCs w:val="24"/>
        </w:rPr>
      </w:pPr>
      <w:r>
        <w:rPr>
          <w:sz w:val="24"/>
          <w:szCs w:val="24"/>
        </w:rPr>
        <w:t xml:space="preserve">Pemberton, R., &amp; Cooker, L. (2012). Self-directed learning: Concepts, practice, and a novel research methodology. In S. Mercer, S. Ryan, &amp; M. Williams (Eds.), </w:t>
      </w:r>
      <w:r>
        <w:rPr>
          <w:i/>
          <w:iCs/>
          <w:sz w:val="24"/>
          <w:szCs w:val="24"/>
        </w:rPr>
        <w:t>Psychology for language learning</w:t>
      </w:r>
      <w:r>
        <w:rPr>
          <w:sz w:val="24"/>
          <w:szCs w:val="24"/>
        </w:rPr>
        <w:t xml:space="preserve"> (pp. 203–219). Palgrave Macmillan. </w:t>
      </w:r>
      <w:hyperlink r:id="rId36" w:history="1">
        <w:r>
          <w:rPr>
            <w:rStyle w:val="Hyperlink"/>
            <w:sz w:val="24"/>
            <w:szCs w:val="24"/>
            <w:u w:val="none"/>
          </w:rPr>
          <w:t>https://doi.org/10.1057/97811</w:t>
        </w:r>
        <w:r>
          <w:rPr>
            <w:rStyle w:val="Hyperlink"/>
            <w:sz w:val="24"/>
            <w:szCs w:val="24"/>
            <w:u w:val="none"/>
          </w:rPr>
          <w:t>3</w:t>
        </w:r>
        <w:r>
          <w:rPr>
            <w:rStyle w:val="Hyperlink"/>
            <w:sz w:val="24"/>
            <w:szCs w:val="24"/>
            <w:u w:val="none"/>
          </w:rPr>
          <w:t>7032829_14</w:t>
        </w:r>
      </w:hyperlink>
      <w:r>
        <w:rPr>
          <w:sz w:val="24"/>
          <w:szCs w:val="24"/>
        </w:rPr>
        <w:t xml:space="preserve"> </w:t>
      </w:r>
    </w:p>
    <w:p w14:paraId="7AC0E67E" w14:textId="77777777" w:rsidR="000A7C45" w:rsidRPr="001F353F" w:rsidRDefault="000A7C45" w:rsidP="000A7C45">
      <w:pPr>
        <w:pStyle w:val="RALs-ReferencesList"/>
        <w:ind w:left="425" w:hanging="425"/>
        <w:rPr>
          <w:sz w:val="24"/>
          <w:szCs w:val="24"/>
        </w:rPr>
      </w:pPr>
      <w:r>
        <w:rPr>
          <w:sz w:val="24"/>
          <w:szCs w:val="24"/>
        </w:rPr>
        <w:t xml:space="preserve">Peres, R., Schreier, M., Schweidel, D., &amp; Sorescu, A. (2023). On ChatGPT and beyond: How generative artificial intelligence may affect research, teaching, and practice. </w:t>
      </w:r>
      <w:r>
        <w:rPr>
          <w:i/>
          <w:iCs/>
          <w:sz w:val="24"/>
          <w:szCs w:val="24"/>
        </w:rPr>
        <w:t>International Journal of Research in Marketing, 40</w:t>
      </w:r>
      <w:r>
        <w:rPr>
          <w:sz w:val="24"/>
          <w:szCs w:val="24"/>
        </w:rPr>
        <w:t xml:space="preserve">(2), 269–275. </w:t>
      </w:r>
      <w:hyperlink r:id="rId37" w:history="1">
        <w:r>
          <w:rPr>
            <w:rStyle w:val="Hyperlink"/>
            <w:sz w:val="24"/>
            <w:szCs w:val="24"/>
            <w:u w:val="none"/>
          </w:rPr>
          <w:t>https://doi.org/10.1016/j.ijresmar.2023.</w:t>
        </w:r>
        <w:r>
          <w:rPr>
            <w:rStyle w:val="Hyperlink"/>
            <w:sz w:val="24"/>
            <w:szCs w:val="24"/>
            <w:u w:val="none"/>
          </w:rPr>
          <w:t>0</w:t>
        </w:r>
        <w:r>
          <w:rPr>
            <w:rStyle w:val="Hyperlink"/>
            <w:sz w:val="24"/>
            <w:szCs w:val="24"/>
            <w:u w:val="none"/>
          </w:rPr>
          <w:t>3.001</w:t>
        </w:r>
      </w:hyperlink>
      <w:r>
        <w:rPr>
          <w:sz w:val="24"/>
          <w:szCs w:val="24"/>
        </w:rPr>
        <w:t xml:space="preserve"> </w:t>
      </w:r>
    </w:p>
    <w:p w14:paraId="55575CCB" w14:textId="77777777" w:rsidR="000A7C45" w:rsidRPr="001F353F" w:rsidRDefault="000A7C45" w:rsidP="000A7C45">
      <w:pPr>
        <w:pStyle w:val="RALs-ReferencesList"/>
        <w:ind w:left="425" w:hanging="425"/>
        <w:rPr>
          <w:sz w:val="24"/>
          <w:szCs w:val="24"/>
        </w:rPr>
      </w:pPr>
      <w:r>
        <w:rPr>
          <w:sz w:val="24"/>
          <w:szCs w:val="24"/>
        </w:rPr>
        <w:t xml:space="preserve">Pham, M. T., &amp; Cao, T. X. T. (2025). The practice of ChatGPT in English teaching and learning in Vietnam: A systematic review. </w:t>
      </w:r>
      <w:r>
        <w:rPr>
          <w:i/>
          <w:iCs/>
          <w:sz w:val="24"/>
          <w:szCs w:val="24"/>
        </w:rPr>
        <w:t>International Journal of TESOL &amp; Education, 5</w:t>
      </w:r>
      <w:r>
        <w:rPr>
          <w:sz w:val="24"/>
          <w:szCs w:val="24"/>
        </w:rPr>
        <w:t xml:space="preserve">(1), 50–70. </w:t>
      </w:r>
      <w:hyperlink r:id="rId38" w:history="1">
        <w:r>
          <w:rPr>
            <w:rStyle w:val="Hyperlink"/>
            <w:sz w:val="24"/>
            <w:szCs w:val="24"/>
            <w:u w:val="none"/>
          </w:rPr>
          <w:t>https://d</w:t>
        </w:r>
        <w:r>
          <w:rPr>
            <w:rStyle w:val="Hyperlink"/>
            <w:sz w:val="24"/>
            <w:szCs w:val="24"/>
            <w:u w:val="none"/>
          </w:rPr>
          <w:t>o</w:t>
        </w:r>
        <w:r>
          <w:rPr>
            <w:rStyle w:val="Hyperlink"/>
            <w:sz w:val="24"/>
            <w:szCs w:val="24"/>
            <w:u w:val="none"/>
          </w:rPr>
          <w:t>i.org/10.54855/ijte.25513</w:t>
        </w:r>
      </w:hyperlink>
      <w:r>
        <w:rPr>
          <w:sz w:val="24"/>
          <w:szCs w:val="24"/>
        </w:rPr>
        <w:t xml:space="preserve"> </w:t>
      </w:r>
    </w:p>
    <w:p w14:paraId="138FBCAD" w14:textId="6C51964C" w:rsidR="000A7C45" w:rsidRPr="001F353F" w:rsidRDefault="000A7C45" w:rsidP="000A7C45">
      <w:pPr>
        <w:pStyle w:val="RALs-ReferencesList"/>
        <w:ind w:left="425" w:hanging="425"/>
        <w:rPr>
          <w:sz w:val="24"/>
          <w:szCs w:val="24"/>
        </w:rPr>
      </w:pPr>
      <w:r>
        <w:rPr>
          <w:sz w:val="24"/>
          <w:szCs w:val="24"/>
        </w:rPr>
        <w:t xml:space="preserve">Rukiati, E., Wicaksono, J. A., Taufan, G. T., &amp; Suharsono, D. D. (2023). AI on learning English: Application, benefit, and threat. </w:t>
      </w:r>
      <w:r>
        <w:rPr>
          <w:i/>
          <w:iCs/>
          <w:sz w:val="24"/>
          <w:szCs w:val="24"/>
        </w:rPr>
        <w:t>Journal of Language</w:t>
      </w:r>
      <w:r w:rsidR="007B0905">
        <w:rPr>
          <w:i/>
          <w:iCs/>
          <w:sz w:val="24"/>
          <w:szCs w:val="24"/>
        </w:rPr>
        <w:t>,</w:t>
      </w:r>
      <w:r>
        <w:rPr>
          <w:i/>
          <w:iCs/>
          <w:sz w:val="24"/>
          <w:szCs w:val="24"/>
        </w:rPr>
        <w:t xml:space="preserve"> Communication </w:t>
      </w:r>
      <w:r w:rsidR="007B0905">
        <w:rPr>
          <w:i/>
          <w:iCs/>
          <w:sz w:val="24"/>
          <w:szCs w:val="24"/>
        </w:rPr>
        <w:t>and Tourism</w:t>
      </w:r>
      <w:r>
        <w:rPr>
          <w:i/>
          <w:iCs/>
          <w:sz w:val="24"/>
          <w:szCs w:val="24"/>
        </w:rPr>
        <w:t>, 1</w:t>
      </w:r>
      <w:r>
        <w:rPr>
          <w:sz w:val="24"/>
          <w:szCs w:val="24"/>
        </w:rPr>
        <w:t xml:space="preserve">(2), 32–40. </w:t>
      </w:r>
      <w:hyperlink r:id="rId39" w:history="1">
        <w:r>
          <w:rPr>
            <w:rStyle w:val="Hyperlink"/>
            <w:sz w:val="24"/>
            <w:szCs w:val="24"/>
            <w:u w:val="none"/>
          </w:rPr>
          <w:t>https://</w:t>
        </w:r>
        <w:r>
          <w:rPr>
            <w:rStyle w:val="Hyperlink"/>
            <w:sz w:val="24"/>
            <w:szCs w:val="24"/>
            <w:u w:val="none"/>
          </w:rPr>
          <w:t>d</w:t>
        </w:r>
        <w:r>
          <w:rPr>
            <w:rStyle w:val="Hyperlink"/>
            <w:sz w:val="24"/>
            <w:szCs w:val="24"/>
            <w:u w:val="none"/>
          </w:rPr>
          <w:t>oi.org/10.25047/jlct.v1i2.3967</w:t>
        </w:r>
      </w:hyperlink>
      <w:r>
        <w:rPr>
          <w:sz w:val="24"/>
          <w:szCs w:val="24"/>
        </w:rPr>
        <w:t xml:space="preserve"> </w:t>
      </w:r>
    </w:p>
    <w:p w14:paraId="0C460607" w14:textId="77777777" w:rsidR="000A7C45" w:rsidRPr="001F353F" w:rsidRDefault="000A7C45" w:rsidP="000A7C45">
      <w:pPr>
        <w:pStyle w:val="RALs-ReferencesList"/>
        <w:ind w:left="425" w:hanging="425"/>
        <w:rPr>
          <w:sz w:val="24"/>
          <w:szCs w:val="24"/>
        </w:rPr>
      </w:pPr>
      <w:r>
        <w:rPr>
          <w:sz w:val="24"/>
          <w:szCs w:val="24"/>
        </w:rPr>
        <w:t xml:space="preserve">Selim, A. S. M. (2024). The transformative impact of AI-powered tools on academic writing: Perspectives of EFL university students. </w:t>
      </w:r>
      <w:r>
        <w:rPr>
          <w:i/>
          <w:iCs/>
          <w:sz w:val="24"/>
          <w:szCs w:val="24"/>
        </w:rPr>
        <w:t>International Journal of English Linguistics, 14</w:t>
      </w:r>
      <w:r>
        <w:rPr>
          <w:sz w:val="24"/>
          <w:szCs w:val="24"/>
        </w:rPr>
        <w:t xml:space="preserve">(1), 14. </w:t>
      </w:r>
      <w:hyperlink r:id="rId40" w:history="1">
        <w:r>
          <w:rPr>
            <w:rStyle w:val="Hyperlink"/>
            <w:sz w:val="24"/>
            <w:szCs w:val="24"/>
            <w:u w:val="none"/>
          </w:rPr>
          <w:t>https://doi.org/10.5539/ijel.v14n1p14</w:t>
        </w:r>
      </w:hyperlink>
      <w:r>
        <w:rPr>
          <w:sz w:val="24"/>
          <w:szCs w:val="24"/>
        </w:rPr>
        <w:t xml:space="preserve"> </w:t>
      </w:r>
    </w:p>
    <w:p w14:paraId="7561F176" w14:textId="77777777" w:rsidR="000A7C45" w:rsidRPr="001F353F" w:rsidRDefault="000A7C45" w:rsidP="000A7C45">
      <w:pPr>
        <w:pStyle w:val="RALs-ReferencesList"/>
        <w:ind w:left="425" w:hanging="425"/>
        <w:rPr>
          <w:sz w:val="24"/>
          <w:szCs w:val="24"/>
        </w:rPr>
      </w:pPr>
      <w:r>
        <w:rPr>
          <w:sz w:val="24"/>
          <w:szCs w:val="24"/>
        </w:rPr>
        <w:lastRenderedPageBreak/>
        <w:t xml:space="preserve">Suryana, I., Asrianto, A., &amp; Murwantono, D. (2020). Artificial intelligence to master English listening skills for non-English major students. </w:t>
      </w:r>
      <w:r>
        <w:rPr>
          <w:i/>
          <w:iCs/>
          <w:sz w:val="24"/>
          <w:szCs w:val="24"/>
        </w:rPr>
        <w:t>Journal of Languages and Language Teaching, 8</w:t>
      </w:r>
      <w:r>
        <w:rPr>
          <w:sz w:val="24"/>
          <w:szCs w:val="24"/>
        </w:rPr>
        <w:t xml:space="preserve">(1), 48–59. </w:t>
      </w:r>
      <w:hyperlink r:id="rId41" w:history="1">
        <w:r>
          <w:rPr>
            <w:rStyle w:val="Hyperlink"/>
            <w:sz w:val="24"/>
            <w:szCs w:val="24"/>
            <w:u w:val="none"/>
          </w:rPr>
          <w:t>https://doi.org/10.33394/jollt.v8i1.2221</w:t>
        </w:r>
      </w:hyperlink>
      <w:r>
        <w:rPr>
          <w:sz w:val="24"/>
          <w:szCs w:val="24"/>
        </w:rPr>
        <w:t xml:space="preserve"> </w:t>
      </w:r>
    </w:p>
    <w:p w14:paraId="4979418A" w14:textId="17D4B1F9" w:rsidR="000A7C45" w:rsidRPr="001F353F" w:rsidRDefault="000A7C45" w:rsidP="000A7C45">
      <w:pPr>
        <w:pStyle w:val="RALs-ReferencesList"/>
        <w:ind w:left="425" w:hanging="425"/>
        <w:rPr>
          <w:sz w:val="24"/>
          <w:szCs w:val="24"/>
        </w:rPr>
      </w:pPr>
      <w:r>
        <w:rPr>
          <w:sz w:val="24"/>
          <w:szCs w:val="24"/>
        </w:rPr>
        <w:t xml:space="preserve">Tran, T. N., </w:t>
      </w:r>
      <w:r w:rsidR="00A6623E">
        <w:rPr>
          <w:sz w:val="24"/>
          <w:szCs w:val="24"/>
        </w:rPr>
        <w:t>Tran</w:t>
      </w:r>
      <w:r>
        <w:rPr>
          <w:sz w:val="24"/>
          <w:szCs w:val="24"/>
        </w:rPr>
        <w:t>,</w:t>
      </w:r>
      <w:r w:rsidR="00A6623E">
        <w:rPr>
          <w:sz w:val="24"/>
          <w:szCs w:val="24"/>
        </w:rPr>
        <w:t xml:space="preserve"> </w:t>
      </w:r>
      <w:r>
        <w:rPr>
          <w:sz w:val="24"/>
          <w:szCs w:val="24"/>
        </w:rPr>
        <w:t>H.</w:t>
      </w:r>
      <w:r w:rsidR="00A6623E">
        <w:rPr>
          <w:sz w:val="24"/>
          <w:szCs w:val="24"/>
        </w:rPr>
        <w:t xml:space="preserve"> P.</w:t>
      </w:r>
      <w:r>
        <w:rPr>
          <w:sz w:val="24"/>
          <w:szCs w:val="24"/>
        </w:rPr>
        <w:t xml:space="preserve">, &amp; </w:t>
      </w:r>
      <w:r w:rsidR="00A6623E">
        <w:rPr>
          <w:sz w:val="24"/>
          <w:szCs w:val="24"/>
        </w:rPr>
        <w:t>Nguyen</w:t>
      </w:r>
      <w:r>
        <w:rPr>
          <w:sz w:val="24"/>
          <w:szCs w:val="24"/>
        </w:rPr>
        <w:t xml:space="preserve">, </w:t>
      </w:r>
      <w:r w:rsidR="00A6623E">
        <w:rPr>
          <w:sz w:val="24"/>
          <w:szCs w:val="24"/>
        </w:rPr>
        <w:t>T</w:t>
      </w:r>
      <w:r>
        <w:rPr>
          <w:sz w:val="24"/>
          <w:szCs w:val="24"/>
        </w:rPr>
        <w:t xml:space="preserve">. T. (2019). Applying AI chatbot for teaching a foreign language: An empirical research. </w:t>
      </w:r>
      <w:r>
        <w:rPr>
          <w:i/>
          <w:iCs/>
          <w:sz w:val="24"/>
          <w:szCs w:val="24"/>
        </w:rPr>
        <w:t>International Journal of Scientific &amp; Technology Research, 8</w:t>
      </w:r>
      <w:r>
        <w:rPr>
          <w:sz w:val="24"/>
          <w:szCs w:val="24"/>
        </w:rPr>
        <w:t>(1</w:t>
      </w:r>
      <w:r w:rsidR="00A6623E">
        <w:rPr>
          <w:sz w:val="24"/>
          <w:szCs w:val="24"/>
        </w:rPr>
        <w:t>1</w:t>
      </w:r>
      <w:r>
        <w:rPr>
          <w:sz w:val="24"/>
          <w:szCs w:val="24"/>
        </w:rPr>
        <w:t xml:space="preserve">), 897–902. </w:t>
      </w:r>
      <w:hyperlink r:id="rId42" w:history="1">
        <w:r>
          <w:rPr>
            <w:rStyle w:val="Hyperlink"/>
            <w:sz w:val="24"/>
            <w:szCs w:val="24"/>
            <w:u w:val="none"/>
          </w:rPr>
          <w:t>https://www.researchgate.net/publication/337965319</w:t>
        </w:r>
      </w:hyperlink>
      <w:r>
        <w:rPr>
          <w:sz w:val="24"/>
          <w:szCs w:val="24"/>
        </w:rPr>
        <w:t xml:space="preserve"> </w:t>
      </w:r>
    </w:p>
    <w:p w14:paraId="4BD426C5" w14:textId="77777777" w:rsidR="000A7C45" w:rsidRPr="001F353F" w:rsidRDefault="000A7C45" w:rsidP="000A7C45">
      <w:pPr>
        <w:pStyle w:val="RALs-ReferencesList"/>
        <w:ind w:left="425" w:hanging="425"/>
        <w:rPr>
          <w:sz w:val="24"/>
          <w:szCs w:val="24"/>
        </w:rPr>
      </w:pPr>
      <w:r>
        <w:rPr>
          <w:sz w:val="24"/>
          <w:szCs w:val="24"/>
        </w:rPr>
        <w:t xml:space="preserve">Vo, T. K. A., &amp; Nguyen, H. (2024). Generative artificial intelligence and ChatGPT in language learning: EFL students’ perceptions of technology acceptance. </w:t>
      </w:r>
      <w:r>
        <w:rPr>
          <w:i/>
          <w:iCs/>
          <w:sz w:val="24"/>
          <w:szCs w:val="24"/>
        </w:rPr>
        <w:t>Journal of University Teaching and Learning Practice, 21</w:t>
      </w:r>
      <w:r>
        <w:rPr>
          <w:sz w:val="24"/>
          <w:szCs w:val="24"/>
        </w:rPr>
        <w:t xml:space="preserve">(6). </w:t>
      </w:r>
      <w:hyperlink r:id="rId43" w:history="1">
        <w:r>
          <w:rPr>
            <w:rStyle w:val="Hyperlink"/>
            <w:sz w:val="24"/>
            <w:szCs w:val="24"/>
            <w:u w:val="none"/>
          </w:rPr>
          <w:t>https://doi.org/10.53761/fr1rkj58</w:t>
        </w:r>
      </w:hyperlink>
      <w:r>
        <w:rPr>
          <w:sz w:val="24"/>
          <w:szCs w:val="24"/>
        </w:rPr>
        <w:t xml:space="preserve"> </w:t>
      </w:r>
    </w:p>
    <w:p w14:paraId="24E03307" w14:textId="77777777" w:rsidR="000A7C45" w:rsidRPr="001F353F" w:rsidRDefault="000A7C45" w:rsidP="000A7C45">
      <w:pPr>
        <w:pStyle w:val="RALs-ReferencesList"/>
        <w:ind w:left="425" w:hanging="425"/>
        <w:rPr>
          <w:sz w:val="24"/>
          <w:szCs w:val="24"/>
        </w:rPr>
      </w:pPr>
      <w:r>
        <w:rPr>
          <w:sz w:val="24"/>
          <w:szCs w:val="24"/>
        </w:rPr>
        <w:t xml:space="preserve">Wang, C., Li, Z., &amp; Bonk, C. (2024). Understanding self-directed learning in AI-assisted writing: A mixed methods study of postsecondary learners. </w:t>
      </w:r>
      <w:r>
        <w:rPr>
          <w:i/>
          <w:iCs/>
          <w:sz w:val="24"/>
          <w:szCs w:val="24"/>
        </w:rPr>
        <w:t>Computers and Education: Artificial Intelligence, 6</w:t>
      </w:r>
      <w:r>
        <w:rPr>
          <w:sz w:val="24"/>
          <w:szCs w:val="24"/>
        </w:rPr>
        <w:t xml:space="preserve">, 100247. </w:t>
      </w:r>
      <w:hyperlink r:id="rId44" w:history="1">
        <w:r>
          <w:rPr>
            <w:rStyle w:val="Hyperlink"/>
            <w:sz w:val="24"/>
            <w:szCs w:val="24"/>
            <w:u w:val="none"/>
          </w:rPr>
          <w:t>https://doi.org/10.1016/j.caeai.2024.100247</w:t>
        </w:r>
      </w:hyperlink>
      <w:r>
        <w:rPr>
          <w:sz w:val="24"/>
          <w:szCs w:val="24"/>
        </w:rPr>
        <w:t xml:space="preserve"> </w:t>
      </w:r>
    </w:p>
    <w:p w14:paraId="481256C1" w14:textId="500D5DBD" w:rsidR="000A7C45" w:rsidRPr="001F353F" w:rsidRDefault="000A7C45" w:rsidP="000A7C45">
      <w:pPr>
        <w:pStyle w:val="RALs-ReferencesList"/>
        <w:ind w:left="425" w:hanging="425"/>
        <w:rPr>
          <w:sz w:val="24"/>
          <w:szCs w:val="24"/>
        </w:rPr>
      </w:pPr>
      <w:r>
        <w:rPr>
          <w:sz w:val="24"/>
          <w:szCs w:val="24"/>
        </w:rPr>
        <w:t xml:space="preserve">Wang, Y., Zhang, T., Yao, L., &amp; Seedhouse, P. (2025). A scoping review of empirical studies on generative artificial intelligence in language education. </w:t>
      </w:r>
      <w:r>
        <w:rPr>
          <w:i/>
          <w:iCs/>
          <w:sz w:val="24"/>
          <w:szCs w:val="24"/>
        </w:rPr>
        <w:t>Innovation in Language Learning and Teaching</w:t>
      </w:r>
      <w:r>
        <w:rPr>
          <w:sz w:val="24"/>
          <w:szCs w:val="24"/>
        </w:rPr>
        <w:t xml:space="preserve">, </w:t>
      </w:r>
      <w:r w:rsidR="005D2F0F">
        <w:rPr>
          <w:sz w:val="24"/>
          <w:szCs w:val="24"/>
        </w:rPr>
        <w:t>1</w:t>
      </w:r>
      <w:r>
        <w:rPr>
          <w:sz w:val="24"/>
          <w:szCs w:val="24"/>
        </w:rPr>
        <w:t>–</w:t>
      </w:r>
      <w:r w:rsidR="005D2F0F">
        <w:rPr>
          <w:sz w:val="24"/>
          <w:szCs w:val="24"/>
        </w:rPr>
        <w:t>28</w:t>
      </w:r>
      <w:r>
        <w:rPr>
          <w:sz w:val="24"/>
          <w:szCs w:val="24"/>
        </w:rPr>
        <w:t xml:space="preserve">. </w:t>
      </w:r>
      <w:hyperlink r:id="rId45" w:history="1">
        <w:r>
          <w:rPr>
            <w:rStyle w:val="Hyperlink"/>
            <w:sz w:val="24"/>
            <w:szCs w:val="24"/>
            <w:u w:val="none"/>
          </w:rPr>
          <w:t>https://doi.org/10.1080/17501229.2025.2509759</w:t>
        </w:r>
      </w:hyperlink>
      <w:r>
        <w:rPr>
          <w:sz w:val="24"/>
          <w:szCs w:val="24"/>
        </w:rPr>
        <w:t xml:space="preserve"> </w:t>
      </w:r>
    </w:p>
    <w:p w14:paraId="02970155" w14:textId="77777777" w:rsidR="000A7C45" w:rsidRPr="001F353F" w:rsidRDefault="000A7C45" w:rsidP="000A7C45">
      <w:pPr>
        <w:pStyle w:val="RALs-ReferencesList"/>
        <w:ind w:left="425" w:hanging="425"/>
        <w:rPr>
          <w:sz w:val="24"/>
          <w:szCs w:val="24"/>
        </w:rPr>
      </w:pPr>
      <w:r>
        <w:rPr>
          <w:sz w:val="24"/>
          <w:szCs w:val="24"/>
        </w:rPr>
        <w:t xml:space="preserve">White, C. (2008). Language learning strategies in independent language learning: An overview. In T. W. Lewis &amp; M. S. Hurd (Eds.), </w:t>
      </w:r>
      <w:r>
        <w:rPr>
          <w:i/>
          <w:iCs/>
          <w:sz w:val="24"/>
          <w:szCs w:val="24"/>
        </w:rPr>
        <w:t>Language learning strategies in independent settings</w:t>
      </w:r>
      <w:r>
        <w:rPr>
          <w:sz w:val="24"/>
          <w:szCs w:val="24"/>
        </w:rPr>
        <w:t xml:space="preserve"> (pp. 3–24). Multilingual Matters.</w:t>
      </w:r>
    </w:p>
    <w:p w14:paraId="761ADDD6" w14:textId="77777777" w:rsidR="000A7C45" w:rsidRPr="001F353F" w:rsidRDefault="000A7C45" w:rsidP="000A7C45">
      <w:pPr>
        <w:pStyle w:val="RALs-ReferencesList"/>
        <w:ind w:left="425" w:hanging="425"/>
        <w:rPr>
          <w:sz w:val="24"/>
          <w:szCs w:val="24"/>
        </w:rPr>
      </w:pPr>
      <w:r>
        <w:rPr>
          <w:sz w:val="24"/>
          <w:szCs w:val="24"/>
        </w:rPr>
        <w:t xml:space="preserve">Yang, L., &amp; Li, R. (2024). ChatGPT for L2 learning: Current status and implications. </w:t>
      </w:r>
      <w:r>
        <w:rPr>
          <w:i/>
          <w:iCs/>
          <w:sz w:val="24"/>
          <w:szCs w:val="24"/>
        </w:rPr>
        <w:t>System, 124</w:t>
      </w:r>
      <w:r>
        <w:rPr>
          <w:sz w:val="24"/>
          <w:szCs w:val="24"/>
        </w:rPr>
        <w:t xml:space="preserve">, 103351. </w:t>
      </w:r>
      <w:hyperlink r:id="rId46" w:history="1">
        <w:r>
          <w:rPr>
            <w:rStyle w:val="Hyperlink"/>
            <w:sz w:val="24"/>
            <w:szCs w:val="24"/>
            <w:u w:val="none"/>
          </w:rPr>
          <w:t>https://doi.org/10.1016/j.system.2024.103351</w:t>
        </w:r>
      </w:hyperlink>
      <w:r>
        <w:rPr>
          <w:sz w:val="24"/>
          <w:szCs w:val="24"/>
        </w:rPr>
        <w:t xml:space="preserve"> </w:t>
      </w:r>
    </w:p>
    <w:p w14:paraId="7FBD5147" w14:textId="77777777" w:rsidR="000A7C45" w:rsidRPr="001F353F" w:rsidRDefault="000A7C45" w:rsidP="000A7C45">
      <w:pPr>
        <w:pStyle w:val="RALs-ReferencesList"/>
        <w:ind w:left="425" w:hanging="425"/>
        <w:rPr>
          <w:sz w:val="24"/>
          <w:szCs w:val="24"/>
        </w:rPr>
      </w:pPr>
      <w:r>
        <w:rPr>
          <w:sz w:val="24"/>
          <w:szCs w:val="24"/>
        </w:rPr>
        <w:t xml:space="preserve">Zhang, R., &amp; Zou, D. (2024). Self-regulated second language learning: A review of types and benefits of strategies, modes of teacher support, and pedagogical implications. </w:t>
      </w:r>
      <w:r>
        <w:rPr>
          <w:i/>
          <w:iCs/>
          <w:sz w:val="24"/>
          <w:szCs w:val="24"/>
        </w:rPr>
        <w:t>Computer Assisted Language Learning, 37</w:t>
      </w:r>
      <w:r>
        <w:rPr>
          <w:sz w:val="24"/>
          <w:szCs w:val="24"/>
        </w:rPr>
        <w:t xml:space="preserve">(4), 720–765. </w:t>
      </w:r>
      <w:hyperlink r:id="rId47" w:history="1">
        <w:r>
          <w:rPr>
            <w:rStyle w:val="Hyperlink"/>
            <w:sz w:val="24"/>
            <w:szCs w:val="24"/>
            <w:u w:val="none"/>
          </w:rPr>
          <w:t>https://doi.org/10.1080/09588221.2022.2055081</w:t>
        </w:r>
      </w:hyperlink>
      <w:r>
        <w:rPr>
          <w:sz w:val="24"/>
          <w:szCs w:val="24"/>
        </w:rPr>
        <w:t xml:space="preserve"> </w:t>
      </w:r>
    </w:p>
    <w:p w14:paraId="1CE40F59" w14:textId="77777777" w:rsidR="000A7C45" w:rsidRPr="001F353F" w:rsidRDefault="000A7C45" w:rsidP="000A7C45">
      <w:pPr>
        <w:pStyle w:val="RALs-ReferencesList"/>
        <w:ind w:left="425" w:hanging="425"/>
        <w:rPr>
          <w:sz w:val="24"/>
          <w:szCs w:val="24"/>
        </w:rPr>
      </w:pPr>
      <w:r>
        <w:rPr>
          <w:sz w:val="24"/>
          <w:szCs w:val="24"/>
        </w:rPr>
        <w:t xml:space="preserve">Zhang, R., Zou, D., &amp; Cheng, G. (2023). Chatbot-based training on logical fallacy in EFL argumentative writing. </w:t>
      </w:r>
      <w:r>
        <w:rPr>
          <w:i/>
          <w:iCs/>
          <w:sz w:val="24"/>
          <w:szCs w:val="24"/>
        </w:rPr>
        <w:t>Innovation in Language Learning and Teaching, 17</w:t>
      </w:r>
      <w:r>
        <w:rPr>
          <w:sz w:val="24"/>
          <w:szCs w:val="24"/>
        </w:rPr>
        <w:t xml:space="preserve">(5), 932–945. </w:t>
      </w:r>
      <w:hyperlink r:id="rId48" w:history="1">
        <w:r>
          <w:rPr>
            <w:rStyle w:val="Hyperlink"/>
            <w:sz w:val="24"/>
            <w:szCs w:val="24"/>
            <w:u w:val="none"/>
          </w:rPr>
          <w:t>https://doi.org/10.1080/17501229.2023.2197417</w:t>
        </w:r>
      </w:hyperlink>
      <w:r>
        <w:rPr>
          <w:sz w:val="24"/>
          <w:szCs w:val="24"/>
        </w:rPr>
        <w:t xml:space="preserve"> </w:t>
      </w:r>
    </w:p>
    <w:p w14:paraId="742D9B3A" w14:textId="77777777" w:rsidR="00EE6618" w:rsidRDefault="00EE6618" w:rsidP="002334D9">
      <w:pPr>
        <w:pStyle w:val="RALs-ReferencesList"/>
        <w:ind w:left="0" w:firstLine="0"/>
        <w:rPr>
          <w:rFonts w:asciiTheme="majorBidi" w:eastAsiaTheme="minorHAnsi" w:hAnsiTheme="majorBidi" w:cstheme="majorBidi"/>
          <w:sz w:val="24"/>
          <w:szCs w:val="24"/>
          <w:rtl/>
        </w:rPr>
      </w:pPr>
    </w:p>
    <w:p w14:paraId="14A8EE5E" w14:textId="77777777" w:rsidR="002334D9" w:rsidRDefault="002334D9" w:rsidP="00374F3D">
      <w:pPr>
        <w:pStyle w:val="RALs-ReferencesList"/>
        <w:rPr>
          <w:rFonts w:asciiTheme="majorBidi" w:eastAsiaTheme="minorHAnsi" w:hAnsiTheme="majorBidi" w:cstheme="majorBidi"/>
          <w:b/>
          <w:bCs/>
          <w:sz w:val="24"/>
          <w:szCs w:val="24"/>
        </w:rPr>
      </w:pPr>
      <w:r>
        <w:rPr>
          <w:rFonts w:asciiTheme="majorBidi" w:eastAsiaTheme="minorHAnsi" w:hAnsiTheme="majorBidi" w:cstheme="majorBidi"/>
          <w:b/>
          <w:bCs/>
          <w:sz w:val="24"/>
          <w:szCs w:val="24"/>
        </w:rPr>
        <w:t>Bionote</w:t>
      </w:r>
    </w:p>
    <w:p w14:paraId="2FCD4E03" w14:textId="77777777" w:rsidR="004F6817" w:rsidRDefault="004F6817" w:rsidP="004F6817">
      <w:pPr>
        <w:pStyle w:val="RALs-ReferencesList"/>
        <w:ind w:left="0" w:firstLine="0"/>
        <w:rPr>
          <w:rFonts w:asciiTheme="majorBidi" w:hAnsiTheme="majorBidi" w:cstheme="majorBidi"/>
          <w:sz w:val="24"/>
          <w:szCs w:val="24"/>
        </w:rPr>
      </w:pPr>
      <w:r>
        <w:rPr>
          <w:rFonts w:asciiTheme="majorBidi" w:hAnsiTheme="majorBidi" w:cstheme="majorBidi"/>
          <w:b/>
          <w:bCs/>
          <w:sz w:val="24"/>
          <w:szCs w:val="24"/>
        </w:rPr>
        <w:t>Huynh Thanh Trung</w:t>
      </w:r>
      <w:r>
        <w:rPr>
          <w:rFonts w:asciiTheme="majorBidi" w:hAnsiTheme="majorBidi" w:cstheme="majorBidi"/>
          <w:sz w:val="24"/>
          <w:szCs w:val="24"/>
        </w:rPr>
        <w:t xml:space="preserve"> is an English lecturer at the Saigon Institute of Technology (SaigonTech) and an M.A. student in English Language Studies at HUTECH University. Moving from engineering to linguistics and literature, his research explores the synergy between technology and pedagogy. His academic interests include AI-driven self-directed learning, digital literacy, and literature education. He focuses on developing frameworks that help students utilize emerging technologies, fostering independence in both practical language acquisition and the study of literary works.</w:t>
      </w:r>
    </w:p>
    <w:p w14:paraId="723695F7" w14:textId="3BB2414B" w:rsidR="004F6817" w:rsidRDefault="004F6817" w:rsidP="004F6817">
      <w:pPr>
        <w:pStyle w:val="RALs-ReferencesList"/>
        <w:ind w:left="0" w:firstLine="0"/>
        <w:rPr>
          <w:rFonts w:asciiTheme="majorBidi" w:hAnsiTheme="majorBidi" w:cstheme="majorBidi"/>
          <w:sz w:val="24"/>
          <w:szCs w:val="24"/>
        </w:rPr>
      </w:pPr>
      <w:r>
        <w:rPr>
          <w:rFonts w:asciiTheme="majorBidi" w:hAnsiTheme="majorBidi" w:cstheme="majorBidi"/>
          <w:b/>
          <w:bCs/>
          <w:sz w:val="24"/>
          <w:szCs w:val="24"/>
        </w:rPr>
        <w:t>Chau Thi Kim Ngan</w:t>
      </w:r>
      <w:r>
        <w:rPr>
          <w:rFonts w:asciiTheme="majorBidi" w:hAnsiTheme="majorBidi" w:cstheme="majorBidi"/>
          <w:sz w:val="24"/>
          <w:szCs w:val="24"/>
        </w:rPr>
        <w:t xml:space="preserve"> is an English teacher at ASEL Language </w:t>
      </w:r>
      <w:r w:rsidR="00D46781">
        <w:rPr>
          <w:rFonts w:asciiTheme="majorBidi" w:hAnsiTheme="majorBidi" w:cstheme="majorBidi"/>
          <w:sz w:val="24"/>
          <w:szCs w:val="24"/>
        </w:rPr>
        <w:t>School</w:t>
      </w:r>
      <w:r>
        <w:rPr>
          <w:rFonts w:asciiTheme="majorBidi" w:hAnsiTheme="majorBidi" w:cstheme="majorBidi"/>
          <w:sz w:val="24"/>
          <w:szCs w:val="24"/>
        </w:rPr>
        <w:t xml:space="preserve"> and an MA student English Language at HUTECH University. Her primary research interests encompass English language pedagogy, AI-driven self-directed learning, and the innovative integration of AI tools </w:t>
      </w:r>
      <w:r>
        <w:rPr>
          <w:rFonts w:asciiTheme="majorBidi" w:hAnsiTheme="majorBidi" w:cstheme="majorBidi"/>
          <w:sz w:val="24"/>
          <w:szCs w:val="24"/>
        </w:rPr>
        <w:lastRenderedPageBreak/>
        <w:t>in language education. Her recent work focuses on utilizing AI in teaching methods to enhance EFL learners’ speaking performance and learning attitudes.</w:t>
      </w:r>
    </w:p>
    <w:p w14:paraId="33240C82" w14:textId="77777777" w:rsidR="004F6817" w:rsidRDefault="004F6817" w:rsidP="004F6817">
      <w:pPr>
        <w:pStyle w:val="RALs-ReferencesList"/>
        <w:ind w:left="0" w:firstLine="0"/>
        <w:rPr>
          <w:rFonts w:asciiTheme="majorBidi" w:hAnsiTheme="majorBidi" w:cstheme="majorBidi"/>
          <w:sz w:val="24"/>
          <w:szCs w:val="24"/>
        </w:rPr>
      </w:pPr>
      <w:r>
        <w:rPr>
          <w:rFonts w:asciiTheme="majorBidi" w:hAnsiTheme="majorBidi" w:cstheme="majorBidi"/>
          <w:b/>
          <w:bCs/>
          <w:sz w:val="24"/>
          <w:szCs w:val="24"/>
        </w:rPr>
        <w:t>Vo Thi Tien</w:t>
      </w:r>
      <w:r>
        <w:t xml:space="preserve"> </w:t>
      </w:r>
      <w:r>
        <w:rPr>
          <w:rFonts w:asciiTheme="majorBidi" w:hAnsiTheme="majorBidi" w:cstheme="majorBidi"/>
          <w:sz w:val="24"/>
          <w:szCs w:val="24"/>
        </w:rPr>
        <w:t>is an M.A. student in English language studies at HUTECH University. Her research interests regarding AI advancements in language education, AI-driven self-directed learning, and TESOL methodology. She would like to develop students’ digital literacy, which promotes their self-study motivation and enhances language competence.</w:t>
      </w:r>
    </w:p>
    <w:p w14:paraId="0900A0BC" w14:textId="77777777" w:rsidR="004F6817" w:rsidRPr="00E40940" w:rsidRDefault="004F6817" w:rsidP="004F6817">
      <w:pPr>
        <w:pStyle w:val="RALs-ReferencesList"/>
        <w:ind w:left="0" w:firstLine="0"/>
        <w:rPr>
          <w:rFonts w:asciiTheme="majorBidi" w:hAnsiTheme="majorBidi" w:cstheme="majorBidi"/>
          <w:sz w:val="24"/>
          <w:szCs w:val="24"/>
        </w:rPr>
      </w:pPr>
      <w:r>
        <w:rPr>
          <w:rFonts w:asciiTheme="majorBidi" w:hAnsiTheme="majorBidi" w:cstheme="majorBidi"/>
          <w:b/>
          <w:bCs/>
          <w:sz w:val="24"/>
          <w:szCs w:val="24"/>
        </w:rPr>
        <w:t>Tran Quoc Thao</w:t>
      </w:r>
      <w:r>
        <w:rPr>
          <w:rFonts w:asciiTheme="majorBidi" w:hAnsiTheme="majorBidi" w:cstheme="majorBidi"/>
          <w:sz w:val="24"/>
          <w:szCs w:val="24"/>
        </w:rPr>
        <w:t xml:space="preserve"> is working as a lecturer of English linguistics. His research areas are English language studies, TESOL methodology, and teacher professional development. He has served as a keynote speaker and an invited reviewer.</w:t>
      </w:r>
    </w:p>
    <w:p w14:paraId="7823070A" w14:textId="77777777" w:rsidR="00974B66" w:rsidRDefault="00000000">
      <w:pPr>
        <w:pageBreakBefore/>
        <w:spacing w:before="0" w:afterLines="120" w:after="288" w:line="480" w:lineRule="auto"/>
        <w:rPr>
          <w:b/>
          <w:bCs/>
          <w:sz w:val="24"/>
          <w:szCs w:val="24"/>
        </w:rPr>
      </w:pPr>
      <w:r>
        <w:rPr>
          <w:b/>
          <w:bCs/>
          <w:sz w:val="24"/>
          <w:szCs w:val="24"/>
        </w:rPr>
        <w:lastRenderedPageBreak/>
        <w:t>Appendix A</w:t>
      </w:r>
    </w:p>
    <w:p w14:paraId="72D1F40E" w14:textId="77777777" w:rsidR="00974B66" w:rsidRDefault="00000000">
      <w:pPr>
        <w:spacing w:before="0" w:afterLines="120" w:after="288" w:line="480" w:lineRule="auto"/>
        <w:rPr>
          <w:i/>
          <w:iCs/>
          <w:sz w:val="24"/>
          <w:szCs w:val="24"/>
        </w:rPr>
      </w:pPr>
      <w:r>
        <w:rPr>
          <w:i/>
          <w:iCs/>
          <w:sz w:val="24"/>
          <w:szCs w:val="24"/>
        </w:rPr>
        <w:t>Semi-Structured Interview Protocol</w:t>
      </w:r>
    </w:p>
    <w:p w14:paraId="7B8CACCD" w14:textId="77777777" w:rsidR="00974B66" w:rsidRDefault="00000000">
      <w:pPr>
        <w:spacing w:before="0" w:afterLines="120" w:after="288" w:line="480" w:lineRule="auto"/>
        <w:rPr>
          <w:sz w:val="24"/>
          <w:szCs w:val="24"/>
        </w:rPr>
      </w:pPr>
      <w:r>
        <w:rPr>
          <w:b/>
          <w:bCs/>
          <w:sz w:val="24"/>
          <w:szCs w:val="24"/>
        </w:rPr>
        <w:t xml:space="preserve">Part 1. Background. </w:t>
      </w:r>
      <w:r>
        <w:rPr>
          <w:sz w:val="24"/>
          <w:szCs w:val="24"/>
        </w:rPr>
        <w:t>1. Can you tell me a little about yourself, your name and what you study at Saigon College? (Why did you choose to study English?) 2. Do you enjoy learning English? Why or why not? (What part of English learning do you like best, e.g., speaking, writing?)</w:t>
      </w:r>
    </w:p>
    <w:p w14:paraId="5ECE2E14" w14:textId="77777777" w:rsidR="00974B66" w:rsidRDefault="00000000">
      <w:pPr>
        <w:spacing w:before="0" w:afterLines="120" w:after="288" w:line="480" w:lineRule="auto"/>
        <w:rPr>
          <w:sz w:val="24"/>
          <w:szCs w:val="24"/>
        </w:rPr>
      </w:pPr>
      <w:r>
        <w:rPr>
          <w:b/>
          <w:bCs/>
          <w:sz w:val="24"/>
          <w:szCs w:val="24"/>
        </w:rPr>
        <w:t xml:space="preserve">Part 2. AI Tool Use. </w:t>
      </w:r>
      <w:r>
        <w:rPr>
          <w:sz w:val="24"/>
          <w:szCs w:val="24"/>
        </w:rPr>
        <w:t>3. Which AI tools (e.g., Duolingo, ChatGPT, Grammarly, QuillBot, ELSA) do you use for learning English? (Why these? Are there others you tried but did not like?) 4. How often do you use AI tools for English learning, and when (e.g., at home, after class)? (Can you give an example?) 5. What English skills do you practice with AI tools (e.g., listening, speaking, reading, writing)? (Which skill the most? Why?)</w:t>
      </w:r>
    </w:p>
    <w:p w14:paraId="26CAADFA" w14:textId="77777777" w:rsidR="00974B66" w:rsidRDefault="00000000">
      <w:pPr>
        <w:spacing w:before="0" w:afterLines="120" w:after="288" w:line="480" w:lineRule="auto"/>
        <w:rPr>
          <w:sz w:val="24"/>
          <w:szCs w:val="24"/>
        </w:rPr>
      </w:pPr>
      <w:r>
        <w:rPr>
          <w:b/>
          <w:bCs/>
          <w:sz w:val="24"/>
          <w:szCs w:val="24"/>
        </w:rPr>
        <w:t xml:space="preserve">Part 3. Cognitive Strategies. </w:t>
      </w:r>
      <w:r>
        <w:rPr>
          <w:sz w:val="24"/>
          <w:szCs w:val="24"/>
        </w:rPr>
        <w:t>6. Do you use AI tools to learn new words or grammar? How? 7. Can you give an example of when AI helped you understand a text or a difficult sentence? 8. How do you use AI tools to practice writing or speaking better? 9. Have you ever used AI to make practice exercises for yourself? What kind?</w:t>
      </w:r>
    </w:p>
    <w:p w14:paraId="48811B33" w14:textId="77777777" w:rsidR="00974B66" w:rsidRDefault="00000000">
      <w:pPr>
        <w:spacing w:before="0" w:afterLines="120" w:after="288" w:line="480" w:lineRule="auto"/>
        <w:rPr>
          <w:sz w:val="24"/>
          <w:szCs w:val="24"/>
        </w:rPr>
      </w:pPr>
      <w:r>
        <w:rPr>
          <w:b/>
          <w:bCs/>
          <w:sz w:val="24"/>
          <w:szCs w:val="24"/>
        </w:rPr>
        <w:t xml:space="preserve">Part 4. Metacognitive Strategies. </w:t>
      </w:r>
      <w:r>
        <w:rPr>
          <w:sz w:val="24"/>
          <w:szCs w:val="24"/>
        </w:rPr>
        <w:t>10. Do you use AI to plan your study (e.g., daily goals, schedules)? Can you describe how? 11. How do you use AI to check your progress or find out your weaknesses? 12. Do you ever ask AI for advice about how to improve your English? What answers did it give? 13. How do you use AI to look back at your mistakes and learn from them?</w:t>
      </w:r>
    </w:p>
    <w:p w14:paraId="1BFD4307" w14:textId="77777777" w:rsidR="00974B66" w:rsidRDefault="00000000">
      <w:pPr>
        <w:spacing w:before="0" w:afterLines="120" w:after="288" w:line="480" w:lineRule="auto"/>
        <w:rPr>
          <w:sz w:val="24"/>
          <w:szCs w:val="24"/>
        </w:rPr>
      </w:pPr>
      <w:r>
        <w:rPr>
          <w:b/>
          <w:bCs/>
          <w:sz w:val="24"/>
          <w:szCs w:val="24"/>
        </w:rPr>
        <w:t xml:space="preserve">Part 5. Affective Strategies. </w:t>
      </w:r>
      <w:r>
        <w:rPr>
          <w:sz w:val="24"/>
          <w:szCs w:val="24"/>
        </w:rPr>
        <w:t xml:space="preserve">14. How do you feel when using AI tools to learn English (happy, relaxed, stressed, motivated)? 15. Do you feel more confident when you use AI to </w:t>
      </w:r>
      <w:r>
        <w:rPr>
          <w:sz w:val="24"/>
          <w:szCs w:val="24"/>
        </w:rPr>
        <w:lastRenderedPageBreak/>
        <w:t>practice speaking or writing? Why or why not? 16. Do you use AI tools for fun learning (games, songs, videos)? Which ones?</w:t>
      </w:r>
    </w:p>
    <w:p w14:paraId="5E0132AA" w14:textId="77777777" w:rsidR="00974B66" w:rsidRDefault="00000000">
      <w:pPr>
        <w:spacing w:before="0" w:afterLines="120" w:after="288" w:line="480" w:lineRule="auto"/>
        <w:rPr>
          <w:sz w:val="24"/>
          <w:szCs w:val="24"/>
        </w:rPr>
      </w:pPr>
      <w:r>
        <w:rPr>
          <w:b/>
          <w:bCs/>
          <w:sz w:val="24"/>
          <w:szCs w:val="24"/>
        </w:rPr>
        <w:t xml:space="preserve">Part 6. Social Strategies. </w:t>
      </w:r>
      <w:r>
        <w:rPr>
          <w:sz w:val="24"/>
          <w:szCs w:val="24"/>
        </w:rPr>
        <w:t>17. Have you ever used AI to practice conversations in English? What was it like? 18. Do you use AI to prepare for talking with classmates or teachers? How? 19. Have you ever used AI to help you in group work or discussions? Can you share an example? 20. Do you think AI can be a good partner for speaking practice? Why or why not?</w:t>
      </w:r>
    </w:p>
    <w:sectPr w:rsidR="00974B66" w:rsidSect="00316775">
      <w:footnotePr>
        <w:numRestart w:val="eachPage"/>
      </w:footnotePr>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011303E" w14:textId="77777777" w:rsidR="00641AAD" w:rsidRDefault="00641AAD" w:rsidP="00722EDE">
      <w:pPr>
        <w:spacing w:before="0" w:after="0" w:line="240" w:lineRule="auto"/>
      </w:pPr>
      <w:r>
        <w:separator/>
      </w:r>
    </w:p>
  </w:endnote>
  <w:endnote w:type="continuationSeparator" w:id="0">
    <w:p w14:paraId="443C8135" w14:textId="77777777" w:rsidR="00641AAD" w:rsidRDefault="00641AAD" w:rsidP="00722ED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panose1 w:val="020B0604020202020204"/>
    <w:charset w:val="B2"/>
    <w:family w:val="auto"/>
    <w:pitch w:val="variable"/>
    <w:sig w:usb0="00002001" w:usb1="80000000" w:usb2="00000008" w:usb3="00000000" w:csb0="00000040"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E71473" w14:textId="77777777" w:rsidR="00641AAD" w:rsidRDefault="00641AAD" w:rsidP="00722EDE">
      <w:pPr>
        <w:spacing w:before="0" w:after="0" w:line="240" w:lineRule="auto"/>
      </w:pPr>
      <w:r>
        <w:separator/>
      </w:r>
    </w:p>
  </w:footnote>
  <w:footnote w:type="continuationSeparator" w:id="0">
    <w:p w14:paraId="476D3AA3" w14:textId="77777777" w:rsidR="00641AAD" w:rsidRDefault="00641AAD" w:rsidP="00722EDE">
      <w:pPr>
        <w:spacing w:before="0" w:after="0" w:line="240" w:lineRule="auto"/>
      </w:pPr>
      <w:r>
        <w:continuationSeparator/>
      </w:r>
    </w:p>
  </w:footnote>
  <w:footnote w:id="1">
    <w:p w14:paraId="1AA3F80D" w14:textId="2C8FA980" w:rsidR="008F4DB5" w:rsidRPr="00D00215" w:rsidRDefault="008F4DB5" w:rsidP="008F4DB5">
      <w:pPr>
        <w:pStyle w:val="FootnoteText"/>
        <w:jc w:val="left"/>
        <w:rPr>
          <w:rFonts w:cs="Times New Roman"/>
        </w:rPr>
      </w:pPr>
      <w:r w:rsidRPr="00D00215">
        <w:rPr>
          <w:rStyle w:val="FootnoteReference"/>
          <w:rFonts w:cs="Times New Roman"/>
        </w:rPr>
        <w:footnoteRef/>
      </w:r>
      <w:r w:rsidRPr="00D00215">
        <w:rPr>
          <w:rFonts w:cs="Times New Roman"/>
        </w:rPr>
        <w:t xml:space="preserve"> </w:t>
      </w:r>
      <w:r w:rsidRPr="00D00215">
        <w:rPr>
          <w:rFonts w:cs="Times New Roman"/>
          <w:spacing w:val="-2"/>
        </w:rPr>
        <w:t>Corresponding author</w:t>
      </w:r>
      <w:r>
        <w:rPr>
          <w:rFonts w:cs="Times New Roman"/>
          <w:spacing w:val="-2"/>
        </w:rPr>
        <w:t xml:space="preserve"> (presenting author)</w:t>
      </w:r>
      <w:r w:rsidRPr="00D00215">
        <w:rPr>
          <w:rFonts w:cs="Times New Roman"/>
          <w:spacing w:val="-2"/>
        </w:rPr>
        <w:t>,</w:t>
      </w:r>
      <w:r>
        <w:rPr>
          <w:rFonts w:cs="Times New Roman"/>
          <w:spacing w:val="-2"/>
        </w:rPr>
        <w:t xml:space="preserve"> </w:t>
      </w:r>
      <w:r>
        <w:rPr>
          <w:rFonts w:cs="Times New Roman"/>
        </w:rPr>
        <w:t xml:space="preserve">Lecturer, </w:t>
      </w:r>
      <w:r>
        <w:rPr>
          <w:rFonts w:cs="Times New Roman"/>
          <w:spacing w:val="-2"/>
        </w:rPr>
        <w:t>English</w:t>
      </w:r>
      <w:r w:rsidRPr="00D00215">
        <w:rPr>
          <w:rFonts w:cs="Times New Roman"/>
          <w:spacing w:val="-2"/>
        </w:rPr>
        <w:t xml:space="preserve">, </w:t>
      </w:r>
      <w:r>
        <w:rPr>
          <w:rFonts w:cs="Times New Roman"/>
          <w:spacing w:val="-2"/>
        </w:rPr>
        <w:t>Saigon</w:t>
      </w:r>
      <w:r w:rsidR="008A1B7B">
        <w:rPr>
          <w:rFonts w:cs="Times New Roman"/>
          <w:spacing w:val="-2"/>
        </w:rPr>
        <w:t xml:space="preserve"> Institute of Technology</w:t>
      </w:r>
      <w:r w:rsidRPr="00D00215">
        <w:rPr>
          <w:rFonts w:cs="Times New Roman"/>
          <w:spacing w:val="-2"/>
        </w:rPr>
        <w:t xml:space="preserve">, </w:t>
      </w:r>
      <w:r>
        <w:rPr>
          <w:rFonts w:cs="Times New Roman"/>
          <w:spacing w:val="-2"/>
        </w:rPr>
        <w:t>HCMC</w:t>
      </w:r>
      <w:r w:rsidRPr="00D00215">
        <w:rPr>
          <w:rFonts w:cs="Times New Roman"/>
          <w:spacing w:val="-2"/>
        </w:rPr>
        <w:t xml:space="preserve">, </w:t>
      </w:r>
      <w:r>
        <w:rPr>
          <w:rFonts w:cs="Times New Roman"/>
          <w:spacing w:val="-2"/>
        </w:rPr>
        <w:t>Vietnam</w:t>
      </w:r>
      <w:r w:rsidRPr="00D00215">
        <w:rPr>
          <w:rFonts w:cs="Times New Roman"/>
          <w:spacing w:val="-2"/>
        </w:rPr>
        <w:t xml:space="preserve">; </w:t>
      </w:r>
      <w:r>
        <w:rPr>
          <w:rFonts w:cs="Times New Roman"/>
          <w:i/>
          <w:iCs/>
          <w:spacing w:val="-2"/>
        </w:rPr>
        <w:t>Email:</w:t>
      </w:r>
      <w:r>
        <w:rPr>
          <w:rFonts w:cs="Times New Roman"/>
          <w:i/>
          <w:iCs/>
        </w:rPr>
        <w:t xml:space="preserve"> trunght</w:t>
      </w:r>
      <w:r w:rsidRPr="00B57AAC">
        <w:rPr>
          <w:rFonts w:cs="Times New Roman"/>
          <w:i/>
          <w:iCs/>
        </w:rPr>
        <w:t>@</w:t>
      </w:r>
      <w:r>
        <w:rPr>
          <w:rFonts w:cs="Times New Roman"/>
          <w:i/>
          <w:iCs/>
        </w:rPr>
        <w:t>saigontech</w:t>
      </w:r>
      <w:r w:rsidRPr="00B57AAC">
        <w:rPr>
          <w:rFonts w:cs="Times New Roman"/>
          <w:i/>
          <w:iCs/>
        </w:rPr>
        <w:t>.edu.vn</w:t>
      </w:r>
    </w:p>
  </w:footnote>
  <w:footnote w:id="2">
    <w:p w14:paraId="1F6FDC3F" w14:textId="32F66D18" w:rsidR="008F4DB5" w:rsidRPr="00D00215" w:rsidRDefault="008F4DB5" w:rsidP="008F4DB5">
      <w:pPr>
        <w:pStyle w:val="FootnoteText"/>
        <w:jc w:val="left"/>
        <w:rPr>
          <w:rFonts w:cs="Times New Roman"/>
        </w:rPr>
      </w:pPr>
      <w:r w:rsidRPr="00D00215">
        <w:rPr>
          <w:rStyle w:val="FootnoteReference"/>
          <w:rFonts w:cs="Times New Roman"/>
        </w:rPr>
        <w:footnoteRef/>
      </w:r>
      <w:r w:rsidRPr="00D00215">
        <w:rPr>
          <w:rFonts w:cs="Times New Roman"/>
        </w:rPr>
        <w:t xml:space="preserve"> </w:t>
      </w:r>
      <w:r>
        <w:rPr>
          <w:rFonts w:cs="Times New Roman"/>
        </w:rPr>
        <w:t>Teacher</w:t>
      </w:r>
      <w:r>
        <w:rPr>
          <w:rFonts w:cs="Times New Roman"/>
          <w:spacing w:val="-2"/>
        </w:rPr>
        <w:t xml:space="preserve">, ASEL </w:t>
      </w:r>
      <w:r w:rsidR="00E96B99">
        <w:rPr>
          <w:rFonts w:cs="Times New Roman"/>
          <w:spacing w:val="-2"/>
        </w:rPr>
        <w:t>Language</w:t>
      </w:r>
      <w:r>
        <w:rPr>
          <w:rFonts w:cs="Times New Roman"/>
          <w:spacing w:val="-2"/>
        </w:rPr>
        <w:t xml:space="preserve"> School</w:t>
      </w:r>
      <w:r w:rsidRPr="00D00215">
        <w:rPr>
          <w:rFonts w:cs="Times New Roman"/>
          <w:spacing w:val="-2"/>
        </w:rPr>
        <w:t xml:space="preserve">, </w:t>
      </w:r>
      <w:r>
        <w:rPr>
          <w:rFonts w:cs="Times New Roman"/>
          <w:spacing w:val="-2"/>
        </w:rPr>
        <w:t>Long An</w:t>
      </w:r>
      <w:r w:rsidRPr="00D00215">
        <w:rPr>
          <w:rFonts w:cs="Times New Roman"/>
          <w:spacing w:val="-2"/>
        </w:rPr>
        <w:t xml:space="preserve">, </w:t>
      </w:r>
      <w:r>
        <w:rPr>
          <w:rFonts w:cs="Times New Roman"/>
          <w:spacing w:val="-2"/>
        </w:rPr>
        <w:t>Vietnam</w:t>
      </w:r>
    </w:p>
  </w:footnote>
  <w:footnote w:id="3">
    <w:p w14:paraId="21612857" w14:textId="77777777" w:rsidR="008F4DB5" w:rsidRDefault="008F4DB5" w:rsidP="008F4DB5">
      <w:pPr>
        <w:pStyle w:val="FootnoteText"/>
        <w:jc w:val="left"/>
      </w:pPr>
      <w:r w:rsidRPr="00D00215">
        <w:rPr>
          <w:rStyle w:val="FootnoteReference"/>
          <w:rFonts w:cs="Times New Roman"/>
        </w:rPr>
        <w:footnoteRef/>
      </w:r>
      <w:r w:rsidRPr="00D00215">
        <w:rPr>
          <w:rFonts w:cs="Times New Roman"/>
        </w:rPr>
        <w:t xml:space="preserve"> </w:t>
      </w:r>
      <w:r>
        <w:rPr>
          <w:rFonts w:cs="Times New Roman"/>
        </w:rPr>
        <w:t>Post-graduate student</w:t>
      </w:r>
      <w:r>
        <w:rPr>
          <w:rFonts w:cs="Times New Roman"/>
          <w:spacing w:val="-2"/>
        </w:rPr>
        <w:t>, English</w:t>
      </w:r>
      <w:r w:rsidRPr="00D00215">
        <w:rPr>
          <w:rFonts w:cs="Times New Roman"/>
          <w:spacing w:val="-2"/>
        </w:rPr>
        <w:t xml:space="preserve">, </w:t>
      </w:r>
      <w:r w:rsidRPr="00B57AAC">
        <w:rPr>
          <w:rFonts w:cs="Times New Roman"/>
          <w:spacing w:val="-2"/>
        </w:rPr>
        <w:t>Ho Chi Minh City</w:t>
      </w:r>
      <w:r>
        <w:rPr>
          <w:rFonts w:cs="Times New Roman"/>
          <w:spacing w:val="-2"/>
        </w:rPr>
        <w:t xml:space="preserve"> University of Technology</w:t>
      </w:r>
      <w:r w:rsidRPr="00D00215">
        <w:rPr>
          <w:rFonts w:cs="Times New Roman"/>
          <w:spacing w:val="-2"/>
        </w:rPr>
        <w:t xml:space="preserve">, </w:t>
      </w:r>
      <w:r>
        <w:rPr>
          <w:rFonts w:cs="Times New Roman"/>
          <w:spacing w:val="-2"/>
        </w:rPr>
        <w:t>HCMC</w:t>
      </w:r>
      <w:r w:rsidRPr="00D00215">
        <w:rPr>
          <w:rFonts w:cs="Times New Roman"/>
          <w:spacing w:val="-2"/>
        </w:rPr>
        <w:t xml:space="preserve">, </w:t>
      </w:r>
      <w:r>
        <w:rPr>
          <w:rFonts w:cs="Times New Roman"/>
          <w:spacing w:val="-2"/>
        </w:rPr>
        <w:t>Vietnam</w:t>
      </w:r>
    </w:p>
  </w:footnote>
  <w:footnote w:id="4">
    <w:p w14:paraId="27556813" w14:textId="26BCF691" w:rsidR="008F4DB5" w:rsidRDefault="008F4DB5" w:rsidP="008F4DB5">
      <w:pPr>
        <w:pStyle w:val="FootnoteText"/>
        <w:jc w:val="left"/>
      </w:pPr>
      <w:r>
        <w:rPr>
          <w:rStyle w:val="FootnoteReference"/>
        </w:rPr>
        <w:footnoteRef/>
      </w:r>
      <w:r>
        <w:t xml:space="preserve"> </w:t>
      </w:r>
      <w:r w:rsidRPr="0012543E">
        <w:rPr>
          <w:rFonts w:cs="Times New Roman"/>
        </w:rPr>
        <w:t>Associate Professor</w:t>
      </w:r>
      <w:r>
        <w:rPr>
          <w:rFonts w:cs="Times New Roman"/>
          <w:spacing w:val="-2"/>
        </w:rPr>
        <w:t xml:space="preserve">, </w:t>
      </w:r>
      <w:r w:rsidRPr="00D16C55">
        <w:rPr>
          <w:rFonts w:cs="Times New Roman"/>
          <w:spacing w:val="-2"/>
        </w:rPr>
        <w:t>Foreign Languages</w:t>
      </w:r>
      <w:r>
        <w:rPr>
          <w:rFonts w:cs="Times New Roman"/>
          <w:spacing w:val="-2"/>
        </w:rPr>
        <w:t>,</w:t>
      </w:r>
      <w:r w:rsidRPr="00D16C55">
        <w:rPr>
          <w:rFonts w:cs="Times New Roman"/>
          <w:spacing w:val="-2"/>
        </w:rPr>
        <w:t xml:space="preserve"> </w:t>
      </w:r>
      <w:r w:rsidR="00947CDE">
        <w:rPr>
          <w:rFonts w:cs="Times New Roman"/>
          <w:spacing w:val="-2"/>
        </w:rPr>
        <w:t xml:space="preserve">Nguyen Tat Thanh </w:t>
      </w:r>
      <w:r w:rsidRPr="00B57AAC">
        <w:rPr>
          <w:rFonts w:cs="Times New Roman"/>
          <w:spacing w:val="-2"/>
        </w:rPr>
        <w:t>University, HCMC, Vietnam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907A5C"/>
    <w:multiLevelType w:val="hybridMultilevel"/>
    <w:tmpl w:val="86C46D0E"/>
    <w:lvl w:ilvl="0" w:tplc="294C960C">
      <w:start w:val="1"/>
      <w:numFmt w:val="decimal"/>
      <w:pStyle w:val="RALs-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1DF14F8"/>
    <w:multiLevelType w:val="multilevel"/>
    <w:tmpl w:val="6028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76035710">
    <w:abstractNumId w:val="0"/>
  </w:num>
  <w:num w:numId="2" w16cid:durableId="110094793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hideSpellingErrors/>
  <w:hideGrammaticalErrors/>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rQ0N7A0MjcyMrQwM7FQ0lEKTi0uzszPAykwrgUAnDZwhSwAAAA="/>
  </w:docVars>
  <w:rsids>
    <w:rsidRoot w:val="009A2266"/>
    <w:rsid w:val="0000037D"/>
    <w:rsid w:val="000201FD"/>
    <w:rsid w:val="0002206F"/>
    <w:rsid w:val="000255FB"/>
    <w:rsid w:val="0004357B"/>
    <w:rsid w:val="000452F9"/>
    <w:rsid w:val="00057043"/>
    <w:rsid w:val="0008495B"/>
    <w:rsid w:val="00085AAE"/>
    <w:rsid w:val="00097731"/>
    <w:rsid w:val="000A7C45"/>
    <w:rsid w:val="000D02DA"/>
    <w:rsid w:val="000F5838"/>
    <w:rsid w:val="00100186"/>
    <w:rsid w:val="001056A2"/>
    <w:rsid w:val="00105F23"/>
    <w:rsid w:val="001456F2"/>
    <w:rsid w:val="00146BB8"/>
    <w:rsid w:val="00170E4D"/>
    <w:rsid w:val="00197070"/>
    <w:rsid w:val="001A592F"/>
    <w:rsid w:val="001C1374"/>
    <w:rsid w:val="001D1F3F"/>
    <w:rsid w:val="001F353F"/>
    <w:rsid w:val="002177BC"/>
    <w:rsid w:val="00230B4C"/>
    <w:rsid w:val="002334D9"/>
    <w:rsid w:val="0024049F"/>
    <w:rsid w:val="002639BD"/>
    <w:rsid w:val="00263B94"/>
    <w:rsid w:val="00263F22"/>
    <w:rsid w:val="00280CBE"/>
    <w:rsid w:val="002835DB"/>
    <w:rsid w:val="0028611B"/>
    <w:rsid w:val="00291EBB"/>
    <w:rsid w:val="002A407A"/>
    <w:rsid w:val="002E2E9D"/>
    <w:rsid w:val="002E660C"/>
    <w:rsid w:val="00305879"/>
    <w:rsid w:val="00316775"/>
    <w:rsid w:val="00323000"/>
    <w:rsid w:val="00352213"/>
    <w:rsid w:val="00352D49"/>
    <w:rsid w:val="003647CD"/>
    <w:rsid w:val="003669C4"/>
    <w:rsid w:val="00367603"/>
    <w:rsid w:val="00374F3D"/>
    <w:rsid w:val="00382175"/>
    <w:rsid w:val="00385D90"/>
    <w:rsid w:val="003943D0"/>
    <w:rsid w:val="003C1DED"/>
    <w:rsid w:val="003C6FB6"/>
    <w:rsid w:val="003D25EB"/>
    <w:rsid w:val="003E0397"/>
    <w:rsid w:val="003E053B"/>
    <w:rsid w:val="003E316B"/>
    <w:rsid w:val="003E395E"/>
    <w:rsid w:val="003E59B6"/>
    <w:rsid w:val="003E7741"/>
    <w:rsid w:val="003E7F04"/>
    <w:rsid w:val="003F2933"/>
    <w:rsid w:val="003F638B"/>
    <w:rsid w:val="00482B8D"/>
    <w:rsid w:val="00486E01"/>
    <w:rsid w:val="00492B4B"/>
    <w:rsid w:val="004B1856"/>
    <w:rsid w:val="004D0465"/>
    <w:rsid w:val="004D0DEA"/>
    <w:rsid w:val="004F6817"/>
    <w:rsid w:val="004F6C81"/>
    <w:rsid w:val="00515819"/>
    <w:rsid w:val="00531702"/>
    <w:rsid w:val="00531AC5"/>
    <w:rsid w:val="00534412"/>
    <w:rsid w:val="0054302F"/>
    <w:rsid w:val="0055247B"/>
    <w:rsid w:val="0055635B"/>
    <w:rsid w:val="005765CF"/>
    <w:rsid w:val="005A4FE8"/>
    <w:rsid w:val="005C2AED"/>
    <w:rsid w:val="005D200D"/>
    <w:rsid w:val="005D2F0F"/>
    <w:rsid w:val="005E6521"/>
    <w:rsid w:val="005F191B"/>
    <w:rsid w:val="005F4AE4"/>
    <w:rsid w:val="0060356B"/>
    <w:rsid w:val="006060AE"/>
    <w:rsid w:val="00622A07"/>
    <w:rsid w:val="00627588"/>
    <w:rsid w:val="006342C0"/>
    <w:rsid w:val="00641AAD"/>
    <w:rsid w:val="006505BE"/>
    <w:rsid w:val="00660CAB"/>
    <w:rsid w:val="006A0AE2"/>
    <w:rsid w:val="006B53B1"/>
    <w:rsid w:val="006C25A9"/>
    <w:rsid w:val="006D5B06"/>
    <w:rsid w:val="006F01BE"/>
    <w:rsid w:val="00720958"/>
    <w:rsid w:val="00721C75"/>
    <w:rsid w:val="00722EDE"/>
    <w:rsid w:val="007270FC"/>
    <w:rsid w:val="00731225"/>
    <w:rsid w:val="00734681"/>
    <w:rsid w:val="00743976"/>
    <w:rsid w:val="007507FE"/>
    <w:rsid w:val="00762AAD"/>
    <w:rsid w:val="007A0990"/>
    <w:rsid w:val="007B0905"/>
    <w:rsid w:val="007B32FB"/>
    <w:rsid w:val="007B54D6"/>
    <w:rsid w:val="007C381A"/>
    <w:rsid w:val="007D5DDC"/>
    <w:rsid w:val="007E3436"/>
    <w:rsid w:val="008159F4"/>
    <w:rsid w:val="00827AFA"/>
    <w:rsid w:val="0083479A"/>
    <w:rsid w:val="0084425D"/>
    <w:rsid w:val="00847550"/>
    <w:rsid w:val="00871571"/>
    <w:rsid w:val="00881C36"/>
    <w:rsid w:val="008A138E"/>
    <w:rsid w:val="008A1B7B"/>
    <w:rsid w:val="008D43D0"/>
    <w:rsid w:val="008D6242"/>
    <w:rsid w:val="008F4DB5"/>
    <w:rsid w:val="008F6781"/>
    <w:rsid w:val="00903E4E"/>
    <w:rsid w:val="00906B59"/>
    <w:rsid w:val="00923725"/>
    <w:rsid w:val="00934FC5"/>
    <w:rsid w:val="00942596"/>
    <w:rsid w:val="00943C2F"/>
    <w:rsid w:val="00947CDE"/>
    <w:rsid w:val="00950C30"/>
    <w:rsid w:val="009627F9"/>
    <w:rsid w:val="00974B66"/>
    <w:rsid w:val="009828BE"/>
    <w:rsid w:val="00983B18"/>
    <w:rsid w:val="009850E0"/>
    <w:rsid w:val="0098763D"/>
    <w:rsid w:val="009A2266"/>
    <w:rsid w:val="009B3A3D"/>
    <w:rsid w:val="009B49AA"/>
    <w:rsid w:val="009C28C7"/>
    <w:rsid w:val="009C769E"/>
    <w:rsid w:val="009E1A33"/>
    <w:rsid w:val="00A01970"/>
    <w:rsid w:val="00A43867"/>
    <w:rsid w:val="00A5527A"/>
    <w:rsid w:val="00A6273B"/>
    <w:rsid w:val="00A6623E"/>
    <w:rsid w:val="00A96664"/>
    <w:rsid w:val="00AA0B64"/>
    <w:rsid w:val="00AA1CAC"/>
    <w:rsid w:val="00AA5C97"/>
    <w:rsid w:val="00AA5CF0"/>
    <w:rsid w:val="00AB1BE1"/>
    <w:rsid w:val="00AB26A1"/>
    <w:rsid w:val="00AB40B0"/>
    <w:rsid w:val="00AD29B9"/>
    <w:rsid w:val="00AD7745"/>
    <w:rsid w:val="00AE1120"/>
    <w:rsid w:val="00B13FAF"/>
    <w:rsid w:val="00B21B0A"/>
    <w:rsid w:val="00B45155"/>
    <w:rsid w:val="00B65CC6"/>
    <w:rsid w:val="00B73A1A"/>
    <w:rsid w:val="00B827E7"/>
    <w:rsid w:val="00B9554F"/>
    <w:rsid w:val="00BA7885"/>
    <w:rsid w:val="00BB7C5E"/>
    <w:rsid w:val="00BD2461"/>
    <w:rsid w:val="00C04ADD"/>
    <w:rsid w:val="00C07271"/>
    <w:rsid w:val="00C15269"/>
    <w:rsid w:val="00C47E23"/>
    <w:rsid w:val="00C51D2A"/>
    <w:rsid w:val="00C66A0F"/>
    <w:rsid w:val="00C863B2"/>
    <w:rsid w:val="00C86B20"/>
    <w:rsid w:val="00CA06A9"/>
    <w:rsid w:val="00CD3D29"/>
    <w:rsid w:val="00CD51BA"/>
    <w:rsid w:val="00CD5CC3"/>
    <w:rsid w:val="00CE7554"/>
    <w:rsid w:val="00CF6750"/>
    <w:rsid w:val="00D107F2"/>
    <w:rsid w:val="00D27A4B"/>
    <w:rsid w:val="00D3302B"/>
    <w:rsid w:val="00D33453"/>
    <w:rsid w:val="00D46781"/>
    <w:rsid w:val="00D47302"/>
    <w:rsid w:val="00D50A1C"/>
    <w:rsid w:val="00D974CA"/>
    <w:rsid w:val="00DA58E3"/>
    <w:rsid w:val="00DB17BA"/>
    <w:rsid w:val="00DC5B1A"/>
    <w:rsid w:val="00DC5BCF"/>
    <w:rsid w:val="00DD1C98"/>
    <w:rsid w:val="00DD7139"/>
    <w:rsid w:val="00DE422F"/>
    <w:rsid w:val="00DE7B3A"/>
    <w:rsid w:val="00DF7237"/>
    <w:rsid w:val="00E404B9"/>
    <w:rsid w:val="00E40940"/>
    <w:rsid w:val="00E60357"/>
    <w:rsid w:val="00E73EE6"/>
    <w:rsid w:val="00E96B99"/>
    <w:rsid w:val="00EB35B5"/>
    <w:rsid w:val="00EB5466"/>
    <w:rsid w:val="00EB6D23"/>
    <w:rsid w:val="00EC1FC8"/>
    <w:rsid w:val="00EE6618"/>
    <w:rsid w:val="00F03E1A"/>
    <w:rsid w:val="00F206F1"/>
    <w:rsid w:val="00F528AE"/>
    <w:rsid w:val="00F63596"/>
    <w:rsid w:val="00F80056"/>
    <w:rsid w:val="00F80631"/>
    <w:rsid w:val="00F824FD"/>
    <w:rsid w:val="00F905F8"/>
    <w:rsid w:val="00F9439E"/>
    <w:rsid w:val="00FA02BB"/>
    <w:rsid w:val="00FB096F"/>
    <w:rsid w:val="00FB2BFF"/>
    <w:rsid w:val="00FD0075"/>
    <w:rsid w:val="00FF01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54BB4"/>
  <w15:chartTrackingRefBased/>
  <w15:docId w15:val="{DD5760AE-0898-44F4-9D35-40A16B40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EDE"/>
    <w:pPr>
      <w:spacing w:before="120" w:after="60" w:line="276" w:lineRule="auto"/>
      <w:ind w:firstLine="720"/>
      <w:jc w:val="both"/>
    </w:pPr>
    <w:rPr>
      <w:rFonts w:ascii="Times New Roman" w:eastAsia="Times New Roman" w:hAnsi="Times New Roman" w:cs="B Za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Ls-Authors">
    <w:name w:val="RALs-Authors"/>
    <w:basedOn w:val="Normal"/>
    <w:next w:val="RALs-HeadingsNoIndent"/>
    <w:qFormat/>
    <w:rsid w:val="00722EDE"/>
    <w:pPr>
      <w:spacing w:after="120" w:line="240" w:lineRule="auto"/>
      <w:jc w:val="center"/>
    </w:pPr>
    <w:rPr>
      <w:rFonts w:cs="Times New Roman"/>
      <w:i/>
      <w:szCs w:val="20"/>
      <w:lang w:bidi="fa-IR"/>
    </w:rPr>
  </w:style>
  <w:style w:type="paragraph" w:customStyle="1" w:styleId="RALs-Title">
    <w:name w:val="RALs-Title"/>
    <w:basedOn w:val="Normal"/>
    <w:next w:val="Normal"/>
    <w:link w:val="RALs-TitleChar"/>
    <w:qFormat/>
    <w:rsid w:val="00722EDE"/>
    <w:pPr>
      <w:spacing w:after="0"/>
      <w:ind w:firstLine="0"/>
      <w:jc w:val="center"/>
      <w:outlineLvl w:val="0"/>
    </w:pPr>
    <w:rPr>
      <w:rFonts w:cs="Times New Roman"/>
      <w:b/>
      <w:sz w:val="28"/>
      <w:szCs w:val="28"/>
      <w:lang w:val="x-none" w:eastAsia="x-none" w:bidi="fa-IR"/>
    </w:rPr>
  </w:style>
  <w:style w:type="character" w:customStyle="1" w:styleId="RALs-TitleChar">
    <w:name w:val="RALs-Title Char"/>
    <w:link w:val="RALs-Title"/>
    <w:rsid w:val="00722EDE"/>
    <w:rPr>
      <w:rFonts w:ascii="Times New Roman" w:eastAsia="Times New Roman" w:hAnsi="Times New Roman" w:cs="Times New Roman"/>
      <w:b/>
      <w:sz w:val="28"/>
      <w:szCs w:val="28"/>
      <w:lang w:val="x-none" w:eastAsia="x-none" w:bidi="fa-IR"/>
    </w:rPr>
  </w:style>
  <w:style w:type="paragraph" w:customStyle="1" w:styleId="RALs-PersianText">
    <w:name w:val="RALs-PersianText"/>
    <w:basedOn w:val="Normal"/>
    <w:qFormat/>
    <w:rsid w:val="00722EDE"/>
    <w:pPr>
      <w:bidi/>
      <w:spacing w:line="240" w:lineRule="auto"/>
      <w:ind w:left="567" w:firstLine="0"/>
    </w:pPr>
    <w:rPr>
      <w:lang w:bidi="fa-IR"/>
    </w:rPr>
  </w:style>
  <w:style w:type="paragraph" w:customStyle="1" w:styleId="RALs-ReferencesList">
    <w:name w:val="RALs-ReferencesList"/>
    <w:basedOn w:val="Normal"/>
    <w:qFormat/>
    <w:rsid w:val="00722EDE"/>
    <w:pPr>
      <w:spacing w:after="100"/>
      <w:ind w:left="426" w:hanging="426"/>
    </w:pPr>
    <w:rPr>
      <w:szCs w:val="20"/>
    </w:rPr>
  </w:style>
  <w:style w:type="paragraph" w:customStyle="1" w:styleId="RALs-BlockQuote">
    <w:name w:val="RALs-BlockQuote"/>
    <w:basedOn w:val="Normal"/>
    <w:next w:val="Normal"/>
    <w:qFormat/>
    <w:rsid w:val="00722EDE"/>
    <w:pPr>
      <w:spacing w:after="120"/>
      <w:ind w:left="754" w:firstLine="0"/>
    </w:pPr>
  </w:style>
  <w:style w:type="paragraph" w:styleId="Header">
    <w:name w:val="header"/>
    <w:basedOn w:val="Normal"/>
    <w:link w:val="HeaderChar"/>
    <w:uiPriority w:val="99"/>
    <w:unhideWhenUsed/>
    <w:rsid w:val="00722E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EDE"/>
    <w:rPr>
      <w:rFonts w:ascii="Times New Roman" w:eastAsia="Times New Roman" w:hAnsi="Times New Roman" w:cs="B Zar"/>
      <w:sz w:val="20"/>
    </w:rPr>
  </w:style>
  <w:style w:type="paragraph" w:styleId="Footer">
    <w:name w:val="footer"/>
    <w:aliases w:val="RALs-"/>
    <w:basedOn w:val="FootnoteText"/>
    <w:link w:val="FooterChar"/>
    <w:uiPriority w:val="99"/>
    <w:unhideWhenUsed/>
    <w:rsid w:val="00722EDE"/>
    <w:pPr>
      <w:ind w:firstLine="0"/>
    </w:pPr>
  </w:style>
  <w:style w:type="character" w:customStyle="1" w:styleId="FooterChar">
    <w:name w:val="Footer Char"/>
    <w:aliases w:val="RALs- Char"/>
    <w:basedOn w:val="DefaultParagraphFont"/>
    <w:link w:val="Footer"/>
    <w:uiPriority w:val="99"/>
    <w:rsid w:val="00722EDE"/>
    <w:rPr>
      <w:rFonts w:ascii="Times New Roman" w:eastAsia="Times New Roman" w:hAnsi="Times New Roman" w:cs="B Zar"/>
      <w:sz w:val="20"/>
      <w:szCs w:val="20"/>
    </w:rPr>
  </w:style>
  <w:style w:type="paragraph" w:customStyle="1" w:styleId="RALs-Heading1">
    <w:name w:val="RALs-Heading1"/>
    <w:basedOn w:val="Normal"/>
    <w:next w:val="Normal"/>
    <w:qFormat/>
    <w:rsid w:val="00722EDE"/>
    <w:pPr>
      <w:keepNext/>
      <w:spacing w:before="240" w:after="0"/>
      <w:ind w:left="284" w:hanging="284"/>
      <w:jc w:val="center"/>
    </w:pPr>
    <w:rPr>
      <w:b/>
      <w:bCs/>
    </w:rPr>
  </w:style>
  <w:style w:type="paragraph" w:customStyle="1" w:styleId="RALs-Heading2">
    <w:name w:val="RALs-Heading2"/>
    <w:basedOn w:val="Normal"/>
    <w:next w:val="Normal"/>
    <w:qFormat/>
    <w:rsid w:val="00722EDE"/>
    <w:pPr>
      <w:keepNext/>
      <w:spacing w:before="180"/>
      <w:ind w:left="284" w:hanging="284"/>
    </w:pPr>
    <w:rPr>
      <w:b/>
      <w:bCs/>
      <w:i/>
      <w:iCs/>
    </w:rPr>
  </w:style>
  <w:style w:type="paragraph" w:customStyle="1" w:styleId="RALs-Heading3">
    <w:name w:val="RALs-Heading3"/>
    <w:basedOn w:val="Normal"/>
    <w:next w:val="Normal"/>
    <w:qFormat/>
    <w:rsid w:val="00722EDE"/>
    <w:pPr>
      <w:keepNext/>
      <w:ind w:left="284" w:hanging="284"/>
    </w:pPr>
    <w:rPr>
      <w:i/>
      <w:iCs/>
    </w:rPr>
  </w:style>
  <w:style w:type="paragraph" w:customStyle="1" w:styleId="RALs-HeadingsNoIndent">
    <w:name w:val="RALs-HeadingsNoIndent"/>
    <w:basedOn w:val="Normal"/>
    <w:next w:val="RALs-Normal-NoIndent"/>
    <w:qFormat/>
    <w:rsid w:val="00722EDE"/>
    <w:pPr>
      <w:keepNext/>
      <w:spacing w:before="240"/>
      <w:ind w:firstLine="0"/>
    </w:pPr>
    <w:rPr>
      <w:b/>
      <w:bCs/>
    </w:rPr>
  </w:style>
  <w:style w:type="paragraph" w:customStyle="1" w:styleId="RALs-List">
    <w:name w:val="RALs-List"/>
    <w:basedOn w:val="ListParagraph"/>
    <w:qFormat/>
    <w:rsid w:val="00722EDE"/>
    <w:pPr>
      <w:numPr>
        <w:numId w:val="1"/>
      </w:numPr>
      <w:tabs>
        <w:tab w:val="num" w:pos="360"/>
      </w:tabs>
      <w:spacing w:before="40"/>
      <w:ind w:left="1434" w:hanging="357"/>
      <w:contextualSpacing w:val="0"/>
    </w:pPr>
  </w:style>
  <w:style w:type="character" w:styleId="Hyperlink">
    <w:name w:val="Hyperlink"/>
    <w:basedOn w:val="DefaultParagraphFont"/>
    <w:uiPriority w:val="99"/>
    <w:unhideWhenUsed/>
    <w:rsid w:val="00722EDE"/>
    <w:rPr>
      <w:color w:val="0563C1" w:themeColor="hyperlink"/>
      <w:u w:val="single"/>
    </w:rPr>
  </w:style>
  <w:style w:type="paragraph" w:styleId="FootnoteText">
    <w:name w:val="footnote text"/>
    <w:aliases w:val="RALs"/>
    <w:basedOn w:val="Normal"/>
    <w:link w:val="FootnoteTextChar"/>
    <w:uiPriority w:val="99"/>
    <w:unhideWhenUsed/>
    <w:rsid w:val="00722EDE"/>
    <w:pPr>
      <w:spacing w:before="0" w:after="0" w:line="240" w:lineRule="auto"/>
      <w:ind w:left="142" w:hanging="142"/>
    </w:pPr>
    <w:rPr>
      <w:szCs w:val="20"/>
    </w:rPr>
  </w:style>
  <w:style w:type="character" w:customStyle="1" w:styleId="FootnoteTextChar">
    <w:name w:val="Footnote Text Char"/>
    <w:aliases w:val="RALs Char"/>
    <w:basedOn w:val="DefaultParagraphFont"/>
    <w:link w:val="FootnoteText"/>
    <w:uiPriority w:val="99"/>
    <w:rsid w:val="00722EDE"/>
    <w:rPr>
      <w:rFonts w:ascii="Times New Roman" w:eastAsia="Times New Roman" w:hAnsi="Times New Roman" w:cs="B Zar"/>
      <w:sz w:val="20"/>
      <w:szCs w:val="20"/>
    </w:rPr>
  </w:style>
  <w:style w:type="character" w:styleId="FootnoteReference">
    <w:name w:val="footnote reference"/>
    <w:basedOn w:val="DefaultParagraphFont"/>
    <w:uiPriority w:val="99"/>
    <w:semiHidden/>
    <w:unhideWhenUsed/>
    <w:rsid w:val="00722EDE"/>
    <w:rPr>
      <w:vertAlign w:val="superscript"/>
    </w:rPr>
  </w:style>
  <w:style w:type="paragraph" w:customStyle="1" w:styleId="RALs-Heading4">
    <w:name w:val="RALs-Heading4"/>
    <w:basedOn w:val="Normal"/>
    <w:next w:val="Normal"/>
    <w:qFormat/>
    <w:rsid w:val="00722EDE"/>
    <w:pPr>
      <w:keepNext/>
      <w:spacing w:before="180"/>
      <w:ind w:left="284" w:hanging="284"/>
    </w:pPr>
    <w:rPr>
      <w:i/>
      <w:iCs/>
    </w:rPr>
  </w:style>
  <w:style w:type="paragraph" w:customStyle="1" w:styleId="RALs-Heading5">
    <w:name w:val="RALs-Heading5"/>
    <w:basedOn w:val="Normal"/>
    <w:next w:val="Normal"/>
    <w:qFormat/>
    <w:rsid w:val="00722EDE"/>
    <w:pPr>
      <w:keepNext/>
      <w:spacing w:before="180"/>
      <w:ind w:left="284" w:hanging="284"/>
    </w:pPr>
  </w:style>
  <w:style w:type="paragraph" w:customStyle="1" w:styleId="RALs-TableCaption">
    <w:name w:val="RALs-TableCaption"/>
    <w:basedOn w:val="Normal"/>
    <w:next w:val="RALs-Normal-NoIndent"/>
    <w:qFormat/>
    <w:rsid w:val="00722EDE"/>
    <w:pPr>
      <w:keepNext/>
      <w:ind w:left="720" w:hanging="720"/>
    </w:pPr>
  </w:style>
  <w:style w:type="table" w:customStyle="1" w:styleId="RALs-APA-Table">
    <w:name w:val="RALs-APA-Table"/>
    <w:basedOn w:val="TableNormal"/>
    <w:uiPriority w:val="99"/>
    <w:rsid w:val="00722EDE"/>
    <w:pPr>
      <w:spacing w:after="0" w:line="240" w:lineRule="auto"/>
      <w:jc w:val="center"/>
    </w:pPr>
    <w:rPr>
      <w:rFonts w:ascii="Garamond" w:eastAsia="SimSun" w:hAnsi="Garamond" w:cs="Arial"/>
      <w:sz w:val="20"/>
      <w:szCs w:val="20"/>
    </w:rPr>
    <w:tblPr>
      <w:tblBorders>
        <w:top w:val="single" w:sz="4" w:space="0" w:color="auto"/>
        <w:bottom w:val="single" w:sz="4" w:space="0" w:color="auto"/>
      </w:tblBorders>
    </w:tblPr>
    <w:tcPr>
      <w:vAlign w:val="center"/>
    </w:tcPr>
    <w:tblStylePr w:type="firstRow">
      <w:pPr>
        <w:wordWrap/>
        <w:jc w:val="left"/>
      </w:pPr>
      <w:rPr>
        <w:b w:val="0"/>
      </w:rPr>
      <w:tblPr/>
      <w:tcPr>
        <w:tcBorders>
          <w:top w:val="single" w:sz="4" w:space="0" w:color="auto"/>
          <w:bottom w:val="single" w:sz="4" w:space="0" w:color="auto"/>
        </w:tcBorders>
      </w:tcPr>
    </w:tblStylePr>
  </w:style>
  <w:style w:type="paragraph" w:customStyle="1" w:styleId="RALs-TableText">
    <w:name w:val="RALs-TableText"/>
    <w:basedOn w:val="Normal"/>
    <w:qFormat/>
    <w:rsid w:val="00722EDE"/>
    <w:pPr>
      <w:spacing w:before="0" w:after="0"/>
      <w:ind w:firstLine="0"/>
    </w:pPr>
    <w:rPr>
      <w:szCs w:val="20"/>
    </w:rPr>
  </w:style>
  <w:style w:type="paragraph" w:customStyle="1" w:styleId="RALs-Normal-NoIndent">
    <w:name w:val="RALs-Normal-NoIndent"/>
    <w:basedOn w:val="Normal"/>
    <w:qFormat/>
    <w:rsid w:val="00722EDE"/>
    <w:pPr>
      <w:ind w:firstLine="0"/>
    </w:pPr>
  </w:style>
  <w:style w:type="paragraph" w:customStyle="1" w:styleId="RALs-FigureCaption">
    <w:name w:val="RALs-FigureCaption"/>
    <w:basedOn w:val="RALs-TableCaption"/>
    <w:next w:val="RALs-Normal"/>
    <w:qFormat/>
    <w:rsid w:val="00722EDE"/>
    <w:pPr>
      <w:ind w:left="0" w:firstLine="0"/>
      <w:jc w:val="center"/>
    </w:pPr>
  </w:style>
  <w:style w:type="paragraph" w:customStyle="1" w:styleId="RALs-Normal">
    <w:name w:val="RALs-Normal"/>
    <w:basedOn w:val="Normal"/>
    <w:qFormat/>
    <w:rsid w:val="00722EDE"/>
  </w:style>
  <w:style w:type="paragraph" w:customStyle="1" w:styleId="RALs-TableNote">
    <w:name w:val="RALs-TableNote"/>
    <w:basedOn w:val="Normal"/>
    <w:qFormat/>
    <w:rsid w:val="00722EDE"/>
    <w:pPr>
      <w:spacing w:before="40"/>
      <w:ind w:firstLine="0"/>
    </w:pPr>
    <w:rPr>
      <w:sz w:val="18"/>
      <w:szCs w:val="20"/>
    </w:rPr>
  </w:style>
  <w:style w:type="paragraph" w:styleId="ListParagraph">
    <w:name w:val="List Paragraph"/>
    <w:basedOn w:val="Normal"/>
    <w:uiPriority w:val="34"/>
    <w:qFormat/>
    <w:rsid w:val="00722EDE"/>
    <w:pPr>
      <w:ind w:left="720"/>
      <w:contextualSpacing/>
    </w:pPr>
  </w:style>
  <w:style w:type="paragraph" w:styleId="NormalWeb">
    <w:name w:val="Normal (Web)"/>
    <w:basedOn w:val="Normal"/>
    <w:uiPriority w:val="99"/>
    <w:unhideWhenUsed/>
    <w:rsid w:val="00881C36"/>
    <w:pPr>
      <w:spacing w:before="100" w:beforeAutospacing="1" w:after="100" w:afterAutospacing="1" w:line="240" w:lineRule="auto"/>
      <w:ind w:firstLine="0"/>
      <w:jc w:val="left"/>
    </w:pPr>
    <w:rPr>
      <w:rFonts w:cs="Times New Roman"/>
      <w:sz w:val="24"/>
      <w:szCs w:val="24"/>
    </w:rPr>
  </w:style>
  <w:style w:type="table" w:customStyle="1" w:styleId="LightShading1">
    <w:name w:val="Light Shading1"/>
    <w:basedOn w:val="TableNormal"/>
    <w:uiPriority w:val="60"/>
    <w:rsid w:val="0084425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UnresolvedMention">
    <w:name w:val="Unresolved Mention"/>
    <w:basedOn w:val="DefaultParagraphFont"/>
    <w:uiPriority w:val="99"/>
    <w:semiHidden/>
    <w:unhideWhenUsed/>
    <w:rsid w:val="003D25EB"/>
    <w:rPr>
      <w:color w:val="605E5C"/>
      <w:shd w:val="clear" w:color="auto" w:fill="E1DFDD"/>
    </w:rPr>
  </w:style>
  <w:style w:type="character" w:styleId="FollowedHyperlink">
    <w:name w:val="FollowedHyperlink"/>
    <w:basedOn w:val="DefaultParagraphFont"/>
    <w:uiPriority w:val="99"/>
    <w:semiHidden/>
    <w:unhideWhenUsed/>
    <w:rsid w:val="007E34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6888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9333/iji.2025.1827a" TargetMode="External"/><Relationship Id="rId18" Type="http://schemas.openxmlformats.org/officeDocument/2006/relationships/hyperlink" Target="https://doi.org/10.1080/14703297.2023.2190148" TargetMode="External"/><Relationship Id="rId26" Type="http://schemas.openxmlformats.org/officeDocument/2006/relationships/hyperlink" Target="https://doi.org/10.1007/s10639-021-10839-y" TargetMode="External"/><Relationship Id="rId39" Type="http://schemas.openxmlformats.org/officeDocument/2006/relationships/hyperlink" Target="https://doi.org/10.25047/jlct.v1i2.3967" TargetMode="External"/><Relationship Id="rId21" Type="http://schemas.openxmlformats.org/officeDocument/2006/relationships/hyperlink" Target="https://doi.org/10.14746/ssllt.2018.8.2.12" TargetMode="External"/><Relationship Id="rId34" Type="http://schemas.openxmlformats.org/officeDocument/2006/relationships/hyperlink" Target="https://doi.org/10.4324/9781315719146" TargetMode="External"/><Relationship Id="rId42" Type="http://schemas.openxmlformats.org/officeDocument/2006/relationships/hyperlink" Target="https://www.researchgate.net/publication/337965319" TargetMode="External"/><Relationship Id="rId47" Type="http://schemas.openxmlformats.org/officeDocument/2006/relationships/hyperlink" Target="https://doi.org/10.1080/09588221.2022.2055081"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16/j.eswa.2023.121186" TargetMode="External"/><Relationship Id="rId29" Type="http://schemas.openxmlformats.org/officeDocument/2006/relationships/hyperlink" Target="https://doi.org/10.1111/ejed.12804" TargetMode="External"/><Relationship Id="rId11" Type="http://schemas.openxmlformats.org/officeDocument/2006/relationships/hyperlink" Target="https://doi.org/10.1016/j.caeai.2023.100153" TargetMode="External"/><Relationship Id="rId24" Type="http://schemas.openxmlformats.org/officeDocument/2006/relationships/hyperlink" Target="https://doi.org/10.29140/lea.v7n1.1243" TargetMode="External"/><Relationship Id="rId32" Type="http://schemas.openxmlformats.org/officeDocument/2006/relationships/hyperlink" Target="https://www.researchgate.net/publication/396498666_Exploring_Vietnamese_EFL_learners'_generative_ai_usage_patterns_self-efficacy_and_self-directed_learning_preliminary_findings" TargetMode="External"/><Relationship Id="rId37" Type="http://schemas.openxmlformats.org/officeDocument/2006/relationships/hyperlink" Target="https://doi.org/10.1016/j.ijresmar.2023.03.001" TargetMode="External"/><Relationship Id="rId40" Type="http://schemas.openxmlformats.org/officeDocument/2006/relationships/hyperlink" Target="https://doi.org/10.5539/ijel.v14n1p14" TargetMode="External"/><Relationship Id="rId45" Type="http://schemas.openxmlformats.org/officeDocument/2006/relationships/hyperlink" Target="https://doi.org/10.1080/17501229.2025.2509759" TargetMode="External"/><Relationship Id="rId5" Type="http://schemas.openxmlformats.org/officeDocument/2006/relationships/webSettings" Target="webSettings.xml"/><Relationship Id="rId15" Type="http://schemas.openxmlformats.org/officeDocument/2006/relationships/hyperlink" Target="https://doi.org/10.1191/1478088706qp063oa" TargetMode="External"/><Relationship Id="rId23" Type="http://schemas.openxmlformats.org/officeDocument/2006/relationships/hyperlink" Target="https://doi.org/10.46827/ejae.v9i1.5341" TargetMode="External"/><Relationship Id="rId28" Type="http://schemas.openxmlformats.org/officeDocument/2006/relationships/hyperlink" Target="https://doi.org/10.60087/jklst.vol3.n2.p195" TargetMode="External"/><Relationship Id="rId36" Type="http://schemas.openxmlformats.org/officeDocument/2006/relationships/hyperlink" Target="https://doi.org/10.1057/9781137032829_14" TargetMode="External"/><Relationship Id="rId49" Type="http://schemas.openxmlformats.org/officeDocument/2006/relationships/fontTable" Target="fontTable.xml"/><Relationship Id="rId10" Type="http://schemas.openxmlformats.org/officeDocument/2006/relationships/hyperlink" Target="https://doi.org/10.1007/978-3-031-35894-4_2" TargetMode="External"/><Relationship Id="rId19" Type="http://schemas.openxmlformats.org/officeDocument/2006/relationships/hyperlink" Target="https://www.researchgate.net/publication/330350116" TargetMode="External"/><Relationship Id="rId31" Type="http://schemas.openxmlformats.org/officeDocument/2006/relationships/hyperlink" Target="https://doi.org/10.31261/TAPSLA.8594" TargetMode="External"/><Relationship Id="rId44" Type="http://schemas.openxmlformats.org/officeDocument/2006/relationships/hyperlink" Target="https://doi.org/10.1016/j.caeai.2024.100247" TargetMode="External"/><Relationship Id="rId4" Type="http://schemas.openxmlformats.org/officeDocument/2006/relationships/settings" Target="settings.xml"/><Relationship Id="rId9" Type="http://schemas.openxmlformats.org/officeDocument/2006/relationships/hyperlink" Target="https://doi.org/10.17507/TPLS.0701.03" TargetMode="External"/><Relationship Id="rId14" Type="http://schemas.openxmlformats.org/officeDocument/2006/relationships/hyperlink" Target="https://doi.org/10.4324/9781315833767" TargetMode="External"/><Relationship Id="rId22" Type="http://schemas.openxmlformats.org/officeDocument/2006/relationships/hyperlink" Target="https://doi.org/10.17977/um005v6i22022p169" TargetMode="External"/><Relationship Id="rId27" Type="http://schemas.openxmlformats.org/officeDocument/2006/relationships/hyperlink" Target="https://doi.org/10.1007/s10639-022-10945-5" TargetMode="External"/><Relationship Id="rId30" Type="http://schemas.openxmlformats.org/officeDocument/2006/relationships/hyperlink" Target="https://doi.org/10.1080/2331186X.2024.2433814" TargetMode="External"/><Relationship Id="rId35" Type="http://schemas.openxmlformats.org/officeDocument/2006/relationships/hyperlink" Target="https://doi.org/10.47479/ihead.1535035" TargetMode="External"/><Relationship Id="rId43" Type="http://schemas.openxmlformats.org/officeDocument/2006/relationships/hyperlink" Target="https://doi.org/10.53761/fr1rkj58" TargetMode="External"/><Relationship Id="rId48" Type="http://schemas.openxmlformats.org/officeDocument/2006/relationships/hyperlink" Target="https://doi.org/10.1080/17501229.2023.2197417" TargetMode="External"/><Relationship Id="rId8" Type="http://schemas.openxmlformats.org/officeDocument/2006/relationships/hyperlink" Target="https://web.archive.org/web/20250805013449/https://ejes.journals.ekb.eg/article_270694.html" TargetMode="External"/><Relationship Id="rId3" Type="http://schemas.openxmlformats.org/officeDocument/2006/relationships/styles" Target="styles.xml"/><Relationship Id="rId12" Type="http://schemas.openxmlformats.org/officeDocument/2006/relationships/hyperlink" Target="https://doi.org/10.21093/ijeltal.v7i2.1387" TargetMode="External"/><Relationship Id="rId17" Type="http://schemas.openxmlformats.org/officeDocument/2006/relationships/hyperlink" Target="https://www.jstor.org/stable/26977868" TargetMode="External"/><Relationship Id="rId25" Type="http://schemas.openxmlformats.org/officeDocument/2006/relationships/hyperlink" Target="https://doi.org/10.1007/s10734-024-01265-3" TargetMode="External"/><Relationship Id="rId33" Type="http://schemas.openxmlformats.org/officeDocument/2006/relationships/hyperlink" Target="https://doi.org/10.1017/CBO9781139524490" TargetMode="External"/><Relationship Id="rId38" Type="http://schemas.openxmlformats.org/officeDocument/2006/relationships/hyperlink" Target="https://doi.org/10.54855/ijte.25513" TargetMode="External"/><Relationship Id="rId46" Type="http://schemas.openxmlformats.org/officeDocument/2006/relationships/hyperlink" Target="https://doi.org/10.1016/j.system.2024.103351" TargetMode="External"/><Relationship Id="rId20" Type="http://schemas.openxmlformats.org/officeDocument/2006/relationships/hyperlink" Target="https://web.archive.org/web/20250315173243/https://seg.journals.ekb.eg/article_348587.html" TargetMode="External"/><Relationship Id="rId41" Type="http://schemas.openxmlformats.org/officeDocument/2006/relationships/hyperlink" Target="https://doi.org/10.33394/jollt.v8i1.2221"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703BF-37CB-4CA1-9821-13C788B8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31</Pages>
  <Words>8818</Words>
  <Characters>50267</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dc:description/>
  <cp:lastModifiedBy>Huynh Trung</cp:lastModifiedBy>
  <cp:revision>20</cp:revision>
  <dcterms:created xsi:type="dcterms:W3CDTF">2026-06-30T08:08:00Z</dcterms:created>
  <dcterms:modified xsi:type="dcterms:W3CDTF">2026-06-30T09:21:00Z</dcterms:modified>
</cp:coreProperties>
</file>