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05140" w14:textId="77777777" w:rsidR="00DF3746" w:rsidRPr="00DF3746" w:rsidRDefault="00DF3746" w:rsidP="00DF3746">
      <w:pPr>
        <w:spacing w:before="120"/>
        <w:jc w:val="center"/>
        <w:rPr>
          <w:b/>
          <w:bCs/>
          <w:sz w:val="28"/>
          <w:szCs w:val="28"/>
        </w:rPr>
      </w:pPr>
      <w:r w:rsidRPr="00DF3746">
        <w:rPr>
          <w:b/>
          <w:bCs/>
          <w:sz w:val="28"/>
          <w:szCs w:val="28"/>
        </w:rPr>
        <w:t xml:space="preserve">Student Perceptions of AI-Assisted Learning and Its Perceived Association with Teacher–Student Interaction in EFL Speaking Classes: </w:t>
      </w:r>
    </w:p>
    <w:p w14:paraId="29628391" w14:textId="488A0ABF" w:rsidR="00DF3746" w:rsidRPr="00DF3746" w:rsidRDefault="00DF3746" w:rsidP="00DF3746">
      <w:pPr>
        <w:spacing w:before="120"/>
        <w:jc w:val="center"/>
        <w:rPr>
          <w:b/>
          <w:bCs/>
          <w:sz w:val="28"/>
          <w:szCs w:val="28"/>
        </w:rPr>
      </w:pPr>
      <w:r w:rsidRPr="00DF3746">
        <w:rPr>
          <w:b/>
          <w:bCs/>
          <w:sz w:val="28"/>
          <w:szCs w:val="28"/>
        </w:rPr>
        <w:t>An Exploratory Self-Report Study with Non-English Major University Students</w:t>
      </w:r>
    </w:p>
    <w:p w14:paraId="385DBE07" w14:textId="70A5F2DA" w:rsidR="00DF7F25" w:rsidRPr="00BB4371" w:rsidRDefault="00C7052C" w:rsidP="00DF3746">
      <w:pPr>
        <w:spacing w:before="120"/>
        <w:jc w:val="center"/>
        <w:rPr>
          <w:sz w:val="20"/>
          <w:szCs w:val="20"/>
        </w:rPr>
      </w:pPr>
      <w:r w:rsidRPr="00BB4371">
        <w:rPr>
          <w:i/>
          <w:iCs/>
          <w:sz w:val="20"/>
          <w:szCs w:val="20"/>
        </w:rPr>
        <w:t>Thanh Thuy Nguyen</w:t>
      </w:r>
      <w:r w:rsidR="00E72BB8" w:rsidRPr="00BB4371">
        <w:rPr>
          <w:rStyle w:val="ThamchiuCcchu"/>
          <w:i/>
          <w:iCs/>
          <w:sz w:val="20"/>
          <w:szCs w:val="20"/>
        </w:rPr>
        <w:footnoteReference w:id="1"/>
      </w:r>
    </w:p>
    <w:p w14:paraId="19A03956" w14:textId="77777777" w:rsidR="00DF3746" w:rsidRDefault="00DF3746" w:rsidP="00CE4CFF">
      <w:pPr>
        <w:pStyle w:val="RALs-HeadingsNoIndent"/>
        <w:rPr>
          <w:rFonts w:asciiTheme="majorBidi" w:hAnsiTheme="majorBidi" w:cstheme="majorBidi"/>
          <w:sz w:val="24"/>
          <w:szCs w:val="24"/>
        </w:rPr>
      </w:pPr>
    </w:p>
    <w:p w14:paraId="047EF247" w14:textId="2F102676" w:rsidR="00E72BB8" w:rsidRPr="00BB4371" w:rsidRDefault="00C7052C" w:rsidP="00CE4CFF">
      <w:pPr>
        <w:pStyle w:val="RALs-HeadingsNoIndent"/>
        <w:rPr>
          <w:rFonts w:asciiTheme="majorBidi" w:hAnsiTheme="majorBidi" w:cstheme="majorBidi"/>
          <w:sz w:val="24"/>
          <w:szCs w:val="24"/>
        </w:rPr>
      </w:pPr>
      <w:r w:rsidRPr="00BB4371">
        <w:rPr>
          <w:rFonts w:asciiTheme="majorBidi" w:hAnsiTheme="majorBidi" w:cstheme="majorBidi"/>
          <w:sz w:val="24"/>
          <w:szCs w:val="24"/>
        </w:rPr>
        <w:t xml:space="preserve">Abstract  </w:t>
      </w:r>
    </w:p>
    <w:p w14:paraId="7F4FF0CD" w14:textId="6EC83EE9" w:rsidR="00DF7F25" w:rsidRDefault="00C7052C" w:rsidP="00CE4CFF">
      <w:pPr>
        <w:shd w:val="clear" w:color="auto" w:fill="FFFFFF"/>
        <w:jc w:val="both"/>
        <w:rPr>
          <w:rFonts w:asciiTheme="majorBidi" w:hAnsiTheme="majorBidi" w:cstheme="majorBidi"/>
        </w:rPr>
      </w:pPr>
      <w:r w:rsidRPr="00BB4371">
        <w:rPr>
          <w:rFonts w:asciiTheme="majorBidi" w:hAnsiTheme="majorBidi" w:cstheme="majorBidi"/>
        </w:rPr>
        <w:t xml:space="preserve">The growing integration of artificial intelligence (AI) in English language education has generated increasing interest in its perceived relationship to classroom interaction. This study presents an exploratory, self-report investigation of student perceptions of AI-assisted learning and its perceived association with teacher–student interaction in </w:t>
      </w:r>
      <w:r w:rsidR="00CE7DF5" w:rsidRPr="00CE7DF5">
        <w:rPr>
          <w:rFonts w:asciiTheme="majorBidi" w:hAnsiTheme="majorBidi" w:cstheme="majorBidi"/>
        </w:rPr>
        <w:t>English as a Foreign Language</w:t>
      </w:r>
      <w:r w:rsidR="00CE7DF5">
        <w:rPr>
          <w:rFonts w:asciiTheme="majorBidi" w:hAnsiTheme="majorBidi" w:cstheme="majorBidi"/>
        </w:rPr>
        <w:t xml:space="preserve"> (</w:t>
      </w:r>
      <w:r w:rsidRPr="00BB4371">
        <w:rPr>
          <w:rFonts w:asciiTheme="majorBidi" w:hAnsiTheme="majorBidi" w:cstheme="majorBidi"/>
        </w:rPr>
        <w:t>EFL</w:t>
      </w:r>
      <w:r w:rsidR="00CE7DF5">
        <w:rPr>
          <w:rFonts w:asciiTheme="majorBidi" w:hAnsiTheme="majorBidi" w:cstheme="majorBidi"/>
        </w:rPr>
        <w:t>)</w:t>
      </w:r>
      <w:r w:rsidRPr="00BB4371">
        <w:rPr>
          <w:rFonts w:asciiTheme="majorBidi" w:hAnsiTheme="majorBidi" w:cstheme="majorBidi"/>
        </w:rPr>
        <w:t xml:space="preserve"> speaking classes among non-English major university students at HCMC University of Technology. Data were collected from 200 students through Likert-scale questionnaires and reflective journals. The results indicate that students perceived AI tools as associated with increased confidence, greater reported enjoyment of speaking tasks, and more prepared engagement with teachers in specific interactional contexts. Specifically, 64% of students reported feeling more confident after AI-assisted speaking tasks, and 61% expressed that learning through AI felt enjoyable; however, only 47% reported feeling willing to share ideas in class, illustrating a preparedness–participation gap between internal readiness and observable engagement. Notably, challenges such as over-reliance on AI (42% of students) and reduced spontaneity (38%) were also prominent findings and receive equal weight in this analysis. Although most participants expressed positive attitudes toward AI use in speaking classes, its perceived association with interactional quality appears contingent on thoughtful pedagogical integration and appropriate instructional design. All findings are strictly perceptual and associational; no causal claims regarding AI’s effects on teacher–student interaction are made. The findings highlight the importance of balancing technological support with active teacher guidance to sustain meaningful classroom interaction.</w:t>
      </w:r>
    </w:p>
    <w:p w14:paraId="38D5D5A5" w14:textId="1303B3B7" w:rsidR="00DF7F25" w:rsidRPr="00BA0BB2" w:rsidRDefault="00C7052C" w:rsidP="00CE4CFF">
      <w:pPr>
        <w:spacing w:before="240" w:after="60" w:line="276" w:lineRule="auto"/>
        <w:jc w:val="both"/>
        <w:rPr>
          <w:rFonts w:asciiTheme="majorBidi" w:hAnsiTheme="majorBidi" w:cstheme="majorBidi"/>
        </w:rPr>
      </w:pPr>
      <w:r w:rsidRPr="00BA0BB2">
        <w:rPr>
          <w:rFonts w:asciiTheme="majorBidi" w:hAnsiTheme="majorBidi" w:cstheme="majorBidi"/>
          <w:b/>
          <w:bCs/>
          <w:i/>
          <w:iCs/>
        </w:rPr>
        <w:t>Keywords</w:t>
      </w:r>
      <w:r w:rsidRPr="00BA0BB2">
        <w:rPr>
          <w:rFonts w:asciiTheme="majorBidi" w:hAnsiTheme="majorBidi" w:cstheme="majorBidi"/>
        </w:rPr>
        <w:t>: artificial intelligence (AI), AI-assisted learning, teacher–student interaction, EFL speaking, non-English major students</w:t>
      </w:r>
    </w:p>
    <w:p w14:paraId="10123D10" w14:textId="77777777" w:rsidR="00CE7DF5" w:rsidRDefault="00CE7DF5" w:rsidP="00CE4CFF">
      <w:pPr>
        <w:spacing w:after="120" w:line="480" w:lineRule="auto"/>
        <w:jc w:val="both"/>
      </w:pPr>
    </w:p>
    <w:p w14:paraId="02E2CC45" w14:textId="31833E8F" w:rsidR="00CE7DF5" w:rsidRPr="00CE7DF5" w:rsidRDefault="00CE7DF5" w:rsidP="00CE4CFF">
      <w:pPr>
        <w:spacing w:after="120" w:line="480" w:lineRule="auto"/>
        <w:ind w:firstLine="720"/>
        <w:jc w:val="center"/>
        <w:rPr>
          <w:b/>
          <w:bCs/>
        </w:rPr>
      </w:pPr>
      <w:r w:rsidRPr="00CE7DF5">
        <w:rPr>
          <w:b/>
          <w:bCs/>
        </w:rPr>
        <w:t>1. Introduction</w:t>
      </w:r>
    </w:p>
    <w:p w14:paraId="72C8C558" w14:textId="77777777" w:rsidR="00DF7F25" w:rsidRPr="00BB4371" w:rsidRDefault="00C7052C" w:rsidP="00CE4CFF">
      <w:pPr>
        <w:spacing w:after="120" w:line="480" w:lineRule="auto"/>
        <w:ind w:firstLine="720"/>
        <w:jc w:val="both"/>
      </w:pPr>
      <w:r w:rsidRPr="00BB4371">
        <w:t xml:space="preserve">The rapid advancement of artificial intelligence (AI) technologies has profoundly reshaped English as a Foreign Language (EFL) teaching. From intelligent grammar checkers and pronunciation coaches to conversational chatbots and adaptive learning platforms, AI tools are increasingly embedded in language learning environments worldwide. In Vietnam, where </w:t>
      </w:r>
      <w:r w:rsidRPr="00BB4371">
        <w:lastRenderedPageBreak/>
        <w:t>English proficiency is a national educational priority, the integration of AI into higher education classrooms has accelerated considerably, particularly following the COVID-19 pandemic, which forced widespread adoption of digital learning tools (Pham &amp; Ho, 2020).</w:t>
      </w:r>
    </w:p>
    <w:p w14:paraId="1B47C55F" w14:textId="77777777" w:rsidR="00DF7F25" w:rsidRPr="00BB4371" w:rsidRDefault="00C7052C" w:rsidP="00CE4CFF">
      <w:pPr>
        <w:spacing w:after="120" w:line="480" w:lineRule="auto"/>
        <w:ind w:firstLine="720"/>
        <w:jc w:val="both"/>
      </w:pPr>
      <w:r w:rsidRPr="00BB4371">
        <w:t>Despite this proliferation, a critical question remains underexplored: to what extent do AI-assisted tools genuinely enhance teacher–student interaction in EFL speaking classes, particularly among non-English major students? Speaking is widely regarded as the most challenging language skill, requiring spontaneity, fluency, accuracy, and confidence—qualities difficult to nurture in large, exam-focused Vietnamese university classrooms (Nguyen et al., 2021). Non-English major students, who study English as a compulsory subject rather than a specialized field, often exhibit lower motivation and higher anxiety toward speaking tasks compared to English-major peers (Tran, 2020).</w:t>
      </w:r>
    </w:p>
    <w:p w14:paraId="2B6B7F7E" w14:textId="2DD93439" w:rsidR="00DF7F25" w:rsidRPr="00BB4371" w:rsidRDefault="00C7052C" w:rsidP="00CE4CFF">
      <w:pPr>
        <w:spacing w:after="120" w:line="480" w:lineRule="auto"/>
        <w:ind w:firstLine="720"/>
        <w:jc w:val="both"/>
      </w:pPr>
      <w:r w:rsidRPr="00BB4371">
        <w:t>Teacher–student interaction is a cornerstone of effective speaking instruction. Sociocultural theory posits that learning is fundamentally a social process, mediated through interaction and dialogue (Lantolf et al., 2015). When AI tools enter this interaction space, they create new communicative dynamics: students may practice speaking with AI before engaging with teachers; teachers may use AI-generated feedback to redirect classroom discussions; and the feedback loop between teacher, student, and language may be fundamentally altered. Understanding how students perceive these shifts</w:t>
      </w:r>
      <w:r w:rsidR="00EF78EC">
        <w:t xml:space="preserve">, </w:t>
      </w:r>
      <w:r w:rsidRPr="00BB4371">
        <w:t>and what those perceptions suggest for pedagogical practice</w:t>
      </w:r>
      <w:r w:rsidR="00EF78EC">
        <w:t xml:space="preserve">, </w:t>
      </w:r>
      <w:r w:rsidRPr="00BB4371">
        <w:t>is the central motivation of this study.</w:t>
      </w:r>
    </w:p>
    <w:p w14:paraId="5606BE2B" w14:textId="19EFD3FD" w:rsidR="00DF7F25" w:rsidRDefault="00C7052C" w:rsidP="00CE4CFF">
      <w:pPr>
        <w:spacing w:after="120" w:line="480" w:lineRule="auto"/>
        <w:ind w:firstLine="720"/>
        <w:jc w:val="both"/>
      </w:pPr>
      <w:r w:rsidRPr="00BB4371">
        <w:t>This paper reports findings from an exploratory study conducted at HCMC University of Technology (HCMUT), involving 200 non-English major undergraduate students enrolled in required EFL speaking courses. Using a mixed-methods design combining Likert-scale questionnaires and reflective journals, the study is guided by three research questions presented in the following subsection.</w:t>
      </w:r>
    </w:p>
    <w:p w14:paraId="20A45C24" w14:textId="7907B0D6" w:rsidR="00CE7DF5" w:rsidRPr="00CE4CFF" w:rsidRDefault="00CE7DF5" w:rsidP="00CE4CFF">
      <w:pPr>
        <w:spacing w:after="120" w:line="480" w:lineRule="auto"/>
        <w:jc w:val="both"/>
        <w:rPr>
          <w:b/>
          <w:bCs/>
          <w:i/>
          <w:iCs/>
        </w:rPr>
      </w:pPr>
      <w:r w:rsidRPr="00CE4CFF">
        <w:rPr>
          <w:b/>
          <w:bCs/>
          <w:i/>
          <w:iCs/>
        </w:rPr>
        <w:lastRenderedPageBreak/>
        <w:t>1.1 Research Questions</w:t>
      </w:r>
    </w:p>
    <w:p w14:paraId="169D247D" w14:textId="77777777" w:rsidR="00DF7F25" w:rsidRPr="00BB4371" w:rsidRDefault="00C7052C" w:rsidP="00CE4CFF">
      <w:pPr>
        <w:spacing w:after="120" w:line="480" w:lineRule="auto"/>
        <w:ind w:firstLine="720"/>
        <w:jc w:val="both"/>
      </w:pPr>
      <w:r w:rsidRPr="00BB4371">
        <w:t>The study is organized around three research questions that collectively address AI's perceived influence on teacher–student interaction:</w:t>
      </w:r>
    </w:p>
    <w:p w14:paraId="258D94DF" w14:textId="77777777" w:rsidR="00DF7F25" w:rsidRPr="00BB4371" w:rsidRDefault="00C7052C" w:rsidP="00CE4CFF">
      <w:pPr>
        <w:spacing w:after="120" w:line="480" w:lineRule="auto"/>
        <w:ind w:firstLine="720"/>
        <w:jc w:val="both"/>
      </w:pPr>
      <w:r w:rsidRPr="00BB4371">
        <w:t>RQ1: How do non-English major university students perceive AI-assisted learning as associated with their readiness and willingness to engage in teacher–student interaction in EFL speaking classes?</w:t>
      </w:r>
    </w:p>
    <w:p w14:paraId="4394F119" w14:textId="77777777" w:rsidR="00DF7F25" w:rsidRPr="00BB4371" w:rsidRDefault="00C7052C" w:rsidP="00CE4CFF">
      <w:pPr>
        <w:spacing w:after="120" w:line="480" w:lineRule="auto"/>
        <w:ind w:firstLine="720"/>
        <w:jc w:val="both"/>
      </w:pPr>
      <w:r w:rsidRPr="00BB4371">
        <w:t>RQ2: What interactional challenges do non-English major students report perceiving in AI-assisted EFL speaking activities, and how do they perceive these challenges as affecting their engagement in teacher–student interaction?</w:t>
      </w:r>
    </w:p>
    <w:p w14:paraId="43F22DDD" w14:textId="65D4D8A0" w:rsidR="00DF7F25" w:rsidRDefault="00C7052C" w:rsidP="00CE4CFF">
      <w:pPr>
        <w:spacing w:after="120" w:line="480" w:lineRule="auto"/>
        <w:ind w:firstLine="720"/>
        <w:jc w:val="both"/>
      </w:pPr>
      <w:r w:rsidRPr="00BB4371">
        <w:t>RQ3: Under what self-reported pedagogical conditions do students perceive AI-assisted learning as most supportive of their engagement in teacher–student interaction in EFL speaking classes?</w:t>
      </w:r>
    </w:p>
    <w:p w14:paraId="31874DC3" w14:textId="76B8EC28" w:rsidR="00B073A2" w:rsidRPr="00CE4CFF" w:rsidRDefault="00B073A2" w:rsidP="00CE4CFF">
      <w:pPr>
        <w:spacing w:after="120" w:line="480" w:lineRule="auto"/>
        <w:jc w:val="both"/>
        <w:rPr>
          <w:b/>
          <w:bCs/>
          <w:i/>
          <w:iCs/>
        </w:rPr>
      </w:pPr>
      <w:r w:rsidRPr="00CE4CFF">
        <w:rPr>
          <w:b/>
          <w:bCs/>
          <w:i/>
          <w:iCs/>
        </w:rPr>
        <w:t>1.2 Organization of the Paper</w:t>
      </w:r>
    </w:p>
    <w:p w14:paraId="052F6796" w14:textId="2CBB58E3" w:rsidR="00DF7F25" w:rsidRDefault="00C7052C" w:rsidP="00CE4CFF">
      <w:pPr>
        <w:spacing w:after="120" w:line="480" w:lineRule="auto"/>
        <w:ind w:firstLine="720"/>
        <w:jc w:val="both"/>
      </w:pPr>
      <w:r w:rsidRPr="00BB4371">
        <w:t>To situate this inquiry within the broader field, Section 2 reviews key theoretical and empirical work on teacher–student interaction in EFL contexts, the role of AI in language learning, and the intersection of these two areas. Section 3 describes the research methodology, followed by the results in Section 4, discussion in Section 5, and conclusions in Section 6.</w:t>
      </w:r>
    </w:p>
    <w:p w14:paraId="2A4DD5EE" w14:textId="538E109E" w:rsidR="00B073A2" w:rsidRDefault="00B073A2" w:rsidP="00CE4CFF">
      <w:pPr>
        <w:spacing w:after="120" w:line="480" w:lineRule="auto"/>
        <w:ind w:firstLine="720"/>
        <w:jc w:val="center"/>
        <w:rPr>
          <w:b/>
          <w:bCs/>
        </w:rPr>
      </w:pPr>
      <w:r w:rsidRPr="00B073A2">
        <w:rPr>
          <w:b/>
          <w:bCs/>
        </w:rPr>
        <w:t>2. Literature Review</w:t>
      </w:r>
    </w:p>
    <w:p w14:paraId="0C204DF3" w14:textId="45446A19" w:rsidR="00B073A2" w:rsidRPr="00CE4CFF" w:rsidRDefault="00B073A2" w:rsidP="00CE4CFF">
      <w:pPr>
        <w:spacing w:after="120" w:line="480" w:lineRule="auto"/>
        <w:jc w:val="both"/>
        <w:rPr>
          <w:b/>
          <w:bCs/>
          <w:i/>
          <w:iCs/>
        </w:rPr>
      </w:pPr>
      <w:r w:rsidRPr="00CE4CFF">
        <w:rPr>
          <w:b/>
          <w:bCs/>
          <w:i/>
          <w:iCs/>
        </w:rPr>
        <w:t>2.1 Teacher-Student Interaction in EFL Contexts</w:t>
      </w:r>
    </w:p>
    <w:p w14:paraId="45221492" w14:textId="77777777" w:rsidR="00DF7F25" w:rsidRPr="00BB4371" w:rsidRDefault="00C7052C" w:rsidP="00CE4CFF">
      <w:pPr>
        <w:spacing w:after="120" w:line="480" w:lineRule="auto"/>
        <w:ind w:firstLine="720"/>
        <w:jc w:val="both"/>
      </w:pPr>
      <w:r w:rsidRPr="00BB4371">
        <w:t xml:space="preserve">Teacher–student interaction has long been recognized as a central mechanism through which language acquisition occurs. Interaction hypothesis theory (Long, 2015) proposes that negotiation of meaning between interlocutors drives second language development by making input comprehensible and pushing learners toward more accurate output. In EFL speaking </w:t>
      </w:r>
      <w:r w:rsidRPr="00BB4371">
        <w:lastRenderedPageBreak/>
        <w:t>classrooms, this negotiation typically unfolds through question-and-answer exchanges, corrective feedback, recasts, and collaborative tasks (Walsh, 2011).</w:t>
      </w:r>
    </w:p>
    <w:p w14:paraId="477C0CAA" w14:textId="38A08DD5" w:rsidR="00DF7F25" w:rsidRPr="00BB4371" w:rsidRDefault="00C7052C" w:rsidP="00CE4CFF">
      <w:pPr>
        <w:spacing w:after="120" w:line="480" w:lineRule="auto"/>
        <w:ind w:firstLine="720"/>
        <w:jc w:val="both"/>
      </w:pPr>
      <w:r w:rsidRPr="00BB4371">
        <w:t>However, large class sizes, time constraints, and student anxiety frequently impede interaction in Vietnamese university EFL contexts. Research consistently documents teacher-dominated discourse in such settings, where students speak minimally and rely on rehearsed formulaic utterances (Nguyen et al., 2021; Tran, 2020). Interventions that redistribute interactional opportunities</w:t>
      </w:r>
      <w:r w:rsidR="00EF78EC">
        <w:t xml:space="preserve">, which </w:t>
      </w:r>
      <w:r w:rsidRPr="00BB4371">
        <w:t>encourag</w:t>
      </w:r>
      <w:r w:rsidR="00EF78EC">
        <w:t>e</w:t>
      </w:r>
      <w:r w:rsidRPr="00BB4371">
        <w:t xml:space="preserve"> students to take more turns, elaborate more fully, and respond more spontaneously</w:t>
      </w:r>
      <w:r w:rsidR="00EF78EC">
        <w:t xml:space="preserve">, </w:t>
      </w:r>
      <w:r w:rsidRPr="00BB4371">
        <w:t>are therefore of considerable pedagogical interest.</w:t>
      </w:r>
    </w:p>
    <w:p w14:paraId="7CFEB79C" w14:textId="77777777" w:rsidR="00DF7F25" w:rsidRPr="00BB4371" w:rsidRDefault="00C7052C" w:rsidP="00CE4CFF">
      <w:pPr>
        <w:spacing w:after="120" w:line="480" w:lineRule="auto"/>
        <w:ind w:firstLine="720"/>
        <w:jc w:val="both"/>
      </w:pPr>
      <w:r w:rsidRPr="00BB4371">
        <w:t>Against this backdrop of interactional challenges in EFL classrooms, researchers and educators have increasingly turned to AI-powered tools as a potential means of expanding and enriching opportunities for language practice and feedback.</w:t>
      </w:r>
    </w:p>
    <w:p w14:paraId="52D6E46A" w14:textId="77777777" w:rsidR="00DF7F25" w:rsidRPr="00CE4CFF" w:rsidRDefault="00C7052C" w:rsidP="00CE4CFF">
      <w:pPr>
        <w:spacing w:after="120" w:line="480" w:lineRule="auto"/>
        <w:jc w:val="both"/>
        <w:rPr>
          <w:b/>
          <w:bCs/>
          <w:i/>
          <w:iCs/>
        </w:rPr>
      </w:pPr>
      <w:r w:rsidRPr="00CE4CFF">
        <w:rPr>
          <w:b/>
          <w:bCs/>
          <w:i/>
          <w:iCs/>
        </w:rPr>
        <w:t>2.2 AI in Language Learning</w:t>
      </w:r>
    </w:p>
    <w:p w14:paraId="1905A362" w14:textId="77777777" w:rsidR="00DF7F25" w:rsidRPr="00BB4371" w:rsidRDefault="00C7052C" w:rsidP="00CE4CFF">
      <w:pPr>
        <w:spacing w:after="120" w:line="480" w:lineRule="auto"/>
        <w:ind w:firstLine="720"/>
        <w:jc w:val="both"/>
      </w:pPr>
      <w:r w:rsidRPr="00BB4371">
        <w:t>Artificial intelligence applications in language education encompass a broad spectrum of tools, including natural language processing (NLP)-based feedback systems, speech recognition software, conversational agents, and generative AI models such as ChatGPT (Kohnke et al., 2023; Godwin-Jones, 2022). These tools share a common capacity to provide immediate, individualized feedback—a feature that distinguishes them from traditional classroom-based instruction, where teacher attention is distributed across many learners.</w:t>
      </w:r>
    </w:p>
    <w:p w14:paraId="08599729" w14:textId="77777777" w:rsidR="00DF7F25" w:rsidRPr="00BB4371" w:rsidRDefault="00C7052C" w:rsidP="00CE4CFF">
      <w:pPr>
        <w:spacing w:after="120" w:line="480" w:lineRule="auto"/>
        <w:ind w:firstLine="720"/>
        <w:jc w:val="both"/>
      </w:pPr>
      <w:r w:rsidRPr="00BB4371">
        <w:t xml:space="preserve">Studies have demonstrated that AI-mediated feedback can reduce speaking anxiety by offering a low-stakes practice environment (Huang et al., 2023). Students reluctant to speak in front of peers may find it easier to experiment with language when interacting with an AI system. Furthermore, AI tools can extend interaction beyond class hours, allowing students to practice pronunciation, vocabulary, and conversational routines independently (Godwin-Jones, 2022). Generative AI tools, particularly large language models, have introduced new </w:t>
      </w:r>
      <w:r w:rsidRPr="00BB4371">
        <w:lastRenderedPageBreak/>
        <w:t>possibilities in EFL instruction. ChatGPT and similar tools can generate topic-relevant speaking prompts, simulate conversational partners, provide error analysis, and scaffold content preparation—functionalities that can significantly support speaking task readiness (Kohnke et al., 2023). Nevertheless, concerns about pedagogical dependency, the authenticity of AI-generated content, and equity of access have also been raised (Ulla et al., 2023).</w:t>
      </w:r>
    </w:p>
    <w:p w14:paraId="7008A7FB" w14:textId="77777777" w:rsidR="00DF7F25" w:rsidRPr="00CE4CFF" w:rsidRDefault="00C7052C" w:rsidP="00CE4CFF">
      <w:pPr>
        <w:spacing w:after="120" w:line="480" w:lineRule="auto"/>
        <w:jc w:val="both"/>
        <w:rPr>
          <w:b/>
          <w:bCs/>
          <w:i/>
          <w:iCs/>
        </w:rPr>
      </w:pPr>
      <w:r w:rsidRPr="00CE4CFF">
        <w:rPr>
          <w:b/>
          <w:bCs/>
          <w:i/>
          <w:iCs/>
        </w:rPr>
        <w:t>2.3 AI and Teacher–Student Interaction</w:t>
      </w:r>
    </w:p>
    <w:p w14:paraId="172128D8" w14:textId="5A7C8054" w:rsidR="00DF7F25" w:rsidRPr="00BB4371" w:rsidRDefault="00C7052C" w:rsidP="00CE4CFF">
      <w:pPr>
        <w:spacing w:after="120" w:line="480" w:lineRule="auto"/>
        <w:ind w:firstLine="720"/>
        <w:jc w:val="both"/>
      </w:pPr>
      <w:r w:rsidRPr="00BB4371">
        <w:t>The intersection of AI and classroom interaction remains a relatively emergent research area. Some studies suggest that AI can serve as an interactional catalyst</w:t>
      </w:r>
      <w:r w:rsidR="00EF78EC">
        <w:t xml:space="preserve">, meaning </w:t>
      </w:r>
      <w:r w:rsidRPr="00BB4371">
        <w:t>students who have prepared with AI tools arrive in class better equipped to participate meaningfully, thereby enriching teacher–student exchanges (Huang et al., 2023). Others caution that AI use may create a paradox: while students interact more with technology, their interaction with teachers may paradoxically diminish as AI becomes the primary feedback provider (Ulla et al., 2023).</w:t>
      </w:r>
    </w:p>
    <w:p w14:paraId="6E28A63B" w14:textId="77777777" w:rsidR="00DF7F25" w:rsidRPr="00BB4371" w:rsidRDefault="00C7052C" w:rsidP="00CE4CFF">
      <w:pPr>
        <w:spacing w:after="120" w:line="480" w:lineRule="auto"/>
        <w:ind w:firstLine="720"/>
        <w:jc w:val="both"/>
      </w:pPr>
      <w:r w:rsidRPr="00BB4371">
        <w:t>This tension underscores the importance of instructional design. When teachers explicitly frame AI tools as preparatory scaffolds rather than replacements for classroom dialogue, positive interactional outcomes are more likely. Conversely, unstructured AI use may result in surface-level language performance that masks deeper communicative deficiencies (Kohnke et al., 2023). Research in Vietnamese EFL contexts is sparse. Pham and Ho (2020) found that students valued digital feedback tools during the pandemic but noted that teacher presence remained essential for motivated participation. No study has systematically explored student perceptions of AI's relationship to teacher–student speaking interaction among non-English major university students in Vietnam—a gap this exploratory study aims to address.</w:t>
      </w:r>
    </w:p>
    <w:p w14:paraId="287E1561" w14:textId="77777777" w:rsidR="00DF7F25" w:rsidRPr="00CE4CFF" w:rsidRDefault="00C7052C" w:rsidP="00CE4CFF">
      <w:pPr>
        <w:spacing w:after="120" w:line="480" w:lineRule="auto"/>
        <w:jc w:val="both"/>
        <w:rPr>
          <w:b/>
          <w:bCs/>
          <w:i/>
          <w:iCs/>
        </w:rPr>
      </w:pPr>
      <w:r w:rsidRPr="00CE4CFF">
        <w:rPr>
          <w:b/>
          <w:bCs/>
          <w:i/>
          <w:iCs/>
        </w:rPr>
        <w:t>2.4 Conceptual Framework: The Preparedness–Participation Gap</w:t>
      </w:r>
    </w:p>
    <w:p w14:paraId="0806EC1B" w14:textId="77777777" w:rsidR="00DF7F25" w:rsidRPr="00BB4371" w:rsidRDefault="00C7052C" w:rsidP="00CE4CFF">
      <w:pPr>
        <w:spacing w:after="120" w:line="480" w:lineRule="auto"/>
        <w:ind w:firstLine="720"/>
        <w:jc w:val="both"/>
      </w:pPr>
      <w:r w:rsidRPr="00BB4371">
        <w:t xml:space="preserve">Recent scholarship on AI in language education presents an emerging paradox. On one hand, AI-assisted tools enhance learner confidence, reduce anxiety, and increase readiness to </w:t>
      </w:r>
      <w:r w:rsidRPr="00BB4371">
        <w:lastRenderedPageBreak/>
        <w:t>engage in speaking tasks (Huang et al., 2023; Godwin-Jones, 2022). On the other hand, a growing body of research raises concerns that increased interaction with AI may reduce learners' reliance on teacher-mediated feedback and limit spontaneous classroom communication (Ulla et al., 2023; Kohnke et al., 2023).</w:t>
      </w:r>
    </w:p>
    <w:p w14:paraId="0C9C6E53" w14:textId="77777777" w:rsidR="00DF7F25" w:rsidRPr="00BB4371" w:rsidRDefault="00C7052C" w:rsidP="00CE4CFF">
      <w:pPr>
        <w:spacing w:after="120" w:line="480" w:lineRule="auto"/>
        <w:ind w:firstLine="720"/>
        <w:jc w:val="both"/>
      </w:pPr>
      <w:r w:rsidRPr="00BB4371">
        <w:t>To better understand this dynamic, the present study proposes a three-dimensional model of interactional readiness with clear operational distinctions between dimensions: (1) cognitive readiness—operationalized as learners’ self-reported ability to generate ideas, organize content, and formulate linguistically appropriate responses prior to speaking tasks, as measured by items related to preparation quality and idea generation; (2) affective readiness—operationalized as learners’ self-reported emotional orientation toward speaking, including confidence, perceived self-efficacy, and enjoyment, as measured by items from the anxiety and AI Attitudes subscales; and (3) interactional engagement—operationalized as learners’ self-reported willingness to take communicative risks in public classroom settings, including willingness to share ideas, speak without extensive preparation, and engage responsively with teacher prompts, as measured by items from the WTC subscale. Unlike the first two dimensions, the third is inherently social and evaluative, shaped by concerns about peer perception, face-saving, and audience awareness that are not reducible to internal preparedness alone.</w:t>
      </w:r>
    </w:p>
    <w:p w14:paraId="68412790" w14:textId="43015DB1" w:rsidR="00DF7F25" w:rsidRPr="00BB4371" w:rsidRDefault="00C7052C" w:rsidP="00CE4CFF">
      <w:pPr>
        <w:spacing w:after="120" w:line="480" w:lineRule="auto"/>
        <w:ind w:firstLine="720"/>
        <w:jc w:val="both"/>
      </w:pPr>
      <w:r w:rsidRPr="00BB4371">
        <w:t>This framework suggests that AI may influence these dimensions unevenly: while it is likely to enhance cognitive and affective readiness, its impact on actual interactional engagement may be more limited. This potential discrepancy is conceptualized here as the preparedness–participation gap</w:t>
      </w:r>
      <w:r w:rsidR="00EF78EC">
        <w:t xml:space="preserve">, defined as </w:t>
      </w:r>
      <w:r w:rsidRPr="00BB4371">
        <w:t xml:space="preserve">the divergence between learners’ self-reported internal readiness to communicate and their self-reported willingness to engage in classroom interaction. This concept is related to, but distinct from, the broader willingness to communicate (WTC) construct (MacIntyre et al., 2001) and foreign language anxiety (Horwitz, </w:t>
      </w:r>
      <w:r w:rsidRPr="00BB4371">
        <w:lastRenderedPageBreak/>
        <w:t>2017). WTC captures a learner’s general disposition to initiate communication when given the opportunity; research has further linked WTC to self-regulatory and action control processes that shape whether readiness is converted into actual communicative behavior (MacIntyre &amp; Doucette, 2010). The preparedness–participation gap focuses specifically on the mismatch that arises when AI-mediated preparation raises internal readiness without proportionally increasing the willingness to take interactional risks in public, teacher-evaluated settings. Foreign language anxiety, meanwhile, is primarily an affective variable; the gap concept foregrounds the social and contextual barriers that persist even after affective readiness has improved.</w:t>
      </w:r>
    </w:p>
    <w:p w14:paraId="2697AF1B" w14:textId="77777777" w:rsidR="00DF7F25" w:rsidRPr="00B073A2" w:rsidRDefault="00C7052C" w:rsidP="00CE4CFF">
      <w:pPr>
        <w:spacing w:after="120" w:line="480" w:lineRule="auto"/>
        <w:ind w:firstLine="720"/>
        <w:jc w:val="center"/>
        <w:rPr>
          <w:b/>
          <w:bCs/>
        </w:rPr>
      </w:pPr>
      <w:r w:rsidRPr="00BB4371">
        <w:rPr>
          <w:b/>
          <w:bCs/>
        </w:rPr>
        <w:t>3. Research Methodology</w:t>
      </w:r>
    </w:p>
    <w:p w14:paraId="242578F3" w14:textId="77777777" w:rsidR="00DF7F25" w:rsidRPr="00CE4CFF" w:rsidRDefault="00C7052C" w:rsidP="00CE4CFF">
      <w:pPr>
        <w:spacing w:after="120" w:line="480" w:lineRule="auto"/>
        <w:jc w:val="both"/>
        <w:rPr>
          <w:b/>
          <w:bCs/>
          <w:i/>
          <w:iCs/>
        </w:rPr>
      </w:pPr>
      <w:r w:rsidRPr="00CE4CFF">
        <w:rPr>
          <w:b/>
          <w:bCs/>
          <w:i/>
          <w:iCs/>
        </w:rPr>
        <w:t>3.1 Research Design</w:t>
      </w:r>
    </w:p>
    <w:p w14:paraId="4C9DC975" w14:textId="77777777" w:rsidR="00DF7F25" w:rsidRPr="00BB4371" w:rsidRDefault="00C7052C" w:rsidP="00CE4CFF">
      <w:pPr>
        <w:spacing w:after="120" w:line="480" w:lineRule="auto"/>
        <w:ind w:firstLine="720"/>
        <w:jc w:val="both"/>
      </w:pPr>
      <w:r w:rsidRPr="00BB4371">
        <w:t>A mixed-methods research design was adopted, combining quantitative Likert-scale questionnaires with qualitative reflective journal entries. This triangulated approach enables convergent validation of findings while capturing both the breadth of student attitudes and the depth of individual experiences. The study was conducted during the second semester of the 2023–2024 academic year at HCMUT.</w:t>
      </w:r>
    </w:p>
    <w:p w14:paraId="5C467CC5" w14:textId="77777777" w:rsidR="00DF7F25" w:rsidRPr="00CE4CFF" w:rsidRDefault="00C7052C" w:rsidP="00CE4CFF">
      <w:pPr>
        <w:spacing w:after="120" w:line="480" w:lineRule="auto"/>
        <w:jc w:val="both"/>
        <w:rPr>
          <w:b/>
          <w:bCs/>
          <w:i/>
          <w:iCs/>
        </w:rPr>
      </w:pPr>
      <w:r w:rsidRPr="00CE4CFF">
        <w:rPr>
          <w:b/>
          <w:bCs/>
          <w:i/>
          <w:iCs/>
        </w:rPr>
        <w:t>3.2 Participants</w:t>
      </w:r>
    </w:p>
    <w:p w14:paraId="1447EDCF" w14:textId="77777777" w:rsidR="00D41CF9" w:rsidRDefault="00C7052C" w:rsidP="00CE4CFF">
      <w:pPr>
        <w:spacing w:after="120" w:line="480" w:lineRule="auto"/>
        <w:ind w:firstLine="720"/>
        <w:jc w:val="both"/>
      </w:pPr>
      <w:r w:rsidRPr="00BB4371">
        <w:t xml:space="preserve">Two hundred (200) undergraduate students participated in this study. All were enrolled in required English communication courses representing non-English major disciplines including Engineering, Computer Science, Business Administration, and Natural Sciences. Ages ranged from 18 to 22 years; approximately 53% identified as male and 47% as female. In terms of English proficiency, students were placed into the course based on institutional placement results aligned to the CEFR framework: approximately 41% were assessed at A2 level, 47% at B1 level, and 12% at B2 level. Proficiency level is reported as a descriptive </w:t>
      </w:r>
      <w:r w:rsidRPr="00BB4371">
        <w:lastRenderedPageBreak/>
        <w:t xml:space="preserve">variable; the sample size and study design do not permit meaningful subgroup comparisons across levels, and proficiency is not included as a covariate in inferential analyses. None had previously received formal instruction on using AI tools for EFL learning, though 78% reported prior informal use of translation applications. </w:t>
      </w:r>
      <w:r w:rsidR="00D41CF9" w:rsidRPr="00D41CF9">
        <w:t>The eight-week intervention was implemented across four intact class sections, all taught by the same instructor, who is also the author. Holding postgraduate qualifications in Applied Linguistics, the instructor completed several training courses in AI-assisted teaching prior to the intervention, ensuring standardized guidance on AI tool use, task framing, and journal prompt delivery across all four sections.</w:t>
      </w:r>
    </w:p>
    <w:p w14:paraId="48B9F5B2" w14:textId="77777777" w:rsidR="00DF7F25" w:rsidRPr="00CE4CFF" w:rsidRDefault="00C7052C" w:rsidP="00CE4CFF">
      <w:pPr>
        <w:spacing w:after="120" w:line="480" w:lineRule="auto"/>
        <w:jc w:val="both"/>
        <w:rPr>
          <w:b/>
          <w:bCs/>
          <w:i/>
          <w:iCs/>
        </w:rPr>
      </w:pPr>
      <w:r w:rsidRPr="00CE4CFF">
        <w:rPr>
          <w:b/>
          <w:bCs/>
          <w:i/>
          <w:iCs/>
        </w:rPr>
        <w:t>3.3 AI Tools Used</w:t>
      </w:r>
    </w:p>
    <w:p w14:paraId="21139A50" w14:textId="77777777" w:rsidR="00DF7F25" w:rsidRPr="00BB4371" w:rsidRDefault="00C7052C" w:rsidP="00CE4CFF">
      <w:pPr>
        <w:spacing w:after="120" w:line="480" w:lineRule="auto"/>
        <w:ind w:firstLine="720"/>
        <w:jc w:val="both"/>
      </w:pPr>
      <w:r w:rsidRPr="00BB4371">
        <w:t>Students were introduced to two primary AI tools during the eight-week intervention period: (1) ChatGPT (OpenAI) for speaking topic preparation, idea generation, and self-review of drafted oral responses; and (2) ELSA Speak, an AI-powered pronunciation coaching application, for phoneme-level practice and fluency feedback. Teachers provided structured guidance on using these tools as pre-task preparation aids and post-task self-assessment resources, following principles of scaffolded technology integration (Godwin-Jones, 2022).</w:t>
      </w:r>
    </w:p>
    <w:p w14:paraId="00BB2D70" w14:textId="282015FD" w:rsidR="0039344C" w:rsidRPr="00CE4CFF" w:rsidRDefault="0039344C" w:rsidP="00CE4CFF">
      <w:pPr>
        <w:spacing w:after="120" w:line="480" w:lineRule="auto"/>
        <w:jc w:val="both"/>
        <w:rPr>
          <w:b/>
          <w:bCs/>
          <w:i/>
          <w:iCs/>
        </w:rPr>
      </w:pPr>
      <w:r w:rsidRPr="00CE4CFF">
        <w:rPr>
          <w:b/>
          <w:bCs/>
          <w:i/>
          <w:iCs/>
        </w:rPr>
        <w:t>3.4 Intervention Procedure</w:t>
      </w:r>
    </w:p>
    <w:p w14:paraId="71F863EC" w14:textId="798C422E" w:rsidR="0039344C" w:rsidRDefault="0039344C" w:rsidP="00CE4CFF">
      <w:pPr>
        <w:spacing w:after="120" w:line="480" w:lineRule="auto"/>
        <w:ind w:firstLine="720"/>
        <w:jc w:val="both"/>
      </w:pPr>
      <w:r>
        <w:t xml:space="preserve">The intervention was implemented over eight consecutive weeks during the regular English communication course. Each weekly session lasted approximately 150 minutes and incorporated AI-assisted preparation activities prior to classroom speaking tasks. Students primarily used ChatGPT to generate ideas, organize responses, and rehearse speaking content, while ELSA Speak was used for pronunciation and fluency practice. Teachers emphasized that AI tools should function as preparatory supports rather than substitutes for classroom performance. AI use did not contribute directly to students' course grades. </w:t>
      </w:r>
    </w:p>
    <w:p w14:paraId="1428931F" w14:textId="77777777" w:rsidR="00CE4CFF" w:rsidRDefault="00CE4CFF" w:rsidP="00CE4CFF">
      <w:pPr>
        <w:spacing w:after="120" w:line="480" w:lineRule="auto"/>
        <w:jc w:val="both"/>
        <w:rPr>
          <w:b/>
          <w:bCs/>
        </w:rPr>
      </w:pPr>
    </w:p>
    <w:p w14:paraId="14D3DF24" w14:textId="2D183150" w:rsidR="0039344C" w:rsidRPr="00E73514" w:rsidRDefault="0039344C" w:rsidP="00CE4CFF">
      <w:pPr>
        <w:spacing w:after="120" w:line="480" w:lineRule="auto"/>
        <w:jc w:val="both"/>
        <w:rPr>
          <w:b/>
          <w:bCs/>
        </w:rPr>
      </w:pPr>
      <w:r w:rsidRPr="00E73514">
        <w:rPr>
          <w:b/>
          <w:bCs/>
        </w:rPr>
        <w:lastRenderedPageBreak/>
        <w:t>Table 1</w:t>
      </w:r>
    </w:p>
    <w:p w14:paraId="60418C1D" w14:textId="43725B17" w:rsidR="00E73514" w:rsidRPr="00E73514" w:rsidRDefault="00E73514" w:rsidP="00CE4CFF">
      <w:pPr>
        <w:pStyle w:val="RALs-TableCaption"/>
        <w:ind w:left="0" w:firstLine="0"/>
        <w:rPr>
          <w:rFonts w:asciiTheme="majorBidi" w:hAnsiTheme="majorBidi" w:cstheme="majorBidi"/>
          <w:i/>
          <w:iCs/>
          <w:szCs w:val="20"/>
        </w:rPr>
      </w:pPr>
      <w:r w:rsidRPr="00E73514">
        <w:rPr>
          <w:rFonts w:asciiTheme="majorBidi" w:hAnsiTheme="majorBidi" w:cstheme="majorBidi"/>
          <w:i/>
          <w:iCs/>
          <w:szCs w:val="20"/>
        </w:rPr>
        <w:t>Overview of the Eight-Week AI-Assisted Speaking Intervention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3"/>
        <w:gridCol w:w="1941"/>
        <w:gridCol w:w="2412"/>
        <w:gridCol w:w="1639"/>
        <w:gridCol w:w="2431"/>
      </w:tblGrid>
      <w:tr w:rsidR="00B54F48" w:rsidRPr="0039344C" w14:paraId="287BB6B6" w14:textId="77777777" w:rsidTr="0039344C">
        <w:trPr>
          <w:tblHeader/>
          <w:tblCellSpacing w:w="15" w:type="dxa"/>
        </w:trPr>
        <w:tc>
          <w:tcPr>
            <w:tcW w:w="0" w:type="auto"/>
            <w:tcBorders>
              <w:top w:val="single" w:sz="4" w:space="0" w:color="auto"/>
              <w:bottom w:val="single" w:sz="4" w:space="0" w:color="auto"/>
            </w:tcBorders>
            <w:vAlign w:val="center"/>
            <w:hideMark/>
          </w:tcPr>
          <w:p w14:paraId="0037C383"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Week</w:t>
            </w:r>
          </w:p>
        </w:tc>
        <w:tc>
          <w:tcPr>
            <w:tcW w:w="0" w:type="auto"/>
            <w:tcBorders>
              <w:top w:val="single" w:sz="4" w:space="0" w:color="auto"/>
              <w:bottom w:val="single" w:sz="4" w:space="0" w:color="auto"/>
            </w:tcBorders>
            <w:vAlign w:val="center"/>
            <w:hideMark/>
          </w:tcPr>
          <w:p w14:paraId="76542120"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Speaking Focus</w:t>
            </w:r>
          </w:p>
        </w:tc>
        <w:tc>
          <w:tcPr>
            <w:tcW w:w="0" w:type="auto"/>
            <w:tcBorders>
              <w:top w:val="single" w:sz="4" w:space="0" w:color="auto"/>
              <w:bottom w:val="single" w:sz="4" w:space="0" w:color="auto"/>
            </w:tcBorders>
            <w:vAlign w:val="center"/>
            <w:hideMark/>
          </w:tcPr>
          <w:p w14:paraId="1487ACBC"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AI-supported Preparation</w:t>
            </w:r>
          </w:p>
        </w:tc>
        <w:tc>
          <w:tcPr>
            <w:tcW w:w="0" w:type="auto"/>
            <w:tcBorders>
              <w:top w:val="single" w:sz="4" w:space="0" w:color="auto"/>
              <w:bottom w:val="single" w:sz="4" w:space="0" w:color="auto"/>
            </w:tcBorders>
            <w:vAlign w:val="center"/>
            <w:hideMark/>
          </w:tcPr>
          <w:p w14:paraId="33FA5D92"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Classroom Speaking Activity</w:t>
            </w:r>
          </w:p>
        </w:tc>
        <w:tc>
          <w:tcPr>
            <w:tcW w:w="0" w:type="auto"/>
            <w:tcBorders>
              <w:top w:val="single" w:sz="4" w:space="0" w:color="auto"/>
              <w:bottom w:val="single" w:sz="4" w:space="0" w:color="auto"/>
            </w:tcBorders>
            <w:vAlign w:val="center"/>
            <w:hideMark/>
          </w:tcPr>
          <w:p w14:paraId="26E48980"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Teacher Role</w:t>
            </w:r>
          </w:p>
        </w:tc>
      </w:tr>
      <w:tr w:rsidR="00B54F48" w:rsidRPr="0039344C" w14:paraId="06791719" w14:textId="77777777" w:rsidTr="0039344C">
        <w:trPr>
          <w:tblCellSpacing w:w="15" w:type="dxa"/>
        </w:trPr>
        <w:tc>
          <w:tcPr>
            <w:tcW w:w="0" w:type="auto"/>
            <w:vAlign w:val="center"/>
            <w:hideMark/>
          </w:tcPr>
          <w:p w14:paraId="2D1D3B56"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1</w:t>
            </w:r>
          </w:p>
        </w:tc>
        <w:tc>
          <w:tcPr>
            <w:tcW w:w="0" w:type="auto"/>
            <w:vAlign w:val="center"/>
            <w:hideMark/>
          </w:tcPr>
          <w:p w14:paraId="557A1633" w14:textId="19E56FBA" w:rsidR="0039344C"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Giving suggestions for improvements</w:t>
            </w:r>
          </w:p>
        </w:tc>
        <w:tc>
          <w:tcPr>
            <w:tcW w:w="0" w:type="auto"/>
            <w:vAlign w:val="center"/>
            <w:hideMark/>
          </w:tcPr>
          <w:p w14:paraId="47B29910" w14:textId="14509C98"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 xml:space="preserve">Brainstorm ideas and organize responses </w:t>
            </w:r>
            <w:r w:rsidR="00330F92">
              <w:rPr>
                <w:rFonts w:asciiTheme="majorBidi" w:hAnsiTheme="majorBidi" w:cstheme="majorBidi"/>
                <w:color w:val="000000"/>
                <w:sz w:val="20"/>
                <w:szCs w:val="20"/>
              </w:rPr>
              <w:t>(</w:t>
            </w:r>
            <w:r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hideMark/>
          </w:tcPr>
          <w:p w14:paraId="29A6E24A" w14:textId="4DC84BAB"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Pair discussion</w:t>
            </w:r>
            <w:r w:rsidR="003507C6" w:rsidRPr="00E73514">
              <w:rPr>
                <w:rFonts w:asciiTheme="majorBidi" w:hAnsiTheme="majorBidi" w:cstheme="majorBidi"/>
                <w:color w:val="000000"/>
                <w:sz w:val="20"/>
                <w:szCs w:val="20"/>
              </w:rPr>
              <w:t xml:space="preserve"> and presentation</w:t>
            </w:r>
          </w:p>
        </w:tc>
        <w:tc>
          <w:tcPr>
            <w:tcW w:w="0" w:type="auto"/>
            <w:vAlign w:val="center"/>
            <w:hideMark/>
          </w:tcPr>
          <w:p w14:paraId="024404CE" w14:textId="08443D73"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Introduced AI prompting strategies and provided a speaking outline</w:t>
            </w:r>
          </w:p>
        </w:tc>
      </w:tr>
      <w:tr w:rsidR="00B54F48" w:rsidRPr="0039344C" w14:paraId="03E7F65A" w14:textId="77777777" w:rsidTr="0039344C">
        <w:trPr>
          <w:tblCellSpacing w:w="15" w:type="dxa"/>
        </w:trPr>
        <w:tc>
          <w:tcPr>
            <w:tcW w:w="0" w:type="auto"/>
            <w:vAlign w:val="center"/>
            <w:hideMark/>
          </w:tcPr>
          <w:p w14:paraId="6E77DFC4"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2</w:t>
            </w:r>
          </w:p>
        </w:tc>
        <w:tc>
          <w:tcPr>
            <w:tcW w:w="0" w:type="auto"/>
            <w:vAlign w:val="center"/>
            <w:hideMark/>
          </w:tcPr>
          <w:p w14:paraId="07D05031" w14:textId="3643612F"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Talking about</w:t>
            </w:r>
            <w:r w:rsidR="00E73514">
              <w:rPr>
                <w:rFonts w:asciiTheme="majorBidi" w:hAnsiTheme="majorBidi" w:cstheme="majorBidi"/>
                <w:color w:val="000000"/>
                <w:sz w:val="20"/>
                <w:szCs w:val="20"/>
              </w:rPr>
              <w:t xml:space="preserve"> the inventions of the 20</w:t>
            </w:r>
            <w:r w:rsidR="00E73514" w:rsidRPr="00E73514">
              <w:rPr>
                <w:rFonts w:asciiTheme="majorBidi" w:hAnsiTheme="majorBidi" w:cstheme="majorBidi"/>
                <w:color w:val="000000"/>
                <w:sz w:val="20"/>
                <w:szCs w:val="20"/>
                <w:vertAlign w:val="superscript"/>
              </w:rPr>
              <w:t>th</w:t>
            </w:r>
            <w:r w:rsidR="00E73514">
              <w:rPr>
                <w:rFonts w:asciiTheme="majorBidi" w:hAnsiTheme="majorBidi" w:cstheme="majorBidi"/>
                <w:color w:val="000000"/>
                <w:sz w:val="20"/>
                <w:szCs w:val="20"/>
              </w:rPr>
              <w:t xml:space="preserve"> century</w:t>
            </w:r>
          </w:p>
        </w:tc>
        <w:tc>
          <w:tcPr>
            <w:tcW w:w="0" w:type="auto"/>
            <w:vAlign w:val="center"/>
            <w:hideMark/>
          </w:tcPr>
          <w:p w14:paraId="5DA12504" w14:textId="02885BF0"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Search for information, generate key ideas, and organize content</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hideMark/>
          </w:tcPr>
          <w:p w14:paraId="0A15F3A8" w14:textId="166516FE" w:rsidR="0039344C" w:rsidRPr="00E73514" w:rsidRDefault="003507C6"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Individual speaking and presentation</w:t>
            </w:r>
          </w:p>
        </w:tc>
        <w:tc>
          <w:tcPr>
            <w:tcW w:w="0" w:type="auto"/>
            <w:vAlign w:val="center"/>
            <w:hideMark/>
          </w:tcPr>
          <w:p w14:paraId="07312869" w14:textId="4A77F774"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 xml:space="preserve">Guided </w:t>
            </w:r>
            <w:r>
              <w:rPr>
                <w:rFonts w:asciiTheme="majorBidi" w:hAnsiTheme="majorBidi" w:cstheme="majorBidi"/>
                <w:color w:val="000000"/>
                <w:sz w:val="20"/>
                <w:szCs w:val="20"/>
              </w:rPr>
              <w:t xml:space="preserve">speaking requirements </w:t>
            </w:r>
            <w:r w:rsidRPr="00B54F48">
              <w:rPr>
                <w:rFonts w:asciiTheme="majorBidi" w:hAnsiTheme="majorBidi" w:cstheme="majorBidi"/>
                <w:color w:val="000000"/>
                <w:sz w:val="20"/>
                <w:szCs w:val="20"/>
              </w:rPr>
              <w:t>provided feedback</w:t>
            </w:r>
          </w:p>
        </w:tc>
      </w:tr>
      <w:tr w:rsidR="00B54F48" w:rsidRPr="0039344C" w14:paraId="33EB63E4" w14:textId="77777777" w:rsidTr="0039344C">
        <w:trPr>
          <w:tblCellSpacing w:w="15" w:type="dxa"/>
        </w:trPr>
        <w:tc>
          <w:tcPr>
            <w:tcW w:w="0" w:type="auto"/>
            <w:vAlign w:val="center"/>
            <w:hideMark/>
          </w:tcPr>
          <w:p w14:paraId="74E282A1" w14:textId="77777777"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3</w:t>
            </w:r>
          </w:p>
        </w:tc>
        <w:tc>
          <w:tcPr>
            <w:tcW w:w="0" w:type="auto"/>
            <w:vAlign w:val="center"/>
            <w:hideMark/>
          </w:tcPr>
          <w:p w14:paraId="30BA5393" w14:textId="4EAE269D" w:rsidR="0039344C"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Describing jobs</w:t>
            </w:r>
          </w:p>
        </w:tc>
        <w:tc>
          <w:tcPr>
            <w:tcW w:w="0" w:type="auto"/>
            <w:vAlign w:val="center"/>
            <w:hideMark/>
          </w:tcPr>
          <w:p w14:paraId="7724F641" w14:textId="42378177"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Generate an outline, key vocabulary, and sample expressions</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hideMark/>
          </w:tcPr>
          <w:p w14:paraId="6008233B" w14:textId="134517A4" w:rsidR="0039344C" w:rsidRPr="00E73514" w:rsidRDefault="003507C6"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 xml:space="preserve">Pair </w:t>
            </w:r>
            <w:r w:rsidR="0039344C" w:rsidRPr="00E73514">
              <w:rPr>
                <w:rFonts w:asciiTheme="majorBidi" w:hAnsiTheme="majorBidi" w:cstheme="majorBidi"/>
                <w:color w:val="000000"/>
                <w:sz w:val="20"/>
                <w:szCs w:val="20"/>
              </w:rPr>
              <w:t>discussion</w:t>
            </w:r>
          </w:p>
        </w:tc>
        <w:tc>
          <w:tcPr>
            <w:tcW w:w="0" w:type="auto"/>
            <w:vAlign w:val="center"/>
            <w:hideMark/>
          </w:tcPr>
          <w:p w14:paraId="333C85F2" w14:textId="017E922F" w:rsidR="0039344C" w:rsidRPr="00E73514" w:rsidRDefault="0039344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 xml:space="preserve">Facilitated </w:t>
            </w:r>
            <w:r w:rsidR="003507C6" w:rsidRPr="00E73514">
              <w:rPr>
                <w:rFonts w:asciiTheme="majorBidi" w:hAnsiTheme="majorBidi" w:cstheme="majorBidi"/>
                <w:color w:val="000000"/>
                <w:sz w:val="20"/>
                <w:szCs w:val="20"/>
              </w:rPr>
              <w:t>warm-up and follow-up activities</w:t>
            </w:r>
          </w:p>
        </w:tc>
      </w:tr>
      <w:tr w:rsidR="00B54F48" w:rsidRPr="0039344C" w14:paraId="2751D2B3" w14:textId="77777777" w:rsidTr="0039344C">
        <w:trPr>
          <w:tblCellSpacing w:w="15" w:type="dxa"/>
        </w:trPr>
        <w:tc>
          <w:tcPr>
            <w:tcW w:w="0" w:type="auto"/>
            <w:vAlign w:val="center"/>
            <w:hideMark/>
          </w:tcPr>
          <w:p w14:paraId="6863E689" w14:textId="6E839680" w:rsidR="0039344C" w:rsidRPr="00E73514" w:rsidRDefault="003507C6"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4</w:t>
            </w:r>
          </w:p>
        </w:tc>
        <w:tc>
          <w:tcPr>
            <w:tcW w:w="0" w:type="auto"/>
            <w:vAlign w:val="center"/>
            <w:hideMark/>
          </w:tcPr>
          <w:p w14:paraId="5B900543" w14:textId="653F592C" w:rsidR="0039344C"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Conducting a</w:t>
            </w:r>
            <w:r w:rsidR="003507C6" w:rsidRPr="00E73514">
              <w:rPr>
                <w:rFonts w:asciiTheme="majorBidi" w:hAnsiTheme="majorBidi" w:cstheme="majorBidi"/>
                <w:color w:val="000000"/>
                <w:sz w:val="20"/>
                <w:szCs w:val="20"/>
              </w:rPr>
              <w:t xml:space="preserve"> job interview</w:t>
            </w:r>
          </w:p>
        </w:tc>
        <w:tc>
          <w:tcPr>
            <w:tcW w:w="0" w:type="auto"/>
            <w:vAlign w:val="center"/>
            <w:hideMark/>
          </w:tcPr>
          <w:p w14:paraId="3F26BFF8" w14:textId="3C92A299"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Generate interview questions and model responses</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hideMark/>
          </w:tcPr>
          <w:p w14:paraId="4C9F64C2" w14:textId="46E8E4DA"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Pair r</w:t>
            </w:r>
            <w:r w:rsidR="003507C6" w:rsidRPr="00E73514">
              <w:rPr>
                <w:rFonts w:asciiTheme="majorBidi" w:hAnsiTheme="majorBidi" w:cstheme="majorBidi"/>
                <w:color w:val="000000"/>
                <w:sz w:val="20"/>
                <w:szCs w:val="20"/>
              </w:rPr>
              <w:t>ole-play</w:t>
            </w:r>
          </w:p>
        </w:tc>
        <w:tc>
          <w:tcPr>
            <w:tcW w:w="0" w:type="auto"/>
            <w:vAlign w:val="center"/>
            <w:hideMark/>
          </w:tcPr>
          <w:p w14:paraId="19E95440" w14:textId="6C7808CB"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Monitored interactions and provided corrective feedback</w:t>
            </w:r>
          </w:p>
        </w:tc>
      </w:tr>
      <w:tr w:rsidR="00B54F48" w:rsidRPr="0039344C" w14:paraId="14B52099" w14:textId="77777777" w:rsidTr="003507C6">
        <w:trPr>
          <w:tblCellSpacing w:w="15" w:type="dxa"/>
        </w:trPr>
        <w:tc>
          <w:tcPr>
            <w:tcW w:w="0" w:type="auto"/>
            <w:vAlign w:val="center"/>
            <w:hideMark/>
          </w:tcPr>
          <w:p w14:paraId="090CE064" w14:textId="23A8B8A3" w:rsidR="0039344C" w:rsidRPr="00E73514" w:rsidRDefault="003507C6"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5</w:t>
            </w:r>
          </w:p>
        </w:tc>
        <w:tc>
          <w:tcPr>
            <w:tcW w:w="0" w:type="auto"/>
            <w:vAlign w:val="center"/>
          </w:tcPr>
          <w:p w14:paraId="4E091B1E" w14:textId="4E5203A6"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Discussing</w:t>
            </w:r>
            <w:r w:rsidR="00E73514">
              <w:rPr>
                <w:rFonts w:asciiTheme="majorBidi" w:hAnsiTheme="majorBidi" w:cstheme="majorBidi"/>
                <w:color w:val="000000"/>
                <w:sz w:val="20"/>
                <w:szCs w:val="20"/>
              </w:rPr>
              <w:t xml:space="preserve"> h</w:t>
            </w:r>
            <w:r w:rsidR="003507C6" w:rsidRPr="00E73514">
              <w:rPr>
                <w:rFonts w:asciiTheme="majorBidi" w:hAnsiTheme="majorBidi" w:cstheme="majorBidi"/>
                <w:color w:val="000000"/>
                <w:sz w:val="20"/>
                <w:szCs w:val="20"/>
              </w:rPr>
              <w:t>ealth issues</w:t>
            </w:r>
          </w:p>
        </w:tc>
        <w:tc>
          <w:tcPr>
            <w:tcW w:w="0" w:type="auto"/>
            <w:vAlign w:val="center"/>
          </w:tcPr>
          <w:p w14:paraId="4E622FFB" w14:textId="71DDC662"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Brainstorm ideas and useful vocabulary</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tcPr>
          <w:p w14:paraId="27D7811C" w14:textId="201498C8"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Small-group</w:t>
            </w:r>
            <w:r w:rsidR="003507C6" w:rsidRPr="00E73514">
              <w:rPr>
                <w:rFonts w:asciiTheme="majorBidi" w:hAnsiTheme="majorBidi" w:cstheme="majorBidi"/>
                <w:color w:val="000000"/>
                <w:sz w:val="20"/>
                <w:szCs w:val="20"/>
              </w:rPr>
              <w:t xml:space="preserve"> discussion</w:t>
            </w:r>
          </w:p>
        </w:tc>
        <w:tc>
          <w:tcPr>
            <w:tcW w:w="0" w:type="auto"/>
            <w:vAlign w:val="center"/>
          </w:tcPr>
          <w:p w14:paraId="1180C93F" w14:textId="5643C2AA" w:rsidR="0039344C"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Facilitated discussion and encouraged spontaneous responses</w:t>
            </w:r>
          </w:p>
        </w:tc>
      </w:tr>
      <w:tr w:rsidR="00B54F48" w:rsidRPr="0039344C" w14:paraId="4DE57434" w14:textId="77777777" w:rsidTr="00E73514">
        <w:trPr>
          <w:tblCellSpacing w:w="15" w:type="dxa"/>
        </w:trPr>
        <w:tc>
          <w:tcPr>
            <w:tcW w:w="0" w:type="auto"/>
            <w:vAlign w:val="center"/>
          </w:tcPr>
          <w:p w14:paraId="5B7EE356" w14:textId="6B4F16CD" w:rsidR="003507C6" w:rsidRPr="00E73514" w:rsidRDefault="003507C6"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6</w:t>
            </w:r>
          </w:p>
        </w:tc>
        <w:tc>
          <w:tcPr>
            <w:tcW w:w="0" w:type="auto"/>
            <w:vAlign w:val="center"/>
          </w:tcPr>
          <w:p w14:paraId="2DE440BF" w14:textId="078DD895" w:rsidR="003507C6"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Role-playing a c</w:t>
            </w:r>
            <w:r w:rsidR="003507C6" w:rsidRPr="00E73514">
              <w:rPr>
                <w:rFonts w:asciiTheme="majorBidi" w:hAnsiTheme="majorBidi" w:cstheme="majorBidi"/>
                <w:color w:val="000000"/>
                <w:sz w:val="20"/>
                <w:szCs w:val="20"/>
              </w:rPr>
              <w:t>onversation at a doctor’s</w:t>
            </w:r>
          </w:p>
        </w:tc>
        <w:tc>
          <w:tcPr>
            <w:tcW w:w="0" w:type="auto"/>
            <w:vAlign w:val="center"/>
          </w:tcPr>
          <w:p w14:paraId="2894A572" w14:textId="6A46B33E" w:rsidR="003507C6"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Generate sample dialogues and useful expressions</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tcPr>
          <w:p w14:paraId="699BD9E2" w14:textId="7CCC377F" w:rsidR="003507C6"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Pair r</w:t>
            </w:r>
            <w:r w:rsidR="00E73514" w:rsidRPr="00E73514">
              <w:rPr>
                <w:rFonts w:asciiTheme="majorBidi" w:hAnsiTheme="majorBidi" w:cstheme="majorBidi"/>
                <w:color w:val="000000"/>
                <w:sz w:val="20"/>
                <w:szCs w:val="20"/>
              </w:rPr>
              <w:t>ole-play</w:t>
            </w:r>
          </w:p>
        </w:tc>
        <w:tc>
          <w:tcPr>
            <w:tcW w:w="0" w:type="auto"/>
            <w:vAlign w:val="center"/>
          </w:tcPr>
          <w:p w14:paraId="1B029A48" w14:textId="10855703" w:rsidR="003507C6"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Observed role-plays and provided communicative feedback</w:t>
            </w:r>
          </w:p>
        </w:tc>
      </w:tr>
      <w:tr w:rsidR="00B54F48" w:rsidRPr="0039344C" w14:paraId="7CB8DEEA" w14:textId="77777777" w:rsidTr="00E73514">
        <w:trPr>
          <w:tblCellSpacing w:w="15" w:type="dxa"/>
        </w:trPr>
        <w:tc>
          <w:tcPr>
            <w:tcW w:w="0" w:type="auto"/>
            <w:vAlign w:val="center"/>
          </w:tcPr>
          <w:p w14:paraId="1963BE4F" w14:textId="5B4CB3C3" w:rsidR="00E73514"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7</w:t>
            </w:r>
          </w:p>
        </w:tc>
        <w:tc>
          <w:tcPr>
            <w:tcW w:w="0" w:type="auto"/>
            <w:vAlign w:val="center"/>
          </w:tcPr>
          <w:p w14:paraId="22889E57" w14:textId="0C3EE5B9"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Pr>
                <w:rFonts w:asciiTheme="majorBidi" w:hAnsiTheme="majorBidi" w:cstheme="majorBidi"/>
                <w:color w:val="000000"/>
                <w:sz w:val="20"/>
                <w:szCs w:val="20"/>
              </w:rPr>
              <w:t>Narrating a folk tale</w:t>
            </w:r>
          </w:p>
        </w:tc>
        <w:tc>
          <w:tcPr>
            <w:tcW w:w="0" w:type="auto"/>
            <w:vAlign w:val="center"/>
          </w:tcPr>
          <w:p w14:paraId="6E2F2793" w14:textId="6E40E845"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Brainstorm ideas and organize the story sequence</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vAlign w:val="center"/>
          </w:tcPr>
          <w:p w14:paraId="220E268B" w14:textId="64A9FEE6"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Pair storytelling</w:t>
            </w:r>
          </w:p>
        </w:tc>
        <w:tc>
          <w:tcPr>
            <w:tcW w:w="0" w:type="auto"/>
            <w:vAlign w:val="center"/>
          </w:tcPr>
          <w:p w14:paraId="13E96AF4" w14:textId="29125367"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Facilitated pre-speaking activities and follow-up discussion</w:t>
            </w:r>
          </w:p>
        </w:tc>
      </w:tr>
      <w:tr w:rsidR="00B54F48" w:rsidRPr="0039344C" w14:paraId="0842B733" w14:textId="77777777" w:rsidTr="0039344C">
        <w:trPr>
          <w:tblCellSpacing w:w="15" w:type="dxa"/>
        </w:trPr>
        <w:tc>
          <w:tcPr>
            <w:tcW w:w="0" w:type="auto"/>
            <w:tcBorders>
              <w:bottom w:val="single" w:sz="4" w:space="0" w:color="auto"/>
            </w:tcBorders>
            <w:vAlign w:val="center"/>
          </w:tcPr>
          <w:p w14:paraId="72333EBC" w14:textId="027AD04F" w:rsidR="00E73514"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8</w:t>
            </w:r>
          </w:p>
        </w:tc>
        <w:tc>
          <w:tcPr>
            <w:tcW w:w="0" w:type="auto"/>
            <w:tcBorders>
              <w:bottom w:val="single" w:sz="4" w:space="0" w:color="auto"/>
            </w:tcBorders>
            <w:vAlign w:val="center"/>
          </w:tcPr>
          <w:p w14:paraId="32FAA670" w14:textId="3B9BA875" w:rsidR="00E73514" w:rsidRPr="00E73514" w:rsidRDefault="00E73514"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E73514">
              <w:rPr>
                <w:rFonts w:asciiTheme="majorBidi" w:hAnsiTheme="majorBidi" w:cstheme="majorBidi"/>
                <w:color w:val="000000"/>
                <w:sz w:val="20"/>
                <w:szCs w:val="20"/>
              </w:rPr>
              <w:t>Describing favorite entertainment activities</w:t>
            </w:r>
          </w:p>
        </w:tc>
        <w:tc>
          <w:tcPr>
            <w:tcW w:w="0" w:type="auto"/>
            <w:tcBorders>
              <w:bottom w:val="single" w:sz="4" w:space="0" w:color="auto"/>
            </w:tcBorders>
            <w:vAlign w:val="center"/>
          </w:tcPr>
          <w:p w14:paraId="54CFDF24" w14:textId="7D275255"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Generate an outline and supporting vocabulary</w:t>
            </w:r>
            <w:r w:rsidR="00330F92">
              <w:rPr>
                <w:rFonts w:asciiTheme="majorBidi" w:hAnsiTheme="majorBidi" w:cstheme="majorBidi"/>
                <w:color w:val="000000"/>
                <w:sz w:val="20"/>
                <w:szCs w:val="20"/>
              </w:rPr>
              <w:t xml:space="preserve"> (</w:t>
            </w:r>
            <w:r w:rsidR="00330F92" w:rsidRPr="00B54F48">
              <w:rPr>
                <w:rFonts w:asciiTheme="majorBidi" w:hAnsiTheme="majorBidi" w:cstheme="majorBidi"/>
                <w:color w:val="000000"/>
                <w:sz w:val="20"/>
                <w:szCs w:val="20"/>
              </w:rPr>
              <w:t>ChatGPT</w:t>
            </w:r>
            <w:r w:rsidR="00330F92">
              <w:rPr>
                <w:rFonts w:asciiTheme="majorBidi" w:hAnsiTheme="majorBidi" w:cstheme="majorBidi"/>
                <w:color w:val="000000"/>
                <w:sz w:val="20"/>
                <w:szCs w:val="20"/>
              </w:rPr>
              <w:t>)</w:t>
            </w:r>
          </w:p>
        </w:tc>
        <w:tc>
          <w:tcPr>
            <w:tcW w:w="0" w:type="auto"/>
            <w:tcBorders>
              <w:bottom w:val="single" w:sz="4" w:space="0" w:color="auto"/>
            </w:tcBorders>
            <w:vAlign w:val="center"/>
          </w:tcPr>
          <w:p w14:paraId="45B05AB8" w14:textId="4316E471"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Individual video-recorded presentation</w:t>
            </w:r>
          </w:p>
        </w:tc>
        <w:tc>
          <w:tcPr>
            <w:tcW w:w="0" w:type="auto"/>
            <w:tcBorders>
              <w:bottom w:val="single" w:sz="4" w:space="0" w:color="auto"/>
            </w:tcBorders>
            <w:vAlign w:val="center"/>
          </w:tcPr>
          <w:p w14:paraId="19951B3D" w14:textId="47645F9D" w:rsidR="00E73514" w:rsidRPr="00E73514" w:rsidRDefault="00B54F48"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B54F48">
              <w:rPr>
                <w:rFonts w:asciiTheme="majorBidi" w:hAnsiTheme="majorBidi" w:cstheme="majorBidi"/>
                <w:color w:val="000000"/>
                <w:sz w:val="20"/>
                <w:szCs w:val="20"/>
              </w:rPr>
              <w:t>Provided individualized feedback on content and language use</w:t>
            </w:r>
          </w:p>
        </w:tc>
      </w:tr>
    </w:tbl>
    <w:p w14:paraId="7BE58555" w14:textId="7BBB9EF2" w:rsidR="0039344C" w:rsidRPr="00330F92" w:rsidRDefault="00330F92" w:rsidP="00CE4CFF">
      <w:pPr>
        <w:suppressAutoHyphens/>
        <w:spacing w:before="120" w:after="240"/>
        <w:rPr>
          <w:i/>
          <w:iCs/>
          <w:sz w:val="20"/>
          <w:szCs w:val="20"/>
        </w:rPr>
      </w:pPr>
      <w:r w:rsidRPr="00330F92">
        <w:rPr>
          <w:i/>
          <w:iCs/>
          <w:sz w:val="20"/>
          <w:szCs w:val="20"/>
          <w:vertAlign w:val="superscript"/>
        </w:rPr>
        <w:t>*</w:t>
      </w:r>
      <w:r w:rsidRPr="00330F92">
        <w:rPr>
          <w:i/>
          <w:iCs/>
          <w:sz w:val="20"/>
          <w:szCs w:val="20"/>
        </w:rPr>
        <w:t>ELSA Speak was used for pronunciation and fluency practice as homework</w:t>
      </w:r>
      <w:r>
        <w:rPr>
          <w:i/>
          <w:iCs/>
          <w:sz w:val="20"/>
          <w:szCs w:val="20"/>
        </w:rPr>
        <w:t xml:space="preserve"> and is therefore not presented in this table. </w:t>
      </w:r>
    </w:p>
    <w:p w14:paraId="797B20BC" w14:textId="77777777" w:rsidR="00CE4CFF" w:rsidRDefault="00CE4CFF" w:rsidP="00CE4CFF">
      <w:pPr>
        <w:spacing w:after="120" w:line="480" w:lineRule="auto"/>
        <w:ind w:firstLine="720"/>
        <w:jc w:val="both"/>
      </w:pPr>
    </w:p>
    <w:p w14:paraId="61A86A8C" w14:textId="73A0C38E" w:rsidR="0039344C" w:rsidRPr="0039344C" w:rsidRDefault="0039344C" w:rsidP="00CE4CFF">
      <w:pPr>
        <w:spacing w:after="120" w:line="480" w:lineRule="auto"/>
        <w:ind w:firstLine="720"/>
        <w:jc w:val="both"/>
      </w:pPr>
      <w:r>
        <w:t xml:space="preserve">Students spent </w:t>
      </w:r>
      <w:r w:rsidR="00330F92">
        <w:t>varying amounts of time</w:t>
      </w:r>
      <w:r>
        <w:t xml:space="preserve"> using AI tools before each classroom speaking activity. </w:t>
      </w:r>
      <w:r w:rsidR="003507C6">
        <w:t>The teacher, who</w:t>
      </w:r>
      <w:r w:rsidR="008174F8">
        <w:t xml:space="preserve"> </w:t>
      </w:r>
      <w:r w:rsidR="003507C6">
        <w:t xml:space="preserve">is also the author, </w:t>
      </w:r>
      <w:r>
        <w:t xml:space="preserve">followed a standardized instructional protocol </w:t>
      </w:r>
      <w:r>
        <w:lastRenderedPageBreak/>
        <w:t>developed prior to the intervention</w:t>
      </w:r>
      <w:r w:rsidR="003507C6" w:rsidRPr="003507C6">
        <w:t xml:space="preserve"> </w:t>
      </w:r>
      <w:r w:rsidR="003507C6">
        <w:t>in all four classes</w:t>
      </w:r>
      <w:r>
        <w:t>, including identical guidance on AI use, and speaking task procedures. Students were encouraged to evaluate and personalize AI-generated responses rather than memorizing them. AI-assisted preparation served as a learning support and was not assessed separately from normal course participation.</w:t>
      </w:r>
    </w:p>
    <w:p w14:paraId="0813B114" w14:textId="5714E25F" w:rsidR="00DF7F25" w:rsidRPr="00CE4CFF" w:rsidRDefault="00C7052C" w:rsidP="00CE4CFF">
      <w:pPr>
        <w:spacing w:after="120" w:line="480" w:lineRule="auto"/>
        <w:jc w:val="both"/>
        <w:rPr>
          <w:b/>
          <w:bCs/>
          <w:i/>
          <w:iCs/>
        </w:rPr>
      </w:pPr>
      <w:r w:rsidRPr="00CE4CFF">
        <w:rPr>
          <w:b/>
          <w:bCs/>
          <w:i/>
          <w:iCs/>
        </w:rPr>
        <w:t>3.</w:t>
      </w:r>
      <w:r w:rsidR="008174F8" w:rsidRPr="00CE4CFF">
        <w:rPr>
          <w:b/>
          <w:bCs/>
          <w:i/>
          <w:iCs/>
        </w:rPr>
        <w:t>5</w:t>
      </w:r>
      <w:r w:rsidRPr="00CE4CFF">
        <w:rPr>
          <w:b/>
          <w:bCs/>
          <w:i/>
          <w:iCs/>
        </w:rPr>
        <w:t xml:space="preserve"> Data Collection Instruments</w:t>
      </w:r>
    </w:p>
    <w:p w14:paraId="767D00B6" w14:textId="61F338AD" w:rsidR="00DF7F25" w:rsidRPr="00CE4CFF" w:rsidRDefault="00C7052C" w:rsidP="00CE4CFF">
      <w:pPr>
        <w:spacing w:after="120" w:line="480" w:lineRule="auto"/>
        <w:jc w:val="both"/>
        <w:rPr>
          <w:b/>
          <w:bCs/>
          <w:i/>
          <w:iCs/>
        </w:rPr>
      </w:pPr>
      <w:r w:rsidRPr="00CE4CFF">
        <w:rPr>
          <w:b/>
          <w:bCs/>
          <w:i/>
          <w:iCs/>
        </w:rPr>
        <w:t>3.</w:t>
      </w:r>
      <w:r w:rsidR="008174F8" w:rsidRPr="00CE4CFF">
        <w:rPr>
          <w:b/>
          <w:bCs/>
          <w:i/>
          <w:iCs/>
        </w:rPr>
        <w:t>5</w:t>
      </w:r>
      <w:r w:rsidRPr="00CE4CFF">
        <w:rPr>
          <w:b/>
          <w:bCs/>
          <w:i/>
          <w:iCs/>
        </w:rPr>
        <w:t>.1 Questionnaire</w:t>
      </w:r>
    </w:p>
    <w:p w14:paraId="34914C04" w14:textId="77777777" w:rsidR="00DF7F25" w:rsidRPr="00BB4371" w:rsidRDefault="00C7052C" w:rsidP="00CE4CFF">
      <w:pPr>
        <w:spacing w:after="120" w:line="480" w:lineRule="auto"/>
        <w:ind w:firstLine="720"/>
        <w:jc w:val="both"/>
      </w:pPr>
      <w:r w:rsidRPr="00BB4371">
        <w:t>A 9-item, five-point Likert-scale questionnaire (1 = Strongly Disagree to 5 = Strongly Agree) was administered at the end of the intervention period. Items were selectively adapted from three established, validated scales to ensure psychometric soundness and theoretical coherence across the three dimensions of the study.</w:t>
      </w:r>
    </w:p>
    <w:p w14:paraId="451DFFB5" w14:textId="17256A4A" w:rsidR="00DF7F25" w:rsidRPr="00BB4371" w:rsidRDefault="00C7052C" w:rsidP="00CE4CFF">
      <w:pPr>
        <w:spacing w:after="120" w:line="480" w:lineRule="auto"/>
        <w:ind w:firstLine="720"/>
        <w:jc w:val="both"/>
      </w:pPr>
      <w:r w:rsidRPr="00BB4371">
        <w:t>The first cluster</w:t>
      </w:r>
      <w:r w:rsidR="00BA0BB2">
        <w:t xml:space="preserve">, </w:t>
      </w:r>
      <w:r w:rsidRPr="00BB4371">
        <w:t>measuring speaking anxiety, fear of negative evaluation, and communication apprehension</w:t>
      </w:r>
      <w:r w:rsidR="00BA0BB2">
        <w:t xml:space="preserve">, </w:t>
      </w:r>
      <w:r w:rsidRPr="00BB4371">
        <w:t>was adapted from the Foreign Language Classroom Anxiety Scale (FLCAS; Horwitz et al., 1986). Items were reworded to reflect the AI-assisted speaking context. The second cluster</w:t>
      </w:r>
      <w:r w:rsidR="00BA0BB2">
        <w:t xml:space="preserve">, </w:t>
      </w:r>
      <w:r w:rsidRPr="00BB4371">
        <w:t>capturing willingness to communicate, participation intent, and interactional readiness</w:t>
      </w:r>
      <w:r w:rsidR="00BA0BB2">
        <w:t xml:space="preserve">, </w:t>
      </w:r>
      <w:r w:rsidRPr="00BB4371">
        <w:t>was adapted from the WTC scale (MacIntyre et al., 2001). The third cluster</w:t>
      </w:r>
      <w:r w:rsidR="00BA0BB2">
        <w:t xml:space="preserve">, </w:t>
      </w:r>
      <w:r w:rsidRPr="00BB4371">
        <w:t>addressing student attitudes toward AI tools, perceived enjoyment, and outcome expectations</w:t>
      </w:r>
      <w:r w:rsidR="00BA0BB2">
        <w:t xml:space="preserve">, </w:t>
      </w:r>
      <w:r w:rsidRPr="00BB4371">
        <w:t>was adapted from the GenAIAS (Orhan et al., 2024).</w:t>
      </w:r>
    </w:p>
    <w:p w14:paraId="2AE79CD2" w14:textId="77777777" w:rsidR="00DF7F25" w:rsidRPr="00BB4371" w:rsidRDefault="00C7052C" w:rsidP="00CE4CFF">
      <w:pPr>
        <w:spacing w:after="120" w:line="480" w:lineRule="auto"/>
        <w:ind w:firstLine="720"/>
        <w:jc w:val="both"/>
      </w:pPr>
      <w:r w:rsidRPr="00BB4371">
        <w:t>The adapted instrument was piloted with 25 non-English major students to verify item clarity and internal consistency. The final questionnaire demonstrated satisfactory reliability (overall Cronbach's α = .83; anxiety cluster α = .79; WTC cluster α = .81; AI attitude cluster α = .85), all meeting the conventional threshold of α ≥ .70 for exploratory research (Tavakol &amp; Dennick, 2011).</w:t>
      </w:r>
    </w:p>
    <w:p w14:paraId="1277E481" w14:textId="18C31752" w:rsidR="00DF7F25" w:rsidRPr="00BB4371" w:rsidRDefault="00C7052C" w:rsidP="00CE4CFF">
      <w:pPr>
        <w:spacing w:after="120" w:line="480" w:lineRule="auto"/>
        <w:ind w:firstLine="720"/>
        <w:jc w:val="both"/>
      </w:pPr>
      <w:r w:rsidRPr="00BB4371">
        <w:lastRenderedPageBreak/>
        <w:t xml:space="preserve">In addition, AI-assisted preparation was measured as an independent construct using three items developed specifically for this study (Cronbach's α = .78; M = 3.72, SD = 0.61), serving as the independent variable in the </w:t>
      </w:r>
      <w:r w:rsidR="00E465AA">
        <w:t>exploratory path</w:t>
      </w:r>
      <w:r w:rsidR="00E465AA" w:rsidRPr="00BB4371">
        <w:t xml:space="preserve"> </w:t>
      </w:r>
      <w:r w:rsidRPr="00BB4371">
        <w:t>analysis reported in Section 4.2.</w:t>
      </w:r>
    </w:p>
    <w:p w14:paraId="1C85F5E4" w14:textId="2740F953" w:rsidR="00DF7F25" w:rsidRPr="00CE4CFF" w:rsidRDefault="00C7052C" w:rsidP="00CE4CFF">
      <w:pPr>
        <w:spacing w:after="120" w:line="480" w:lineRule="auto"/>
        <w:jc w:val="both"/>
        <w:rPr>
          <w:b/>
          <w:bCs/>
          <w:i/>
          <w:iCs/>
        </w:rPr>
      </w:pPr>
      <w:r w:rsidRPr="00CE4CFF">
        <w:rPr>
          <w:b/>
          <w:bCs/>
          <w:i/>
          <w:iCs/>
        </w:rPr>
        <w:t>3.</w:t>
      </w:r>
      <w:r w:rsidR="008174F8" w:rsidRPr="00CE4CFF">
        <w:rPr>
          <w:b/>
          <w:bCs/>
          <w:i/>
          <w:iCs/>
        </w:rPr>
        <w:t>5</w:t>
      </w:r>
      <w:r w:rsidRPr="00CE4CFF">
        <w:rPr>
          <w:b/>
          <w:bCs/>
          <w:i/>
          <w:iCs/>
        </w:rPr>
        <w:t>.2 Reflective Journals</w:t>
      </w:r>
    </w:p>
    <w:p w14:paraId="5A36FB2D" w14:textId="609C8824" w:rsidR="00DF7F25" w:rsidRPr="00BB4371" w:rsidRDefault="00C7052C" w:rsidP="00CE4CFF">
      <w:pPr>
        <w:spacing w:after="120" w:line="480" w:lineRule="auto"/>
        <w:ind w:firstLine="720"/>
        <w:jc w:val="both"/>
      </w:pPr>
      <w:r w:rsidRPr="00BB4371">
        <w:t xml:space="preserve">Qualitative data were collected through structured guided reflective journals administered after each AI-assisted speaking task across the eight-week period, </w:t>
      </w:r>
      <w:r w:rsidR="00861B33">
        <w:t xml:space="preserve">grounded </w:t>
      </w:r>
      <w:r w:rsidR="00861B33" w:rsidRPr="00861B33">
        <w:t>in Boud, Keogh, and Walker's (1985) three-stage model of reflection—returning to experience, attending to feelings, and re-evaluating the experience—as more recently synthesized in Mali's (2025) review of reflective practice in language teaching and learning</w:t>
      </w:r>
      <w:r w:rsidRPr="00BB4371">
        <w:t xml:space="preserve">. Following </w:t>
      </w:r>
      <w:r w:rsidR="00861B33">
        <w:t>this</w:t>
      </w:r>
      <w:r w:rsidRPr="00BB4371">
        <w:t xml:space="preserve"> three-stage model</w:t>
      </w:r>
      <w:r w:rsidR="00861B33">
        <w:t xml:space="preserve">, </w:t>
      </w:r>
      <w:r w:rsidRPr="00BB4371">
        <w:t>three structured prompts were developed: (a) "Describe how you used the AI tool to prepare for today's speaking task"; (b) "How did using the AI tool affect how you felt about speaking in class today?"; and (c) "What would you do differently in your next AI-assisted speaking task, and why?" Students were permitted to write in English or Vietnamese to minimize language barriers. Vietnamese-language entries were translated into English by a bilingual research assistant with a postgraduate qualification in Applied Linguistics prior to thematic coding. Back-translation of a randomly selected 15% subsample confirmed semantic equivalence, with no substantive discrepancies identified.</w:t>
      </w:r>
    </w:p>
    <w:p w14:paraId="0A4ED4E7" w14:textId="422B4950" w:rsidR="00DF7F25" w:rsidRPr="00CE4CFF" w:rsidRDefault="00C7052C" w:rsidP="00CE4CFF">
      <w:pPr>
        <w:spacing w:after="120" w:line="480" w:lineRule="auto"/>
        <w:jc w:val="both"/>
        <w:rPr>
          <w:b/>
          <w:bCs/>
          <w:i/>
          <w:iCs/>
        </w:rPr>
      </w:pPr>
      <w:r w:rsidRPr="00CE4CFF">
        <w:rPr>
          <w:b/>
          <w:bCs/>
          <w:i/>
          <w:iCs/>
        </w:rPr>
        <w:t>3.</w:t>
      </w:r>
      <w:r w:rsidR="008174F8" w:rsidRPr="00CE4CFF">
        <w:rPr>
          <w:b/>
          <w:bCs/>
          <w:i/>
          <w:iCs/>
        </w:rPr>
        <w:t>6</w:t>
      </w:r>
      <w:r w:rsidRPr="00CE4CFF">
        <w:rPr>
          <w:b/>
          <w:bCs/>
          <w:i/>
          <w:iCs/>
        </w:rPr>
        <w:t xml:space="preserve"> Data Analysis</w:t>
      </w:r>
    </w:p>
    <w:p w14:paraId="0D4A5672" w14:textId="0660F8CF" w:rsidR="00DF7F25" w:rsidRPr="00BB4371" w:rsidRDefault="00C7052C" w:rsidP="00CE4CFF">
      <w:pPr>
        <w:spacing w:after="120" w:line="480" w:lineRule="auto"/>
        <w:ind w:firstLine="720"/>
        <w:jc w:val="both"/>
      </w:pPr>
      <w:r w:rsidRPr="00BB4371">
        <w:t xml:space="preserve">Quantitative data were analyzed using descriptive statistics and inferential analyses in SPSS 26.0, including multiple regression to examine whether AI-related affective factors predict willingness to communicate, and </w:t>
      </w:r>
      <w:r w:rsidR="00E465AA">
        <w:t>exploratory path</w:t>
      </w:r>
      <w:r w:rsidR="00E465AA" w:rsidRPr="00BB4371">
        <w:t xml:space="preserve"> </w:t>
      </w:r>
      <w:r w:rsidRPr="00BB4371">
        <w:t>analysis (with bootstrapping, 5,000 resamples) to explore whether confidence mediates the association between AI-assisted preparation and participation. An exploratory factor analysis (EFA) using principal axis factoring with varimax rotation was conducted to validate the adapted questionnaire's three-</w:t>
      </w:r>
      <w:r w:rsidRPr="00BB4371">
        <w:lastRenderedPageBreak/>
        <w:t xml:space="preserve">factor structure. Given the cross-sectional design, the </w:t>
      </w:r>
      <w:r w:rsidR="00E465AA">
        <w:t>exploratory path</w:t>
      </w:r>
      <w:r w:rsidR="00E465AA" w:rsidRPr="00BB4371">
        <w:t xml:space="preserve"> </w:t>
      </w:r>
      <w:r w:rsidRPr="00BB4371">
        <w:t>analysis is strictly exploratory; results are presented as associational patterns only and should not be interpreted causally.</w:t>
      </w:r>
    </w:p>
    <w:p w14:paraId="77E3138D" w14:textId="77777777" w:rsidR="00DF7F25" w:rsidRPr="00BB4371" w:rsidRDefault="00C7052C" w:rsidP="00CE4CFF">
      <w:pPr>
        <w:spacing w:after="120" w:line="480" w:lineRule="auto"/>
        <w:ind w:firstLine="720"/>
        <w:jc w:val="both"/>
      </w:pPr>
      <w:r w:rsidRPr="00BB4371">
        <w:t>Qualitative journal entries were analyzed using Braun and Clarke's (2021) six-phase thematic analysis in NVivo 12. Two independent coders analyzed a randomly selected 20% subsample, yielding inter-rater reliability of κ = .81, indicating strong agreement (McHugh, 2012). Discrepancies were resolved through discussion.</w:t>
      </w:r>
    </w:p>
    <w:p w14:paraId="5D71F4A4" w14:textId="77777777" w:rsidR="00DF7F25" w:rsidRPr="00B073A2" w:rsidRDefault="00C7052C" w:rsidP="00CE4CFF">
      <w:pPr>
        <w:spacing w:after="120" w:line="480" w:lineRule="auto"/>
        <w:ind w:firstLine="720"/>
        <w:jc w:val="center"/>
        <w:rPr>
          <w:b/>
          <w:bCs/>
        </w:rPr>
      </w:pPr>
      <w:r w:rsidRPr="00BB4371">
        <w:rPr>
          <w:b/>
          <w:bCs/>
        </w:rPr>
        <w:t>4. Results</w:t>
      </w:r>
    </w:p>
    <w:p w14:paraId="77C3317C" w14:textId="77777777" w:rsidR="00DF7F25" w:rsidRPr="00CE4CFF" w:rsidRDefault="00C7052C" w:rsidP="00CE4CFF">
      <w:pPr>
        <w:spacing w:after="120" w:line="480" w:lineRule="auto"/>
        <w:jc w:val="both"/>
        <w:rPr>
          <w:b/>
          <w:bCs/>
          <w:i/>
          <w:iCs/>
        </w:rPr>
      </w:pPr>
      <w:r w:rsidRPr="00CE4CFF">
        <w:rPr>
          <w:b/>
          <w:bCs/>
          <w:i/>
          <w:iCs/>
        </w:rPr>
        <w:t>4.1 RQ1: Student Perceptions of AI-Assisted Learning and Perceived Readiness for Teacher–Student Interaction</w:t>
      </w:r>
    </w:p>
    <w:p w14:paraId="164E5032" w14:textId="0B2FE24B" w:rsidR="00DF7F25" w:rsidRDefault="00C7052C" w:rsidP="00CE4CFF">
      <w:pPr>
        <w:spacing w:after="120" w:line="480" w:lineRule="auto"/>
        <w:ind w:firstLine="720"/>
        <w:jc w:val="both"/>
      </w:pPr>
      <w:r w:rsidRPr="00BB4371">
        <w:t xml:space="preserve">The findings indicate that students perceived AI-assisted learning as associated with positive shifts in their readiness to engage in classroom interaction, particularly at the level of cognitive and affective preparation. Students reported relatively high levels of enjoyment (61% endorsing Agree or Strongly Agree) and increased confidence after completing AI-assisted speaking tasks (64%). It is important to note, however, that a substantial neutral bloc was present across items: between 31% and 48% of students selected the Neutral response option, indicating that a sizable proportion of participants neither endorsed nor rejected positive associations between AI and their interactional readiness. This neutral bloc is particularly prominent for willingness to share ideas in class (48% Neutral) and expectations about upcoming tasks (40% Neutral), and should temper overly positive readings of the aggregate endorsement percentages. The Positive (%) column in Table </w:t>
      </w:r>
      <w:r w:rsidR="008174F8">
        <w:t>2</w:t>
      </w:r>
      <w:r w:rsidRPr="00BB4371">
        <w:t xml:space="preserve"> reflects only Agree + Strongly Agree responses; neutral and negative responses together account for the remaining proportion.</w:t>
      </w:r>
    </w:p>
    <w:p w14:paraId="178E9E4C" w14:textId="77777777" w:rsidR="00002004" w:rsidRPr="00BB4371" w:rsidRDefault="00002004" w:rsidP="00CE4CFF">
      <w:pPr>
        <w:spacing w:after="120" w:line="480" w:lineRule="auto"/>
        <w:ind w:firstLine="720"/>
        <w:jc w:val="both"/>
      </w:pPr>
    </w:p>
    <w:p w14:paraId="5567423D" w14:textId="0125A941" w:rsidR="00DF7F25" w:rsidRPr="00BB4371" w:rsidRDefault="00C7052C" w:rsidP="00CE4CFF">
      <w:pPr>
        <w:pStyle w:val="RALs-TableCaption"/>
        <w:rPr>
          <w:rFonts w:cs="Times New Roman"/>
          <w:sz w:val="24"/>
          <w:szCs w:val="24"/>
        </w:rPr>
      </w:pPr>
      <w:r w:rsidRPr="00BB4371">
        <w:rPr>
          <w:rFonts w:cs="Times New Roman"/>
          <w:b/>
          <w:bCs/>
          <w:sz w:val="24"/>
          <w:szCs w:val="24"/>
        </w:rPr>
        <w:lastRenderedPageBreak/>
        <w:t xml:space="preserve">Table </w:t>
      </w:r>
      <w:r w:rsidR="008174F8">
        <w:rPr>
          <w:rFonts w:cs="Times New Roman"/>
          <w:b/>
          <w:bCs/>
          <w:sz w:val="24"/>
          <w:szCs w:val="24"/>
        </w:rPr>
        <w:t>2</w:t>
      </w:r>
    </w:p>
    <w:p w14:paraId="75650136" w14:textId="77777777" w:rsidR="00DF7F25" w:rsidRPr="00B073A2" w:rsidRDefault="00C7052C" w:rsidP="00CE4CFF">
      <w:pPr>
        <w:pStyle w:val="RALs-TableCaption"/>
        <w:ind w:left="0" w:firstLine="0"/>
        <w:rPr>
          <w:rFonts w:asciiTheme="majorBidi" w:hAnsiTheme="majorBidi" w:cstheme="majorBidi"/>
          <w:i/>
          <w:iCs/>
          <w:sz w:val="24"/>
          <w:szCs w:val="24"/>
        </w:rPr>
      </w:pPr>
      <w:r w:rsidRPr="00B073A2">
        <w:rPr>
          <w:rFonts w:asciiTheme="majorBidi" w:hAnsiTheme="majorBidi" w:cstheme="majorBidi"/>
          <w:i/>
          <w:iCs/>
          <w:sz w:val="24"/>
          <w:szCs w:val="24"/>
        </w:rPr>
        <w:t>Affective Readiness and Participation Indicators (N = 200)</w:t>
      </w:r>
    </w:p>
    <w:tbl>
      <w:tblPr>
        <w:tblW w:w="0" w:type="auto"/>
        <w:tblCellMar>
          <w:left w:w="10" w:type="dxa"/>
          <w:right w:w="10" w:type="dxa"/>
        </w:tblCellMar>
        <w:tblLook w:val="04A0" w:firstRow="1" w:lastRow="0" w:firstColumn="1" w:lastColumn="0" w:noHBand="0" w:noVBand="1"/>
      </w:tblPr>
      <w:tblGrid>
        <w:gridCol w:w="2915"/>
        <w:gridCol w:w="826"/>
        <w:gridCol w:w="715"/>
        <w:gridCol w:w="715"/>
        <w:gridCol w:w="715"/>
        <w:gridCol w:w="826"/>
        <w:gridCol w:w="1215"/>
      </w:tblGrid>
      <w:tr w:rsidR="00B12473" w:rsidRPr="00B12473" w14:paraId="7ABA63ED" w14:textId="77777777" w:rsidTr="00B12473">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3EEC79C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Item</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1108258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SD (%)</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00937C6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D (%)</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3518AAF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N (%)</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0E6402B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 (%)</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2DC8761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SA (%)</w:t>
            </w:r>
          </w:p>
        </w:tc>
        <w:tc>
          <w:tcPr>
            <w:tcW w:w="0" w:type="auto"/>
            <w:tcBorders>
              <w:top w:val="single" w:sz="4" w:space="0" w:color="auto"/>
              <w:bottom w:val="single" w:sz="4" w:space="0" w:color="auto"/>
            </w:tcBorders>
            <w:shd w:val="clear" w:color="auto" w:fill="auto"/>
            <w:tcMar>
              <w:top w:w="60" w:type="dxa"/>
              <w:left w:w="80" w:type="dxa"/>
              <w:bottom w:w="60" w:type="dxa"/>
              <w:right w:w="80" w:type="dxa"/>
            </w:tcMar>
            <w:vAlign w:val="center"/>
          </w:tcPr>
          <w:p w14:paraId="7E681A0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Positive (%)</w:t>
            </w:r>
          </w:p>
        </w:tc>
      </w:tr>
      <w:tr w:rsidR="00DF7F25" w:rsidRPr="00B12473" w14:paraId="6CCBE86D" w14:textId="77777777" w:rsidTr="00B12473">
        <w:tc>
          <w:tcPr>
            <w:tcW w:w="0" w:type="auto"/>
            <w:tcBorders>
              <w:top w:val="single" w:sz="4" w:space="0" w:color="auto"/>
            </w:tcBorders>
            <w:shd w:val="clear" w:color="auto" w:fill="auto"/>
            <w:tcMar>
              <w:top w:w="60" w:type="dxa"/>
              <w:left w:w="80" w:type="dxa"/>
              <w:bottom w:w="60" w:type="dxa"/>
              <w:right w:w="80" w:type="dxa"/>
            </w:tcMar>
            <w:vAlign w:val="center"/>
          </w:tcPr>
          <w:p w14:paraId="5B986F4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enjoyable</w:t>
            </w:r>
          </w:p>
        </w:tc>
        <w:tc>
          <w:tcPr>
            <w:tcW w:w="0" w:type="auto"/>
            <w:tcBorders>
              <w:top w:val="single" w:sz="4" w:space="0" w:color="auto"/>
            </w:tcBorders>
            <w:shd w:val="clear" w:color="auto" w:fill="auto"/>
            <w:tcMar>
              <w:top w:w="60" w:type="dxa"/>
              <w:left w:w="80" w:type="dxa"/>
              <w:bottom w:w="60" w:type="dxa"/>
              <w:right w:w="80" w:type="dxa"/>
            </w:tcMar>
            <w:vAlign w:val="center"/>
          </w:tcPr>
          <w:p w14:paraId="01F31F6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w:t>
            </w:r>
          </w:p>
        </w:tc>
        <w:tc>
          <w:tcPr>
            <w:tcW w:w="0" w:type="auto"/>
            <w:tcBorders>
              <w:top w:val="single" w:sz="4" w:space="0" w:color="auto"/>
            </w:tcBorders>
            <w:shd w:val="clear" w:color="auto" w:fill="auto"/>
            <w:tcMar>
              <w:top w:w="60" w:type="dxa"/>
              <w:left w:w="80" w:type="dxa"/>
              <w:bottom w:w="60" w:type="dxa"/>
              <w:right w:w="80" w:type="dxa"/>
            </w:tcMar>
            <w:vAlign w:val="center"/>
          </w:tcPr>
          <w:p w14:paraId="6708E6B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w:t>
            </w:r>
          </w:p>
        </w:tc>
        <w:tc>
          <w:tcPr>
            <w:tcW w:w="0" w:type="auto"/>
            <w:tcBorders>
              <w:top w:val="single" w:sz="4" w:space="0" w:color="auto"/>
            </w:tcBorders>
            <w:shd w:val="clear" w:color="auto" w:fill="auto"/>
            <w:tcMar>
              <w:top w:w="60" w:type="dxa"/>
              <w:left w:w="80" w:type="dxa"/>
              <w:bottom w:w="60" w:type="dxa"/>
              <w:right w:w="80" w:type="dxa"/>
            </w:tcMar>
            <w:vAlign w:val="center"/>
          </w:tcPr>
          <w:p w14:paraId="5B87158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35</w:t>
            </w:r>
          </w:p>
        </w:tc>
        <w:tc>
          <w:tcPr>
            <w:tcW w:w="0" w:type="auto"/>
            <w:tcBorders>
              <w:top w:val="single" w:sz="4" w:space="0" w:color="auto"/>
            </w:tcBorders>
            <w:shd w:val="clear" w:color="auto" w:fill="auto"/>
            <w:tcMar>
              <w:top w:w="60" w:type="dxa"/>
              <w:left w:w="80" w:type="dxa"/>
              <w:bottom w:w="60" w:type="dxa"/>
              <w:right w:w="80" w:type="dxa"/>
            </w:tcMar>
            <w:vAlign w:val="center"/>
          </w:tcPr>
          <w:p w14:paraId="6852BFB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44</w:t>
            </w:r>
          </w:p>
        </w:tc>
        <w:tc>
          <w:tcPr>
            <w:tcW w:w="0" w:type="auto"/>
            <w:tcBorders>
              <w:top w:val="single" w:sz="4" w:space="0" w:color="auto"/>
            </w:tcBorders>
            <w:shd w:val="clear" w:color="auto" w:fill="auto"/>
            <w:tcMar>
              <w:top w:w="60" w:type="dxa"/>
              <w:left w:w="80" w:type="dxa"/>
              <w:bottom w:w="60" w:type="dxa"/>
              <w:right w:w="80" w:type="dxa"/>
            </w:tcMar>
            <w:vAlign w:val="center"/>
          </w:tcPr>
          <w:p w14:paraId="499225E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17</w:t>
            </w:r>
          </w:p>
        </w:tc>
        <w:tc>
          <w:tcPr>
            <w:tcW w:w="0" w:type="auto"/>
            <w:tcBorders>
              <w:top w:val="single" w:sz="4" w:space="0" w:color="auto"/>
            </w:tcBorders>
            <w:shd w:val="clear" w:color="auto" w:fill="auto"/>
            <w:tcMar>
              <w:top w:w="60" w:type="dxa"/>
              <w:left w:w="80" w:type="dxa"/>
              <w:bottom w:w="60" w:type="dxa"/>
              <w:right w:w="80" w:type="dxa"/>
            </w:tcMar>
            <w:vAlign w:val="center"/>
          </w:tcPr>
          <w:p w14:paraId="06C5C96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61%</w:t>
            </w:r>
          </w:p>
        </w:tc>
      </w:tr>
      <w:tr w:rsidR="00DF7F25" w:rsidRPr="00B12473" w14:paraId="156E84D7" w14:textId="77777777" w:rsidTr="00B12473">
        <w:tc>
          <w:tcPr>
            <w:tcW w:w="0" w:type="auto"/>
            <w:shd w:val="clear" w:color="auto" w:fill="auto"/>
            <w:tcMar>
              <w:top w:w="60" w:type="dxa"/>
              <w:left w:w="80" w:type="dxa"/>
              <w:bottom w:w="60" w:type="dxa"/>
              <w:right w:w="80" w:type="dxa"/>
            </w:tcMar>
            <w:vAlign w:val="center"/>
          </w:tcPr>
          <w:p w14:paraId="65A09B6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Have high expectations</w:t>
            </w:r>
          </w:p>
        </w:tc>
        <w:tc>
          <w:tcPr>
            <w:tcW w:w="0" w:type="auto"/>
            <w:shd w:val="clear" w:color="auto" w:fill="auto"/>
            <w:tcMar>
              <w:top w:w="60" w:type="dxa"/>
              <w:left w:w="80" w:type="dxa"/>
              <w:bottom w:w="60" w:type="dxa"/>
              <w:right w:w="80" w:type="dxa"/>
            </w:tcMar>
            <w:vAlign w:val="center"/>
          </w:tcPr>
          <w:p w14:paraId="5D76975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w:t>
            </w:r>
          </w:p>
        </w:tc>
        <w:tc>
          <w:tcPr>
            <w:tcW w:w="0" w:type="auto"/>
            <w:shd w:val="clear" w:color="auto" w:fill="auto"/>
            <w:tcMar>
              <w:top w:w="60" w:type="dxa"/>
              <w:left w:w="80" w:type="dxa"/>
              <w:bottom w:w="60" w:type="dxa"/>
              <w:right w:w="80" w:type="dxa"/>
            </w:tcMar>
            <w:vAlign w:val="center"/>
          </w:tcPr>
          <w:p w14:paraId="29996F3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w:t>
            </w:r>
          </w:p>
        </w:tc>
        <w:tc>
          <w:tcPr>
            <w:tcW w:w="0" w:type="auto"/>
            <w:shd w:val="clear" w:color="auto" w:fill="auto"/>
            <w:tcMar>
              <w:top w:w="60" w:type="dxa"/>
              <w:left w:w="80" w:type="dxa"/>
              <w:bottom w:w="60" w:type="dxa"/>
              <w:right w:w="80" w:type="dxa"/>
            </w:tcMar>
            <w:vAlign w:val="center"/>
          </w:tcPr>
          <w:p w14:paraId="7E4BDC0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37</w:t>
            </w:r>
          </w:p>
        </w:tc>
        <w:tc>
          <w:tcPr>
            <w:tcW w:w="0" w:type="auto"/>
            <w:shd w:val="clear" w:color="auto" w:fill="auto"/>
            <w:tcMar>
              <w:top w:w="60" w:type="dxa"/>
              <w:left w:w="80" w:type="dxa"/>
              <w:bottom w:w="60" w:type="dxa"/>
              <w:right w:w="80" w:type="dxa"/>
            </w:tcMar>
            <w:vAlign w:val="center"/>
          </w:tcPr>
          <w:p w14:paraId="3F44027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42</w:t>
            </w:r>
          </w:p>
        </w:tc>
        <w:tc>
          <w:tcPr>
            <w:tcW w:w="0" w:type="auto"/>
            <w:shd w:val="clear" w:color="auto" w:fill="auto"/>
            <w:tcMar>
              <w:top w:w="60" w:type="dxa"/>
              <w:left w:w="80" w:type="dxa"/>
              <w:bottom w:w="60" w:type="dxa"/>
              <w:right w:w="80" w:type="dxa"/>
            </w:tcMar>
            <w:vAlign w:val="center"/>
          </w:tcPr>
          <w:p w14:paraId="2F1F122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15</w:t>
            </w:r>
          </w:p>
        </w:tc>
        <w:tc>
          <w:tcPr>
            <w:tcW w:w="0" w:type="auto"/>
            <w:shd w:val="clear" w:color="auto" w:fill="auto"/>
            <w:tcMar>
              <w:top w:w="60" w:type="dxa"/>
              <w:left w:w="80" w:type="dxa"/>
              <w:bottom w:w="60" w:type="dxa"/>
              <w:right w:w="80" w:type="dxa"/>
            </w:tcMar>
            <w:vAlign w:val="center"/>
          </w:tcPr>
          <w:p w14:paraId="56083F3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57%</w:t>
            </w:r>
          </w:p>
        </w:tc>
      </w:tr>
      <w:tr w:rsidR="00DF7F25" w:rsidRPr="00B12473" w14:paraId="24927A4D" w14:textId="77777777" w:rsidTr="00B12473">
        <w:tc>
          <w:tcPr>
            <w:tcW w:w="0" w:type="auto"/>
            <w:shd w:val="clear" w:color="auto" w:fill="auto"/>
            <w:tcMar>
              <w:top w:w="60" w:type="dxa"/>
              <w:left w:w="80" w:type="dxa"/>
              <w:bottom w:w="60" w:type="dxa"/>
              <w:right w:w="80" w:type="dxa"/>
            </w:tcMar>
            <w:vAlign w:val="center"/>
          </w:tcPr>
          <w:p w14:paraId="4BEAEDB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willing to share</w:t>
            </w:r>
          </w:p>
        </w:tc>
        <w:tc>
          <w:tcPr>
            <w:tcW w:w="0" w:type="auto"/>
            <w:shd w:val="clear" w:color="auto" w:fill="auto"/>
            <w:tcMar>
              <w:top w:w="60" w:type="dxa"/>
              <w:left w:w="80" w:type="dxa"/>
              <w:bottom w:w="60" w:type="dxa"/>
              <w:right w:w="80" w:type="dxa"/>
            </w:tcMar>
            <w:vAlign w:val="center"/>
          </w:tcPr>
          <w:p w14:paraId="0EAF705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w:t>
            </w:r>
          </w:p>
        </w:tc>
        <w:tc>
          <w:tcPr>
            <w:tcW w:w="0" w:type="auto"/>
            <w:shd w:val="clear" w:color="auto" w:fill="auto"/>
            <w:tcMar>
              <w:top w:w="60" w:type="dxa"/>
              <w:left w:w="80" w:type="dxa"/>
              <w:bottom w:w="60" w:type="dxa"/>
              <w:right w:w="80" w:type="dxa"/>
            </w:tcMar>
            <w:vAlign w:val="center"/>
          </w:tcPr>
          <w:p w14:paraId="7B76473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w:t>
            </w:r>
          </w:p>
        </w:tc>
        <w:tc>
          <w:tcPr>
            <w:tcW w:w="0" w:type="auto"/>
            <w:shd w:val="clear" w:color="auto" w:fill="auto"/>
            <w:tcMar>
              <w:top w:w="60" w:type="dxa"/>
              <w:left w:w="80" w:type="dxa"/>
              <w:bottom w:w="60" w:type="dxa"/>
              <w:right w:w="80" w:type="dxa"/>
            </w:tcMar>
            <w:vAlign w:val="center"/>
          </w:tcPr>
          <w:p w14:paraId="039637D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48</w:t>
            </w:r>
          </w:p>
        </w:tc>
        <w:tc>
          <w:tcPr>
            <w:tcW w:w="0" w:type="auto"/>
            <w:shd w:val="clear" w:color="auto" w:fill="auto"/>
            <w:tcMar>
              <w:top w:w="60" w:type="dxa"/>
              <w:left w:w="80" w:type="dxa"/>
              <w:bottom w:w="60" w:type="dxa"/>
              <w:right w:w="80" w:type="dxa"/>
            </w:tcMar>
            <w:vAlign w:val="center"/>
          </w:tcPr>
          <w:p w14:paraId="34E8CB2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34</w:t>
            </w:r>
          </w:p>
        </w:tc>
        <w:tc>
          <w:tcPr>
            <w:tcW w:w="0" w:type="auto"/>
            <w:shd w:val="clear" w:color="auto" w:fill="auto"/>
            <w:tcMar>
              <w:top w:w="60" w:type="dxa"/>
              <w:left w:w="80" w:type="dxa"/>
              <w:bottom w:w="60" w:type="dxa"/>
              <w:right w:w="80" w:type="dxa"/>
            </w:tcMar>
            <w:vAlign w:val="center"/>
          </w:tcPr>
          <w:p w14:paraId="61C6A32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13</w:t>
            </w:r>
          </w:p>
        </w:tc>
        <w:tc>
          <w:tcPr>
            <w:tcW w:w="0" w:type="auto"/>
            <w:shd w:val="clear" w:color="auto" w:fill="auto"/>
            <w:tcMar>
              <w:top w:w="60" w:type="dxa"/>
              <w:left w:w="80" w:type="dxa"/>
              <w:bottom w:w="60" w:type="dxa"/>
              <w:right w:w="80" w:type="dxa"/>
            </w:tcMar>
            <w:vAlign w:val="center"/>
          </w:tcPr>
          <w:p w14:paraId="1C6D34E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47%</w:t>
            </w:r>
          </w:p>
        </w:tc>
      </w:tr>
      <w:tr w:rsidR="00DF7F25" w:rsidRPr="00B12473" w14:paraId="534CFB22" w14:textId="77777777" w:rsidTr="00B12473">
        <w:tc>
          <w:tcPr>
            <w:tcW w:w="0" w:type="auto"/>
            <w:shd w:val="clear" w:color="auto" w:fill="auto"/>
            <w:tcMar>
              <w:top w:w="60" w:type="dxa"/>
              <w:left w:w="80" w:type="dxa"/>
              <w:bottom w:w="60" w:type="dxa"/>
              <w:right w:w="80" w:type="dxa"/>
            </w:tcMar>
            <w:vAlign w:val="center"/>
          </w:tcPr>
          <w:p w14:paraId="226A984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Have no worry</w:t>
            </w:r>
          </w:p>
        </w:tc>
        <w:tc>
          <w:tcPr>
            <w:tcW w:w="0" w:type="auto"/>
            <w:shd w:val="clear" w:color="auto" w:fill="auto"/>
            <w:tcMar>
              <w:top w:w="60" w:type="dxa"/>
              <w:left w:w="80" w:type="dxa"/>
              <w:bottom w:w="60" w:type="dxa"/>
              <w:right w:w="80" w:type="dxa"/>
            </w:tcMar>
            <w:vAlign w:val="center"/>
          </w:tcPr>
          <w:p w14:paraId="6E61313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w:t>
            </w:r>
          </w:p>
        </w:tc>
        <w:tc>
          <w:tcPr>
            <w:tcW w:w="0" w:type="auto"/>
            <w:shd w:val="clear" w:color="auto" w:fill="auto"/>
            <w:tcMar>
              <w:top w:w="60" w:type="dxa"/>
              <w:left w:w="80" w:type="dxa"/>
              <w:bottom w:w="60" w:type="dxa"/>
              <w:right w:w="80" w:type="dxa"/>
            </w:tcMar>
            <w:vAlign w:val="center"/>
          </w:tcPr>
          <w:p w14:paraId="21A8E44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10</w:t>
            </w:r>
          </w:p>
        </w:tc>
        <w:tc>
          <w:tcPr>
            <w:tcW w:w="0" w:type="auto"/>
            <w:shd w:val="clear" w:color="auto" w:fill="auto"/>
            <w:tcMar>
              <w:top w:w="60" w:type="dxa"/>
              <w:left w:w="80" w:type="dxa"/>
              <w:bottom w:w="60" w:type="dxa"/>
              <w:right w:w="80" w:type="dxa"/>
            </w:tcMar>
            <w:vAlign w:val="center"/>
          </w:tcPr>
          <w:p w14:paraId="6749D8D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35</w:t>
            </w:r>
          </w:p>
        </w:tc>
        <w:tc>
          <w:tcPr>
            <w:tcW w:w="0" w:type="auto"/>
            <w:shd w:val="clear" w:color="auto" w:fill="auto"/>
            <w:tcMar>
              <w:top w:w="60" w:type="dxa"/>
              <w:left w:w="80" w:type="dxa"/>
              <w:bottom w:w="60" w:type="dxa"/>
              <w:right w:w="80" w:type="dxa"/>
            </w:tcMar>
            <w:vAlign w:val="center"/>
          </w:tcPr>
          <w:p w14:paraId="1710D60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34</w:t>
            </w:r>
          </w:p>
        </w:tc>
        <w:tc>
          <w:tcPr>
            <w:tcW w:w="0" w:type="auto"/>
            <w:shd w:val="clear" w:color="auto" w:fill="auto"/>
            <w:tcMar>
              <w:top w:w="60" w:type="dxa"/>
              <w:left w:w="80" w:type="dxa"/>
              <w:bottom w:w="60" w:type="dxa"/>
              <w:right w:w="80" w:type="dxa"/>
            </w:tcMar>
            <w:vAlign w:val="center"/>
          </w:tcPr>
          <w:p w14:paraId="7BEE775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17</w:t>
            </w:r>
          </w:p>
        </w:tc>
        <w:tc>
          <w:tcPr>
            <w:tcW w:w="0" w:type="auto"/>
            <w:shd w:val="clear" w:color="auto" w:fill="auto"/>
            <w:tcMar>
              <w:top w:w="60" w:type="dxa"/>
              <w:left w:w="80" w:type="dxa"/>
              <w:bottom w:w="60" w:type="dxa"/>
              <w:right w:w="80" w:type="dxa"/>
            </w:tcMar>
            <w:vAlign w:val="center"/>
          </w:tcPr>
          <w:p w14:paraId="06645CE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51%</w:t>
            </w:r>
          </w:p>
        </w:tc>
      </w:tr>
      <w:tr w:rsidR="00DF7F25" w:rsidRPr="00B12473" w14:paraId="0F3BC25C" w14:textId="77777777" w:rsidTr="00B12473">
        <w:tc>
          <w:tcPr>
            <w:tcW w:w="0" w:type="auto"/>
            <w:shd w:val="clear" w:color="auto" w:fill="auto"/>
            <w:tcMar>
              <w:top w:w="60" w:type="dxa"/>
              <w:left w:w="80" w:type="dxa"/>
              <w:bottom w:w="60" w:type="dxa"/>
              <w:right w:w="80" w:type="dxa"/>
            </w:tcMar>
            <w:vAlign w:val="center"/>
          </w:tcPr>
          <w:p w14:paraId="4B4B32CC"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nervous (anxiety indicator)</w:t>
            </w:r>
          </w:p>
        </w:tc>
        <w:tc>
          <w:tcPr>
            <w:tcW w:w="0" w:type="auto"/>
            <w:shd w:val="clear" w:color="auto" w:fill="auto"/>
            <w:tcMar>
              <w:top w:w="60" w:type="dxa"/>
              <w:left w:w="80" w:type="dxa"/>
              <w:bottom w:w="60" w:type="dxa"/>
              <w:right w:w="80" w:type="dxa"/>
            </w:tcMar>
            <w:vAlign w:val="center"/>
          </w:tcPr>
          <w:p w14:paraId="1EE8A81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w:t>
            </w:r>
          </w:p>
        </w:tc>
        <w:tc>
          <w:tcPr>
            <w:tcW w:w="0" w:type="auto"/>
            <w:shd w:val="clear" w:color="auto" w:fill="auto"/>
            <w:tcMar>
              <w:top w:w="60" w:type="dxa"/>
              <w:left w:w="80" w:type="dxa"/>
              <w:bottom w:w="60" w:type="dxa"/>
              <w:right w:w="80" w:type="dxa"/>
            </w:tcMar>
            <w:vAlign w:val="center"/>
          </w:tcPr>
          <w:p w14:paraId="5E84FDA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16</w:t>
            </w:r>
          </w:p>
        </w:tc>
        <w:tc>
          <w:tcPr>
            <w:tcW w:w="0" w:type="auto"/>
            <w:shd w:val="clear" w:color="auto" w:fill="auto"/>
            <w:tcMar>
              <w:top w:w="60" w:type="dxa"/>
              <w:left w:w="80" w:type="dxa"/>
              <w:bottom w:w="60" w:type="dxa"/>
              <w:right w:w="80" w:type="dxa"/>
            </w:tcMar>
            <w:vAlign w:val="center"/>
          </w:tcPr>
          <w:p w14:paraId="2F03C93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42</w:t>
            </w:r>
          </w:p>
        </w:tc>
        <w:tc>
          <w:tcPr>
            <w:tcW w:w="0" w:type="auto"/>
            <w:shd w:val="clear" w:color="auto" w:fill="auto"/>
            <w:tcMar>
              <w:top w:w="60" w:type="dxa"/>
              <w:left w:w="80" w:type="dxa"/>
              <w:bottom w:w="60" w:type="dxa"/>
              <w:right w:w="80" w:type="dxa"/>
            </w:tcMar>
            <w:vAlign w:val="center"/>
          </w:tcPr>
          <w:p w14:paraId="3F4AD26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25</w:t>
            </w:r>
          </w:p>
        </w:tc>
        <w:tc>
          <w:tcPr>
            <w:tcW w:w="0" w:type="auto"/>
            <w:shd w:val="clear" w:color="auto" w:fill="auto"/>
            <w:tcMar>
              <w:top w:w="60" w:type="dxa"/>
              <w:left w:w="80" w:type="dxa"/>
              <w:bottom w:w="60" w:type="dxa"/>
              <w:right w:w="80" w:type="dxa"/>
            </w:tcMar>
            <w:vAlign w:val="center"/>
          </w:tcPr>
          <w:p w14:paraId="3477166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15</w:t>
            </w:r>
          </w:p>
        </w:tc>
        <w:tc>
          <w:tcPr>
            <w:tcW w:w="0" w:type="auto"/>
            <w:shd w:val="clear" w:color="auto" w:fill="auto"/>
            <w:tcMar>
              <w:top w:w="60" w:type="dxa"/>
              <w:left w:w="80" w:type="dxa"/>
              <w:bottom w:w="60" w:type="dxa"/>
              <w:right w:w="80" w:type="dxa"/>
            </w:tcMar>
            <w:vAlign w:val="center"/>
          </w:tcPr>
          <w:p w14:paraId="57A27A5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40%†</w:t>
            </w:r>
          </w:p>
        </w:tc>
      </w:tr>
      <w:tr w:rsidR="00DF7F25" w:rsidRPr="00B12473" w14:paraId="78220E02" w14:textId="77777777" w:rsidTr="00B12473">
        <w:tc>
          <w:tcPr>
            <w:tcW w:w="0" w:type="auto"/>
            <w:shd w:val="clear" w:color="auto" w:fill="auto"/>
            <w:tcMar>
              <w:top w:w="60" w:type="dxa"/>
              <w:left w:w="80" w:type="dxa"/>
              <w:bottom w:w="60" w:type="dxa"/>
              <w:right w:w="80" w:type="dxa"/>
            </w:tcMar>
            <w:vAlign w:val="center"/>
          </w:tcPr>
          <w:p w14:paraId="029BEEBC"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confident to be seen</w:t>
            </w:r>
          </w:p>
        </w:tc>
        <w:tc>
          <w:tcPr>
            <w:tcW w:w="0" w:type="auto"/>
            <w:shd w:val="clear" w:color="auto" w:fill="auto"/>
            <w:tcMar>
              <w:top w:w="60" w:type="dxa"/>
              <w:left w:w="80" w:type="dxa"/>
              <w:bottom w:w="60" w:type="dxa"/>
              <w:right w:w="80" w:type="dxa"/>
            </w:tcMar>
            <w:vAlign w:val="center"/>
          </w:tcPr>
          <w:p w14:paraId="3322555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w:t>
            </w:r>
          </w:p>
        </w:tc>
        <w:tc>
          <w:tcPr>
            <w:tcW w:w="0" w:type="auto"/>
            <w:shd w:val="clear" w:color="auto" w:fill="auto"/>
            <w:tcMar>
              <w:top w:w="60" w:type="dxa"/>
              <w:left w:w="80" w:type="dxa"/>
              <w:bottom w:w="60" w:type="dxa"/>
              <w:right w:w="80" w:type="dxa"/>
            </w:tcMar>
            <w:vAlign w:val="center"/>
          </w:tcPr>
          <w:p w14:paraId="47301F6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12</w:t>
            </w:r>
          </w:p>
        </w:tc>
        <w:tc>
          <w:tcPr>
            <w:tcW w:w="0" w:type="auto"/>
            <w:shd w:val="clear" w:color="auto" w:fill="auto"/>
            <w:tcMar>
              <w:top w:w="60" w:type="dxa"/>
              <w:left w:w="80" w:type="dxa"/>
              <w:bottom w:w="60" w:type="dxa"/>
              <w:right w:w="80" w:type="dxa"/>
            </w:tcMar>
            <w:vAlign w:val="center"/>
          </w:tcPr>
          <w:p w14:paraId="1C30AEF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37</w:t>
            </w:r>
          </w:p>
        </w:tc>
        <w:tc>
          <w:tcPr>
            <w:tcW w:w="0" w:type="auto"/>
            <w:shd w:val="clear" w:color="auto" w:fill="auto"/>
            <w:tcMar>
              <w:top w:w="60" w:type="dxa"/>
              <w:left w:w="80" w:type="dxa"/>
              <w:bottom w:w="60" w:type="dxa"/>
              <w:right w:w="80" w:type="dxa"/>
            </w:tcMar>
            <w:vAlign w:val="center"/>
          </w:tcPr>
          <w:p w14:paraId="12B62F8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27</w:t>
            </w:r>
          </w:p>
        </w:tc>
        <w:tc>
          <w:tcPr>
            <w:tcW w:w="0" w:type="auto"/>
            <w:shd w:val="clear" w:color="auto" w:fill="auto"/>
            <w:tcMar>
              <w:top w:w="60" w:type="dxa"/>
              <w:left w:w="80" w:type="dxa"/>
              <w:bottom w:w="60" w:type="dxa"/>
              <w:right w:w="80" w:type="dxa"/>
            </w:tcMar>
            <w:vAlign w:val="center"/>
          </w:tcPr>
          <w:p w14:paraId="724AEF9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18</w:t>
            </w:r>
          </w:p>
        </w:tc>
        <w:tc>
          <w:tcPr>
            <w:tcW w:w="0" w:type="auto"/>
            <w:shd w:val="clear" w:color="auto" w:fill="auto"/>
            <w:tcMar>
              <w:top w:w="60" w:type="dxa"/>
              <w:left w:w="80" w:type="dxa"/>
              <w:bottom w:w="60" w:type="dxa"/>
              <w:right w:w="80" w:type="dxa"/>
            </w:tcMar>
            <w:vAlign w:val="center"/>
          </w:tcPr>
          <w:p w14:paraId="3FD5621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45%</w:t>
            </w:r>
          </w:p>
        </w:tc>
      </w:tr>
      <w:tr w:rsidR="00DF7F25" w:rsidRPr="00B12473" w14:paraId="012C03E2" w14:textId="77777777" w:rsidTr="00B12473">
        <w:tc>
          <w:tcPr>
            <w:tcW w:w="0" w:type="auto"/>
            <w:shd w:val="clear" w:color="auto" w:fill="auto"/>
            <w:tcMar>
              <w:top w:w="60" w:type="dxa"/>
              <w:left w:w="80" w:type="dxa"/>
              <w:bottom w:w="60" w:type="dxa"/>
              <w:right w:w="80" w:type="dxa"/>
            </w:tcMar>
            <w:vAlign w:val="center"/>
          </w:tcPr>
          <w:p w14:paraId="4D805F4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no shame with mistakes</w:t>
            </w:r>
          </w:p>
        </w:tc>
        <w:tc>
          <w:tcPr>
            <w:tcW w:w="0" w:type="auto"/>
            <w:shd w:val="clear" w:color="auto" w:fill="auto"/>
            <w:tcMar>
              <w:top w:w="60" w:type="dxa"/>
              <w:left w:w="80" w:type="dxa"/>
              <w:bottom w:w="60" w:type="dxa"/>
              <w:right w:w="80" w:type="dxa"/>
            </w:tcMar>
            <w:vAlign w:val="center"/>
          </w:tcPr>
          <w:p w14:paraId="50D33C9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w:t>
            </w:r>
          </w:p>
        </w:tc>
        <w:tc>
          <w:tcPr>
            <w:tcW w:w="0" w:type="auto"/>
            <w:shd w:val="clear" w:color="auto" w:fill="auto"/>
            <w:tcMar>
              <w:top w:w="60" w:type="dxa"/>
              <w:left w:w="80" w:type="dxa"/>
              <w:bottom w:w="60" w:type="dxa"/>
              <w:right w:w="80" w:type="dxa"/>
            </w:tcMar>
            <w:vAlign w:val="center"/>
          </w:tcPr>
          <w:p w14:paraId="52C96AD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w:t>
            </w:r>
          </w:p>
        </w:tc>
        <w:tc>
          <w:tcPr>
            <w:tcW w:w="0" w:type="auto"/>
            <w:shd w:val="clear" w:color="auto" w:fill="auto"/>
            <w:tcMar>
              <w:top w:w="60" w:type="dxa"/>
              <w:left w:w="80" w:type="dxa"/>
              <w:bottom w:w="60" w:type="dxa"/>
              <w:right w:w="80" w:type="dxa"/>
            </w:tcMar>
            <w:vAlign w:val="center"/>
          </w:tcPr>
          <w:p w14:paraId="1414941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39</w:t>
            </w:r>
          </w:p>
        </w:tc>
        <w:tc>
          <w:tcPr>
            <w:tcW w:w="0" w:type="auto"/>
            <w:shd w:val="clear" w:color="auto" w:fill="auto"/>
            <w:tcMar>
              <w:top w:w="60" w:type="dxa"/>
              <w:left w:w="80" w:type="dxa"/>
              <w:bottom w:w="60" w:type="dxa"/>
              <w:right w:w="80" w:type="dxa"/>
            </w:tcMar>
            <w:vAlign w:val="center"/>
          </w:tcPr>
          <w:p w14:paraId="74823C5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34</w:t>
            </w:r>
          </w:p>
        </w:tc>
        <w:tc>
          <w:tcPr>
            <w:tcW w:w="0" w:type="auto"/>
            <w:shd w:val="clear" w:color="auto" w:fill="auto"/>
            <w:tcMar>
              <w:top w:w="60" w:type="dxa"/>
              <w:left w:w="80" w:type="dxa"/>
              <w:bottom w:w="60" w:type="dxa"/>
              <w:right w:w="80" w:type="dxa"/>
            </w:tcMar>
            <w:vAlign w:val="center"/>
          </w:tcPr>
          <w:p w14:paraId="435133A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17</w:t>
            </w:r>
          </w:p>
        </w:tc>
        <w:tc>
          <w:tcPr>
            <w:tcW w:w="0" w:type="auto"/>
            <w:shd w:val="clear" w:color="auto" w:fill="auto"/>
            <w:tcMar>
              <w:top w:w="60" w:type="dxa"/>
              <w:left w:w="80" w:type="dxa"/>
              <w:bottom w:w="60" w:type="dxa"/>
              <w:right w:w="80" w:type="dxa"/>
            </w:tcMar>
            <w:vAlign w:val="center"/>
          </w:tcPr>
          <w:p w14:paraId="1D37CFC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51%</w:t>
            </w:r>
          </w:p>
        </w:tc>
      </w:tr>
      <w:tr w:rsidR="00DF7F25" w:rsidRPr="00B12473" w14:paraId="422E9321" w14:textId="77777777" w:rsidTr="00B12473">
        <w:tc>
          <w:tcPr>
            <w:tcW w:w="0" w:type="auto"/>
            <w:shd w:val="clear" w:color="auto" w:fill="auto"/>
            <w:tcMar>
              <w:top w:w="60" w:type="dxa"/>
              <w:left w:w="80" w:type="dxa"/>
              <w:bottom w:w="60" w:type="dxa"/>
              <w:right w:w="80" w:type="dxa"/>
            </w:tcMar>
            <w:vAlign w:val="center"/>
          </w:tcPr>
          <w:p w14:paraId="109D93C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more confident after tasks</w:t>
            </w:r>
          </w:p>
        </w:tc>
        <w:tc>
          <w:tcPr>
            <w:tcW w:w="0" w:type="auto"/>
            <w:shd w:val="clear" w:color="auto" w:fill="auto"/>
            <w:tcMar>
              <w:top w:w="60" w:type="dxa"/>
              <w:left w:w="80" w:type="dxa"/>
              <w:bottom w:w="60" w:type="dxa"/>
              <w:right w:w="80" w:type="dxa"/>
            </w:tcMar>
            <w:vAlign w:val="center"/>
          </w:tcPr>
          <w:p w14:paraId="0839EB6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w:t>
            </w:r>
          </w:p>
        </w:tc>
        <w:tc>
          <w:tcPr>
            <w:tcW w:w="0" w:type="auto"/>
            <w:shd w:val="clear" w:color="auto" w:fill="auto"/>
            <w:tcMar>
              <w:top w:w="60" w:type="dxa"/>
              <w:left w:w="80" w:type="dxa"/>
              <w:bottom w:w="60" w:type="dxa"/>
              <w:right w:w="80" w:type="dxa"/>
            </w:tcMar>
            <w:vAlign w:val="center"/>
          </w:tcPr>
          <w:p w14:paraId="31083AF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w:t>
            </w:r>
          </w:p>
        </w:tc>
        <w:tc>
          <w:tcPr>
            <w:tcW w:w="0" w:type="auto"/>
            <w:shd w:val="clear" w:color="auto" w:fill="auto"/>
            <w:tcMar>
              <w:top w:w="60" w:type="dxa"/>
              <w:left w:w="80" w:type="dxa"/>
              <w:bottom w:w="60" w:type="dxa"/>
              <w:right w:w="80" w:type="dxa"/>
            </w:tcMar>
            <w:vAlign w:val="center"/>
          </w:tcPr>
          <w:p w14:paraId="23CB4A4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31</w:t>
            </w:r>
          </w:p>
        </w:tc>
        <w:tc>
          <w:tcPr>
            <w:tcW w:w="0" w:type="auto"/>
            <w:shd w:val="clear" w:color="auto" w:fill="auto"/>
            <w:tcMar>
              <w:top w:w="60" w:type="dxa"/>
              <w:left w:w="80" w:type="dxa"/>
              <w:bottom w:w="60" w:type="dxa"/>
              <w:right w:w="80" w:type="dxa"/>
            </w:tcMar>
            <w:vAlign w:val="center"/>
          </w:tcPr>
          <w:p w14:paraId="48ED192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42</w:t>
            </w:r>
          </w:p>
        </w:tc>
        <w:tc>
          <w:tcPr>
            <w:tcW w:w="0" w:type="auto"/>
            <w:shd w:val="clear" w:color="auto" w:fill="auto"/>
            <w:tcMar>
              <w:top w:w="60" w:type="dxa"/>
              <w:left w:w="80" w:type="dxa"/>
              <w:bottom w:w="60" w:type="dxa"/>
              <w:right w:w="80" w:type="dxa"/>
            </w:tcMar>
            <w:vAlign w:val="center"/>
          </w:tcPr>
          <w:p w14:paraId="4AEB252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22</w:t>
            </w:r>
          </w:p>
        </w:tc>
        <w:tc>
          <w:tcPr>
            <w:tcW w:w="0" w:type="auto"/>
            <w:shd w:val="clear" w:color="auto" w:fill="auto"/>
            <w:tcMar>
              <w:top w:w="60" w:type="dxa"/>
              <w:left w:w="80" w:type="dxa"/>
              <w:bottom w:w="60" w:type="dxa"/>
              <w:right w:w="80" w:type="dxa"/>
            </w:tcMar>
            <w:vAlign w:val="center"/>
          </w:tcPr>
          <w:p w14:paraId="39FD36D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64%</w:t>
            </w:r>
          </w:p>
        </w:tc>
      </w:tr>
      <w:tr w:rsidR="00DF7F25" w:rsidRPr="00B12473" w14:paraId="1E9E46A3" w14:textId="77777777" w:rsidTr="00B12473">
        <w:tc>
          <w:tcPr>
            <w:tcW w:w="0" w:type="auto"/>
            <w:tcBorders>
              <w:bottom w:val="single" w:sz="4" w:space="0" w:color="auto"/>
            </w:tcBorders>
            <w:shd w:val="clear" w:color="auto" w:fill="auto"/>
            <w:tcMar>
              <w:top w:w="60" w:type="dxa"/>
              <w:left w:w="80" w:type="dxa"/>
              <w:bottom w:w="60" w:type="dxa"/>
              <w:right w:w="80" w:type="dxa"/>
            </w:tcMar>
            <w:vAlign w:val="center"/>
          </w:tcPr>
          <w:p w14:paraId="0FCF207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Expect upcoming tasks positively</w:t>
            </w:r>
          </w:p>
        </w:tc>
        <w:tc>
          <w:tcPr>
            <w:tcW w:w="0" w:type="auto"/>
            <w:tcBorders>
              <w:bottom w:val="single" w:sz="4" w:space="0" w:color="auto"/>
            </w:tcBorders>
            <w:shd w:val="clear" w:color="auto" w:fill="auto"/>
            <w:tcMar>
              <w:top w:w="60" w:type="dxa"/>
              <w:left w:w="80" w:type="dxa"/>
              <w:bottom w:w="60" w:type="dxa"/>
              <w:right w:w="80" w:type="dxa"/>
            </w:tcMar>
            <w:vAlign w:val="center"/>
          </w:tcPr>
          <w:p w14:paraId="181D806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w:t>
            </w:r>
          </w:p>
        </w:tc>
        <w:tc>
          <w:tcPr>
            <w:tcW w:w="0" w:type="auto"/>
            <w:tcBorders>
              <w:bottom w:val="single" w:sz="4" w:space="0" w:color="auto"/>
            </w:tcBorders>
            <w:shd w:val="clear" w:color="auto" w:fill="auto"/>
            <w:tcMar>
              <w:top w:w="60" w:type="dxa"/>
              <w:left w:w="80" w:type="dxa"/>
              <w:bottom w:w="60" w:type="dxa"/>
              <w:right w:w="80" w:type="dxa"/>
            </w:tcMar>
            <w:vAlign w:val="center"/>
          </w:tcPr>
          <w:p w14:paraId="3ED2A21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w:t>
            </w:r>
          </w:p>
        </w:tc>
        <w:tc>
          <w:tcPr>
            <w:tcW w:w="0" w:type="auto"/>
            <w:tcBorders>
              <w:bottom w:val="single" w:sz="4" w:space="0" w:color="auto"/>
            </w:tcBorders>
            <w:shd w:val="clear" w:color="auto" w:fill="auto"/>
            <w:tcMar>
              <w:top w:w="60" w:type="dxa"/>
              <w:left w:w="80" w:type="dxa"/>
              <w:bottom w:w="60" w:type="dxa"/>
              <w:right w:w="80" w:type="dxa"/>
            </w:tcMar>
            <w:vAlign w:val="center"/>
          </w:tcPr>
          <w:p w14:paraId="31A2181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40</w:t>
            </w:r>
          </w:p>
        </w:tc>
        <w:tc>
          <w:tcPr>
            <w:tcW w:w="0" w:type="auto"/>
            <w:tcBorders>
              <w:bottom w:val="single" w:sz="4" w:space="0" w:color="auto"/>
            </w:tcBorders>
            <w:shd w:val="clear" w:color="auto" w:fill="auto"/>
            <w:tcMar>
              <w:top w:w="60" w:type="dxa"/>
              <w:left w:w="80" w:type="dxa"/>
              <w:bottom w:w="60" w:type="dxa"/>
              <w:right w:w="80" w:type="dxa"/>
            </w:tcMar>
            <w:vAlign w:val="center"/>
          </w:tcPr>
          <w:p w14:paraId="3281FC6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33</w:t>
            </w:r>
          </w:p>
        </w:tc>
        <w:tc>
          <w:tcPr>
            <w:tcW w:w="0" w:type="auto"/>
            <w:tcBorders>
              <w:bottom w:val="single" w:sz="4" w:space="0" w:color="auto"/>
            </w:tcBorders>
            <w:shd w:val="clear" w:color="auto" w:fill="auto"/>
            <w:tcMar>
              <w:top w:w="60" w:type="dxa"/>
              <w:left w:w="80" w:type="dxa"/>
              <w:bottom w:w="60" w:type="dxa"/>
              <w:right w:w="80" w:type="dxa"/>
            </w:tcMar>
            <w:vAlign w:val="center"/>
          </w:tcPr>
          <w:p w14:paraId="3FBBAB3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17</w:t>
            </w:r>
          </w:p>
        </w:tc>
        <w:tc>
          <w:tcPr>
            <w:tcW w:w="0" w:type="auto"/>
            <w:tcBorders>
              <w:bottom w:val="single" w:sz="4" w:space="0" w:color="auto"/>
            </w:tcBorders>
            <w:shd w:val="clear" w:color="auto" w:fill="auto"/>
            <w:tcMar>
              <w:top w:w="60" w:type="dxa"/>
              <w:left w:w="80" w:type="dxa"/>
              <w:bottom w:w="60" w:type="dxa"/>
              <w:right w:w="80" w:type="dxa"/>
            </w:tcMar>
            <w:vAlign w:val="center"/>
          </w:tcPr>
          <w:p w14:paraId="1DA3591C"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50%</w:t>
            </w:r>
          </w:p>
        </w:tc>
      </w:tr>
    </w:tbl>
    <w:p w14:paraId="3908AF49" w14:textId="0B31EC59" w:rsidR="00DF7F25" w:rsidRPr="00B12473" w:rsidRDefault="00B12473" w:rsidP="00CE4CFF">
      <w:pPr>
        <w:suppressAutoHyphens/>
        <w:spacing w:before="120" w:after="240"/>
        <w:rPr>
          <w:i/>
          <w:iCs/>
          <w:sz w:val="20"/>
          <w:szCs w:val="20"/>
        </w:rPr>
      </w:pPr>
      <w:r w:rsidRPr="00002004">
        <w:rPr>
          <w:i/>
          <w:iCs/>
          <w:sz w:val="20"/>
          <w:szCs w:val="20"/>
          <w:vertAlign w:val="superscript"/>
        </w:rPr>
        <w:t>*</w:t>
      </w:r>
      <w:r w:rsidR="00C7052C" w:rsidRPr="00B12473">
        <w:rPr>
          <w:i/>
          <w:iCs/>
          <w:sz w:val="20"/>
          <w:szCs w:val="20"/>
        </w:rPr>
        <w:t>SD = Strongly Disagree; D = Disagree; N = Neutral; A = Agree; SA = Strongly Agree. Positive (%) = proportion endorsing Agree or Strongly Agree. Percentages are rounded to the nearest whole number and may not sum to 100% due to rounding. † For the negatively worded item “Feel nervous when speaking,” higher agreement reflects elevated anxiety rather than a positive outcome. This item is retained in its original directional form to preserve item authenticity; it is not reverse-coded in the descriptive frequency table. In all inferential analyses (regression, mediation, EFA), this item loads on the Anxiety factor as designed and is treated accordingly. The Positive (%) figure of 40% for this item therefore denotes the proportion of students reporting elevated nervousness, not a favorable outcome.</w:t>
      </w:r>
    </w:p>
    <w:p w14:paraId="1D3955B8" w14:textId="77777777" w:rsidR="00DF7F25" w:rsidRPr="00BB4371" w:rsidRDefault="00DF7F25" w:rsidP="00CE4CFF">
      <w:pPr>
        <w:spacing w:after="120" w:line="480" w:lineRule="auto"/>
        <w:ind w:firstLine="720"/>
        <w:jc w:val="both"/>
      </w:pPr>
    </w:p>
    <w:p w14:paraId="3B9A3149" w14:textId="77777777" w:rsidR="00DF7F25" w:rsidRPr="00BB4371" w:rsidRDefault="00C7052C" w:rsidP="00CE4CFF">
      <w:pPr>
        <w:spacing w:after="120" w:line="480" w:lineRule="auto"/>
        <w:ind w:firstLine="720"/>
        <w:jc w:val="both"/>
      </w:pPr>
      <w:r w:rsidRPr="00BB4371">
        <w:t xml:space="preserve">However, self-reported indicators more directly linked to active classroom participation were comparatively lower. Only 47% of students reported feeling willing to share their ideas in class, and 45% indicated confidence in being seen speaking publicly. These figures should be read alongside the neutral bloc: 48% of students selected Neutral on the willingness-to-share item, and 37% selected Neutral on confidence in being seen speaking, indicating that many students neither endorsed nor rejected participation readiness. Together, these patterns </w:t>
      </w:r>
      <w:r w:rsidRPr="00BB4371">
        <w:lastRenderedPageBreak/>
        <w:t>illustrate a perceived gap between positive affective orientation toward AI-assisted preparation and self-reported readiness for live classroom engagement.</w:t>
      </w:r>
    </w:p>
    <w:p w14:paraId="096195FE" w14:textId="442EC760" w:rsidR="003229D8" w:rsidRPr="00BB4371" w:rsidRDefault="003229D8" w:rsidP="00CE4CFF">
      <w:pPr>
        <w:spacing w:after="120" w:line="480" w:lineRule="auto"/>
        <w:ind w:firstLine="720"/>
        <w:jc w:val="both"/>
      </w:pPr>
      <w:r w:rsidRPr="00BB4371">
        <w:t xml:space="preserve">The descriptive statistics presented in Table </w:t>
      </w:r>
      <w:r w:rsidR="008174F8">
        <w:t>2</w:t>
      </w:r>
      <w:r w:rsidRPr="00BB4371">
        <w:t xml:space="preserve"> suggest that positive perceptions of AI-assisted learning were stronger for affective readiness than for indicators of public classroom participation. These descriptive patterns were further examined using inferential analyses.</w:t>
      </w:r>
    </w:p>
    <w:p w14:paraId="6623BB2B" w14:textId="6FD9AF21" w:rsidR="00DF7F25" w:rsidRPr="00BB4371" w:rsidRDefault="00C7052C" w:rsidP="00CE4CFF">
      <w:pPr>
        <w:spacing w:after="120" w:line="480" w:lineRule="auto"/>
        <w:ind w:firstLine="720"/>
        <w:jc w:val="both"/>
      </w:pPr>
      <w:r w:rsidRPr="00BB4371">
        <w:t xml:space="preserve">A Pearson correlation analysis revealed a moderate positive association between reported enjoyment and willingness to share in class (r = .42, p &lt; .01), suggesting that positive affect tends to accompany increased participation. Multiple regression analysis further indicated that confidence is a meaningful predictor of WTC, and </w:t>
      </w:r>
      <w:r w:rsidR="00E465AA">
        <w:t>exploratory path</w:t>
      </w:r>
      <w:r w:rsidR="00E465AA" w:rsidRPr="00BB4371">
        <w:t xml:space="preserve"> </w:t>
      </w:r>
      <w:r w:rsidRPr="00BB4371">
        <w:t>analysis provides support for confidence as a partial mediator of the association between AI-assisted preparation and WTC. Although causal inferences cannot be drawn from the cross-sectional design, these patterns are broadly consistent with the preparedness–participation gap.</w:t>
      </w:r>
    </w:p>
    <w:p w14:paraId="03D04AB9" w14:textId="08A8D405" w:rsidR="00DF7F25" w:rsidRDefault="00C7052C" w:rsidP="00CE4CFF">
      <w:pPr>
        <w:spacing w:after="120" w:line="480" w:lineRule="auto"/>
        <w:ind w:firstLine="720"/>
        <w:jc w:val="both"/>
      </w:pPr>
      <w:r w:rsidRPr="00BB4371">
        <w:t xml:space="preserve">Thematic analysis of the reflective journal entries yielded five overarching themes. Table </w:t>
      </w:r>
      <w:r w:rsidR="008174F8">
        <w:t>3</w:t>
      </w:r>
      <w:r w:rsidRPr="00BB4371">
        <w:t xml:space="preserve"> presents these themes together with frequency counts reflecting the number of individual students (out of 200) whose journals contained each theme across at least one entry.</w:t>
      </w:r>
    </w:p>
    <w:p w14:paraId="32F439FE" w14:textId="3A757C0B" w:rsidR="00BF3717" w:rsidRDefault="00BF3717" w:rsidP="00CE4CFF">
      <w:r>
        <w:br w:type="page"/>
      </w:r>
    </w:p>
    <w:p w14:paraId="68CF5679" w14:textId="12C9DCBB" w:rsidR="00DF7F25" w:rsidRPr="00B12473" w:rsidRDefault="00C7052C" w:rsidP="00CE4CFF">
      <w:pPr>
        <w:suppressAutoHyphens/>
        <w:spacing w:before="240" w:after="120"/>
        <w:rPr>
          <w:b/>
          <w:bCs/>
        </w:rPr>
      </w:pPr>
      <w:r w:rsidRPr="00BB4371">
        <w:rPr>
          <w:b/>
          <w:bCs/>
        </w:rPr>
        <w:lastRenderedPageBreak/>
        <w:t xml:space="preserve">Table </w:t>
      </w:r>
      <w:r w:rsidR="008174F8">
        <w:rPr>
          <w:b/>
          <w:bCs/>
        </w:rPr>
        <w:t>3</w:t>
      </w:r>
    </w:p>
    <w:p w14:paraId="753553CB" w14:textId="77777777" w:rsidR="00DF7F25" w:rsidRPr="00B12473" w:rsidRDefault="00C7052C" w:rsidP="00CE4CFF">
      <w:pPr>
        <w:suppressAutoHyphens/>
        <w:spacing w:before="240" w:after="120"/>
        <w:rPr>
          <w:i/>
          <w:iCs/>
        </w:rPr>
      </w:pPr>
      <w:r w:rsidRPr="00BB4371">
        <w:rPr>
          <w:i/>
          <w:iCs/>
        </w:rPr>
        <w:t>Reflective Journal Thematic Analysis: Themes and Frequencies</w:t>
      </w:r>
    </w:p>
    <w:tbl>
      <w:tblPr>
        <w:tblW w:w="9026" w:type="dxa"/>
        <w:tblCellMar>
          <w:left w:w="10" w:type="dxa"/>
          <w:right w:w="10" w:type="dxa"/>
        </w:tblCellMar>
        <w:tblLook w:val="04A0" w:firstRow="1" w:lastRow="0" w:firstColumn="1" w:lastColumn="0" w:noHBand="0" w:noVBand="1"/>
      </w:tblPr>
      <w:tblGrid>
        <w:gridCol w:w="5000"/>
        <w:gridCol w:w="2000"/>
        <w:gridCol w:w="2026"/>
      </w:tblGrid>
      <w:tr w:rsidR="00DF7F25" w:rsidRPr="00B12473" w14:paraId="64D3E92D" w14:textId="77777777" w:rsidTr="00B12473">
        <w:tc>
          <w:tcPr>
            <w:tcW w:w="5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19DC8BE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Theme</w:t>
            </w:r>
          </w:p>
        </w:tc>
        <w:tc>
          <w:tcPr>
            <w:tcW w:w="2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3CF0122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Number of Students (out of 200)</w:t>
            </w:r>
          </w:p>
        </w:tc>
        <w:tc>
          <w:tcPr>
            <w:tcW w:w="20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60F652D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 of Students</w:t>
            </w:r>
          </w:p>
        </w:tc>
      </w:tr>
      <w:tr w:rsidR="00DF7F25" w:rsidRPr="00B12473" w14:paraId="5A3479B9" w14:textId="77777777" w:rsidTr="00B12473">
        <w:tc>
          <w:tcPr>
            <w:tcW w:w="5000" w:type="dxa"/>
            <w:tcBorders>
              <w:top w:val="single" w:sz="4" w:space="0" w:color="auto"/>
            </w:tcBorders>
            <w:shd w:val="clear" w:color="auto" w:fill="auto"/>
            <w:tcMar>
              <w:top w:w="60" w:type="dxa"/>
              <w:left w:w="80" w:type="dxa"/>
              <w:bottom w:w="60" w:type="dxa"/>
              <w:right w:w="80" w:type="dxa"/>
            </w:tcMar>
            <w:vAlign w:val="center"/>
          </w:tcPr>
          <w:p w14:paraId="30A5479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Confidence-building</w:t>
            </w:r>
          </w:p>
        </w:tc>
        <w:tc>
          <w:tcPr>
            <w:tcW w:w="2000" w:type="dxa"/>
            <w:tcBorders>
              <w:top w:val="single" w:sz="4" w:space="0" w:color="auto"/>
            </w:tcBorders>
            <w:shd w:val="clear" w:color="auto" w:fill="auto"/>
            <w:tcMar>
              <w:top w:w="60" w:type="dxa"/>
              <w:left w:w="80" w:type="dxa"/>
              <w:bottom w:w="60" w:type="dxa"/>
              <w:right w:w="80" w:type="dxa"/>
            </w:tcMar>
            <w:vAlign w:val="center"/>
          </w:tcPr>
          <w:p w14:paraId="4FB8BA2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136</w:t>
            </w:r>
          </w:p>
        </w:tc>
        <w:tc>
          <w:tcPr>
            <w:tcW w:w="2026" w:type="dxa"/>
            <w:tcBorders>
              <w:top w:val="single" w:sz="4" w:space="0" w:color="auto"/>
            </w:tcBorders>
            <w:shd w:val="clear" w:color="auto" w:fill="auto"/>
            <w:tcMar>
              <w:top w:w="60" w:type="dxa"/>
              <w:left w:w="80" w:type="dxa"/>
              <w:bottom w:w="60" w:type="dxa"/>
              <w:right w:w="80" w:type="dxa"/>
            </w:tcMar>
            <w:vAlign w:val="center"/>
          </w:tcPr>
          <w:p w14:paraId="7CC9865C"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68%</w:t>
            </w:r>
          </w:p>
        </w:tc>
      </w:tr>
      <w:tr w:rsidR="00DF7F25" w:rsidRPr="00B12473" w14:paraId="622F36DB" w14:textId="77777777" w:rsidTr="00B12473">
        <w:tc>
          <w:tcPr>
            <w:tcW w:w="5000" w:type="dxa"/>
            <w:shd w:val="clear" w:color="auto" w:fill="auto"/>
            <w:tcMar>
              <w:top w:w="60" w:type="dxa"/>
              <w:left w:w="80" w:type="dxa"/>
              <w:bottom w:w="60" w:type="dxa"/>
              <w:right w:w="80" w:type="dxa"/>
            </w:tcMar>
            <w:vAlign w:val="center"/>
          </w:tcPr>
          <w:p w14:paraId="2A2E834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Idea generation / content organization</w:t>
            </w:r>
          </w:p>
        </w:tc>
        <w:tc>
          <w:tcPr>
            <w:tcW w:w="2000" w:type="dxa"/>
            <w:shd w:val="clear" w:color="auto" w:fill="auto"/>
            <w:tcMar>
              <w:top w:w="60" w:type="dxa"/>
              <w:left w:w="80" w:type="dxa"/>
              <w:bottom w:w="60" w:type="dxa"/>
              <w:right w:w="80" w:type="dxa"/>
            </w:tcMar>
            <w:vAlign w:val="center"/>
          </w:tcPr>
          <w:p w14:paraId="556E0E4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106</w:t>
            </w:r>
          </w:p>
        </w:tc>
        <w:tc>
          <w:tcPr>
            <w:tcW w:w="2026" w:type="dxa"/>
            <w:shd w:val="clear" w:color="auto" w:fill="auto"/>
            <w:tcMar>
              <w:top w:w="60" w:type="dxa"/>
              <w:left w:w="80" w:type="dxa"/>
              <w:bottom w:w="60" w:type="dxa"/>
              <w:right w:w="80" w:type="dxa"/>
            </w:tcMar>
            <w:vAlign w:val="center"/>
          </w:tcPr>
          <w:p w14:paraId="7A27C14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53%</w:t>
            </w:r>
          </w:p>
        </w:tc>
      </w:tr>
      <w:tr w:rsidR="00DF7F25" w:rsidRPr="00B12473" w14:paraId="59D1CF50" w14:textId="77777777" w:rsidTr="00B12473">
        <w:tc>
          <w:tcPr>
            <w:tcW w:w="5000" w:type="dxa"/>
            <w:shd w:val="clear" w:color="auto" w:fill="auto"/>
            <w:tcMar>
              <w:top w:w="60" w:type="dxa"/>
              <w:left w:w="80" w:type="dxa"/>
              <w:bottom w:w="60" w:type="dxa"/>
              <w:right w:w="80" w:type="dxa"/>
            </w:tcMar>
            <w:vAlign w:val="center"/>
          </w:tcPr>
          <w:p w14:paraId="48585CE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Anxiety reduction</w:t>
            </w:r>
          </w:p>
        </w:tc>
        <w:tc>
          <w:tcPr>
            <w:tcW w:w="2000" w:type="dxa"/>
            <w:shd w:val="clear" w:color="auto" w:fill="auto"/>
            <w:tcMar>
              <w:top w:w="60" w:type="dxa"/>
              <w:left w:w="80" w:type="dxa"/>
              <w:bottom w:w="60" w:type="dxa"/>
              <w:right w:w="80" w:type="dxa"/>
            </w:tcMar>
            <w:vAlign w:val="center"/>
          </w:tcPr>
          <w:p w14:paraId="00EFFE1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94</w:t>
            </w:r>
          </w:p>
        </w:tc>
        <w:tc>
          <w:tcPr>
            <w:tcW w:w="2026" w:type="dxa"/>
            <w:shd w:val="clear" w:color="auto" w:fill="auto"/>
            <w:tcMar>
              <w:top w:w="60" w:type="dxa"/>
              <w:left w:w="80" w:type="dxa"/>
              <w:bottom w:w="60" w:type="dxa"/>
              <w:right w:w="80" w:type="dxa"/>
            </w:tcMar>
            <w:vAlign w:val="center"/>
          </w:tcPr>
          <w:p w14:paraId="11F4078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47%</w:t>
            </w:r>
          </w:p>
        </w:tc>
      </w:tr>
      <w:tr w:rsidR="00DF7F25" w:rsidRPr="00B12473" w14:paraId="3E2598ED" w14:textId="77777777" w:rsidTr="00B12473">
        <w:tc>
          <w:tcPr>
            <w:tcW w:w="5000" w:type="dxa"/>
            <w:shd w:val="clear" w:color="auto" w:fill="auto"/>
            <w:tcMar>
              <w:top w:w="60" w:type="dxa"/>
              <w:left w:w="80" w:type="dxa"/>
              <w:bottom w:w="60" w:type="dxa"/>
              <w:right w:w="80" w:type="dxa"/>
            </w:tcMar>
            <w:vAlign w:val="center"/>
          </w:tcPr>
          <w:p w14:paraId="610B0C6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Improved teacher interaction quality</w:t>
            </w:r>
          </w:p>
        </w:tc>
        <w:tc>
          <w:tcPr>
            <w:tcW w:w="2000" w:type="dxa"/>
            <w:shd w:val="clear" w:color="auto" w:fill="auto"/>
            <w:tcMar>
              <w:top w:w="60" w:type="dxa"/>
              <w:left w:w="80" w:type="dxa"/>
              <w:bottom w:w="60" w:type="dxa"/>
              <w:right w:w="80" w:type="dxa"/>
            </w:tcMar>
            <w:vAlign w:val="center"/>
          </w:tcPr>
          <w:p w14:paraId="7FE8004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58</w:t>
            </w:r>
          </w:p>
        </w:tc>
        <w:tc>
          <w:tcPr>
            <w:tcW w:w="2026" w:type="dxa"/>
            <w:shd w:val="clear" w:color="auto" w:fill="auto"/>
            <w:tcMar>
              <w:top w:w="60" w:type="dxa"/>
              <w:left w:w="80" w:type="dxa"/>
              <w:bottom w:w="60" w:type="dxa"/>
              <w:right w:w="80" w:type="dxa"/>
            </w:tcMar>
            <w:vAlign w:val="center"/>
          </w:tcPr>
          <w:p w14:paraId="0260298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29%</w:t>
            </w:r>
          </w:p>
        </w:tc>
      </w:tr>
      <w:tr w:rsidR="00DF7F25" w:rsidRPr="00B12473" w14:paraId="3F8F9B29" w14:textId="77777777" w:rsidTr="00B12473">
        <w:tc>
          <w:tcPr>
            <w:tcW w:w="5000" w:type="dxa"/>
            <w:tcBorders>
              <w:bottom w:val="single" w:sz="4" w:space="0" w:color="auto"/>
            </w:tcBorders>
            <w:shd w:val="clear" w:color="auto" w:fill="auto"/>
            <w:tcMar>
              <w:top w:w="60" w:type="dxa"/>
              <w:left w:w="80" w:type="dxa"/>
              <w:bottom w:w="60" w:type="dxa"/>
              <w:right w:w="80" w:type="dxa"/>
            </w:tcMar>
            <w:vAlign w:val="center"/>
          </w:tcPr>
          <w:p w14:paraId="43688C2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AI dependency concerns</w:t>
            </w:r>
          </w:p>
        </w:tc>
        <w:tc>
          <w:tcPr>
            <w:tcW w:w="2000" w:type="dxa"/>
            <w:tcBorders>
              <w:bottom w:val="single" w:sz="4" w:space="0" w:color="auto"/>
            </w:tcBorders>
            <w:shd w:val="clear" w:color="auto" w:fill="auto"/>
            <w:tcMar>
              <w:top w:w="60" w:type="dxa"/>
              <w:left w:w="80" w:type="dxa"/>
              <w:bottom w:w="60" w:type="dxa"/>
              <w:right w:w="80" w:type="dxa"/>
            </w:tcMar>
            <w:vAlign w:val="center"/>
          </w:tcPr>
          <w:p w14:paraId="1CD471C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46</w:t>
            </w:r>
          </w:p>
        </w:tc>
        <w:tc>
          <w:tcPr>
            <w:tcW w:w="2026" w:type="dxa"/>
            <w:tcBorders>
              <w:bottom w:val="single" w:sz="4" w:space="0" w:color="auto"/>
            </w:tcBorders>
            <w:shd w:val="clear" w:color="auto" w:fill="auto"/>
            <w:tcMar>
              <w:top w:w="60" w:type="dxa"/>
              <w:left w:w="80" w:type="dxa"/>
              <w:bottom w:w="60" w:type="dxa"/>
              <w:right w:w="80" w:type="dxa"/>
            </w:tcMar>
            <w:vAlign w:val="center"/>
          </w:tcPr>
          <w:p w14:paraId="1D1EBEE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23%</w:t>
            </w:r>
          </w:p>
        </w:tc>
      </w:tr>
    </w:tbl>
    <w:p w14:paraId="0340408D" w14:textId="1544C416" w:rsidR="00DF7F25" w:rsidRPr="00B12473" w:rsidRDefault="00B12473" w:rsidP="00CE4CFF">
      <w:pPr>
        <w:suppressAutoHyphens/>
        <w:spacing w:before="120" w:after="240"/>
        <w:jc w:val="both"/>
        <w:rPr>
          <w:rFonts w:eastAsia="TimesNewRomanPSMT"/>
          <w:i/>
          <w:iCs/>
          <w:sz w:val="20"/>
          <w:szCs w:val="20"/>
        </w:rPr>
      </w:pPr>
      <w:r w:rsidRPr="00002004">
        <w:rPr>
          <w:rFonts w:eastAsia="TimesNewRomanPSMT"/>
          <w:i/>
          <w:iCs/>
          <w:sz w:val="20"/>
          <w:szCs w:val="20"/>
          <w:vertAlign w:val="superscript"/>
        </w:rPr>
        <w:t>*</w:t>
      </w:r>
      <w:r w:rsidR="00C7052C" w:rsidRPr="00B12473">
        <w:rPr>
          <w:rFonts w:eastAsia="TimesNewRomanPSMT"/>
          <w:i/>
          <w:iCs/>
          <w:sz w:val="20"/>
          <w:szCs w:val="20"/>
        </w:rPr>
        <w:t>Frequency = number of students (out of 200) whose journal entries independently contained each theme across at least one submission round. % of Students = (Frequency / 200) × 100. Note that a single student's journals may contain multiple themes; therefore, percentages do not sum to 100%.</w:t>
      </w:r>
    </w:p>
    <w:p w14:paraId="52F90DBB" w14:textId="77777777" w:rsidR="00DF7F25" w:rsidRPr="00BB4371" w:rsidRDefault="00DF7F25" w:rsidP="00CE4CFF">
      <w:pPr>
        <w:spacing w:after="120" w:line="480" w:lineRule="auto"/>
        <w:ind w:firstLine="720"/>
        <w:jc w:val="both"/>
      </w:pPr>
    </w:p>
    <w:p w14:paraId="379094BB" w14:textId="77777777" w:rsidR="00DF7F25" w:rsidRPr="00BB4371" w:rsidRDefault="00C7052C" w:rsidP="00CE4CFF">
      <w:pPr>
        <w:spacing w:after="120" w:line="480" w:lineRule="auto"/>
        <w:ind w:firstLine="720"/>
        <w:jc w:val="both"/>
      </w:pPr>
      <w:r w:rsidRPr="00BB4371">
        <w:t>Confidence-building emerged as the dominant theme (68%), reflecting students' repeated accounts of feeling better prepared and less hesitant following AI-assisted preparation. Idea generation was closely related (53%), with many students describing AI as a scaffold for content organization. Anxiety reduction followed (47%), with students noting that AI practice in low-stakes environments helped mitigate fear of public speaking. Improved teacher interaction quality was reported by 29% of students, who observed that their exchanges with teachers became more substantive following AI preparation. Finally, AI dependency concerns emerged as a reflexive theme (23%), with students questioning their reliance on AI-generated content.</w:t>
      </w:r>
    </w:p>
    <w:p w14:paraId="40A69397" w14:textId="77777777" w:rsidR="00DF7F25" w:rsidRPr="00CE4CFF" w:rsidRDefault="00C7052C" w:rsidP="00CE4CFF">
      <w:pPr>
        <w:spacing w:after="120" w:line="480" w:lineRule="auto"/>
        <w:rPr>
          <w:b/>
          <w:bCs/>
          <w:i/>
          <w:iCs/>
        </w:rPr>
      </w:pPr>
      <w:r w:rsidRPr="00CE4CFF">
        <w:rPr>
          <w:b/>
          <w:bCs/>
          <w:i/>
          <w:iCs/>
        </w:rPr>
        <w:t>4.2 Inferential Analyses of AI-Related Factors and Willingness to Communicate</w:t>
      </w:r>
    </w:p>
    <w:p w14:paraId="5178D089" w14:textId="77777777" w:rsidR="00DF7F25" w:rsidRPr="00CE4CFF" w:rsidRDefault="00C7052C" w:rsidP="00CE4CFF">
      <w:pPr>
        <w:spacing w:after="120" w:line="480" w:lineRule="auto"/>
        <w:rPr>
          <w:b/>
          <w:bCs/>
          <w:i/>
          <w:iCs/>
        </w:rPr>
      </w:pPr>
      <w:r w:rsidRPr="00CE4CFF">
        <w:rPr>
          <w:b/>
          <w:bCs/>
          <w:i/>
          <w:iCs/>
        </w:rPr>
        <w:t>4.2.1 Multiple Regression Analysis (RQ1)</w:t>
      </w:r>
    </w:p>
    <w:p w14:paraId="22E4F8F4" w14:textId="7BEE9D83" w:rsidR="00DF7F25" w:rsidRDefault="00C7052C" w:rsidP="00CE4CFF">
      <w:pPr>
        <w:spacing w:after="120" w:line="480" w:lineRule="auto"/>
        <w:ind w:firstLine="720"/>
        <w:jc w:val="both"/>
      </w:pPr>
      <w:r w:rsidRPr="00BB4371">
        <w:lastRenderedPageBreak/>
        <w:t>A multiple regression analysis assessed whether AI-related affective factors</w:t>
      </w:r>
      <w:r w:rsidR="00BA0BB2">
        <w:t xml:space="preserve">, including </w:t>
      </w:r>
      <w:r w:rsidRPr="00BB4371">
        <w:t>perceived enjoyment and confidence after AI-assisted preparation</w:t>
      </w:r>
      <w:r w:rsidR="00BA0BB2">
        <w:t xml:space="preserve">, </w:t>
      </w:r>
      <w:r w:rsidRPr="00BB4371">
        <w:t>predict students' willingness to communicate (WTC). The overall model was statistically significant, F(2, 197) = 34.25, p &lt; .001, explaining 25.8% of the variance in WTC (R² = .258, Adjusted R² = .250). Confidence emerged as a significant positive predictor (β = .41, p &lt; .001). Enjoyment also reached significance (β = .12, p = .047), though its effect size was considerably smaller than that of confidence.</w:t>
      </w:r>
    </w:p>
    <w:p w14:paraId="5F0890E6" w14:textId="77777777" w:rsidR="00002004" w:rsidRPr="00BB4371" w:rsidRDefault="00002004" w:rsidP="00CE4CFF">
      <w:pPr>
        <w:spacing w:after="120" w:line="480" w:lineRule="auto"/>
        <w:ind w:firstLine="720"/>
        <w:jc w:val="both"/>
      </w:pPr>
    </w:p>
    <w:p w14:paraId="452F72AB" w14:textId="6F9C7682" w:rsidR="00DF7F25" w:rsidRPr="00B12473" w:rsidRDefault="00C7052C" w:rsidP="00CE4CFF">
      <w:pPr>
        <w:suppressAutoHyphens/>
        <w:spacing w:before="240" w:after="120"/>
        <w:rPr>
          <w:b/>
          <w:bCs/>
        </w:rPr>
      </w:pPr>
      <w:r w:rsidRPr="00BB4371">
        <w:rPr>
          <w:b/>
          <w:bCs/>
        </w:rPr>
        <w:t xml:space="preserve">Table </w:t>
      </w:r>
      <w:r w:rsidR="008174F8">
        <w:rPr>
          <w:b/>
          <w:bCs/>
        </w:rPr>
        <w:t>4</w:t>
      </w:r>
    </w:p>
    <w:p w14:paraId="484EF5A5" w14:textId="77777777" w:rsidR="00DF7F25" w:rsidRPr="00B12473" w:rsidRDefault="00C7052C" w:rsidP="00CE4CFF">
      <w:pPr>
        <w:suppressAutoHyphens/>
        <w:spacing w:before="240" w:after="120"/>
        <w:rPr>
          <w:i/>
          <w:iCs/>
        </w:rPr>
      </w:pPr>
      <w:r w:rsidRPr="00BB4371">
        <w:rPr>
          <w:i/>
          <w:iCs/>
        </w:rPr>
        <w:t>Multiple Regression Predicting Willingness to Communicate</w:t>
      </w:r>
    </w:p>
    <w:tbl>
      <w:tblPr>
        <w:tblW w:w="9026" w:type="dxa"/>
        <w:tblCellMar>
          <w:left w:w="10" w:type="dxa"/>
          <w:right w:w="10" w:type="dxa"/>
        </w:tblCellMar>
        <w:tblLook w:val="04A0" w:firstRow="1" w:lastRow="0" w:firstColumn="1" w:lastColumn="0" w:noHBand="0" w:noVBand="1"/>
      </w:tblPr>
      <w:tblGrid>
        <w:gridCol w:w="2413"/>
        <w:gridCol w:w="1317"/>
        <w:gridCol w:w="1317"/>
        <w:gridCol w:w="1317"/>
        <w:gridCol w:w="1317"/>
        <w:gridCol w:w="1345"/>
      </w:tblGrid>
      <w:tr w:rsidR="00DF7F25" w:rsidRPr="00B12473" w14:paraId="34353470" w14:textId="77777777" w:rsidTr="00B12473">
        <w:tc>
          <w:tcPr>
            <w:tcW w:w="2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1832878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Predictor</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6585C53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B</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57EBCF4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SE B</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0C7AEF9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β</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634755A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t</w:t>
            </w:r>
          </w:p>
        </w:tc>
        <w:tc>
          <w:tcPr>
            <w:tcW w:w="12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42AE4FB9"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w:t>
            </w:r>
          </w:p>
        </w:tc>
      </w:tr>
      <w:tr w:rsidR="00DF7F25" w:rsidRPr="00B12473" w14:paraId="2E16EDDE" w14:textId="77777777" w:rsidTr="00B12473">
        <w:tc>
          <w:tcPr>
            <w:tcW w:w="2200" w:type="dxa"/>
            <w:tcBorders>
              <w:top w:val="single" w:sz="4" w:space="0" w:color="auto"/>
            </w:tcBorders>
            <w:shd w:val="clear" w:color="auto" w:fill="auto"/>
            <w:tcMar>
              <w:top w:w="60" w:type="dxa"/>
              <w:left w:w="80" w:type="dxa"/>
              <w:bottom w:w="60" w:type="dxa"/>
              <w:right w:w="80" w:type="dxa"/>
            </w:tcMar>
            <w:vAlign w:val="center"/>
          </w:tcPr>
          <w:p w14:paraId="78298A6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(Constant)</w:t>
            </w:r>
          </w:p>
        </w:tc>
        <w:tc>
          <w:tcPr>
            <w:tcW w:w="1200" w:type="dxa"/>
            <w:tcBorders>
              <w:top w:val="single" w:sz="4" w:space="0" w:color="auto"/>
            </w:tcBorders>
            <w:shd w:val="clear" w:color="auto" w:fill="auto"/>
            <w:tcMar>
              <w:top w:w="60" w:type="dxa"/>
              <w:left w:w="80" w:type="dxa"/>
              <w:bottom w:w="60" w:type="dxa"/>
              <w:right w:w="80" w:type="dxa"/>
            </w:tcMar>
            <w:vAlign w:val="center"/>
          </w:tcPr>
          <w:p w14:paraId="6CB033F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1.21</w:t>
            </w:r>
          </w:p>
        </w:tc>
        <w:tc>
          <w:tcPr>
            <w:tcW w:w="1200" w:type="dxa"/>
            <w:tcBorders>
              <w:top w:val="single" w:sz="4" w:space="0" w:color="auto"/>
            </w:tcBorders>
            <w:shd w:val="clear" w:color="auto" w:fill="auto"/>
            <w:tcMar>
              <w:top w:w="60" w:type="dxa"/>
              <w:left w:w="80" w:type="dxa"/>
              <w:bottom w:w="60" w:type="dxa"/>
              <w:right w:w="80" w:type="dxa"/>
            </w:tcMar>
            <w:vAlign w:val="center"/>
          </w:tcPr>
          <w:p w14:paraId="3EC75A5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0.28</w:t>
            </w:r>
          </w:p>
        </w:tc>
        <w:tc>
          <w:tcPr>
            <w:tcW w:w="1200" w:type="dxa"/>
            <w:tcBorders>
              <w:top w:val="single" w:sz="4" w:space="0" w:color="auto"/>
            </w:tcBorders>
            <w:shd w:val="clear" w:color="auto" w:fill="auto"/>
            <w:tcMar>
              <w:top w:w="60" w:type="dxa"/>
              <w:left w:w="80" w:type="dxa"/>
              <w:bottom w:w="60" w:type="dxa"/>
              <w:right w:w="80" w:type="dxa"/>
            </w:tcMar>
            <w:vAlign w:val="center"/>
          </w:tcPr>
          <w:p w14:paraId="00E15E9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tcBorders>
              <w:top w:val="single" w:sz="4" w:space="0" w:color="auto"/>
            </w:tcBorders>
            <w:shd w:val="clear" w:color="auto" w:fill="auto"/>
            <w:tcMar>
              <w:top w:w="60" w:type="dxa"/>
              <w:left w:w="80" w:type="dxa"/>
              <w:bottom w:w="60" w:type="dxa"/>
              <w:right w:w="80" w:type="dxa"/>
            </w:tcMar>
            <w:vAlign w:val="center"/>
          </w:tcPr>
          <w:p w14:paraId="60F6E6C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4.32</w:t>
            </w:r>
          </w:p>
        </w:tc>
        <w:tc>
          <w:tcPr>
            <w:tcW w:w="1226" w:type="dxa"/>
            <w:tcBorders>
              <w:top w:val="single" w:sz="4" w:space="0" w:color="auto"/>
            </w:tcBorders>
            <w:shd w:val="clear" w:color="auto" w:fill="auto"/>
            <w:tcMar>
              <w:top w:w="60" w:type="dxa"/>
              <w:left w:w="80" w:type="dxa"/>
              <w:bottom w:w="60" w:type="dxa"/>
              <w:right w:w="80" w:type="dxa"/>
            </w:tcMar>
            <w:vAlign w:val="center"/>
          </w:tcPr>
          <w:p w14:paraId="7AFF456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&lt; .001</w:t>
            </w:r>
          </w:p>
        </w:tc>
      </w:tr>
      <w:tr w:rsidR="00DF7F25" w:rsidRPr="00B12473" w14:paraId="30E23945" w14:textId="77777777" w:rsidTr="00B12473">
        <w:tc>
          <w:tcPr>
            <w:tcW w:w="2200" w:type="dxa"/>
            <w:shd w:val="clear" w:color="auto" w:fill="auto"/>
            <w:tcMar>
              <w:top w:w="60" w:type="dxa"/>
              <w:left w:w="80" w:type="dxa"/>
              <w:bottom w:w="60" w:type="dxa"/>
              <w:right w:w="80" w:type="dxa"/>
            </w:tcMar>
            <w:vAlign w:val="center"/>
          </w:tcPr>
          <w:p w14:paraId="40B028F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Confidence</w:t>
            </w:r>
          </w:p>
        </w:tc>
        <w:tc>
          <w:tcPr>
            <w:tcW w:w="1200" w:type="dxa"/>
            <w:shd w:val="clear" w:color="auto" w:fill="auto"/>
            <w:tcMar>
              <w:top w:w="60" w:type="dxa"/>
              <w:left w:w="80" w:type="dxa"/>
              <w:bottom w:w="60" w:type="dxa"/>
              <w:right w:w="80" w:type="dxa"/>
            </w:tcMar>
            <w:vAlign w:val="center"/>
          </w:tcPr>
          <w:p w14:paraId="411FE12C"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0.47</w:t>
            </w:r>
          </w:p>
        </w:tc>
        <w:tc>
          <w:tcPr>
            <w:tcW w:w="1200" w:type="dxa"/>
            <w:shd w:val="clear" w:color="auto" w:fill="auto"/>
            <w:tcMar>
              <w:top w:w="60" w:type="dxa"/>
              <w:left w:w="80" w:type="dxa"/>
              <w:bottom w:w="60" w:type="dxa"/>
              <w:right w:w="80" w:type="dxa"/>
            </w:tcMar>
            <w:vAlign w:val="center"/>
          </w:tcPr>
          <w:p w14:paraId="7F0E283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0.07</w:t>
            </w:r>
          </w:p>
        </w:tc>
        <w:tc>
          <w:tcPr>
            <w:tcW w:w="1200" w:type="dxa"/>
            <w:shd w:val="clear" w:color="auto" w:fill="auto"/>
            <w:tcMar>
              <w:top w:w="60" w:type="dxa"/>
              <w:left w:w="80" w:type="dxa"/>
              <w:bottom w:w="60" w:type="dxa"/>
              <w:right w:w="80" w:type="dxa"/>
            </w:tcMar>
            <w:vAlign w:val="center"/>
          </w:tcPr>
          <w:p w14:paraId="5D2A31B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.41</w:t>
            </w:r>
          </w:p>
        </w:tc>
        <w:tc>
          <w:tcPr>
            <w:tcW w:w="1200" w:type="dxa"/>
            <w:shd w:val="clear" w:color="auto" w:fill="auto"/>
            <w:tcMar>
              <w:top w:w="60" w:type="dxa"/>
              <w:left w:w="80" w:type="dxa"/>
              <w:bottom w:w="60" w:type="dxa"/>
              <w:right w:w="80" w:type="dxa"/>
            </w:tcMar>
            <w:vAlign w:val="center"/>
          </w:tcPr>
          <w:p w14:paraId="36C1B15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6.71</w:t>
            </w:r>
          </w:p>
        </w:tc>
        <w:tc>
          <w:tcPr>
            <w:tcW w:w="1226" w:type="dxa"/>
            <w:shd w:val="clear" w:color="auto" w:fill="auto"/>
            <w:tcMar>
              <w:top w:w="60" w:type="dxa"/>
              <w:left w:w="80" w:type="dxa"/>
              <w:bottom w:w="60" w:type="dxa"/>
              <w:right w:w="80" w:type="dxa"/>
            </w:tcMar>
            <w:vAlign w:val="center"/>
          </w:tcPr>
          <w:p w14:paraId="3FBC2B9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&lt; .001</w:t>
            </w:r>
          </w:p>
        </w:tc>
      </w:tr>
      <w:tr w:rsidR="00DF7F25" w:rsidRPr="00B12473" w14:paraId="09F88D40" w14:textId="77777777" w:rsidTr="00B12473">
        <w:tc>
          <w:tcPr>
            <w:tcW w:w="2200" w:type="dxa"/>
            <w:tcBorders>
              <w:bottom w:val="single" w:sz="4" w:space="0" w:color="auto"/>
            </w:tcBorders>
            <w:shd w:val="clear" w:color="auto" w:fill="auto"/>
            <w:tcMar>
              <w:top w:w="60" w:type="dxa"/>
              <w:left w:w="80" w:type="dxa"/>
              <w:bottom w:w="60" w:type="dxa"/>
              <w:right w:w="80" w:type="dxa"/>
            </w:tcMar>
            <w:vAlign w:val="center"/>
          </w:tcPr>
          <w:p w14:paraId="71BBE2F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Enjoyment</w:t>
            </w:r>
          </w:p>
        </w:tc>
        <w:tc>
          <w:tcPr>
            <w:tcW w:w="1200" w:type="dxa"/>
            <w:tcBorders>
              <w:bottom w:val="single" w:sz="4" w:space="0" w:color="auto"/>
            </w:tcBorders>
            <w:shd w:val="clear" w:color="auto" w:fill="auto"/>
            <w:tcMar>
              <w:top w:w="60" w:type="dxa"/>
              <w:left w:w="80" w:type="dxa"/>
              <w:bottom w:w="60" w:type="dxa"/>
              <w:right w:w="80" w:type="dxa"/>
            </w:tcMar>
            <w:vAlign w:val="center"/>
          </w:tcPr>
          <w:p w14:paraId="4FFFABF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0.14</w:t>
            </w:r>
          </w:p>
        </w:tc>
        <w:tc>
          <w:tcPr>
            <w:tcW w:w="1200" w:type="dxa"/>
            <w:tcBorders>
              <w:bottom w:val="single" w:sz="4" w:space="0" w:color="auto"/>
            </w:tcBorders>
            <w:shd w:val="clear" w:color="auto" w:fill="auto"/>
            <w:tcMar>
              <w:top w:w="60" w:type="dxa"/>
              <w:left w:w="80" w:type="dxa"/>
              <w:bottom w:w="60" w:type="dxa"/>
              <w:right w:w="80" w:type="dxa"/>
            </w:tcMar>
            <w:vAlign w:val="center"/>
          </w:tcPr>
          <w:p w14:paraId="1E76365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0.07</w:t>
            </w:r>
          </w:p>
        </w:tc>
        <w:tc>
          <w:tcPr>
            <w:tcW w:w="1200" w:type="dxa"/>
            <w:tcBorders>
              <w:bottom w:val="single" w:sz="4" w:space="0" w:color="auto"/>
            </w:tcBorders>
            <w:shd w:val="clear" w:color="auto" w:fill="auto"/>
            <w:tcMar>
              <w:top w:w="60" w:type="dxa"/>
              <w:left w:w="80" w:type="dxa"/>
              <w:bottom w:w="60" w:type="dxa"/>
              <w:right w:w="80" w:type="dxa"/>
            </w:tcMar>
            <w:vAlign w:val="center"/>
          </w:tcPr>
          <w:p w14:paraId="3810A11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.12</w:t>
            </w:r>
          </w:p>
        </w:tc>
        <w:tc>
          <w:tcPr>
            <w:tcW w:w="1200" w:type="dxa"/>
            <w:tcBorders>
              <w:bottom w:val="single" w:sz="4" w:space="0" w:color="auto"/>
            </w:tcBorders>
            <w:shd w:val="clear" w:color="auto" w:fill="auto"/>
            <w:tcMar>
              <w:top w:w="60" w:type="dxa"/>
              <w:left w:w="80" w:type="dxa"/>
              <w:bottom w:w="60" w:type="dxa"/>
              <w:right w:w="80" w:type="dxa"/>
            </w:tcMar>
            <w:vAlign w:val="center"/>
          </w:tcPr>
          <w:p w14:paraId="7100F39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2.00</w:t>
            </w:r>
          </w:p>
        </w:tc>
        <w:tc>
          <w:tcPr>
            <w:tcW w:w="1226" w:type="dxa"/>
            <w:tcBorders>
              <w:bottom w:val="single" w:sz="4" w:space="0" w:color="auto"/>
            </w:tcBorders>
            <w:shd w:val="clear" w:color="auto" w:fill="auto"/>
            <w:tcMar>
              <w:top w:w="60" w:type="dxa"/>
              <w:left w:w="80" w:type="dxa"/>
              <w:bottom w:w="60" w:type="dxa"/>
              <w:right w:w="80" w:type="dxa"/>
            </w:tcMar>
            <w:vAlign w:val="center"/>
          </w:tcPr>
          <w:p w14:paraId="4C8E4BA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.047</w:t>
            </w:r>
          </w:p>
        </w:tc>
      </w:tr>
    </w:tbl>
    <w:p w14:paraId="1F4F8C58" w14:textId="0A234AD9" w:rsidR="00DF7F25" w:rsidRPr="00B12473" w:rsidRDefault="00B12473" w:rsidP="00CE4CFF">
      <w:pPr>
        <w:suppressAutoHyphens/>
        <w:spacing w:before="120" w:after="240"/>
        <w:rPr>
          <w:i/>
          <w:iCs/>
          <w:sz w:val="20"/>
          <w:szCs w:val="20"/>
        </w:rPr>
      </w:pPr>
      <w:r w:rsidRPr="00002004">
        <w:rPr>
          <w:i/>
          <w:iCs/>
          <w:sz w:val="20"/>
          <w:szCs w:val="20"/>
          <w:vertAlign w:val="superscript"/>
        </w:rPr>
        <w:t>*</w:t>
      </w:r>
      <w:r w:rsidR="00C7052C" w:rsidRPr="00B12473">
        <w:rPr>
          <w:i/>
          <w:iCs/>
          <w:sz w:val="20"/>
          <w:szCs w:val="20"/>
        </w:rPr>
        <w:t>R² = .258, Adjusted R² = .250, F(2, 197) = 34.25, p &lt; .001. Standardized regression coefficients (β) are reported alongside unstandardized coefficients (B) and their standard errors (SE B).</w:t>
      </w:r>
    </w:p>
    <w:p w14:paraId="49C7D95F" w14:textId="77777777" w:rsidR="00DF7F25" w:rsidRPr="00BB4371" w:rsidRDefault="00DF7F25" w:rsidP="00CE4CFF">
      <w:pPr>
        <w:spacing w:after="120" w:line="480" w:lineRule="auto"/>
        <w:ind w:firstLine="720"/>
        <w:jc w:val="both"/>
      </w:pPr>
    </w:p>
    <w:p w14:paraId="12EADD58" w14:textId="265E5FF0" w:rsidR="00DF7F25" w:rsidRPr="00CE4CFF" w:rsidRDefault="00C7052C" w:rsidP="00CE4CFF">
      <w:pPr>
        <w:spacing w:after="120" w:line="480" w:lineRule="auto"/>
        <w:rPr>
          <w:b/>
          <w:bCs/>
          <w:i/>
          <w:iCs/>
        </w:rPr>
      </w:pPr>
      <w:r w:rsidRPr="00CE4CFF">
        <w:rPr>
          <w:b/>
          <w:bCs/>
          <w:i/>
          <w:iCs/>
        </w:rPr>
        <w:t xml:space="preserve">4.2.2 </w:t>
      </w:r>
      <w:r w:rsidR="00E465AA" w:rsidRPr="00CE4CFF">
        <w:rPr>
          <w:b/>
          <w:bCs/>
          <w:i/>
          <w:iCs/>
        </w:rPr>
        <w:t xml:space="preserve">Exploratory Path </w:t>
      </w:r>
      <w:r w:rsidRPr="00CE4CFF">
        <w:rPr>
          <w:b/>
          <w:bCs/>
          <w:i/>
          <w:iCs/>
        </w:rPr>
        <w:t>Analysis (RQ1)</w:t>
      </w:r>
    </w:p>
    <w:p w14:paraId="573A258D" w14:textId="082F398B" w:rsidR="00DF7F25" w:rsidRDefault="00C7052C" w:rsidP="00CE4CFF">
      <w:pPr>
        <w:spacing w:after="120" w:line="480" w:lineRule="auto"/>
        <w:ind w:firstLine="720"/>
        <w:jc w:val="both"/>
      </w:pPr>
      <w:r w:rsidRPr="00BB4371">
        <w:t xml:space="preserve">A </w:t>
      </w:r>
      <w:r w:rsidR="00E465AA">
        <w:t>exploratory path</w:t>
      </w:r>
      <w:r w:rsidR="00E465AA" w:rsidRPr="00BB4371">
        <w:t xml:space="preserve"> </w:t>
      </w:r>
      <w:r w:rsidRPr="00BB4371">
        <w:t xml:space="preserve">analysis tested whether confidence mediates the relationship between AI-assisted preparation and WTC. All variables were measured simultaneously in a cross-sectional design; consequently, no temporal precedence can be established among AI-assisted preparation, confidence, and WTC, and the paths described below should be interpreted as associational patterns only. AI-assisted preparation was positively associated with confidence (β = .53, SE = .05, p &lt; .001), and confidence was positively associated with WTC (β = .41, SE = .06, p &lt; .001). The indirect effect of AI-assisted preparation on WTC </w:t>
      </w:r>
      <w:r w:rsidRPr="00BB4371">
        <w:lastRenderedPageBreak/>
        <w:t>through confidence was significant based on bootstrapped 95% confidence intervals (β = .22, 95% CI [.14, .31]). The direct effect remained significant after accounting for the mediator (β = .18, SE = .05, p = .001), indicating partial mediation.</w:t>
      </w:r>
    </w:p>
    <w:p w14:paraId="40623E20" w14:textId="77777777" w:rsidR="00002004" w:rsidRPr="00BB4371" w:rsidRDefault="00002004" w:rsidP="00CE4CFF">
      <w:pPr>
        <w:spacing w:after="120" w:line="480" w:lineRule="auto"/>
        <w:ind w:firstLine="720"/>
        <w:jc w:val="both"/>
      </w:pPr>
    </w:p>
    <w:p w14:paraId="6CBF6EFB" w14:textId="76734AAB" w:rsidR="00DF7F25" w:rsidRPr="00B12473" w:rsidRDefault="00C7052C" w:rsidP="00CE4CFF">
      <w:pPr>
        <w:pStyle w:val="RALs-TableCaption"/>
        <w:rPr>
          <w:rFonts w:asciiTheme="majorBidi" w:hAnsiTheme="majorBidi" w:cstheme="majorBidi"/>
          <w:b/>
          <w:bCs/>
          <w:sz w:val="24"/>
          <w:szCs w:val="24"/>
        </w:rPr>
      </w:pPr>
      <w:r w:rsidRPr="00B12473">
        <w:rPr>
          <w:rFonts w:asciiTheme="majorBidi" w:hAnsiTheme="majorBidi" w:cstheme="majorBidi"/>
          <w:b/>
          <w:bCs/>
          <w:sz w:val="24"/>
          <w:szCs w:val="24"/>
        </w:rPr>
        <w:t xml:space="preserve">Table </w:t>
      </w:r>
      <w:r w:rsidR="008174F8">
        <w:rPr>
          <w:rFonts w:asciiTheme="majorBidi" w:hAnsiTheme="majorBidi" w:cstheme="majorBidi"/>
          <w:b/>
          <w:bCs/>
          <w:sz w:val="24"/>
          <w:szCs w:val="24"/>
        </w:rPr>
        <w:t>5</w:t>
      </w:r>
    </w:p>
    <w:p w14:paraId="07118E72" w14:textId="2F1BD059" w:rsidR="00DF7F25" w:rsidRPr="00B12473" w:rsidRDefault="00E465AA" w:rsidP="00CE4CFF">
      <w:pPr>
        <w:pStyle w:val="RALs-TableCaption"/>
        <w:ind w:left="0" w:firstLine="0"/>
        <w:rPr>
          <w:rFonts w:asciiTheme="majorBidi" w:hAnsiTheme="majorBidi" w:cstheme="majorBidi"/>
          <w:i/>
          <w:iCs/>
          <w:sz w:val="24"/>
          <w:szCs w:val="24"/>
        </w:rPr>
      </w:pPr>
      <w:r w:rsidRPr="00E465AA">
        <w:rPr>
          <w:rFonts w:asciiTheme="majorBidi" w:hAnsiTheme="majorBidi" w:cstheme="majorBidi"/>
          <w:i/>
          <w:iCs/>
          <w:sz w:val="24"/>
          <w:szCs w:val="24"/>
        </w:rPr>
        <w:t xml:space="preserve">Exploratory </w:t>
      </w:r>
      <w:r>
        <w:rPr>
          <w:rFonts w:asciiTheme="majorBidi" w:hAnsiTheme="majorBidi" w:cstheme="majorBidi"/>
          <w:i/>
          <w:iCs/>
          <w:sz w:val="24"/>
          <w:szCs w:val="24"/>
        </w:rPr>
        <w:t xml:space="preserve">Path </w:t>
      </w:r>
      <w:r w:rsidR="00C7052C" w:rsidRPr="00B12473">
        <w:rPr>
          <w:rFonts w:asciiTheme="majorBidi" w:hAnsiTheme="majorBidi" w:cstheme="majorBidi"/>
          <w:i/>
          <w:iCs/>
          <w:sz w:val="24"/>
          <w:szCs w:val="24"/>
        </w:rPr>
        <w:t>Analysis: Indirect Effect of AI-Assisted Preparation on WTC via Confidence</w:t>
      </w:r>
    </w:p>
    <w:tbl>
      <w:tblPr>
        <w:tblW w:w="9026" w:type="dxa"/>
        <w:tblCellMar>
          <w:left w:w="10" w:type="dxa"/>
          <w:right w:w="10" w:type="dxa"/>
        </w:tblCellMar>
        <w:tblLook w:val="04A0" w:firstRow="1" w:lastRow="0" w:firstColumn="1" w:lastColumn="0" w:noHBand="0" w:noVBand="1"/>
      </w:tblPr>
      <w:tblGrid>
        <w:gridCol w:w="2826"/>
        <w:gridCol w:w="1156"/>
        <w:gridCol w:w="1156"/>
        <w:gridCol w:w="1285"/>
        <w:gridCol w:w="1285"/>
        <w:gridCol w:w="1318"/>
      </w:tblGrid>
      <w:tr w:rsidR="00B12473" w:rsidRPr="00B12473" w14:paraId="0866FCC3" w14:textId="77777777" w:rsidTr="00B12473">
        <w:tc>
          <w:tcPr>
            <w:tcW w:w="2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4792573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Path</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5429EFB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β</w:t>
            </w:r>
          </w:p>
        </w:tc>
        <w:tc>
          <w:tcPr>
            <w:tcW w:w="9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67DD310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SE</w:t>
            </w:r>
          </w:p>
        </w:tc>
        <w:tc>
          <w:tcPr>
            <w:tcW w:w="1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2BAF415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95% CI LL</w:t>
            </w:r>
          </w:p>
        </w:tc>
        <w:tc>
          <w:tcPr>
            <w:tcW w:w="1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7D6BB33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95% CI UL</w:t>
            </w:r>
          </w:p>
        </w:tc>
        <w:tc>
          <w:tcPr>
            <w:tcW w:w="10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27C695A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w:t>
            </w:r>
          </w:p>
        </w:tc>
      </w:tr>
      <w:tr w:rsidR="00DF7F25" w:rsidRPr="00B12473" w14:paraId="5F79960A" w14:textId="77777777" w:rsidTr="00B12473">
        <w:tc>
          <w:tcPr>
            <w:tcW w:w="2200" w:type="dxa"/>
            <w:tcBorders>
              <w:top w:val="single" w:sz="4" w:space="0" w:color="auto"/>
            </w:tcBorders>
            <w:tcMar>
              <w:top w:w="60" w:type="dxa"/>
              <w:left w:w="80" w:type="dxa"/>
              <w:bottom w:w="60" w:type="dxa"/>
              <w:right w:w="80" w:type="dxa"/>
            </w:tcMar>
            <w:vAlign w:val="center"/>
          </w:tcPr>
          <w:p w14:paraId="71FB6BF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AI-Assisted Prep → Confidence (a)</w:t>
            </w:r>
          </w:p>
        </w:tc>
        <w:tc>
          <w:tcPr>
            <w:tcW w:w="900" w:type="dxa"/>
            <w:tcBorders>
              <w:top w:val="single" w:sz="4" w:space="0" w:color="auto"/>
            </w:tcBorders>
            <w:tcMar>
              <w:top w:w="60" w:type="dxa"/>
              <w:left w:w="80" w:type="dxa"/>
              <w:bottom w:w="60" w:type="dxa"/>
              <w:right w:w="80" w:type="dxa"/>
            </w:tcMar>
            <w:vAlign w:val="center"/>
          </w:tcPr>
          <w:p w14:paraId="5569426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.53</w:t>
            </w:r>
          </w:p>
        </w:tc>
        <w:tc>
          <w:tcPr>
            <w:tcW w:w="900" w:type="dxa"/>
            <w:tcBorders>
              <w:top w:val="single" w:sz="4" w:space="0" w:color="auto"/>
            </w:tcBorders>
            <w:tcMar>
              <w:top w:w="60" w:type="dxa"/>
              <w:left w:w="80" w:type="dxa"/>
              <w:bottom w:w="60" w:type="dxa"/>
              <w:right w:w="80" w:type="dxa"/>
            </w:tcMar>
            <w:vAlign w:val="center"/>
          </w:tcPr>
          <w:p w14:paraId="4226919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.05</w:t>
            </w:r>
          </w:p>
        </w:tc>
        <w:tc>
          <w:tcPr>
            <w:tcW w:w="1000" w:type="dxa"/>
            <w:tcBorders>
              <w:top w:val="single" w:sz="4" w:space="0" w:color="auto"/>
            </w:tcBorders>
            <w:tcMar>
              <w:top w:w="60" w:type="dxa"/>
              <w:left w:w="80" w:type="dxa"/>
              <w:bottom w:w="60" w:type="dxa"/>
              <w:right w:w="80" w:type="dxa"/>
            </w:tcMar>
            <w:vAlign w:val="center"/>
          </w:tcPr>
          <w:p w14:paraId="5CAC0B9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.43</w:t>
            </w:r>
          </w:p>
        </w:tc>
        <w:tc>
          <w:tcPr>
            <w:tcW w:w="1000" w:type="dxa"/>
            <w:tcBorders>
              <w:top w:val="single" w:sz="4" w:space="0" w:color="auto"/>
            </w:tcBorders>
            <w:tcMar>
              <w:top w:w="60" w:type="dxa"/>
              <w:left w:w="80" w:type="dxa"/>
              <w:bottom w:w="60" w:type="dxa"/>
              <w:right w:w="80" w:type="dxa"/>
            </w:tcMar>
            <w:vAlign w:val="center"/>
          </w:tcPr>
          <w:p w14:paraId="4F45B9D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.63</w:t>
            </w:r>
          </w:p>
        </w:tc>
        <w:tc>
          <w:tcPr>
            <w:tcW w:w="1026" w:type="dxa"/>
            <w:tcBorders>
              <w:top w:val="single" w:sz="4" w:space="0" w:color="auto"/>
            </w:tcBorders>
            <w:tcMar>
              <w:top w:w="60" w:type="dxa"/>
              <w:left w:w="80" w:type="dxa"/>
              <w:bottom w:w="60" w:type="dxa"/>
              <w:right w:w="80" w:type="dxa"/>
            </w:tcMar>
            <w:vAlign w:val="center"/>
          </w:tcPr>
          <w:p w14:paraId="40F704A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&lt; .001</w:t>
            </w:r>
          </w:p>
        </w:tc>
      </w:tr>
      <w:tr w:rsidR="00DF7F25" w:rsidRPr="00B12473" w14:paraId="2C66278B" w14:textId="77777777" w:rsidTr="00B12473">
        <w:tc>
          <w:tcPr>
            <w:tcW w:w="2200" w:type="dxa"/>
            <w:tcMar>
              <w:top w:w="60" w:type="dxa"/>
              <w:left w:w="80" w:type="dxa"/>
              <w:bottom w:w="60" w:type="dxa"/>
              <w:right w:w="80" w:type="dxa"/>
            </w:tcMar>
            <w:vAlign w:val="center"/>
          </w:tcPr>
          <w:p w14:paraId="567DD9A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Confidence → WTC (b)</w:t>
            </w:r>
          </w:p>
        </w:tc>
        <w:tc>
          <w:tcPr>
            <w:tcW w:w="900" w:type="dxa"/>
            <w:tcMar>
              <w:top w:w="60" w:type="dxa"/>
              <w:left w:w="80" w:type="dxa"/>
              <w:bottom w:w="60" w:type="dxa"/>
              <w:right w:w="80" w:type="dxa"/>
            </w:tcMar>
            <w:vAlign w:val="center"/>
          </w:tcPr>
          <w:p w14:paraId="35136AE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.41</w:t>
            </w:r>
          </w:p>
        </w:tc>
        <w:tc>
          <w:tcPr>
            <w:tcW w:w="900" w:type="dxa"/>
            <w:tcMar>
              <w:top w:w="60" w:type="dxa"/>
              <w:left w:w="80" w:type="dxa"/>
              <w:bottom w:w="60" w:type="dxa"/>
              <w:right w:w="80" w:type="dxa"/>
            </w:tcMar>
            <w:vAlign w:val="center"/>
          </w:tcPr>
          <w:p w14:paraId="44F80EB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.06</w:t>
            </w:r>
          </w:p>
        </w:tc>
        <w:tc>
          <w:tcPr>
            <w:tcW w:w="1000" w:type="dxa"/>
            <w:tcMar>
              <w:top w:w="60" w:type="dxa"/>
              <w:left w:w="80" w:type="dxa"/>
              <w:bottom w:w="60" w:type="dxa"/>
              <w:right w:w="80" w:type="dxa"/>
            </w:tcMar>
            <w:vAlign w:val="center"/>
          </w:tcPr>
          <w:p w14:paraId="7B590ED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.30</w:t>
            </w:r>
          </w:p>
        </w:tc>
        <w:tc>
          <w:tcPr>
            <w:tcW w:w="1000" w:type="dxa"/>
            <w:tcMar>
              <w:top w:w="60" w:type="dxa"/>
              <w:left w:w="80" w:type="dxa"/>
              <w:bottom w:w="60" w:type="dxa"/>
              <w:right w:w="80" w:type="dxa"/>
            </w:tcMar>
            <w:vAlign w:val="center"/>
          </w:tcPr>
          <w:p w14:paraId="229B4D3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.52</w:t>
            </w:r>
          </w:p>
        </w:tc>
        <w:tc>
          <w:tcPr>
            <w:tcW w:w="1026" w:type="dxa"/>
            <w:tcMar>
              <w:top w:w="60" w:type="dxa"/>
              <w:left w:w="80" w:type="dxa"/>
              <w:bottom w:w="60" w:type="dxa"/>
              <w:right w:w="80" w:type="dxa"/>
            </w:tcMar>
            <w:vAlign w:val="center"/>
          </w:tcPr>
          <w:p w14:paraId="3AECE05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&lt; .001</w:t>
            </w:r>
          </w:p>
        </w:tc>
      </w:tr>
      <w:tr w:rsidR="00DF7F25" w:rsidRPr="00B12473" w14:paraId="3CC351E7" w14:textId="77777777" w:rsidTr="00B12473">
        <w:tc>
          <w:tcPr>
            <w:tcW w:w="2200" w:type="dxa"/>
            <w:tcMar>
              <w:top w:w="60" w:type="dxa"/>
              <w:left w:w="80" w:type="dxa"/>
              <w:bottom w:w="60" w:type="dxa"/>
              <w:right w:w="80" w:type="dxa"/>
            </w:tcMar>
            <w:vAlign w:val="center"/>
          </w:tcPr>
          <w:p w14:paraId="6607C81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Direct effect (c′)</w:t>
            </w:r>
          </w:p>
        </w:tc>
        <w:tc>
          <w:tcPr>
            <w:tcW w:w="900" w:type="dxa"/>
            <w:tcMar>
              <w:top w:w="60" w:type="dxa"/>
              <w:left w:w="80" w:type="dxa"/>
              <w:bottom w:w="60" w:type="dxa"/>
              <w:right w:w="80" w:type="dxa"/>
            </w:tcMar>
            <w:vAlign w:val="center"/>
          </w:tcPr>
          <w:p w14:paraId="539467A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.18</w:t>
            </w:r>
          </w:p>
        </w:tc>
        <w:tc>
          <w:tcPr>
            <w:tcW w:w="900" w:type="dxa"/>
            <w:tcMar>
              <w:top w:w="60" w:type="dxa"/>
              <w:left w:w="80" w:type="dxa"/>
              <w:bottom w:w="60" w:type="dxa"/>
              <w:right w:w="80" w:type="dxa"/>
            </w:tcMar>
            <w:vAlign w:val="center"/>
          </w:tcPr>
          <w:p w14:paraId="7F598C8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.05</w:t>
            </w:r>
          </w:p>
        </w:tc>
        <w:tc>
          <w:tcPr>
            <w:tcW w:w="1000" w:type="dxa"/>
            <w:tcMar>
              <w:top w:w="60" w:type="dxa"/>
              <w:left w:w="80" w:type="dxa"/>
              <w:bottom w:w="60" w:type="dxa"/>
              <w:right w:w="80" w:type="dxa"/>
            </w:tcMar>
            <w:vAlign w:val="center"/>
          </w:tcPr>
          <w:p w14:paraId="29719BA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.08</w:t>
            </w:r>
          </w:p>
        </w:tc>
        <w:tc>
          <w:tcPr>
            <w:tcW w:w="1000" w:type="dxa"/>
            <w:tcMar>
              <w:top w:w="60" w:type="dxa"/>
              <w:left w:w="80" w:type="dxa"/>
              <w:bottom w:w="60" w:type="dxa"/>
              <w:right w:w="80" w:type="dxa"/>
            </w:tcMar>
            <w:vAlign w:val="center"/>
          </w:tcPr>
          <w:p w14:paraId="066CD93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.28</w:t>
            </w:r>
          </w:p>
        </w:tc>
        <w:tc>
          <w:tcPr>
            <w:tcW w:w="1026" w:type="dxa"/>
            <w:tcMar>
              <w:top w:w="60" w:type="dxa"/>
              <w:left w:w="80" w:type="dxa"/>
              <w:bottom w:w="60" w:type="dxa"/>
              <w:right w:w="80" w:type="dxa"/>
            </w:tcMar>
            <w:vAlign w:val="center"/>
          </w:tcPr>
          <w:p w14:paraId="18D4F4E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.001</w:t>
            </w:r>
          </w:p>
        </w:tc>
      </w:tr>
      <w:tr w:rsidR="00DF7F25" w:rsidRPr="00B12473" w14:paraId="54EADD3D" w14:textId="77777777" w:rsidTr="00B12473">
        <w:tc>
          <w:tcPr>
            <w:tcW w:w="2200" w:type="dxa"/>
            <w:tcBorders>
              <w:bottom w:val="single" w:sz="4" w:space="0" w:color="auto"/>
            </w:tcBorders>
            <w:tcMar>
              <w:top w:w="60" w:type="dxa"/>
              <w:left w:w="80" w:type="dxa"/>
              <w:bottom w:w="60" w:type="dxa"/>
              <w:right w:w="80" w:type="dxa"/>
            </w:tcMar>
            <w:vAlign w:val="center"/>
          </w:tcPr>
          <w:p w14:paraId="2C29CF8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Indirect effect (a × b)</w:t>
            </w:r>
          </w:p>
        </w:tc>
        <w:tc>
          <w:tcPr>
            <w:tcW w:w="900" w:type="dxa"/>
            <w:tcBorders>
              <w:bottom w:val="single" w:sz="4" w:space="0" w:color="auto"/>
            </w:tcBorders>
            <w:tcMar>
              <w:top w:w="60" w:type="dxa"/>
              <w:left w:w="80" w:type="dxa"/>
              <w:bottom w:w="60" w:type="dxa"/>
              <w:right w:w="80" w:type="dxa"/>
            </w:tcMar>
            <w:vAlign w:val="center"/>
          </w:tcPr>
          <w:p w14:paraId="5B0C3CB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.22</w:t>
            </w:r>
          </w:p>
        </w:tc>
        <w:tc>
          <w:tcPr>
            <w:tcW w:w="900" w:type="dxa"/>
            <w:tcBorders>
              <w:bottom w:val="single" w:sz="4" w:space="0" w:color="auto"/>
            </w:tcBorders>
            <w:tcMar>
              <w:top w:w="60" w:type="dxa"/>
              <w:left w:w="80" w:type="dxa"/>
              <w:bottom w:w="60" w:type="dxa"/>
              <w:right w:w="80" w:type="dxa"/>
            </w:tcMar>
            <w:vAlign w:val="center"/>
          </w:tcPr>
          <w:p w14:paraId="7F83542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.04</w:t>
            </w:r>
          </w:p>
        </w:tc>
        <w:tc>
          <w:tcPr>
            <w:tcW w:w="1000" w:type="dxa"/>
            <w:tcBorders>
              <w:bottom w:val="single" w:sz="4" w:space="0" w:color="auto"/>
            </w:tcBorders>
            <w:tcMar>
              <w:top w:w="60" w:type="dxa"/>
              <w:left w:w="80" w:type="dxa"/>
              <w:bottom w:w="60" w:type="dxa"/>
              <w:right w:w="80" w:type="dxa"/>
            </w:tcMar>
            <w:vAlign w:val="center"/>
          </w:tcPr>
          <w:p w14:paraId="6C3F9A0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.14</w:t>
            </w:r>
          </w:p>
        </w:tc>
        <w:tc>
          <w:tcPr>
            <w:tcW w:w="1000" w:type="dxa"/>
            <w:tcBorders>
              <w:bottom w:val="single" w:sz="4" w:space="0" w:color="auto"/>
            </w:tcBorders>
            <w:tcMar>
              <w:top w:w="60" w:type="dxa"/>
              <w:left w:w="80" w:type="dxa"/>
              <w:bottom w:w="60" w:type="dxa"/>
              <w:right w:w="80" w:type="dxa"/>
            </w:tcMar>
            <w:vAlign w:val="center"/>
          </w:tcPr>
          <w:p w14:paraId="5F0409B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.31</w:t>
            </w:r>
          </w:p>
        </w:tc>
        <w:tc>
          <w:tcPr>
            <w:tcW w:w="1026" w:type="dxa"/>
            <w:tcBorders>
              <w:bottom w:val="single" w:sz="4" w:space="0" w:color="auto"/>
            </w:tcBorders>
            <w:tcMar>
              <w:top w:w="60" w:type="dxa"/>
              <w:left w:w="80" w:type="dxa"/>
              <w:bottom w:w="60" w:type="dxa"/>
              <w:right w:w="80" w:type="dxa"/>
            </w:tcMar>
            <w:vAlign w:val="center"/>
          </w:tcPr>
          <w:p w14:paraId="38F61E0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&lt; .001</w:t>
            </w:r>
          </w:p>
        </w:tc>
      </w:tr>
    </w:tbl>
    <w:p w14:paraId="5136602D" w14:textId="06FB2BEB" w:rsidR="00DF7F25" w:rsidRPr="00B12473" w:rsidRDefault="00B12473" w:rsidP="00CE4CFF">
      <w:pPr>
        <w:suppressAutoHyphens/>
        <w:spacing w:before="120" w:after="240"/>
        <w:rPr>
          <w:i/>
          <w:iCs/>
          <w:sz w:val="20"/>
          <w:szCs w:val="20"/>
        </w:rPr>
      </w:pPr>
      <w:r w:rsidRPr="00002004">
        <w:rPr>
          <w:i/>
          <w:iCs/>
          <w:sz w:val="20"/>
          <w:szCs w:val="20"/>
          <w:vertAlign w:val="superscript"/>
        </w:rPr>
        <w:t>*</w:t>
      </w:r>
      <w:r w:rsidR="00C7052C" w:rsidRPr="00B12473">
        <w:rPr>
          <w:i/>
          <w:iCs/>
          <w:sz w:val="20"/>
          <w:szCs w:val="20"/>
        </w:rPr>
        <w:t>Bootstrapped indirect effects are based on 5,000 resamples. CI = confidence interval; LL = lower limit; UL = upper limit. All results are strictly associational given the cross-sectional design.</w:t>
      </w:r>
    </w:p>
    <w:p w14:paraId="2E147138" w14:textId="77777777" w:rsidR="00DF7F25" w:rsidRPr="00BB4371" w:rsidRDefault="00DF7F25" w:rsidP="00CE4CFF">
      <w:pPr>
        <w:spacing w:after="120" w:line="480" w:lineRule="auto"/>
        <w:ind w:firstLine="720"/>
        <w:jc w:val="both"/>
      </w:pPr>
    </w:p>
    <w:p w14:paraId="61484723" w14:textId="77777777" w:rsidR="00DF7F25" w:rsidRPr="00CE4CFF" w:rsidRDefault="00C7052C" w:rsidP="00CE4CFF">
      <w:pPr>
        <w:spacing w:after="120" w:line="480" w:lineRule="auto"/>
        <w:rPr>
          <w:b/>
          <w:bCs/>
          <w:i/>
          <w:iCs/>
        </w:rPr>
      </w:pPr>
      <w:r w:rsidRPr="00CE4CFF">
        <w:rPr>
          <w:b/>
          <w:bCs/>
          <w:i/>
          <w:iCs/>
        </w:rPr>
        <w:t>4.2.3 Exploratory Factor Analysis (Instrument Validation)</w:t>
      </w:r>
    </w:p>
    <w:p w14:paraId="2CDDE2BB" w14:textId="4B1B07F3" w:rsidR="00DF7F25" w:rsidRDefault="00C7052C" w:rsidP="00CE4CFF">
      <w:pPr>
        <w:spacing w:after="120" w:line="480" w:lineRule="auto"/>
        <w:ind w:firstLine="720"/>
        <w:jc w:val="both"/>
      </w:pPr>
      <w:r w:rsidRPr="00BB4371">
        <w:t xml:space="preserve">An EFA was conducted to examine the factor structure of the adapted nine-item instrument. An important limitation should be acknowledged: with nine items distributed across three factors, the average of three items per factor falls below the four-to-five items per factor recommended in psychometric literature (Costello &amp; Osborne, 2005); EFA results are therefore treated as preliminary. Data suitability indicators were adequate (KMO = .84; Bartlett's Test: χ²(36) = 412.35, p &lt; .001). Using principal axis factoring with varimax rotation, a three-factor solution emerged corresponding to Anxiety, Willingness to Communicate, and AI Attitudes, explaining 62.7% of the variance. Table </w:t>
      </w:r>
      <w:r w:rsidR="008174F8">
        <w:t>6</w:t>
      </w:r>
      <w:r w:rsidRPr="00BB4371">
        <w:t xml:space="preserve"> presents the factor loadings for all nine items. All items loaded above .55 on their respective factors with minimal cross-loadings </w:t>
      </w:r>
      <w:r w:rsidRPr="00BB4371">
        <w:lastRenderedPageBreak/>
        <w:t>(&lt;.30), and factor membership was consistent with the theoretical frameworks from which items were drawn.</w:t>
      </w:r>
    </w:p>
    <w:p w14:paraId="574FF1AE" w14:textId="077BA251" w:rsidR="00DF7F25" w:rsidRPr="00002004" w:rsidRDefault="00C7052C" w:rsidP="00CE4CFF">
      <w:pPr>
        <w:pStyle w:val="RALs-TableCaption"/>
        <w:rPr>
          <w:rFonts w:asciiTheme="majorBidi" w:hAnsiTheme="majorBidi" w:cstheme="majorBidi"/>
          <w:b/>
          <w:bCs/>
          <w:sz w:val="24"/>
          <w:szCs w:val="24"/>
        </w:rPr>
      </w:pPr>
      <w:r w:rsidRPr="00002004">
        <w:rPr>
          <w:rFonts w:asciiTheme="majorBidi" w:hAnsiTheme="majorBidi" w:cstheme="majorBidi"/>
          <w:b/>
          <w:bCs/>
          <w:sz w:val="24"/>
          <w:szCs w:val="24"/>
        </w:rPr>
        <w:t xml:space="preserve">Table </w:t>
      </w:r>
      <w:r w:rsidR="008174F8">
        <w:rPr>
          <w:rFonts w:asciiTheme="majorBidi" w:hAnsiTheme="majorBidi" w:cstheme="majorBidi"/>
          <w:b/>
          <w:bCs/>
          <w:sz w:val="24"/>
          <w:szCs w:val="24"/>
        </w:rPr>
        <w:t>6</w:t>
      </w:r>
    </w:p>
    <w:p w14:paraId="30F78092" w14:textId="77777777" w:rsidR="00DF7F25" w:rsidRPr="00002004" w:rsidRDefault="00C7052C" w:rsidP="00CE4CFF">
      <w:pPr>
        <w:pStyle w:val="RALs-TableCaption"/>
        <w:ind w:left="0" w:firstLine="0"/>
        <w:rPr>
          <w:rFonts w:asciiTheme="majorBidi" w:hAnsiTheme="majorBidi" w:cstheme="majorBidi"/>
          <w:i/>
          <w:iCs/>
          <w:sz w:val="24"/>
          <w:szCs w:val="24"/>
        </w:rPr>
      </w:pPr>
      <w:r w:rsidRPr="00002004">
        <w:rPr>
          <w:rFonts w:asciiTheme="majorBidi" w:hAnsiTheme="majorBidi" w:cstheme="majorBidi"/>
          <w:i/>
          <w:iCs/>
          <w:sz w:val="24"/>
          <w:szCs w:val="24"/>
        </w:rPr>
        <w:t>Exploratory Factor Analysis: Factor Loadings for All Nine Items</w:t>
      </w:r>
    </w:p>
    <w:tbl>
      <w:tblPr>
        <w:tblW w:w="9026" w:type="dxa"/>
        <w:tblCellMar>
          <w:left w:w="10" w:type="dxa"/>
          <w:right w:w="10" w:type="dxa"/>
        </w:tblCellMar>
        <w:tblLook w:val="04A0" w:firstRow="1" w:lastRow="0" w:firstColumn="1" w:lastColumn="0" w:noHBand="0" w:noVBand="1"/>
      </w:tblPr>
      <w:tblGrid>
        <w:gridCol w:w="4110"/>
        <w:gridCol w:w="1542"/>
        <w:gridCol w:w="1542"/>
        <w:gridCol w:w="1832"/>
      </w:tblGrid>
      <w:tr w:rsidR="00DF7F25" w:rsidRPr="00002004" w14:paraId="4CB03C0D" w14:textId="77777777" w:rsidTr="00002004">
        <w:tc>
          <w:tcPr>
            <w:tcW w:w="3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220C2B2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Item</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47DFF69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Factor 1: Anxiety</w:t>
            </w:r>
          </w:p>
        </w:tc>
        <w:tc>
          <w:tcPr>
            <w:tcW w:w="1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3042B0A9" w14:textId="77777777" w:rsid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 xml:space="preserve">Factor 2: </w:t>
            </w:r>
          </w:p>
          <w:p w14:paraId="7603077E" w14:textId="78BE1BF0"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WTC</w:t>
            </w:r>
          </w:p>
        </w:tc>
        <w:tc>
          <w:tcPr>
            <w:tcW w:w="14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139510F9" w14:textId="77777777" w:rsid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 xml:space="preserve">Factor 3: </w:t>
            </w:r>
          </w:p>
          <w:p w14:paraId="6D435F69" w14:textId="09802195"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AI Attitudes</w:t>
            </w:r>
          </w:p>
        </w:tc>
      </w:tr>
      <w:tr w:rsidR="00DF7F25" w:rsidRPr="00002004" w14:paraId="07974DE3" w14:textId="77777777" w:rsidTr="00002004">
        <w:tc>
          <w:tcPr>
            <w:tcW w:w="3200" w:type="dxa"/>
            <w:tcBorders>
              <w:top w:val="single" w:sz="4" w:space="0" w:color="auto"/>
            </w:tcBorders>
            <w:shd w:val="clear" w:color="auto" w:fill="auto"/>
            <w:tcMar>
              <w:top w:w="60" w:type="dxa"/>
              <w:left w:w="80" w:type="dxa"/>
              <w:bottom w:w="60" w:type="dxa"/>
              <w:right w:w="80" w:type="dxa"/>
            </w:tcMar>
            <w:vAlign w:val="center"/>
          </w:tcPr>
          <w:p w14:paraId="1FFC90C5"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nervous when speaking (ANX1)</w:t>
            </w:r>
          </w:p>
        </w:tc>
        <w:tc>
          <w:tcPr>
            <w:tcW w:w="1200" w:type="dxa"/>
            <w:tcBorders>
              <w:top w:val="single" w:sz="4" w:space="0" w:color="auto"/>
            </w:tcBorders>
            <w:shd w:val="clear" w:color="auto" w:fill="auto"/>
            <w:tcMar>
              <w:top w:w="60" w:type="dxa"/>
              <w:left w:w="80" w:type="dxa"/>
              <w:bottom w:w="60" w:type="dxa"/>
              <w:right w:w="80" w:type="dxa"/>
            </w:tcMar>
            <w:vAlign w:val="center"/>
          </w:tcPr>
          <w:p w14:paraId="374AAB6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.74</w:t>
            </w:r>
          </w:p>
        </w:tc>
        <w:tc>
          <w:tcPr>
            <w:tcW w:w="1200" w:type="dxa"/>
            <w:tcBorders>
              <w:top w:val="single" w:sz="4" w:space="0" w:color="auto"/>
            </w:tcBorders>
            <w:shd w:val="clear" w:color="auto" w:fill="auto"/>
            <w:tcMar>
              <w:top w:w="60" w:type="dxa"/>
              <w:left w:w="80" w:type="dxa"/>
              <w:bottom w:w="60" w:type="dxa"/>
              <w:right w:w="80" w:type="dxa"/>
            </w:tcMar>
            <w:vAlign w:val="center"/>
          </w:tcPr>
          <w:p w14:paraId="469FA14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tcBorders>
              <w:top w:val="single" w:sz="4" w:space="0" w:color="auto"/>
            </w:tcBorders>
            <w:shd w:val="clear" w:color="auto" w:fill="auto"/>
            <w:tcMar>
              <w:top w:w="60" w:type="dxa"/>
              <w:left w:w="80" w:type="dxa"/>
              <w:bottom w:w="60" w:type="dxa"/>
              <w:right w:w="80" w:type="dxa"/>
            </w:tcMar>
            <w:vAlign w:val="center"/>
          </w:tcPr>
          <w:p w14:paraId="74FC215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469018EA" w14:textId="77777777" w:rsidTr="00002004">
        <w:tc>
          <w:tcPr>
            <w:tcW w:w="3200" w:type="dxa"/>
            <w:shd w:val="clear" w:color="auto" w:fill="auto"/>
            <w:tcMar>
              <w:top w:w="60" w:type="dxa"/>
              <w:left w:w="80" w:type="dxa"/>
              <w:bottom w:w="60" w:type="dxa"/>
              <w:right w:w="80" w:type="dxa"/>
            </w:tcMar>
            <w:vAlign w:val="center"/>
          </w:tcPr>
          <w:p w14:paraId="5293C41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Fear making mistakes publicly (ANX2)</w:t>
            </w:r>
          </w:p>
        </w:tc>
        <w:tc>
          <w:tcPr>
            <w:tcW w:w="1200" w:type="dxa"/>
            <w:shd w:val="clear" w:color="auto" w:fill="auto"/>
            <w:tcMar>
              <w:top w:w="60" w:type="dxa"/>
              <w:left w:w="80" w:type="dxa"/>
              <w:bottom w:w="60" w:type="dxa"/>
              <w:right w:w="80" w:type="dxa"/>
            </w:tcMar>
            <w:vAlign w:val="center"/>
          </w:tcPr>
          <w:p w14:paraId="09D7BE1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.69</w:t>
            </w:r>
          </w:p>
        </w:tc>
        <w:tc>
          <w:tcPr>
            <w:tcW w:w="1200" w:type="dxa"/>
            <w:shd w:val="clear" w:color="auto" w:fill="auto"/>
            <w:tcMar>
              <w:top w:w="60" w:type="dxa"/>
              <w:left w:w="80" w:type="dxa"/>
              <w:bottom w:w="60" w:type="dxa"/>
              <w:right w:w="80" w:type="dxa"/>
            </w:tcMar>
            <w:vAlign w:val="center"/>
          </w:tcPr>
          <w:p w14:paraId="34A54B1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shd w:val="clear" w:color="auto" w:fill="auto"/>
            <w:tcMar>
              <w:top w:w="60" w:type="dxa"/>
              <w:left w:w="80" w:type="dxa"/>
              <w:bottom w:w="60" w:type="dxa"/>
              <w:right w:w="80" w:type="dxa"/>
            </w:tcMar>
            <w:vAlign w:val="center"/>
          </w:tcPr>
          <w:p w14:paraId="443F2C3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05324C10" w14:textId="77777777" w:rsidTr="00002004">
        <w:tc>
          <w:tcPr>
            <w:tcW w:w="3200" w:type="dxa"/>
            <w:shd w:val="clear" w:color="auto" w:fill="auto"/>
            <w:tcMar>
              <w:top w:w="60" w:type="dxa"/>
              <w:left w:w="80" w:type="dxa"/>
              <w:bottom w:w="60" w:type="dxa"/>
              <w:right w:w="80" w:type="dxa"/>
            </w:tcMar>
            <w:vAlign w:val="center"/>
          </w:tcPr>
          <w:p w14:paraId="2118A82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no shame with mistakes (ANX3)</w:t>
            </w:r>
          </w:p>
        </w:tc>
        <w:tc>
          <w:tcPr>
            <w:tcW w:w="1200" w:type="dxa"/>
            <w:shd w:val="clear" w:color="auto" w:fill="auto"/>
            <w:tcMar>
              <w:top w:w="60" w:type="dxa"/>
              <w:left w:w="80" w:type="dxa"/>
              <w:bottom w:w="60" w:type="dxa"/>
              <w:right w:w="80" w:type="dxa"/>
            </w:tcMar>
            <w:vAlign w:val="center"/>
          </w:tcPr>
          <w:p w14:paraId="49F8475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.61</w:t>
            </w:r>
          </w:p>
        </w:tc>
        <w:tc>
          <w:tcPr>
            <w:tcW w:w="1200" w:type="dxa"/>
            <w:shd w:val="clear" w:color="auto" w:fill="auto"/>
            <w:tcMar>
              <w:top w:w="60" w:type="dxa"/>
              <w:left w:w="80" w:type="dxa"/>
              <w:bottom w:w="60" w:type="dxa"/>
              <w:right w:w="80" w:type="dxa"/>
            </w:tcMar>
            <w:vAlign w:val="center"/>
          </w:tcPr>
          <w:p w14:paraId="54D4FC7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shd w:val="clear" w:color="auto" w:fill="auto"/>
            <w:tcMar>
              <w:top w:w="60" w:type="dxa"/>
              <w:left w:w="80" w:type="dxa"/>
              <w:bottom w:w="60" w:type="dxa"/>
              <w:right w:w="80" w:type="dxa"/>
            </w:tcMar>
            <w:vAlign w:val="center"/>
          </w:tcPr>
          <w:p w14:paraId="09E7303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5CDF6663" w14:textId="77777777" w:rsidTr="00002004">
        <w:tc>
          <w:tcPr>
            <w:tcW w:w="3200" w:type="dxa"/>
            <w:shd w:val="clear" w:color="auto" w:fill="auto"/>
            <w:tcMar>
              <w:top w:w="60" w:type="dxa"/>
              <w:left w:w="80" w:type="dxa"/>
              <w:bottom w:w="60" w:type="dxa"/>
              <w:right w:w="80" w:type="dxa"/>
            </w:tcMar>
            <w:vAlign w:val="center"/>
          </w:tcPr>
          <w:p w14:paraId="759CA24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Willing to share ideas in class (WTC1)</w:t>
            </w:r>
          </w:p>
        </w:tc>
        <w:tc>
          <w:tcPr>
            <w:tcW w:w="1200" w:type="dxa"/>
            <w:shd w:val="clear" w:color="auto" w:fill="auto"/>
            <w:tcMar>
              <w:top w:w="60" w:type="dxa"/>
              <w:left w:w="80" w:type="dxa"/>
              <w:bottom w:w="60" w:type="dxa"/>
              <w:right w:w="80" w:type="dxa"/>
            </w:tcMar>
            <w:vAlign w:val="center"/>
          </w:tcPr>
          <w:p w14:paraId="15098A6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shd w:val="clear" w:color="auto" w:fill="auto"/>
            <w:tcMar>
              <w:top w:w="60" w:type="dxa"/>
              <w:left w:w="80" w:type="dxa"/>
              <w:bottom w:w="60" w:type="dxa"/>
              <w:right w:w="80" w:type="dxa"/>
            </w:tcMar>
            <w:vAlign w:val="center"/>
          </w:tcPr>
          <w:p w14:paraId="2A0F75C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.76</w:t>
            </w:r>
          </w:p>
        </w:tc>
        <w:tc>
          <w:tcPr>
            <w:tcW w:w="1426" w:type="dxa"/>
            <w:shd w:val="clear" w:color="auto" w:fill="auto"/>
            <w:tcMar>
              <w:top w:w="60" w:type="dxa"/>
              <w:left w:w="80" w:type="dxa"/>
              <w:bottom w:w="60" w:type="dxa"/>
              <w:right w:w="80" w:type="dxa"/>
            </w:tcMar>
            <w:vAlign w:val="center"/>
          </w:tcPr>
          <w:p w14:paraId="2E25028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5098F73C" w14:textId="77777777" w:rsidTr="00002004">
        <w:tc>
          <w:tcPr>
            <w:tcW w:w="3200" w:type="dxa"/>
            <w:shd w:val="clear" w:color="auto" w:fill="auto"/>
            <w:tcMar>
              <w:top w:w="60" w:type="dxa"/>
              <w:left w:w="80" w:type="dxa"/>
              <w:bottom w:w="60" w:type="dxa"/>
              <w:right w:w="80" w:type="dxa"/>
            </w:tcMar>
            <w:vAlign w:val="center"/>
          </w:tcPr>
          <w:p w14:paraId="0167C04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Speak without extensive preparation (WTC2)</w:t>
            </w:r>
          </w:p>
        </w:tc>
        <w:tc>
          <w:tcPr>
            <w:tcW w:w="1200" w:type="dxa"/>
            <w:shd w:val="clear" w:color="auto" w:fill="auto"/>
            <w:tcMar>
              <w:top w:w="60" w:type="dxa"/>
              <w:left w:w="80" w:type="dxa"/>
              <w:bottom w:w="60" w:type="dxa"/>
              <w:right w:w="80" w:type="dxa"/>
            </w:tcMar>
            <w:vAlign w:val="center"/>
          </w:tcPr>
          <w:p w14:paraId="0448353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shd w:val="clear" w:color="auto" w:fill="auto"/>
            <w:tcMar>
              <w:top w:w="60" w:type="dxa"/>
              <w:left w:w="80" w:type="dxa"/>
              <w:bottom w:w="60" w:type="dxa"/>
              <w:right w:w="80" w:type="dxa"/>
            </w:tcMar>
            <w:vAlign w:val="center"/>
          </w:tcPr>
          <w:p w14:paraId="612F500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.71</w:t>
            </w:r>
          </w:p>
        </w:tc>
        <w:tc>
          <w:tcPr>
            <w:tcW w:w="1426" w:type="dxa"/>
            <w:shd w:val="clear" w:color="auto" w:fill="auto"/>
            <w:tcMar>
              <w:top w:w="60" w:type="dxa"/>
              <w:left w:w="80" w:type="dxa"/>
              <w:bottom w:w="60" w:type="dxa"/>
              <w:right w:w="80" w:type="dxa"/>
            </w:tcMar>
            <w:vAlign w:val="center"/>
          </w:tcPr>
          <w:p w14:paraId="6F1D42C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4F493D4C" w14:textId="77777777" w:rsidTr="00002004">
        <w:tc>
          <w:tcPr>
            <w:tcW w:w="3200" w:type="dxa"/>
            <w:shd w:val="clear" w:color="auto" w:fill="auto"/>
            <w:tcMar>
              <w:top w:w="60" w:type="dxa"/>
              <w:left w:w="80" w:type="dxa"/>
              <w:bottom w:w="60" w:type="dxa"/>
              <w:right w:w="80" w:type="dxa"/>
            </w:tcMar>
            <w:vAlign w:val="center"/>
          </w:tcPr>
          <w:p w14:paraId="1751925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Feel confident to be seen speaking (WTC3)</w:t>
            </w:r>
          </w:p>
        </w:tc>
        <w:tc>
          <w:tcPr>
            <w:tcW w:w="1200" w:type="dxa"/>
            <w:shd w:val="clear" w:color="auto" w:fill="auto"/>
            <w:tcMar>
              <w:top w:w="60" w:type="dxa"/>
              <w:left w:w="80" w:type="dxa"/>
              <w:bottom w:w="60" w:type="dxa"/>
              <w:right w:w="80" w:type="dxa"/>
            </w:tcMar>
            <w:vAlign w:val="center"/>
          </w:tcPr>
          <w:p w14:paraId="2F67C96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shd w:val="clear" w:color="auto" w:fill="auto"/>
            <w:tcMar>
              <w:top w:w="60" w:type="dxa"/>
              <w:left w:w="80" w:type="dxa"/>
              <w:bottom w:w="60" w:type="dxa"/>
              <w:right w:w="80" w:type="dxa"/>
            </w:tcMar>
            <w:vAlign w:val="center"/>
          </w:tcPr>
          <w:p w14:paraId="3BA65E4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.65</w:t>
            </w:r>
          </w:p>
        </w:tc>
        <w:tc>
          <w:tcPr>
            <w:tcW w:w="1426" w:type="dxa"/>
            <w:shd w:val="clear" w:color="auto" w:fill="auto"/>
            <w:tcMar>
              <w:top w:w="60" w:type="dxa"/>
              <w:left w:w="80" w:type="dxa"/>
              <w:bottom w:w="60" w:type="dxa"/>
              <w:right w:w="80" w:type="dxa"/>
            </w:tcMar>
            <w:vAlign w:val="center"/>
          </w:tcPr>
          <w:p w14:paraId="787C2FF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r>
      <w:tr w:rsidR="00DF7F25" w:rsidRPr="00002004" w14:paraId="09765BBD" w14:textId="77777777" w:rsidTr="00002004">
        <w:tc>
          <w:tcPr>
            <w:tcW w:w="3200" w:type="dxa"/>
            <w:shd w:val="clear" w:color="auto" w:fill="auto"/>
            <w:tcMar>
              <w:top w:w="60" w:type="dxa"/>
              <w:left w:w="80" w:type="dxa"/>
              <w:bottom w:w="60" w:type="dxa"/>
              <w:right w:w="80" w:type="dxa"/>
            </w:tcMar>
            <w:vAlign w:val="center"/>
          </w:tcPr>
          <w:p w14:paraId="47C15E5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Enjoy using AI tools for EFL (AI1)</w:t>
            </w:r>
          </w:p>
        </w:tc>
        <w:tc>
          <w:tcPr>
            <w:tcW w:w="1200" w:type="dxa"/>
            <w:shd w:val="clear" w:color="auto" w:fill="auto"/>
            <w:tcMar>
              <w:top w:w="60" w:type="dxa"/>
              <w:left w:w="80" w:type="dxa"/>
              <w:bottom w:w="60" w:type="dxa"/>
              <w:right w:w="80" w:type="dxa"/>
            </w:tcMar>
            <w:vAlign w:val="center"/>
          </w:tcPr>
          <w:p w14:paraId="604DA96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shd w:val="clear" w:color="auto" w:fill="auto"/>
            <w:tcMar>
              <w:top w:w="60" w:type="dxa"/>
              <w:left w:w="80" w:type="dxa"/>
              <w:bottom w:w="60" w:type="dxa"/>
              <w:right w:w="80" w:type="dxa"/>
            </w:tcMar>
            <w:vAlign w:val="center"/>
          </w:tcPr>
          <w:p w14:paraId="1E6937F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shd w:val="clear" w:color="auto" w:fill="auto"/>
            <w:tcMar>
              <w:top w:w="60" w:type="dxa"/>
              <w:left w:w="80" w:type="dxa"/>
              <w:bottom w:w="60" w:type="dxa"/>
              <w:right w:w="80" w:type="dxa"/>
            </w:tcMar>
            <w:vAlign w:val="center"/>
          </w:tcPr>
          <w:p w14:paraId="45953DF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.78</w:t>
            </w:r>
          </w:p>
        </w:tc>
      </w:tr>
      <w:tr w:rsidR="00DF7F25" w:rsidRPr="00002004" w14:paraId="43D85F7C" w14:textId="77777777" w:rsidTr="00002004">
        <w:tc>
          <w:tcPr>
            <w:tcW w:w="3200" w:type="dxa"/>
            <w:shd w:val="clear" w:color="auto" w:fill="auto"/>
            <w:tcMar>
              <w:top w:w="60" w:type="dxa"/>
              <w:left w:w="80" w:type="dxa"/>
              <w:bottom w:w="60" w:type="dxa"/>
              <w:right w:w="80" w:type="dxa"/>
            </w:tcMar>
            <w:vAlign w:val="center"/>
          </w:tcPr>
          <w:p w14:paraId="1CAA079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AI improves my confidence (AI2)</w:t>
            </w:r>
          </w:p>
        </w:tc>
        <w:tc>
          <w:tcPr>
            <w:tcW w:w="1200" w:type="dxa"/>
            <w:shd w:val="clear" w:color="auto" w:fill="auto"/>
            <w:tcMar>
              <w:top w:w="60" w:type="dxa"/>
              <w:left w:w="80" w:type="dxa"/>
              <w:bottom w:w="60" w:type="dxa"/>
              <w:right w:w="80" w:type="dxa"/>
            </w:tcMar>
            <w:vAlign w:val="center"/>
          </w:tcPr>
          <w:p w14:paraId="41F168CB"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shd w:val="clear" w:color="auto" w:fill="auto"/>
            <w:tcMar>
              <w:top w:w="60" w:type="dxa"/>
              <w:left w:w="80" w:type="dxa"/>
              <w:bottom w:w="60" w:type="dxa"/>
              <w:right w:w="80" w:type="dxa"/>
            </w:tcMar>
            <w:vAlign w:val="center"/>
          </w:tcPr>
          <w:p w14:paraId="654E1E24"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shd w:val="clear" w:color="auto" w:fill="auto"/>
            <w:tcMar>
              <w:top w:w="60" w:type="dxa"/>
              <w:left w:w="80" w:type="dxa"/>
              <w:bottom w:w="60" w:type="dxa"/>
              <w:right w:w="80" w:type="dxa"/>
            </w:tcMar>
            <w:vAlign w:val="center"/>
          </w:tcPr>
          <w:p w14:paraId="00E7489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.73</w:t>
            </w:r>
          </w:p>
        </w:tc>
      </w:tr>
      <w:tr w:rsidR="00DF7F25" w:rsidRPr="00002004" w14:paraId="55ACE2BE" w14:textId="77777777" w:rsidTr="00002004">
        <w:tc>
          <w:tcPr>
            <w:tcW w:w="3200" w:type="dxa"/>
            <w:tcBorders>
              <w:bottom w:val="single" w:sz="4" w:space="0" w:color="auto"/>
            </w:tcBorders>
            <w:shd w:val="clear" w:color="auto" w:fill="auto"/>
            <w:tcMar>
              <w:top w:w="60" w:type="dxa"/>
              <w:left w:w="80" w:type="dxa"/>
              <w:bottom w:w="60" w:type="dxa"/>
              <w:right w:w="80" w:type="dxa"/>
            </w:tcMar>
            <w:vAlign w:val="center"/>
          </w:tcPr>
          <w:p w14:paraId="5ED3EC5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High expectations after AI practice (AI3)</w:t>
            </w:r>
          </w:p>
        </w:tc>
        <w:tc>
          <w:tcPr>
            <w:tcW w:w="1200" w:type="dxa"/>
            <w:tcBorders>
              <w:bottom w:val="single" w:sz="4" w:space="0" w:color="auto"/>
            </w:tcBorders>
            <w:shd w:val="clear" w:color="auto" w:fill="auto"/>
            <w:tcMar>
              <w:top w:w="60" w:type="dxa"/>
              <w:left w:w="80" w:type="dxa"/>
              <w:bottom w:w="60" w:type="dxa"/>
              <w:right w:w="80" w:type="dxa"/>
            </w:tcMar>
            <w:vAlign w:val="center"/>
          </w:tcPr>
          <w:p w14:paraId="031EB82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200" w:type="dxa"/>
            <w:tcBorders>
              <w:bottom w:val="single" w:sz="4" w:space="0" w:color="auto"/>
            </w:tcBorders>
            <w:shd w:val="clear" w:color="auto" w:fill="auto"/>
            <w:tcMar>
              <w:top w:w="60" w:type="dxa"/>
              <w:left w:w="80" w:type="dxa"/>
              <w:bottom w:w="60" w:type="dxa"/>
              <w:right w:w="80" w:type="dxa"/>
            </w:tcMar>
            <w:vAlign w:val="center"/>
          </w:tcPr>
          <w:p w14:paraId="4C8C3F6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w:t>
            </w:r>
          </w:p>
        </w:tc>
        <w:tc>
          <w:tcPr>
            <w:tcW w:w="1426" w:type="dxa"/>
            <w:tcBorders>
              <w:bottom w:val="single" w:sz="4" w:space="0" w:color="auto"/>
            </w:tcBorders>
            <w:shd w:val="clear" w:color="auto" w:fill="auto"/>
            <w:tcMar>
              <w:top w:w="60" w:type="dxa"/>
              <w:left w:w="80" w:type="dxa"/>
              <w:bottom w:w="60" w:type="dxa"/>
              <w:right w:w="80" w:type="dxa"/>
            </w:tcMar>
            <w:vAlign w:val="center"/>
          </w:tcPr>
          <w:p w14:paraId="3B69674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.67</w:t>
            </w:r>
          </w:p>
        </w:tc>
      </w:tr>
    </w:tbl>
    <w:p w14:paraId="648370D5" w14:textId="6CD09BFA" w:rsidR="00DF7F25" w:rsidRPr="00002004" w:rsidRDefault="00002004" w:rsidP="00CE4CFF">
      <w:pPr>
        <w:suppressAutoHyphens/>
        <w:spacing w:before="120" w:after="240"/>
        <w:rPr>
          <w:i/>
          <w:iCs/>
          <w:sz w:val="20"/>
          <w:szCs w:val="20"/>
        </w:rPr>
      </w:pPr>
      <w:r w:rsidRPr="00002004">
        <w:rPr>
          <w:i/>
          <w:iCs/>
          <w:sz w:val="20"/>
          <w:szCs w:val="20"/>
          <w:vertAlign w:val="superscript"/>
        </w:rPr>
        <w:t>*</w:t>
      </w:r>
      <w:r w:rsidR="00C7052C" w:rsidRPr="00002004">
        <w:rPr>
          <w:i/>
          <w:iCs/>
          <w:sz w:val="20"/>
          <w:szCs w:val="20"/>
        </w:rPr>
        <w:t>Loadings &lt; .40 are suppressed and replaced with "—". KMO = .84. Bartlett's Test of Sphericity: χ²(36) = 412.35, p &lt; .001. Total variance explained = 62.7%. ANX = Anxiety items; WTC = Willingness to Communicate items; AI = AI Attitudes items. All items from the nine-item questionnaire are retained; no items were excluded from this analysis.</w:t>
      </w:r>
    </w:p>
    <w:p w14:paraId="218C851B" w14:textId="77777777" w:rsidR="00DF7F25" w:rsidRPr="00BB4371" w:rsidRDefault="00DF7F25" w:rsidP="00CE4CFF">
      <w:pPr>
        <w:spacing w:after="120" w:line="480" w:lineRule="auto"/>
        <w:ind w:firstLine="720"/>
        <w:jc w:val="both"/>
      </w:pPr>
    </w:p>
    <w:p w14:paraId="26DB1B9A" w14:textId="77777777" w:rsidR="00DF7F25" w:rsidRPr="00CE4CFF" w:rsidRDefault="00C7052C" w:rsidP="00CE4CFF">
      <w:pPr>
        <w:spacing w:after="120" w:line="480" w:lineRule="auto"/>
        <w:rPr>
          <w:b/>
          <w:bCs/>
          <w:i/>
          <w:iCs/>
        </w:rPr>
      </w:pPr>
      <w:r w:rsidRPr="00CE4CFF">
        <w:rPr>
          <w:b/>
          <w:bCs/>
          <w:i/>
          <w:iCs/>
        </w:rPr>
        <w:t>4.3 RQ2: Perceived Interactional Challenges During AI-Assisted Speaking Activities</w:t>
      </w:r>
    </w:p>
    <w:p w14:paraId="3EBE9EAA" w14:textId="71670416" w:rsidR="00DF7F25" w:rsidRDefault="00C7052C" w:rsidP="00CE4CFF">
      <w:pPr>
        <w:spacing w:after="120" w:line="480" w:lineRule="auto"/>
        <w:ind w:firstLine="720"/>
        <w:jc w:val="both"/>
      </w:pPr>
      <w:r w:rsidRPr="00BB4371">
        <w:t xml:space="preserve">Despite the positive trends identified above, several challenges emerged that complicate the relationship between AI use and interactional outcomes. Table </w:t>
      </w:r>
      <w:r w:rsidR="008174F8">
        <w:t>7</w:t>
      </w:r>
      <w:r w:rsidRPr="00BB4371">
        <w:t xml:space="preserve"> summarizes the four primary challenges identified through thematic analysis of reflective journal entries, including the proportion of students who reported each challenge and its link to the EFA-validated constructs.</w:t>
      </w:r>
    </w:p>
    <w:p w14:paraId="04FD5A28" w14:textId="77777777" w:rsidR="00002004" w:rsidRPr="00BB4371" w:rsidRDefault="00002004" w:rsidP="00CE4CFF">
      <w:pPr>
        <w:spacing w:after="120" w:line="480" w:lineRule="auto"/>
        <w:ind w:firstLine="720"/>
        <w:jc w:val="both"/>
      </w:pPr>
    </w:p>
    <w:p w14:paraId="31D9B0AE" w14:textId="256F1912" w:rsidR="00DF7F25" w:rsidRPr="00002004" w:rsidRDefault="00C7052C" w:rsidP="00CE4CFF">
      <w:pPr>
        <w:pStyle w:val="RALs-TableCaption"/>
        <w:rPr>
          <w:rFonts w:asciiTheme="majorBidi" w:hAnsiTheme="majorBidi" w:cstheme="majorBidi"/>
          <w:b/>
          <w:bCs/>
          <w:sz w:val="24"/>
          <w:szCs w:val="24"/>
        </w:rPr>
      </w:pPr>
      <w:r w:rsidRPr="00002004">
        <w:rPr>
          <w:rFonts w:asciiTheme="majorBidi" w:hAnsiTheme="majorBidi" w:cstheme="majorBidi"/>
          <w:b/>
          <w:bCs/>
          <w:sz w:val="24"/>
          <w:szCs w:val="24"/>
        </w:rPr>
        <w:t xml:space="preserve">Table </w:t>
      </w:r>
      <w:r w:rsidR="008174F8">
        <w:rPr>
          <w:rFonts w:asciiTheme="majorBidi" w:hAnsiTheme="majorBidi" w:cstheme="majorBidi"/>
          <w:b/>
          <w:bCs/>
          <w:sz w:val="24"/>
          <w:szCs w:val="24"/>
        </w:rPr>
        <w:t>7</w:t>
      </w:r>
    </w:p>
    <w:p w14:paraId="075BE3A6" w14:textId="77777777" w:rsidR="00DF7F25" w:rsidRPr="00002004" w:rsidRDefault="00C7052C" w:rsidP="00CE4CFF">
      <w:pPr>
        <w:pStyle w:val="RALs-TableCaption"/>
        <w:ind w:left="0" w:firstLine="0"/>
        <w:rPr>
          <w:rFonts w:asciiTheme="majorBidi" w:hAnsiTheme="majorBidi" w:cstheme="majorBidi"/>
          <w:i/>
          <w:iCs/>
          <w:sz w:val="24"/>
          <w:szCs w:val="24"/>
        </w:rPr>
      </w:pPr>
      <w:r w:rsidRPr="00002004">
        <w:rPr>
          <w:rFonts w:asciiTheme="majorBidi" w:hAnsiTheme="majorBidi" w:cstheme="majorBidi"/>
          <w:i/>
          <w:iCs/>
          <w:sz w:val="24"/>
          <w:szCs w:val="24"/>
        </w:rPr>
        <w:t>Perceived Challenges Affecting Engagement Quality: Student-Reported Frequencies and Implications</w:t>
      </w:r>
    </w:p>
    <w:tbl>
      <w:tblPr>
        <w:tblW w:w="9026" w:type="dxa"/>
        <w:tblCellMar>
          <w:left w:w="10" w:type="dxa"/>
          <w:right w:w="10" w:type="dxa"/>
        </w:tblCellMar>
        <w:tblLook w:val="04A0" w:firstRow="1" w:lastRow="0" w:firstColumn="1" w:lastColumn="0" w:noHBand="0" w:noVBand="1"/>
      </w:tblPr>
      <w:tblGrid>
        <w:gridCol w:w="2570"/>
        <w:gridCol w:w="1927"/>
        <w:gridCol w:w="2569"/>
        <w:gridCol w:w="1960"/>
      </w:tblGrid>
      <w:tr w:rsidR="00DF7F25" w:rsidRPr="00002004" w14:paraId="01008FB4" w14:textId="77777777" w:rsidTr="00002004">
        <w:tc>
          <w:tcPr>
            <w:tcW w:w="2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6B39020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Challenge</w:t>
            </w:r>
          </w:p>
        </w:tc>
        <w:tc>
          <w:tcPr>
            <w:tcW w:w="15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050F1B7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Students Reporting (%)</w:t>
            </w:r>
          </w:p>
        </w:tc>
        <w:tc>
          <w:tcPr>
            <w:tcW w:w="20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2F9D46C6"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Description</w:t>
            </w:r>
          </w:p>
        </w:tc>
        <w:tc>
          <w:tcPr>
            <w:tcW w:w="15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3FB0E9A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Perceived Implication for Engagement</w:t>
            </w:r>
          </w:p>
        </w:tc>
      </w:tr>
      <w:tr w:rsidR="00DF7F25" w:rsidRPr="00002004" w14:paraId="02C99FEB" w14:textId="77777777" w:rsidTr="00002004">
        <w:tc>
          <w:tcPr>
            <w:tcW w:w="2000" w:type="dxa"/>
            <w:tcBorders>
              <w:top w:val="single" w:sz="4" w:space="0" w:color="auto"/>
            </w:tcBorders>
            <w:shd w:val="clear" w:color="auto" w:fill="auto"/>
            <w:tcMar>
              <w:top w:w="60" w:type="dxa"/>
              <w:left w:w="80" w:type="dxa"/>
              <w:bottom w:w="60" w:type="dxa"/>
              <w:right w:w="80" w:type="dxa"/>
            </w:tcMar>
            <w:vAlign w:val="center"/>
          </w:tcPr>
          <w:p w14:paraId="0D958C5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Over-reliance on AI (linked to AI Attitudes factor)</w:t>
            </w:r>
          </w:p>
        </w:tc>
        <w:tc>
          <w:tcPr>
            <w:tcW w:w="1500" w:type="dxa"/>
            <w:tcBorders>
              <w:top w:val="single" w:sz="4" w:space="0" w:color="auto"/>
            </w:tcBorders>
            <w:shd w:val="clear" w:color="auto" w:fill="auto"/>
            <w:tcMar>
              <w:top w:w="60" w:type="dxa"/>
              <w:left w:w="80" w:type="dxa"/>
              <w:bottom w:w="60" w:type="dxa"/>
              <w:right w:w="80" w:type="dxa"/>
            </w:tcMar>
            <w:vAlign w:val="center"/>
          </w:tcPr>
          <w:p w14:paraId="3D349B1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42%</w:t>
            </w:r>
          </w:p>
        </w:tc>
        <w:tc>
          <w:tcPr>
            <w:tcW w:w="2000" w:type="dxa"/>
            <w:tcBorders>
              <w:top w:val="single" w:sz="4" w:space="0" w:color="auto"/>
            </w:tcBorders>
            <w:shd w:val="clear" w:color="auto" w:fill="auto"/>
            <w:tcMar>
              <w:top w:w="60" w:type="dxa"/>
              <w:left w:w="80" w:type="dxa"/>
              <w:bottom w:w="60" w:type="dxa"/>
              <w:right w:w="80" w:type="dxa"/>
            </w:tcMar>
            <w:vAlign w:val="center"/>
          </w:tcPr>
          <w:p w14:paraId="262E0E38"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Students submitted AI-drafted responses with minimal personal input</w:t>
            </w:r>
          </w:p>
        </w:tc>
        <w:tc>
          <w:tcPr>
            <w:tcW w:w="1526" w:type="dxa"/>
            <w:tcBorders>
              <w:top w:val="single" w:sz="4" w:space="0" w:color="auto"/>
            </w:tcBorders>
            <w:shd w:val="clear" w:color="auto" w:fill="auto"/>
            <w:tcMar>
              <w:top w:w="60" w:type="dxa"/>
              <w:left w:w="80" w:type="dxa"/>
              <w:bottom w:w="60" w:type="dxa"/>
              <w:right w:w="80" w:type="dxa"/>
            </w:tcMar>
            <w:vAlign w:val="center"/>
          </w:tcPr>
          <w:p w14:paraId="4FE44220"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Reduces authentic language production and critical thinking</w:t>
            </w:r>
          </w:p>
        </w:tc>
      </w:tr>
      <w:tr w:rsidR="00DF7F25" w:rsidRPr="00002004" w14:paraId="000EA6DC" w14:textId="77777777" w:rsidTr="00002004">
        <w:tc>
          <w:tcPr>
            <w:tcW w:w="2000" w:type="dxa"/>
            <w:shd w:val="clear" w:color="auto" w:fill="auto"/>
            <w:tcMar>
              <w:top w:w="60" w:type="dxa"/>
              <w:left w:w="80" w:type="dxa"/>
              <w:bottom w:w="60" w:type="dxa"/>
              <w:right w:w="80" w:type="dxa"/>
            </w:tcMar>
            <w:vAlign w:val="center"/>
          </w:tcPr>
          <w:p w14:paraId="0C08A92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Reduced spontaneity (linked to WTC factor)</w:t>
            </w:r>
          </w:p>
        </w:tc>
        <w:tc>
          <w:tcPr>
            <w:tcW w:w="1500" w:type="dxa"/>
            <w:shd w:val="clear" w:color="auto" w:fill="auto"/>
            <w:tcMar>
              <w:top w:w="60" w:type="dxa"/>
              <w:left w:w="80" w:type="dxa"/>
              <w:bottom w:w="60" w:type="dxa"/>
              <w:right w:w="80" w:type="dxa"/>
            </w:tcMar>
            <w:vAlign w:val="center"/>
          </w:tcPr>
          <w:p w14:paraId="434D17A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38%</w:t>
            </w:r>
          </w:p>
        </w:tc>
        <w:tc>
          <w:tcPr>
            <w:tcW w:w="2000" w:type="dxa"/>
            <w:shd w:val="clear" w:color="auto" w:fill="auto"/>
            <w:tcMar>
              <w:top w:w="60" w:type="dxa"/>
              <w:left w:w="80" w:type="dxa"/>
              <w:bottom w:w="60" w:type="dxa"/>
              <w:right w:w="80" w:type="dxa"/>
            </w:tcMar>
            <w:vAlign w:val="center"/>
          </w:tcPr>
          <w:p w14:paraId="7F91492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AI preparation led to scripted, less natural oral delivery</w:t>
            </w:r>
          </w:p>
        </w:tc>
        <w:tc>
          <w:tcPr>
            <w:tcW w:w="1526" w:type="dxa"/>
            <w:shd w:val="clear" w:color="auto" w:fill="auto"/>
            <w:tcMar>
              <w:top w:w="60" w:type="dxa"/>
              <w:left w:w="80" w:type="dxa"/>
              <w:bottom w:w="60" w:type="dxa"/>
              <w:right w:w="80" w:type="dxa"/>
            </w:tcMar>
            <w:vAlign w:val="center"/>
          </w:tcPr>
          <w:p w14:paraId="03AF885A"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Hinders development of real-time communication skills</w:t>
            </w:r>
          </w:p>
        </w:tc>
      </w:tr>
      <w:tr w:rsidR="00DF7F25" w:rsidRPr="00002004" w14:paraId="10E7673F" w14:textId="77777777" w:rsidTr="00002004">
        <w:tc>
          <w:tcPr>
            <w:tcW w:w="2000" w:type="dxa"/>
            <w:shd w:val="clear" w:color="auto" w:fill="auto"/>
            <w:tcMar>
              <w:top w:w="60" w:type="dxa"/>
              <w:left w:w="80" w:type="dxa"/>
              <w:bottom w:w="60" w:type="dxa"/>
              <w:right w:w="80" w:type="dxa"/>
            </w:tcMar>
            <w:vAlign w:val="center"/>
          </w:tcPr>
          <w:p w14:paraId="4D24084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Digital literacy gaps (linked to AI Attitudes factor)</w:t>
            </w:r>
          </w:p>
        </w:tc>
        <w:tc>
          <w:tcPr>
            <w:tcW w:w="1500" w:type="dxa"/>
            <w:shd w:val="clear" w:color="auto" w:fill="auto"/>
            <w:tcMar>
              <w:top w:w="60" w:type="dxa"/>
              <w:left w:w="80" w:type="dxa"/>
              <w:bottom w:w="60" w:type="dxa"/>
              <w:right w:w="80" w:type="dxa"/>
            </w:tcMar>
            <w:vAlign w:val="center"/>
          </w:tcPr>
          <w:p w14:paraId="7A5F95FD"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21%</w:t>
            </w:r>
          </w:p>
        </w:tc>
        <w:tc>
          <w:tcPr>
            <w:tcW w:w="2000" w:type="dxa"/>
            <w:shd w:val="clear" w:color="auto" w:fill="auto"/>
            <w:tcMar>
              <w:top w:w="60" w:type="dxa"/>
              <w:left w:w="80" w:type="dxa"/>
              <w:bottom w:w="60" w:type="dxa"/>
              <w:right w:w="80" w:type="dxa"/>
            </w:tcMar>
            <w:vAlign w:val="center"/>
          </w:tcPr>
          <w:p w14:paraId="400A09D7"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Some students struggled with AI interface navigation and prompt formulation</w:t>
            </w:r>
          </w:p>
        </w:tc>
        <w:tc>
          <w:tcPr>
            <w:tcW w:w="1526" w:type="dxa"/>
            <w:shd w:val="clear" w:color="auto" w:fill="auto"/>
            <w:tcMar>
              <w:top w:w="60" w:type="dxa"/>
              <w:left w:w="80" w:type="dxa"/>
              <w:bottom w:w="60" w:type="dxa"/>
              <w:right w:w="80" w:type="dxa"/>
            </w:tcMar>
            <w:vAlign w:val="center"/>
          </w:tcPr>
          <w:p w14:paraId="5C284B8E"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Creates unequal learning opportunities in the classroom</w:t>
            </w:r>
          </w:p>
        </w:tc>
      </w:tr>
      <w:tr w:rsidR="00DF7F25" w:rsidRPr="00002004" w14:paraId="61D00E66" w14:textId="77777777" w:rsidTr="00002004">
        <w:tc>
          <w:tcPr>
            <w:tcW w:w="2000" w:type="dxa"/>
            <w:tcBorders>
              <w:bottom w:val="single" w:sz="4" w:space="0" w:color="auto"/>
            </w:tcBorders>
            <w:shd w:val="clear" w:color="auto" w:fill="auto"/>
            <w:tcMar>
              <w:top w:w="60" w:type="dxa"/>
              <w:left w:w="80" w:type="dxa"/>
              <w:bottom w:w="60" w:type="dxa"/>
              <w:right w:w="80" w:type="dxa"/>
            </w:tcMar>
            <w:vAlign w:val="center"/>
          </w:tcPr>
          <w:p w14:paraId="18709B81"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Anxiety about AI accuracy (linked to Anxiety factor)</w:t>
            </w:r>
          </w:p>
        </w:tc>
        <w:tc>
          <w:tcPr>
            <w:tcW w:w="1500" w:type="dxa"/>
            <w:tcBorders>
              <w:bottom w:val="single" w:sz="4" w:space="0" w:color="auto"/>
            </w:tcBorders>
            <w:shd w:val="clear" w:color="auto" w:fill="auto"/>
            <w:tcMar>
              <w:top w:w="60" w:type="dxa"/>
              <w:left w:w="80" w:type="dxa"/>
              <w:bottom w:w="60" w:type="dxa"/>
              <w:right w:w="80" w:type="dxa"/>
            </w:tcMar>
            <w:vAlign w:val="center"/>
          </w:tcPr>
          <w:p w14:paraId="330A5F82"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17%</w:t>
            </w:r>
          </w:p>
        </w:tc>
        <w:tc>
          <w:tcPr>
            <w:tcW w:w="2000" w:type="dxa"/>
            <w:tcBorders>
              <w:bottom w:val="single" w:sz="4" w:space="0" w:color="auto"/>
            </w:tcBorders>
            <w:shd w:val="clear" w:color="auto" w:fill="auto"/>
            <w:tcMar>
              <w:top w:w="60" w:type="dxa"/>
              <w:left w:w="80" w:type="dxa"/>
              <w:bottom w:w="60" w:type="dxa"/>
              <w:right w:w="80" w:type="dxa"/>
            </w:tcMar>
            <w:vAlign w:val="center"/>
          </w:tcPr>
          <w:p w14:paraId="2FFEC82F"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Students uncertain whether AI feedback was pedagogically correct</w:t>
            </w:r>
          </w:p>
        </w:tc>
        <w:tc>
          <w:tcPr>
            <w:tcW w:w="1526" w:type="dxa"/>
            <w:tcBorders>
              <w:bottom w:val="single" w:sz="4" w:space="0" w:color="auto"/>
            </w:tcBorders>
            <w:shd w:val="clear" w:color="auto" w:fill="auto"/>
            <w:tcMar>
              <w:top w:w="60" w:type="dxa"/>
              <w:left w:w="80" w:type="dxa"/>
              <w:bottom w:w="60" w:type="dxa"/>
              <w:right w:w="80" w:type="dxa"/>
            </w:tcMar>
            <w:vAlign w:val="center"/>
          </w:tcPr>
          <w:p w14:paraId="5C527143" w14:textId="77777777" w:rsidR="00DF7F25" w:rsidRPr="00002004"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002004">
              <w:rPr>
                <w:rFonts w:asciiTheme="majorBidi" w:hAnsiTheme="majorBidi" w:cstheme="majorBidi"/>
                <w:color w:val="000000"/>
                <w:sz w:val="20"/>
                <w:szCs w:val="20"/>
              </w:rPr>
              <w:t>May undermine trust in self-correction and teacher feedback</w:t>
            </w:r>
          </w:p>
        </w:tc>
      </w:tr>
    </w:tbl>
    <w:p w14:paraId="05C550F3" w14:textId="19FCBC36" w:rsidR="00DF7F25" w:rsidRPr="00002004" w:rsidRDefault="00002004" w:rsidP="00CE4CFF">
      <w:pPr>
        <w:suppressAutoHyphens/>
        <w:spacing w:before="120" w:after="240"/>
        <w:rPr>
          <w:i/>
          <w:iCs/>
          <w:sz w:val="20"/>
          <w:szCs w:val="20"/>
        </w:rPr>
      </w:pPr>
      <w:r w:rsidRPr="00002004">
        <w:rPr>
          <w:i/>
          <w:iCs/>
          <w:sz w:val="20"/>
          <w:szCs w:val="20"/>
          <w:vertAlign w:val="superscript"/>
        </w:rPr>
        <w:t>*</w:t>
      </w:r>
      <w:r w:rsidR="00C7052C" w:rsidRPr="00002004">
        <w:rPr>
          <w:i/>
          <w:iCs/>
          <w:sz w:val="20"/>
          <w:szCs w:val="20"/>
        </w:rPr>
        <w:t xml:space="preserve">Student reporting percentages are derived from thematic analysis of reflective journal entries (N = 200). Percentages reflect the proportion of students who referenced each challenge in at least one journal entry. Factor linkages are based on the EFA structure reported in Table </w:t>
      </w:r>
      <w:r w:rsidR="008174F8">
        <w:rPr>
          <w:i/>
          <w:iCs/>
          <w:sz w:val="20"/>
          <w:szCs w:val="20"/>
        </w:rPr>
        <w:t>6</w:t>
      </w:r>
      <w:r w:rsidR="00C7052C" w:rsidRPr="00002004">
        <w:rPr>
          <w:i/>
          <w:iCs/>
          <w:sz w:val="20"/>
          <w:szCs w:val="20"/>
        </w:rPr>
        <w:t>.</w:t>
      </w:r>
    </w:p>
    <w:p w14:paraId="7DBF3159" w14:textId="77777777" w:rsidR="00DF7F25" w:rsidRPr="00BB4371" w:rsidRDefault="00DF7F25" w:rsidP="00CE4CFF">
      <w:pPr>
        <w:spacing w:after="120" w:line="480" w:lineRule="auto"/>
        <w:ind w:firstLine="720"/>
        <w:jc w:val="both"/>
      </w:pPr>
    </w:p>
    <w:p w14:paraId="2AD51094" w14:textId="77777777" w:rsidR="00DF7F25" w:rsidRPr="00BB4371" w:rsidRDefault="00C7052C" w:rsidP="00CE4CFF">
      <w:pPr>
        <w:spacing w:after="120" w:line="480" w:lineRule="auto"/>
        <w:ind w:firstLine="720"/>
        <w:jc w:val="both"/>
      </w:pPr>
      <w:r w:rsidRPr="00BB4371">
        <w:t>The most prominent issue was over-reliance on AI-generated content (42%), with students using AI outputs with minimal modification, leading to responses that were linguistically accurate but less personalized and spontaneous. As one student stated, "Sometimes I just copy the answer from AI and try to remember it. When the teacher asks a different question, I don't know how to respond." Closely related was reduced spontaneity (38%), whereby students who relied heavily on AI-prepared scripts expressed discomfort when required to deviate from their responses during live interaction.</w:t>
      </w:r>
    </w:p>
    <w:p w14:paraId="4AE9D14F" w14:textId="77777777" w:rsidR="00DF7F25" w:rsidRPr="00BB4371" w:rsidRDefault="00C7052C" w:rsidP="00CE4CFF">
      <w:pPr>
        <w:spacing w:after="120" w:line="480" w:lineRule="auto"/>
        <w:ind w:firstLine="720"/>
        <w:jc w:val="both"/>
      </w:pPr>
      <w:r w:rsidRPr="00BB4371">
        <w:lastRenderedPageBreak/>
        <w:t>Digital literacy gaps affected approximately 21% of participants, who reported difficulty formulating effective AI prompts. As one noted, "I don't know how to ask good questions to ChatGPT, so sometimes the answers are not useful." Finally, 17% of students expressed uncertainty about the pedagogical accuracy of AI feedback, occasionally leading them to disengage from AI-supported preparation.</w:t>
      </w:r>
    </w:p>
    <w:p w14:paraId="070FB1D9" w14:textId="77777777" w:rsidR="00DF7F25" w:rsidRPr="00CE4CFF" w:rsidRDefault="00C7052C" w:rsidP="00CE4CFF">
      <w:pPr>
        <w:spacing w:after="120" w:line="480" w:lineRule="auto"/>
        <w:rPr>
          <w:b/>
          <w:bCs/>
          <w:i/>
          <w:iCs/>
        </w:rPr>
      </w:pPr>
      <w:r w:rsidRPr="00CE4CFF">
        <w:rPr>
          <w:b/>
          <w:bCs/>
          <w:i/>
          <w:iCs/>
        </w:rPr>
        <w:t>4.4 RQ3: Self-Reported Pedagogical Conditions Perceived as Supporting Teacher–Student Interaction</w:t>
      </w:r>
    </w:p>
    <w:p w14:paraId="002685C3" w14:textId="5D631A0B" w:rsidR="00DF7F25" w:rsidRDefault="00C7052C" w:rsidP="00CE4CFF">
      <w:pPr>
        <w:spacing w:after="120" w:line="480" w:lineRule="auto"/>
        <w:ind w:firstLine="720"/>
        <w:jc w:val="both"/>
      </w:pPr>
      <w:r w:rsidRPr="00BB4371">
        <w:t xml:space="preserve">Overall, student attitudes toward AI-assisted learning were positive, with a majority indicating willingness to continue using AI tools for English learning. Qualitative findings indicate, however, that positive attitudes were conditional. Table </w:t>
      </w:r>
      <w:r w:rsidR="008174F8">
        <w:t>8</w:t>
      </w:r>
      <w:r w:rsidRPr="00BB4371">
        <w:t xml:space="preserve"> presents the key pedagogical conditions identified through thematic analysis as most likely to support productive teacher–student interaction in AI-assisted contexts.</w:t>
      </w:r>
    </w:p>
    <w:p w14:paraId="4A2D179B" w14:textId="77777777" w:rsidR="00002004" w:rsidRPr="00BB4371" w:rsidRDefault="00002004" w:rsidP="00CE4CFF">
      <w:pPr>
        <w:spacing w:after="120" w:line="480" w:lineRule="auto"/>
        <w:ind w:firstLine="720"/>
        <w:jc w:val="both"/>
      </w:pPr>
    </w:p>
    <w:p w14:paraId="60E63898" w14:textId="4A56702B" w:rsidR="00DF7F25" w:rsidRPr="00002004" w:rsidRDefault="00C7052C" w:rsidP="00CE4CFF">
      <w:pPr>
        <w:pStyle w:val="RALs-TableCaption"/>
        <w:rPr>
          <w:rFonts w:asciiTheme="majorBidi" w:hAnsiTheme="majorBidi" w:cstheme="majorBidi"/>
          <w:b/>
          <w:bCs/>
          <w:sz w:val="24"/>
          <w:szCs w:val="24"/>
        </w:rPr>
      </w:pPr>
      <w:r w:rsidRPr="00002004">
        <w:rPr>
          <w:rFonts w:asciiTheme="majorBidi" w:hAnsiTheme="majorBidi" w:cstheme="majorBidi"/>
          <w:b/>
          <w:bCs/>
          <w:sz w:val="24"/>
          <w:szCs w:val="24"/>
        </w:rPr>
        <w:t xml:space="preserve">Table </w:t>
      </w:r>
      <w:r w:rsidR="008174F8">
        <w:rPr>
          <w:rFonts w:asciiTheme="majorBidi" w:hAnsiTheme="majorBidi" w:cstheme="majorBidi"/>
          <w:b/>
          <w:bCs/>
          <w:sz w:val="24"/>
          <w:szCs w:val="24"/>
        </w:rPr>
        <w:t>8</w:t>
      </w:r>
    </w:p>
    <w:p w14:paraId="7B16063E" w14:textId="77777777" w:rsidR="00DF7F25" w:rsidRPr="005652CA" w:rsidRDefault="00C7052C" w:rsidP="00CE4CFF">
      <w:pPr>
        <w:pStyle w:val="RALs-TableCaption"/>
        <w:ind w:left="0" w:firstLine="0"/>
        <w:rPr>
          <w:rFonts w:asciiTheme="majorBidi" w:hAnsiTheme="majorBidi" w:cstheme="majorBidi"/>
          <w:i/>
          <w:iCs/>
          <w:sz w:val="24"/>
          <w:szCs w:val="24"/>
        </w:rPr>
      </w:pPr>
      <w:r w:rsidRPr="005652CA">
        <w:rPr>
          <w:rFonts w:asciiTheme="majorBidi" w:hAnsiTheme="majorBidi" w:cstheme="majorBidi"/>
          <w:i/>
          <w:iCs/>
          <w:sz w:val="24"/>
          <w:szCs w:val="24"/>
        </w:rPr>
        <w:t>Conditions for Bridging the Preparedness–Participation Gap</w:t>
      </w:r>
    </w:p>
    <w:tbl>
      <w:tblPr>
        <w:tblW w:w="9026" w:type="dxa"/>
        <w:tblCellMar>
          <w:left w:w="10" w:type="dxa"/>
          <w:right w:w="10" w:type="dxa"/>
        </w:tblCellMar>
        <w:tblLook w:val="04A0" w:firstRow="1" w:lastRow="0" w:firstColumn="1" w:lastColumn="0" w:noHBand="0" w:noVBand="1"/>
      </w:tblPr>
      <w:tblGrid>
        <w:gridCol w:w="2826"/>
        <w:gridCol w:w="3340"/>
        <w:gridCol w:w="2860"/>
      </w:tblGrid>
      <w:tr w:rsidR="00DF7F25" w:rsidRPr="005652CA" w14:paraId="6A36B899" w14:textId="77777777" w:rsidTr="005652CA">
        <w:tc>
          <w:tcPr>
            <w:tcW w:w="22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16FA7DC0"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Condition</w:t>
            </w:r>
          </w:p>
        </w:tc>
        <w:tc>
          <w:tcPr>
            <w:tcW w:w="2600"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22B6E0BB"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Implementation Strategy</w:t>
            </w:r>
          </w:p>
        </w:tc>
        <w:tc>
          <w:tcPr>
            <w:tcW w:w="2226" w:type="dxa"/>
            <w:tcBorders>
              <w:top w:val="single" w:sz="4" w:space="0" w:color="auto"/>
              <w:bottom w:val="single" w:sz="4" w:space="0" w:color="auto"/>
            </w:tcBorders>
            <w:shd w:val="clear" w:color="auto" w:fill="auto"/>
            <w:tcMar>
              <w:top w:w="60" w:type="dxa"/>
              <w:left w:w="80" w:type="dxa"/>
              <w:bottom w:w="60" w:type="dxa"/>
              <w:right w:w="80" w:type="dxa"/>
            </w:tcMar>
            <w:vAlign w:val="center"/>
          </w:tcPr>
          <w:p w14:paraId="5CD81F54"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Expected Outcome</w:t>
            </w:r>
          </w:p>
        </w:tc>
      </w:tr>
      <w:tr w:rsidR="00DF7F25" w:rsidRPr="005652CA" w14:paraId="4A013CD2" w14:textId="77777777" w:rsidTr="005652CA">
        <w:tc>
          <w:tcPr>
            <w:tcW w:w="2200" w:type="dxa"/>
            <w:tcBorders>
              <w:top w:val="single" w:sz="4" w:space="0" w:color="auto"/>
            </w:tcBorders>
            <w:shd w:val="clear" w:color="auto" w:fill="auto"/>
            <w:tcMar>
              <w:top w:w="60" w:type="dxa"/>
              <w:left w:w="80" w:type="dxa"/>
              <w:bottom w:w="60" w:type="dxa"/>
              <w:right w:w="80" w:type="dxa"/>
            </w:tcMar>
            <w:vAlign w:val="center"/>
          </w:tcPr>
          <w:p w14:paraId="5054B2AD"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Teacher scaffolding</w:t>
            </w:r>
          </w:p>
        </w:tc>
        <w:tc>
          <w:tcPr>
            <w:tcW w:w="2600" w:type="dxa"/>
            <w:tcBorders>
              <w:top w:val="single" w:sz="4" w:space="0" w:color="auto"/>
            </w:tcBorders>
            <w:shd w:val="clear" w:color="auto" w:fill="auto"/>
            <w:tcMar>
              <w:top w:w="60" w:type="dxa"/>
              <w:left w:w="80" w:type="dxa"/>
              <w:bottom w:w="60" w:type="dxa"/>
              <w:right w:w="80" w:type="dxa"/>
            </w:tcMar>
            <w:vAlign w:val="center"/>
          </w:tcPr>
          <w:p w14:paraId="5C5782AB"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Teachers guide AI use with clear task parameters and explicit framing of AI as preparatory tool</w:t>
            </w:r>
          </w:p>
        </w:tc>
        <w:tc>
          <w:tcPr>
            <w:tcW w:w="2226" w:type="dxa"/>
            <w:tcBorders>
              <w:top w:val="single" w:sz="4" w:space="0" w:color="auto"/>
            </w:tcBorders>
            <w:shd w:val="clear" w:color="auto" w:fill="auto"/>
            <w:tcMar>
              <w:top w:w="60" w:type="dxa"/>
              <w:left w:w="80" w:type="dxa"/>
              <w:bottom w:w="60" w:type="dxa"/>
              <w:right w:w="80" w:type="dxa"/>
            </w:tcMar>
            <w:vAlign w:val="center"/>
          </w:tcPr>
          <w:p w14:paraId="243CC293"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Balanced AI use without over-dependence</w:t>
            </w:r>
          </w:p>
        </w:tc>
      </w:tr>
      <w:tr w:rsidR="00DF7F25" w:rsidRPr="005652CA" w14:paraId="6AD02E80" w14:textId="77777777" w:rsidTr="005652CA">
        <w:tc>
          <w:tcPr>
            <w:tcW w:w="2200" w:type="dxa"/>
            <w:shd w:val="clear" w:color="auto" w:fill="auto"/>
            <w:tcMar>
              <w:top w:w="60" w:type="dxa"/>
              <w:left w:w="80" w:type="dxa"/>
              <w:bottom w:w="60" w:type="dxa"/>
              <w:right w:w="80" w:type="dxa"/>
            </w:tcMar>
            <w:vAlign w:val="center"/>
          </w:tcPr>
          <w:p w14:paraId="2C871FB4"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Task authenticity</w:t>
            </w:r>
          </w:p>
        </w:tc>
        <w:tc>
          <w:tcPr>
            <w:tcW w:w="2600" w:type="dxa"/>
            <w:shd w:val="clear" w:color="auto" w:fill="auto"/>
            <w:tcMar>
              <w:top w:w="60" w:type="dxa"/>
              <w:left w:w="80" w:type="dxa"/>
              <w:bottom w:w="60" w:type="dxa"/>
              <w:right w:w="80" w:type="dxa"/>
            </w:tcMar>
            <w:vAlign w:val="center"/>
          </w:tcPr>
          <w:p w14:paraId="56D806F1"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Design open-ended speaking tasks requiring personal opinions and real-time elaboration</w:t>
            </w:r>
          </w:p>
        </w:tc>
        <w:tc>
          <w:tcPr>
            <w:tcW w:w="2226" w:type="dxa"/>
            <w:shd w:val="clear" w:color="auto" w:fill="auto"/>
            <w:tcMar>
              <w:top w:w="60" w:type="dxa"/>
              <w:left w:w="80" w:type="dxa"/>
              <w:bottom w:w="60" w:type="dxa"/>
              <w:right w:w="80" w:type="dxa"/>
            </w:tcMar>
            <w:vAlign w:val="center"/>
          </w:tcPr>
          <w:p w14:paraId="388F417D"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Promotes genuine student language production</w:t>
            </w:r>
          </w:p>
        </w:tc>
      </w:tr>
      <w:tr w:rsidR="00DF7F25" w:rsidRPr="005652CA" w14:paraId="351B0480" w14:textId="77777777" w:rsidTr="005652CA">
        <w:tc>
          <w:tcPr>
            <w:tcW w:w="2200" w:type="dxa"/>
            <w:shd w:val="clear" w:color="auto" w:fill="auto"/>
            <w:tcMar>
              <w:top w:w="60" w:type="dxa"/>
              <w:left w:w="80" w:type="dxa"/>
              <w:bottom w:w="60" w:type="dxa"/>
              <w:right w:w="80" w:type="dxa"/>
            </w:tcMar>
            <w:vAlign w:val="center"/>
          </w:tcPr>
          <w:p w14:paraId="4F94D963"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Digital literacy training</w:t>
            </w:r>
          </w:p>
        </w:tc>
        <w:tc>
          <w:tcPr>
            <w:tcW w:w="2600" w:type="dxa"/>
            <w:shd w:val="clear" w:color="auto" w:fill="auto"/>
            <w:tcMar>
              <w:top w:w="60" w:type="dxa"/>
              <w:left w:w="80" w:type="dxa"/>
              <w:bottom w:w="60" w:type="dxa"/>
              <w:right w:w="80" w:type="dxa"/>
            </w:tcMar>
            <w:vAlign w:val="center"/>
          </w:tcPr>
          <w:p w14:paraId="1C649298"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Pre-task orientation on AI tools and critical evaluation of AI output</w:t>
            </w:r>
          </w:p>
        </w:tc>
        <w:tc>
          <w:tcPr>
            <w:tcW w:w="2226" w:type="dxa"/>
            <w:shd w:val="clear" w:color="auto" w:fill="auto"/>
            <w:tcMar>
              <w:top w:w="60" w:type="dxa"/>
              <w:left w:w="80" w:type="dxa"/>
              <w:bottom w:w="60" w:type="dxa"/>
              <w:right w:w="80" w:type="dxa"/>
            </w:tcMar>
            <w:vAlign w:val="center"/>
          </w:tcPr>
          <w:p w14:paraId="59588CB6"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Reduces inequity in AI access and ability</w:t>
            </w:r>
          </w:p>
        </w:tc>
      </w:tr>
      <w:tr w:rsidR="00DF7F25" w:rsidRPr="005652CA" w14:paraId="3B7B7CC9" w14:textId="77777777" w:rsidTr="005652CA">
        <w:tc>
          <w:tcPr>
            <w:tcW w:w="2200" w:type="dxa"/>
            <w:tcBorders>
              <w:bottom w:val="single" w:sz="4" w:space="0" w:color="auto"/>
            </w:tcBorders>
            <w:shd w:val="clear" w:color="auto" w:fill="auto"/>
            <w:tcMar>
              <w:top w:w="60" w:type="dxa"/>
              <w:left w:w="80" w:type="dxa"/>
              <w:bottom w:w="60" w:type="dxa"/>
              <w:right w:w="80" w:type="dxa"/>
            </w:tcMar>
            <w:vAlign w:val="center"/>
          </w:tcPr>
          <w:p w14:paraId="688868EE"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Reflective practice</w:t>
            </w:r>
          </w:p>
        </w:tc>
        <w:tc>
          <w:tcPr>
            <w:tcW w:w="2600" w:type="dxa"/>
            <w:tcBorders>
              <w:bottom w:val="single" w:sz="4" w:space="0" w:color="auto"/>
            </w:tcBorders>
            <w:shd w:val="clear" w:color="auto" w:fill="auto"/>
            <w:tcMar>
              <w:top w:w="60" w:type="dxa"/>
              <w:left w:w="80" w:type="dxa"/>
              <w:bottom w:w="60" w:type="dxa"/>
              <w:right w:w="80" w:type="dxa"/>
            </w:tcMar>
            <w:vAlign w:val="center"/>
          </w:tcPr>
          <w:p w14:paraId="542E68C6"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Post-task learner reflections on AI use and interaction quality</w:t>
            </w:r>
          </w:p>
        </w:tc>
        <w:tc>
          <w:tcPr>
            <w:tcW w:w="2226" w:type="dxa"/>
            <w:tcBorders>
              <w:bottom w:val="single" w:sz="4" w:space="0" w:color="auto"/>
            </w:tcBorders>
            <w:shd w:val="clear" w:color="auto" w:fill="auto"/>
            <w:tcMar>
              <w:top w:w="60" w:type="dxa"/>
              <w:left w:w="80" w:type="dxa"/>
              <w:bottom w:w="60" w:type="dxa"/>
              <w:right w:w="80" w:type="dxa"/>
            </w:tcMar>
            <w:vAlign w:val="center"/>
          </w:tcPr>
          <w:p w14:paraId="13764681" w14:textId="77777777" w:rsidR="00DF7F25" w:rsidRPr="005652CA" w:rsidRDefault="00C7052C" w:rsidP="00CE4CFF">
            <w:pPr>
              <w:autoSpaceDE w:val="0"/>
              <w:autoSpaceDN w:val="0"/>
              <w:adjustRightInd w:val="0"/>
              <w:spacing w:before="120" w:after="60" w:line="320" w:lineRule="atLeast"/>
              <w:ind w:right="60"/>
              <w:rPr>
                <w:rFonts w:asciiTheme="majorBidi" w:hAnsiTheme="majorBidi" w:cstheme="majorBidi"/>
                <w:color w:val="000000"/>
                <w:sz w:val="20"/>
                <w:szCs w:val="20"/>
              </w:rPr>
            </w:pPr>
            <w:r w:rsidRPr="005652CA">
              <w:rPr>
                <w:rFonts w:asciiTheme="majorBidi" w:hAnsiTheme="majorBidi" w:cstheme="majorBidi"/>
                <w:color w:val="000000"/>
                <w:sz w:val="20"/>
                <w:szCs w:val="20"/>
              </w:rPr>
              <w:t>Deepens metacognitive awareness and language learning</w:t>
            </w:r>
          </w:p>
        </w:tc>
      </w:tr>
    </w:tbl>
    <w:p w14:paraId="0B6EEE29" w14:textId="0FCD16CC" w:rsidR="00DF7F25" w:rsidRPr="005652CA" w:rsidRDefault="005652CA" w:rsidP="00CE4CFF">
      <w:pPr>
        <w:suppressAutoHyphens/>
        <w:spacing w:before="120" w:after="240"/>
        <w:rPr>
          <w:i/>
          <w:iCs/>
          <w:sz w:val="20"/>
          <w:szCs w:val="20"/>
        </w:rPr>
      </w:pPr>
      <w:r w:rsidRPr="005652CA">
        <w:rPr>
          <w:i/>
          <w:iCs/>
          <w:sz w:val="20"/>
          <w:szCs w:val="20"/>
          <w:vertAlign w:val="superscript"/>
        </w:rPr>
        <w:lastRenderedPageBreak/>
        <w:t>*</w:t>
      </w:r>
      <w:r w:rsidR="00C7052C" w:rsidRPr="005652CA">
        <w:rPr>
          <w:i/>
          <w:iCs/>
          <w:sz w:val="20"/>
          <w:szCs w:val="20"/>
        </w:rPr>
        <w:t>Conditions and strategies are derived from convergent themes across quantitative survey data and qualitative reflective journal entries.</w:t>
      </w:r>
    </w:p>
    <w:p w14:paraId="2D6274BD" w14:textId="77777777" w:rsidR="00DF7F25" w:rsidRPr="00BB4371" w:rsidRDefault="00C7052C" w:rsidP="00CE4CFF">
      <w:pPr>
        <w:spacing w:after="120" w:line="480" w:lineRule="auto"/>
        <w:ind w:firstLine="720"/>
        <w:jc w:val="both"/>
      </w:pPr>
      <w:r w:rsidRPr="00BB4371">
        <w:t>Three key conditions emerged. First, teacher guidance was critical: students who received clear instructions on using AI tools as supports for preparation rather than substitutes for performance reported more productive experiences. Second, task design mattered: tasks requiring personal opinions, real-time responses, or follow-up elaboration were less easily completed through AI alone and therefore encouraged more authentic participation. Third, learner autonomy was important: some students expressed resistance to compulsory or overly structured AI use, suggesting that flexibility may enhance motivation. As one student observed, "AI helps me think faster and gives me ideas I didn't have before, so I feel more confident when preparing."</w:t>
      </w:r>
    </w:p>
    <w:p w14:paraId="35254676" w14:textId="77777777" w:rsidR="00DF7F25" w:rsidRPr="00B073A2" w:rsidRDefault="00C7052C" w:rsidP="00CE4CFF">
      <w:pPr>
        <w:spacing w:after="120" w:line="480" w:lineRule="auto"/>
        <w:jc w:val="center"/>
        <w:rPr>
          <w:b/>
          <w:bCs/>
        </w:rPr>
      </w:pPr>
      <w:r w:rsidRPr="00BB4371">
        <w:rPr>
          <w:b/>
          <w:bCs/>
        </w:rPr>
        <w:t>5. Discussion</w:t>
      </w:r>
    </w:p>
    <w:p w14:paraId="720CE180" w14:textId="77777777" w:rsidR="00DF7F25" w:rsidRPr="00791CAB" w:rsidRDefault="00C7052C" w:rsidP="00CE4CFF">
      <w:pPr>
        <w:spacing w:after="120" w:line="480" w:lineRule="auto"/>
        <w:rPr>
          <w:b/>
          <w:bCs/>
          <w:i/>
          <w:iCs/>
        </w:rPr>
      </w:pPr>
      <w:r w:rsidRPr="00791CAB">
        <w:rPr>
          <w:b/>
          <w:bCs/>
          <w:i/>
          <w:iCs/>
        </w:rPr>
        <w:t>5.1 AI as Preparatory Support: Cognitive and Affective Gains</w:t>
      </w:r>
    </w:p>
    <w:p w14:paraId="7333D406" w14:textId="328CC525" w:rsidR="00DF7F25" w:rsidRPr="00BB4371" w:rsidRDefault="00C7052C" w:rsidP="00CE4CFF">
      <w:pPr>
        <w:spacing w:after="120" w:line="480" w:lineRule="auto"/>
        <w:ind w:firstLine="720"/>
        <w:jc w:val="both"/>
      </w:pPr>
      <w:r w:rsidRPr="00BB4371">
        <w:t>The present study found that non-English major university students perceived AI-assisted learning as primarily associated with the cognitive and affective dimensions of speaking preparation. Students consistently reported that AI tools</w:t>
      </w:r>
      <w:r w:rsidR="00BA0BB2">
        <w:t xml:space="preserve">, </w:t>
      </w:r>
      <w:r w:rsidRPr="00BB4371">
        <w:t>particularly ChatGPT for content preparation and ELSA Speak for pronunciation</w:t>
      </w:r>
      <w:r w:rsidR="00BA0BB2">
        <w:t xml:space="preserve">, </w:t>
      </w:r>
      <w:r w:rsidRPr="00BB4371">
        <w:t xml:space="preserve">enabled them to approach speaking tasks with clearer ideas and greater structural coherence, reducing the self-reported cognitive burden associated with spontaneous language production. These perceptual patterns align with Huang et al. (2023), who documented similar anxiety-reduction effects of AI-mediated practice environments in EFL contexts, and with Godwin-Jones (2022), who highlighted the role of AI in extending interactional opportunities beyond classroom hours. From a sociocultural perspective, the reported gains in preparedness may be understood as consistent with the concept of AI as a mediational tool that expands learners’ perceived capabilities (Lantolf et al., 2015); however, caution is warranted in invoking the Zone of Proximal Development as an </w:t>
      </w:r>
      <w:r w:rsidRPr="00BB4371">
        <w:lastRenderedPageBreak/>
        <w:t>explanatory framework here, as this concept requires the presence of a more capable other and developmental scaffolding across time—conditions not fully verifiable in a cross-sectional, self-report study. The ZPD framing is therefore offered as a tentative theoretical lens rather than a confirmed mechanism.</w:t>
      </w:r>
    </w:p>
    <w:p w14:paraId="2659D302" w14:textId="77777777" w:rsidR="00DF7F25" w:rsidRPr="00791CAB" w:rsidRDefault="00C7052C" w:rsidP="00CE4CFF">
      <w:pPr>
        <w:spacing w:after="120" w:line="480" w:lineRule="auto"/>
        <w:rPr>
          <w:b/>
          <w:bCs/>
          <w:i/>
          <w:iCs/>
        </w:rPr>
      </w:pPr>
      <w:r w:rsidRPr="00791CAB">
        <w:rPr>
          <w:b/>
          <w:bCs/>
          <w:i/>
          <w:iCs/>
        </w:rPr>
        <w:t>5.2 The Preparedness–Participation Gap</w:t>
      </w:r>
    </w:p>
    <w:p w14:paraId="5F00ABB2" w14:textId="62BEA31D" w:rsidR="00DF7F25" w:rsidRPr="00BB4371" w:rsidRDefault="00C7052C" w:rsidP="00CE4CFF">
      <w:pPr>
        <w:spacing w:after="120" w:line="480" w:lineRule="auto"/>
        <w:ind w:firstLine="720"/>
        <w:jc w:val="both"/>
      </w:pPr>
      <w:r w:rsidRPr="00BB4371">
        <w:t xml:space="preserve">Despite reported gains in preparedness, self-reported willingness to speak publicly remained comparatively lower—a pattern this study conceptualizes as the preparedness–participation gap. While students reported higher confidence after AI-assisted preparation, indicators more directly linked to active classroom participation, such as willingness to share ideas (47%) and confidence in being seen speaking publicly (45%), were substantially lower. This distinction is consistent with Ulla et al. (2023), who cautioned that AI may be associated with reduced learner engagement with teachers even as technology-mediated practice increases; however, given the self-report nature of the present data, no causal claim can be made about AI reducing interaction. The </w:t>
      </w:r>
      <w:r w:rsidR="00E465AA">
        <w:t xml:space="preserve">exploratory path </w:t>
      </w:r>
      <w:r w:rsidRPr="00BB4371">
        <w:t>analysis provides associational evidence that confidence partially bridges this gap, but the significant direct effect (β = .18) confirms that additional factors</w:t>
      </w:r>
      <w:r w:rsidR="00BA0BB2">
        <w:t xml:space="preserve">, </w:t>
      </w:r>
      <w:r w:rsidRPr="00BB4371">
        <w:t>likely social, evaluative, and contextual</w:t>
      </w:r>
      <w:r w:rsidR="00BA0BB2">
        <w:t xml:space="preserve">, </w:t>
      </w:r>
      <w:r w:rsidRPr="00BB4371">
        <w:t>also shape participation decisions independently of confidence.</w:t>
      </w:r>
    </w:p>
    <w:p w14:paraId="37C7BFCE" w14:textId="3A4C827D" w:rsidR="00DF7F25" w:rsidRDefault="00C7052C" w:rsidP="00CE4CFF">
      <w:pPr>
        <w:spacing w:after="120" w:line="480" w:lineRule="auto"/>
        <w:ind w:firstLine="720"/>
        <w:jc w:val="both"/>
      </w:pPr>
      <w:r w:rsidRPr="00BB4371">
        <w:t>Traditional interactional frameworks such as the interaction hypothesis (Long, 2015) emphasize negotiation of meaning as the driver of second language development. The present findings suggest that learners' access to linguistic resources is a necessary but insufficient condition for such negotiation: the willingness to take interpersonal risks in public, evaluative contexts remains a distinct and underexplored barrier. AI tools, which operate in private, low-stakes environments, appear well-suited to the former but less effective in addressing the latter.</w:t>
      </w:r>
    </w:p>
    <w:p w14:paraId="2436C104" w14:textId="6397747E" w:rsidR="00BF3717" w:rsidRDefault="00BF3717" w:rsidP="00CE4CFF">
      <w:pPr>
        <w:spacing w:after="120" w:line="480" w:lineRule="auto"/>
        <w:ind w:firstLine="720"/>
        <w:jc w:val="both"/>
      </w:pPr>
    </w:p>
    <w:p w14:paraId="05160A25" w14:textId="77777777" w:rsidR="00DF7F25" w:rsidRPr="00791CAB" w:rsidRDefault="00C7052C" w:rsidP="00CE4CFF">
      <w:pPr>
        <w:spacing w:after="120" w:line="480" w:lineRule="auto"/>
        <w:rPr>
          <w:b/>
          <w:bCs/>
          <w:i/>
          <w:iCs/>
        </w:rPr>
      </w:pPr>
      <w:r w:rsidRPr="00791CAB">
        <w:rPr>
          <w:b/>
          <w:bCs/>
          <w:i/>
          <w:iCs/>
        </w:rPr>
        <w:lastRenderedPageBreak/>
        <w:t>5.3 Challenges and the Evolving Role of the Teacher</w:t>
      </w:r>
    </w:p>
    <w:p w14:paraId="398FEBC8" w14:textId="4E2BA14A" w:rsidR="00DF7F25" w:rsidRPr="00BB4371" w:rsidRDefault="00C7052C" w:rsidP="00CE4CFF">
      <w:pPr>
        <w:spacing w:after="120" w:line="480" w:lineRule="auto"/>
        <w:ind w:firstLine="720"/>
        <w:jc w:val="both"/>
      </w:pPr>
      <w:r w:rsidRPr="00BB4371">
        <w:t>The study identified four perceived challenges of notable prominence: over-reliance on AI content (42%), reduced spontaneity (38%), digital literacy gaps (21%), and uncertainty about AI feedback accuracy (17%). Critically, the two most frequently reported challenges</w:t>
      </w:r>
      <w:r w:rsidR="00BA0BB2">
        <w:t xml:space="preserve">, </w:t>
      </w:r>
      <w:r w:rsidR="007361C5">
        <w:t>namely</w:t>
      </w:r>
      <w:r w:rsidR="00BA0BB2">
        <w:t xml:space="preserve"> </w:t>
      </w:r>
      <w:r w:rsidRPr="00BB4371">
        <w:t>over-reliance and reduced spontaneity</w:t>
      </w:r>
      <w:r w:rsidR="00BA0BB2">
        <w:t xml:space="preserve">, </w:t>
      </w:r>
      <w:r w:rsidRPr="00BB4371">
        <w:t>affect a substantial proportion of participants and warrant equal analytical weight alongside the positive findings. These challenges suggest that AI-supported preparation carries inherent risks for authentic communicative competence when not counterbalanced by appropriate task design and teacher guidance. Specifically, students who submitted AI-drafted responses with minimal personal input reported difficulty adapting when teacher questions deviated from their prepared material, echoing Kohnke et al.’s (2023) observation that unstructured AI use may mask deeper communicative deficiencies. The reduced spontaneity finding (38%) further indicates that scripted preparation, while reducing anxiety, may also constrain the real-time responsiveness that is central to genuine teacher–student interaction. These patterns are associational only; the cross-sectional, single-group design precludes causal attribution of reduced spontaneity to AI use per se.</w:t>
      </w:r>
    </w:p>
    <w:p w14:paraId="6155364A" w14:textId="77777777" w:rsidR="00DF7F25" w:rsidRPr="00BB4371" w:rsidRDefault="00C7052C" w:rsidP="00CE4CFF">
      <w:pPr>
        <w:spacing w:after="120" w:line="480" w:lineRule="auto"/>
        <w:ind w:firstLine="720"/>
        <w:jc w:val="both"/>
      </w:pPr>
      <w:r w:rsidRPr="00BB4371">
        <w:t xml:space="preserve">Rather than diminishing the importance of teachers, these findings suggest that AI integration reconstitutes instructional responsibilities toward the management of interactional and affective conditions. As AI tools assume a greater role in supporting content preparation, teachers become increasingly central in facilitating real-time meaning negotiation, modeling spontaneous language use, and cultivating the social conditions necessary for risk-taking in public communication. This reframing of teacher roles has direct implications for professional development: EFL instructors in AI-integrated contexts may benefit from targeted training not only in AI tool operation, but in designing post-AI interaction tasks, giving metacognitive feedback on scripted versus authentic communication, and managing the socio-affective </w:t>
      </w:r>
      <w:r w:rsidRPr="00BB4371">
        <w:lastRenderedPageBreak/>
        <w:t>dynamics that emerge when students arrive over-prepared but under-confident in live interaction.</w:t>
      </w:r>
    </w:p>
    <w:p w14:paraId="1D109E89" w14:textId="77777777" w:rsidR="00DF7F25" w:rsidRPr="00791CAB" w:rsidRDefault="00C7052C" w:rsidP="00CE4CFF">
      <w:pPr>
        <w:spacing w:after="120" w:line="480" w:lineRule="auto"/>
        <w:rPr>
          <w:b/>
          <w:bCs/>
          <w:i/>
          <w:iCs/>
        </w:rPr>
      </w:pPr>
      <w:r w:rsidRPr="00791CAB">
        <w:rPr>
          <w:b/>
          <w:bCs/>
          <w:i/>
          <w:iCs/>
        </w:rPr>
        <w:t>5.4 Implications for Pedagogy</w:t>
      </w:r>
    </w:p>
    <w:p w14:paraId="219EA598" w14:textId="77777777" w:rsidR="00DF7F25" w:rsidRPr="00BB4371" w:rsidRDefault="00C7052C" w:rsidP="00CE4CFF">
      <w:pPr>
        <w:spacing w:after="120" w:line="480" w:lineRule="auto"/>
        <w:ind w:firstLine="720"/>
        <w:jc w:val="both"/>
      </w:pPr>
      <w:r w:rsidRPr="00BB4371">
        <w:t xml:space="preserve">The central pedagogical finding of this study is that students perceived AI-assisted preparation as most beneficial when embedded within a structured instructional framework rather than used independently. Students who received clear guidance on using AI tools as preparatory scaffolds reported more substantive and confident engagement with teachers, while those who relied on AI outputs without critical evaluation tended toward scripted delivery and reduced responsiveness in real-time interaction. This pattern is consistent with Kohnke et al. (2023), who argued that pedagogical framing is the key variable determining whether AI functions as a communicative bridge or a communicative barrier, and with Ulla et al. (2023), who identified teacher role clarity as essential in AI-integrated classrooms. The explanation for this pattern likely lies in the distinction between AI as a content provider versus AI as a thinking scaffold: students who were guided to use AI for idea generation and then elaborate independently arrived in class better equipped to deviate from their prepared material. This distinction has direct implications for instructional design. Specifically, the present findings support the following evidence-informed strategies: designing speaking tasks that require personal opinions and real-time elaboration, rendering AI-generated scripts insufficient; providing structured low-stakes practice sessions to build social and evaluative confidence alongside linguistic readiness; offering explicit digital literacy training so that all students can access AI tools effectively and equitably, addressing the participation gap identified among the 21% who reported difficulty with AI interfaces; and framing AI use through reflective journal practice that builds metacognitive awareness of when AI assistance enhances versus constrains authentic communication. These implications extend beyond classroom practice to curriculum </w:t>
      </w:r>
      <w:r w:rsidRPr="00BB4371">
        <w:lastRenderedPageBreak/>
        <w:t>design and teacher professional development, where preparation for AI-integrated speaking instruction should be considered a core competency.</w:t>
      </w:r>
    </w:p>
    <w:p w14:paraId="5E43780E" w14:textId="77777777" w:rsidR="00DF7F25" w:rsidRPr="00B073A2" w:rsidRDefault="00C7052C" w:rsidP="00CE4CFF">
      <w:pPr>
        <w:spacing w:after="120" w:line="480" w:lineRule="auto"/>
        <w:jc w:val="center"/>
        <w:rPr>
          <w:b/>
          <w:bCs/>
        </w:rPr>
      </w:pPr>
      <w:r w:rsidRPr="00BB4371">
        <w:rPr>
          <w:b/>
          <w:bCs/>
        </w:rPr>
        <w:t>6. Conclusion</w:t>
      </w:r>
    </w:p>
    <w:p w14:paraId="5D61A7FF" w14:textId="77777777" w:rsidR="00DF7F25" w:rsidRPr="00791CAB" w:rsidRDefault="00C7052C" w:rsidP="00CE4CFF">
      <w:pPr>
        <w:spacing w:after="120" w:line="480" w:lineRule="auto"/>
        <w:rPr>
          <w:b/>
          <w:bCs/>
          <w:i/>
          <w:iCs/>
        </w:rPr>
      </w:pPr>
      <w:r w:rsidRPr="00791CAB">
        <w:rPr>
          <w:b/>
          <w:bCs/>
          <w:i/>
          <w:iCs/>
        </w:rPr>
        <w:t>6.1 Summary of Findings</w:t>
      </w:r>
    </w:p>
    <w:p w14:paraId="0676C598" w14:textId="77777777" w:rsidR="00DF7F25" w:rsidRPr="00BB4371" w:rsidRDefault="00C7052C" w:rsidP="00CE4CFF">
      <w:pPr>
        <w:spacing w:after="120" w:line="480" w:lineRule="auto"/>
        <w:ind w:firstLine="720"/>
        <w:jc w:val="both"/>
      </w:pPr>
      <w:r w:rsidRPr="00BB4371">
        <w:t>The findings reveal that students perceived AI-assisted learning as associated with nuanced and uneven shifts in their readiness for teacher–student interaction in EFL speaking classrooms. All findings are self-reported and strictly perceptual; no causal claims about AI’s effects on interaction are made. Students broadly perceived AI as associated with increased enjoyment (61%), improved preparedness, and higher post-task confidence (64%). At the same time, a sizable neutral bloc (31%–48% of students) selected the Neutral response across items, indicating that a substantial proportion of participants neither endorsed nor rejected positive associations. The central contribution of this study lies in identifying a preparedness–participation gap: students reported that AI tools were associated with their ability to generate ideas and rehearse language prior to speaking, yet this perceived preparedness did not translate consistently into self-reported willingness to engage publicly in live classroom interaction. Equally important, the study identified significant perceived challenges: 42% of students reported over-reliance on AI-generated content, and 38% reported reduced spontaneity in oral delivery—findings that qualify the overall positive picture and warrant serious consideration in pedagogical planning. Students continued to report hesitation and anxiety when engaging in live classroom interaction, suggesting that AI is perceived as exerting a more limited influence on the socio-affective dimension of public communication.</w:t>
      </w:r>
    </w:p>
    <w:p w14:paraId="15871789" w14:textId="77777777" w:rsidR="00DF7F25" w:rsidRPr="00BB4371" w:rsidRDefault="00C7052C" w:rsidP="00CE4CFF">
      <w:pPr>
        <w:spacing w:after="120" w:line="480" w:lineRule="auto"/>
        <w:ind w:firstLine="720"/>
        <w:jc w:val="both"/>
      </w:pPr>
      <w:r w:rsidRPr="00BB4371">
        <w:t xml:space="preserve">Effective teacher–student interaction in EFL contexts cannot be fully supported through technological means alone, as interaction depends not only on linguistic readiness but also on confidence, identity, and social risk-taking. As AI increasingly supports the cognitive aspects </w:t>
      </w:r>
      <w:r w:rsidRPr="00BB4371">
        <w:lastRenderedPageBreak/>
        <w:t>of language learning preparation, the teacher’s role appears even more central in shaping the affective and interactional environment of the classroom. Effective AI integration therefore calls for a balanced instructional approach pairing AI-supported preparation with pedagogical strategies that promote real-time communication, reduce fear of public speaking, and foster authentic participation—while remaining attentive to the dependency and spontaneity challenges that AI integration may introduce.</w:t>
      </w:r>
    </w:p>
    <w:p w14:paraId="7A9EA8E6" w14:textId="77777777" w:rsidR="00DF7F25" w:rsidRPr="00791CAB" w:rsidRDefault="00C7052C" w:rsidP="00CE4CFF">
      <w:pPr>
        <w:spacing w:after="120" w:line="480" w:lineRule="auto"/>
        <w:rPr>
          <w:b/>
          <w:bCs/>
          <w:i/>
          <w:iCs/>
        </w:rPr>
      </w:pPr>
      <w:r w:rsidRPr="00791CAB">
        <w:rPr>
          <w:b/>
          <w:bCs/>
          <w:i/>
          <w:iCs/>
        </w:rPr>
        <w:t>6.2 Contributions of the Study</w:t>
      </w:r>
    </w:p>
    <w:p w14:paraId="33C2805C" w14:textId="3EDF59AF" w:rsidR="00DF7F25" w:rsidRPr="00BB4371" w:rsidRDefault="00C7052C" w:rsidP="00CE4CFF">
      <w:pPr>
        <w:spacing w:after="120" w:line="480" w:lineRule="auto"/>
        <w:ind w:firstLine="720"/>
        <w:jc w:val="both"/>
      </w:pPr>
      <w:r w:rsidRPr="00BB4371">
        <w:t>This research makes three contributions. First, it introduces the concept of the preparedness–participation gap as a framework for understanding the perceived differential impact of AI on internal readiness versus reported engagement in interaction. Second, it provides exploratory mixed-methods evidence from a Vietnamese university context</w:t>
      </w:r>
      <w:r w:rsidR="007361C5">
        <w:t xml:space="preserve">, a setting </w:t>
      </w:r>
      <w:r w:rsidRPr="00BB4371">
        <w:t>underrepresented in research on AI in language education</w:t>
      </w:r>
      <w:r w:rsidR="007361C5">
        <w:t xml:space="preserve">, </w:t>
      </w:r>
      <w:r w:rsidRPr="00BB4371">
        <w:t>documenting how non-English major students perceive AI-assisted speaking preparation. Third, it highlights the continued centrality of teacher mediation in AI-integrated classrooms, with implications for pedagogy, curriculum design, and teacher professional development.</w:t>
      </w:r>
    </w:p>
    <w:p w14:paraId="47C30630" w14:textId="77777777" w:rsidR="00DF7F25" w:rsidRPr="00791CAB" w:rsidRDefault="00C7052C" w:rsidP="00CE4CFF">
      <w:pPr>
        <w:spacing w:after="120" w:line="480" w:lineRule="auto"/>
        <w:rPr>
          <w:b/>
          <w:bCs/>
          <w:i/>
          <w:iCs/>
        </w:rPr>
      </w:pPr>
      <w:r w:rsidRPr="00791CAB">
        <w:rPr>
          <w:b/>
          <w:bCs/>
          <w:i/>
          <w:iCs/>
        </w:rPr>
        <w:t>6.3 Limitations and Future Directions</w:t>
      </w:r>
    </w:p>
    <w:p w14:paraId="1FD14531" w14:textId="32993597" w:rsidR="00DF7F25" w:rsidRPr="00BB4371" w:rsidRDefault="00C7052C" w:rsidP="00CE4CFF">
      <w:pPr>
        <w:spacing w:after="120" w:line="480" w:lineRule="auto"/>
        <w:ind w:firstLine="720"/>
        <w:jc w:val="both"/>
      </w:pPr>
      <w:r w:rsidRPr="00BB4371">
        <w:t xml:space="preserve">Several limitations frame the scope of interpretable findings. First, and most fundamentally, the study relied exclusively on self-reported perceptual data. All conclusions pertain to what students believed about their experiences, not to observable changes in speaking behavior or interaction quality. Future research should incorporate behavioral measures such as discourse analysis and turn-taking counts to validate perceptual reports. Second, the absence of a control group or pre-test/post-test design means that no baseline comparison is available; observed patterns may reflect pre-existing dispositions rather than responses to the AI intervention. Third, the single institutional setting at HCMUT and the eight-week timeframe </w:t>
      </w:r>
      <w:r w:rsidRPr="00BB4371">
        <w:lastRenderedPageBreak/>
        <w:t xml:space="preserve">limit generalizability to other Vietnamese university contexts, other EFL systems, or higher-proficiency learners. Fourth, the nine-item questionnaire yields an average of three items per factor, falling below the four-to-five items per factor recommended by Costello and Osborne (2005); the EFA results should therefore be treated as preliminary and require replication with a larger, psychometrically developed instrument. Fifth, the cross-sectional </w:t>
      </w:r>
      <w:r w:rsidR="00E465AA">
        <w:t>exploratory path</w:t>
      </w:r>
      <w:r w:rsidR="00E465AA" w:rsidRPr="00BB4371">
        <w:t xml:space="preserve"> </w:t>
      </w:r>
      <w:r w:rsidRPr="00BB4371">
        <w:t xml:space="preserve">analysis cannot establish temporal precedence among AI-assisted preparation, confidence, and WTC; the “mediation” model is associational only. Sixth, the study did not examine proficiency as a moderating variable; it is plausible that the preparedness–participation gap manifests differently across A2, B1, and B2 learners, a question that warrants targeted future investigation. Seventh, social desirability bias may have inflated positive self-reports, given that AI integration was teacher-initiated and journal entries were submitted to </w:t>
      </w:r>
      <w:r w:rsidR="00D41CF9">
        <w:t xml:space="preserve">the </w:t>
      </w:r>
      <w:r w:rsidRPr="00BB4371">
        <w:t>instructor. These limitations collectively frame this study as exploratory and call for methodological triangulation in future work.</w:t>
      </w:r>
    </w:p>
    <w:p w14:paraId="3A5835E7" w14:textId="77777777" w:rsidR="00DF7F25" w:rsidRPr="00BB4371" w:rsidRDefault="00C7052C" w:rsidP="00CE4CFF">
      <w:pPr>
        <w:spacing w:after="120" w:line="480" w:lineRule="auto"/>
        <w:ind w:firstLine="720"/>
        <w:jc w:val="both"/>
      </w:pPr>
      <w:r w:rsidRPr="00BB4371">
        <w:t>Future research should incorporate direct behavioral measures of classroom interaction, including discourse analysis and turn-taking frequency counts; longitudinal designs tracking communicative development over time; experimental or quasi-experimental designs for stronger causal evidence; and investigation of teacher perspectives on AI integration. Additional research is also needed to examine how the preparedness–participation gap varies across proficiency levels, task types, and cultural contexts.</w:t>
      </w:r>
    </w:p>
    <w:p w14:paraId="2481F347" w14:textId="77777777" w:rsidR="00E72BB8" w:rsidRPr="00BB4371" w:rsidRDefault="00E72BB8" w:rsidP="00CE4CFF">
      <w:pPr>
        <w:spacing w:after="120" w:line="480" w:lineRule="auto"/>
        <w:ind w:firstLine="720"/>
        <w:jc w:val="both"/>
        <w:rPr>
          <w:b/>
          <w:bCs/>
        </w:rPr>
      </w:pPr>
      <w:r w:rsidRPr="00BB4371">
        <w:br w:type="page"/>
      </w:r>
    </w:p>
    <w:p w14:paraId="6518B53C" w14:textId="1C47E9BC" w:rsidR="00DF7F25" w:rsidRDefault="00C7052C" w:rsidP="00CE4CFF">
      <w:pPr>
        <w:spacing w:after="120" w:line="480" w:lineRule="auto"/>
        <w:rPr>
          <w:b/>
          <w:bCs/>
        </w:rPr>
      </w:pPr>
      <w:r w:rsidRPr="005652CA">
        <w:rPr>
          <w:b/>
          <w:bCs/>
        </w:rPr>
        <w:lastRenderedPageBreak/>
        <w:t>References</w:t>
      </w:r>
    </w:p>
    <w:p w14:paraId="0D3E89E9" w14:textId="3E99DFAF" w:rsidR="00861B33" w:rsidRDefault="00861B33" w:rsidP="00CE4CFF">
      <w:pPr>
        <w:spacing w:after="120" w:line="360" w:lineRule="auto"/>
        <w:ind w:left="720" w:hanging="720"/>
      </w:pPr>
      <w:r w:rsidRPr="00861B33">
        <w:t xml:space="preserve">Boud, D., Keogh, R., &amp; Walker, D. (Eds.). (1985). </w:t>
      </w:r>
      <w:r w:rsidRPr="00861B33">
        <w:rPr>
          <w:i/>
          <w:iCs/>
        </w:rPr>
        <w:t>Reflection: Turning experience into learning</w:t>
      </w:r>
      <w:r w:rsidRPr="00861B33">
        <w:t>. Kogan Page.</w:t>
      </w:r>
    </w:p>
    <w:p w14:paraId="2DA98551" w14:textId="701FC111" w:rsidR="0017703B" w:rsidRDefault="0017703B" w:rsidP="00CE4CFF">
      <w:pPr>
        <w:spacing w:after="120" w:line="360" w:lineRule="auto"/>
        <w:ind w:left="720" w:hanging="720"/>
      </w:pPr>
      <w:r>
        <w:t xml:space="preserve">Braun, V., &amp; Clarke, V. (2021). </w:t>
      </w:r>
      <w:r>
        <w:rPr>
          <w:i/>
        </w:rPr>
        <w:t>Thematic analysis: A practical guide</w:t>
      </w:r>
      <w:r>
        <w:t>. SAGE Publications.</w:t>
      </w:r>
    </w:p>
    <w:p w14:paraId="5B6C45F2" w14:textId="77777777" w:rsidR="0017703B" w:rsidRDefault="0017703B" w:rsidP="00CE4CFF">
      <w:pPr>
        <w:spacing w:after="120" w:line="360" w:lineRule="auto"/>
        <w:ind w:left="720" w:hanging="720"/>
      </w:pPr>
      <w:r>
        <w:t xml:space="preserve">Costello, A. B., &amp; Osborne, J. W. (2005). Best practices in exploratory factor analysis: Four recommendations for getting the most from your analysis. </w:t>
      </w:r>
      <w:r>
        <w:rPr>
          <w:i/>
        </w:rPr>
        <w:t>Practical Assessment, Research &amp; Evaluation</w:t>
      </w:r>
      <w:r>
        <w:t xml:space="preserve">, </w:t>
      </w:r>
      <w:r>
        <w:rPr>
          <w:i/>
        </w:rPr>
        <w:t>10</w:t>
      </w:r>
      <w:r>
        <w:t>(7), 1–9. https://doi.org/10.7275/jyj1-4868</w:t>
      </w:r>
    </w:p>
    <w:p w14:paraId="63C446BA" w14:textId="77777777" w:rsidR="0017703B" w:rsidRDefault="0017703B" w:rsidP="00CE4CFF">
      <w:pPr>
        <w:spacing w:after="120" w:line="360" w:lineRule="auto"/>
        <w:ind w:left="720" w:hanging="720"/>
      </w:pPr>
      <w:r>
        <w:t xml:space="preserve">Godwin-Jones, R. (2022). Partnering with AI: Intelligent writing assistance and instructed language learning. </w:t>
      </w:r>
      <w:r>
        <w:rPr>
          <w:i/>
        </w:rPr>
        <w:t>Language Learning &amp; Technology</w:t>
      </w:r>
      <w:r>
        <w:t xml:space="preserve">, </w:t>
      </w:r>
      <w:r>
        <w:rPr>
          <w:i/>
        </w:rPr>
        <w:t>26</w:t>
      </w:r>
      <w:r>
        <w:t>(2), 5–24. http://hdl.handle.net/10125/73474</w:t>
      </w:r>
    </w:p>
    <w:p w14:paraId="7BDA4A66" w14:textId="77777777" w:rsidR="0017703B" w:rsidRDefault="0017703B" w:rsidP="00CE4CFF">
      <w:pPr>
        <w:spacing w:after="120" w:line="360" w:lineRule="auto"/>
        <w:ind w:left="720" w:hanging="720"/>
      </w:pPr>
      <w:r>
        <w:t xml:space="preserve">Horwitz, E. K. (2017). On the misreading of Horwitz, Horwitz, and Cope (1986) and the need to balance anxiety research and the experiences of anxious language learners. In C. Gkonou, M. Daubney, &amp; J.-M. Dewaele (Eds.), </w:t>
      </w:r>
      <w:r>
        <w:rPr>
          <w:i/>
        </w:rPr>
        <w:t>New insights into language anxiety: Theory, research and educational implications</w:t>
      </w:r>
      <w:r>
        <w:t xml:space="preserve"> (pp. 31–50). Multilingual Matters. https://doi.org/10.21832/9781783097722-005</w:t>
      </w:r>
    </w:p>
    <w:p w14:paraId="00651C6D" w14:textId="77777777" w:rsidR="0017703B" w:rsidRDefault="0017703B" w:rsidP="00CE4CFF">
      <w:pPr>
        <w:spacing w:after="120" w:line="360" w:lineRule="auto"/>
        <w:ind w:left="720" w:hanging="720"/>
      </w:pPr>
      <w:r>
        <w:t xml:space="preserve">Horwitz, E. K., Horwitz, M. B., &amp; Cope, J. (1986). Foreign language classroom anxiety. </w:t>
      </w:r>
      <w:r>
        <w:rPr>
          <w:i/>
        </w:rPr>
        <w:t>The Modern Language Journal</w:t>
      </w:r>
      <w:r>
        <w:t xml:space="preserve">, </w:t>
      </w:r>
      <w:r>
        <w:rPr>
          <w:i/>
        </w:rPr>
        <w:t>70</w:t>
      </w:r>
      <w:r>
        <w:t>(2), 125–132. https://doi.org/10.1111/j.1540-4781.1986.tb05256.x</w:t>
      </w:r>
    </w:p>
    <w:p w14:paraId="42002E54" w14:textId="77777777" w:rsidR="0017703B" w:rsidRDefault="0017703B" w:rsidP="00CE4CFF">
      <w:pPr>
        <w:spacing w:after="120" w:line="360" w:lineRule="auto"/>
        <w:ind w:left="720" w:hanging="720"/>
      </w:pPr>
      <w:r>
        <w:t xml:space="preserve">Huang, X., Zou, D., Cheng, G., Chen, X., &amp; Xie, H. (2023). Trends, research issues and applications of artificial intelligence in language education. </w:t>
      </w:r>
      <w:r>
        <w:rPr>
          <w:i/>
        </w:rPr>
        <w:t>Educational Technology &amp; Society</w:t>
      </w:r>
      <w:r>
        <w:t xml:space="preserve">, </w:t>
      </w:r>
      <w:r>
        <w:rPr>
          <w:i/>
        </w:rPr>
        <w:t>26</w:t>
      </w:r>
      <w:r>
        <w:t>(1), 112–131.</w:t>
      </w:r>
    </w:p>
    <w:p w14:paraId="1BFE3738" w14:textId="77777777" w:rsidR="0017703B" w:rsidRDefault="0017703B" w:rsidP="00CE4CFF">
      <w:pPr>
        <w:spacing w:after="120" w:line="360" w:lineRule="auto"/>
        <w:ind w:left="720" w:hanging="720"/>
      </w:pPr>
      <w:r>
        <w:t xml:space="preserve">Kohnke, L., Moorhouse, B. L., &amp; Zou, D. (2023). ChatGPT for language teaching and learning. </w:t>
      </w:r>
      <w:r>
        <w:rPr>
          <w:i/>
        </w:rPr>
        <w:t>RELC Journal</w:t>
      </w:r>
      <w:r>
        <w:t xml:space="preserve">, </w:t>
      </w:r>
      <w:r>
        <w:rPr>
          <w:i/>
        </w:rPr>
        <w:t>54</w:t>
      </w:r>
      <w:r>
        <w:t>(2), 537–550. https://doi.org/10.1177/00336882231162868</w:t>
      </w:r>
    </w:p>
    <w:p w14:paraId="02991406" w14:textId="77777777" w:rsidR="0017703B" w:rsidRDefault="0017703B" w:rsidP="00CE4CFF">
      <w:pPr>
        <w:spacing w:after="120" w:line="360" w:lineRule="auto"/>
        <w:ind w:left="720" w:hanging="720"/>
      </w:pPr>
      <w:r>
        <w:t xml:space="preserve">Lantolf, J. P., Thorne, S. L., &amp; Poehner, M. E. (2015). Sociocultural theory and second language development. In B. VanPatten &amp; J. Williams (Eds.), </w:t>
      </w:r>
      <w:r>
        <w:rPr>
          <w:i/>
        </w:rPr>
        <w:t>Theories in second language acquisition</w:t>
      </w:r>
      <w:r>
        <w:t xml:space="preserve"> (2nd ed., pp. 207–226). Routledge.</w:t>
      </w:r>
    </w:p>
    <w:p w14:paraId="45A1D1E4" w14:textId="77777777" w:rsidR="0017703B" w:rsidRDefault="0017703B" w:rsidP="00CE4CFF">
      <w:pPr>
        <w:spacing w:after="120" w:line="360" w:lineRule="auto"/>
        <w:ind w:left="720" w:hanging="720"/>
      </w:pPr>
      <w:r>
        <w:t xml:space="preserve">Long, M. H. (2015). </w:t>
      </w:r>
      <w:r>
        <w:rPr>
          <w:i/>
        </w:rPr>
        <w:t>Second language acquisition and task-based language teaching</w:t>
      </w:r>
      <w:r>
        <w:t>. Wiley-Blackwell.</w:t>
      </w:r>
    </w:p>
    <w:p w14:paraId="6BFDFC02" w14:textId="77777777" w:rsidR="0017703B" w:rsidRDefault="0017703B" w:rsidP="00CE4CFF">
      <w:pPr>
        <w:spacing w:after="120" w:line="360" w:lineRule="auto"/>
        <w:ind w:left="720" w:hanging="720"/>
      </w:pPr>
      <w:r>
        <w:lastRenderedPageBreak/>
        <w:t xml:space="preserve">MacIntyre, P. D., Baker, S. C., Clément, R., &amp; Conrod, S. (2001). Willingness to communicate, social support, and language-learning orientations of immersion students. </w:t>
      </w:r>
      <w:r>
        <w:rPr>
          <w:i/>
        </w:rPr>
        <w:t>Studies in Second Language Acquisition</w:t>
      </w:r>
      <w:r>
        <w:t xml:space="preserve">, </w:t>
      </w:r>
      <w:r>
        <w:rPr>
          <w:i/>
        </w:rPr>
        <w:t>23</w:t>
      </w:r>
      <w:r>
        <w:t>(3), 369–388. https://doi.org/10.1017/S027226310100304X</w:t>
      </w:r>
    </w:p>
    <w:p w14:paraId="09B9C3F4" w14:textId="77777777" w:rsidR="0017703B" w:rsidRDefault="0017703B" w:rsidP="00CE4CFF">
      <w:pPr>
        <w:spacing w:after="120" w:line="360" w:lineRule="auto"/>
        <w:ind w:left="720" w:hanging="720"/>
      </w:pPr>
      <w:r>
        <w:t xml:space="preserve">MacIntyre, P. D., &amp; Doucette, J. (2010). Willingness to communicate and action control. </w:t>
      </w:r>
      <w:r>
        <w:rPr>
          <w:i/>
        </w:rPr>
        <w:t>System</w:t>
      </w:r>
      <w:r>
        <w:t xml:space="preserve">, </w:t>
      </w:r>
      <w:r>
        <w:rPr>
          <w:i/>
        </w:rPr>
        <w:t>38</w:t>
      </w:r>
      <w:r>
        <w:t>(2), 161–171. https://doi.org/10.1016/j.system.2010.03.002</w:t>
      </w:r>
    </w:p>
    <w:p w14:paraId="369F186B" w14:textId="77777777" w:rsidR="0017703B" w:rsidRDefault="0017703B" w:rsidP="00CE4CFF">
      <w:pPr>
        <w:spacing w:after="120" w:line="360" w:lineRule="auto"/>
        <w:ind w:left="720" w:hanging="720"/>
      </w:pPr>
      <w:r>
        <w:t xml:space="preserve">Mali, Y. C. G. (2025). Reflective practice in language teaching and learning: A literature review. </w:t>
      </w:r>
      <w:r>
        <w:rPr>
          <w:i/>
        </w:rPr>
        <w:t>Journal of English Teaching and Learning Issues</w:t>
      </w:r>
      <w:r>
        <w:t xml:space="preserve">, </w:t>
      </w:r>
      <w:r>
        <w:rPr>
          <w:i/>
        </w:rPr>
        <w:t>8</w:t>
      </w:r>
      <w:r>
        <w:t>(2), 115–130. https://doi.org/10.21043/jetli.v8i2.23451</w:t>
      </w:r>
    </w:p>
    <w:p w14:paraId="1078A43B" w14:textId="30E043A4" w:rsidR="0017703B" w:rsidRDefault="0017703B" w:rsidP="00CE4CFF">
      <w:pPr>
        <w:spacing w:after="120" w:line="360" w:lineRule="auto"/>
        <w:ind w:left="720" w:hanging="720"/>
      </w:pPr>
      <w:r>
        <w:t xml:space="preserve">McHugh, M. L. (2012). Interrater reliability: The kappa statistic. </w:t>
      </w:r>
      <w:r>
        <w:rPr>
          <w:i/>
        </w:rPr>
        <w:t>Biochemia Medica</w:t>
      </w:r>
      <w:r>
        <w:t xml:space="preserve">, </w:t>
      </w:r>
      <w:r>
        <w:rPr>
          <w:i/>
        </w:rPr>
        <w:t>22</w:t>
      </w:r>
      <w:r>
        <w:t>(3), 276–282.</w:t>
      </w:r>
      <w:r w:rsidR="00861B33">
        <w:t xml:space="preserve"> </w:t>
      </w:r>
      <w:r w:rsidR="00861B33" w:rsidRPr="00861B33">
        <w:t>https://doi.org/10.11613/BM.2012.031</w:t>
      </w:r>
    </w:p>
    <w:p w14:paraId="7F41195C" w14:textId="77777777" w:rsidR="0017703B" w:rsidRDefault="0017703B" w:rsidP="00CE4CFF">
      <w:pPr>
        <w:spacing w:after="120" w:line="360" w:lineRule="auto"/>
        <w:ind w:left="720" w:hanging="720"/>
      </w:pPr>
      <w:r>
        <w:t xml:space="preserve">Nguyen, L. T., Hung, B. P., Duong, U. T. T., &amp; Le, T. T. (2021). Teachers' and learners' beliefs about pronunciation instruction in tertiary English as a foreign language education. </w:t>
      </w:r>
      <w:r>
        <w:rPr>
          <w:i/>
        </w:rPr>
        <w:t>Frontiers in Psychology</w:t>
      </w:r>
      <w:r>
        <w:t xml:space="preserve">, </w:t>
      </w:r>
      <w:r>
        <w:rPr>
          <w:i/>
        </w:rPr>
        <w:t>12</w:t>
      </w:r>
      <w:r>
        <w:t>, Article 739842. https://doi.org/10.3389/fpsyg.2021.739842</w:t>
      </w:r>
    </w:p>
    <w:p w14:paraId="7F76EBE2" w14:textId="77777777" w:rsidR="0017703B" w:rsidRDefault="0017703B" w:rsidP="00CE4CFF">
      <w:pPr>
        <w:spacing w:after="120" w:line="360" w:lineRule="auto"/>
        <w:ind w:left="720" w:hanging="720"/>
      </w:pPr>
      <w:r>
        <w:t xml:space="preserve">Orhan, A., Aydın Yıldız, T., &amp; Çınar Yağcı, Ş. (2024). Assessing EFL learners' attitudes on Generative Artificial Intelligence: Development and validation of Generative Artificial Intelligence attitude scale for EFL learners (GenAIAS). </w:t>
      </w:r>
      <w:r>
        <w:rPr>
          <w:i/>
        </w:rPr>
        <w:t>Journal of Research on Technology in Education</w:t>
      </w:r>
      <w:r>
        <w:t>, 1–21. https://doi.org/10.1080/15391523.2024.2437744</w:t>
      </w:r>
    </w:p>
    <w:p w14:paraId="10443AE9" w14:textId="77777777" w:rsidR="0017703B" w:rsidRDefault="0017703B" w:rsidP="00CE4CFF">
      <w:pPr>
        <w:spacing w:after="120" w:line="360" w:lineRule="auto"/>
        <w:ind w:left="720" w:hanging="720"/>
      </w:pPr>
      <w:r>
        <w:t xml:space="preserve">Pham, H. H., &amp; Ho, T. T. H. (2020). Toward a 'new normal' with e-learning in Vietnamese higher education during the post COVID-19 pandemic. </w:t>
      </w:r>
      <w:r>
        <w:rPr>
          <w:i/>
        </w:rPr>
        <w:t>Higher Education Research &amp; Development</w:t>
      </w:r>
      <w:r>
        <w:t xml:space="preserve">, </w:t>
      </w:r>
      <w:r>
        <w:rPr>
          <w:i/>
        </w:rPr>
        <w:t>39</w:t>
      </w:r>
      <w:r>
        <w:t>(7), 1327–1331. https://doi.org/10.1080/07294360.2020.1823945</w:t>
      </w:r>
    </w:p>
    <w:p w14:paraId="2494AF39" w14:textId="77777777" w:rsidR="0017703B" w:rsidRDefault="0017703B" w:rsidP="00CE4CFF">
      <w:pPr>
        <w:spacing w:after="120" w:line="360" w:lineRule="auto"/>
        <w:ind w:left="720" w:hanging="720"/>
      </w:pPr>
      <w:r>
        <w:t xml:space="preserve">Tavakol, M., &amp; Dennick, R. (2011). Making sense of Cronbach's alpha. </w:t>
      </w:r>
      <w:r>
        <w:rPr>
          <w:i/>
        </w:rPr>
        <w:t>International Journal of Medical Education</w:t>
      </w:r>
      <w:r>
        <w:t xml:space="preserve">, </w:t>
      </w:r>
      <w:r>
        <w:rPr>
          <w:i/>
        </w:rPr>
        <w:t>2</w:t>
      </w:r>
      <w:r>
        <w:t>, 53–55. https://doi.org/10.5116/ijme.4dfb.8dfd</w:t>
      </w:r>
    </w:p>
    <w:p w14:paraId="7712E87C" w14:textId="77777777" w:rsidR="0017703B" w:rsidRDefault="0017703B" w:rsidP="00CE4CFF">
      <w:pPr>
        <w:spacing w:after="120" w:line="360" w:lineRule="auto"/>
        <w:ind w:left="720" w:hanging="720"/>
      </w:pPr>
      <w:r>
        <w:t xml:space="preserve">Tran, T. Q. (2020). EFL students' attitudes towards learner autonomy in English vocabulary learning. </w:t>
      </w:r>
      <w:r>
        <w:rPr>
          <w:i/>
        </w:rPr>
        <w:t>English Language Teaching Educational Journal</w:t>
      </w:r>
      <w:r>
        <w:t xml:space="preserve">, </w:t>
      </w:r>
      <w:r>
        <w:rPr>
          <w:i/>
        </w:rPr>
        <w:t>3</w:t>
      </w:r>
      <w:r>
        <w:t>(2), 86–94. https://doi.org/10.12928/eltej.v3i2.2374</w:t>
      </w:r>
    </w:p>
    <w:p w14:paraId="2B6DC187" w14:textId="77777777" w:rsidR="0017703B" w:rsidRDefault="0017703B" w:rsidP="00CE4CFF">
      <w:pPr>
        <w:spacing w:after="120" w:line="360" w:lineRule="auto"/>
        <w:ind w:left="720" w:hanging="720"/>
      </w:pPr>
      <w:r>
        <w:t xml:space="preserve">Ulla, M. B., Perales, W. F., &amp; Busbus, S. O. (2023). 'To generate or stop generating response': Exploring EFL teachers' perspectives on ChatGPT in English language teaching in Thailand. </w:t>
      </w:r>
      <w:r>
        <w:rPr>
          <w:i/>
        </w:rPr>
        <w:t>Learning: Research and Practice</w:t>
      </w:r>
      <w:r>
        <w:t xml:space="preserve">, </w:t>
      </w:r>
      <w:r>
        <w:rPr>
          <w:i/>
        </w:rPr>
        <w:t>9</w:t>
      </w:r>
      <w:r>
        <w:t>(2), 168–182. https://doi.org/10.1080/23735082.2023.2254652</w:t>
      </w:r>
    </w:p>
    <w:p w14:paraId="2CA621D9" w14:textId="77777777" w:rsidR="0017703B" w:rsidRDefault="0017703B" w:rsidP="00CE4CFF">
      <w:pPr>
        <w:spacing w:after="120" w:line="360" w:lineRule="auto"/>
        <w:ind w:left="720" w:hanging="720"/>
      </w:pPr>
      <w:r>
        <w:lastRenderedPageBreak/>
        <w:t xml:space="preserve">Walsh, S. (2011). </w:t>
      </w:r>
      <w:r>
        <w:rPr>
          <w:i/>
        </w:rPr>
        <w:t>Exploring classroom discourse: Language in action</w:t>
      </w:r>
      <w:r>
        <w:t>. Routledge.</w:t>
      </w:r>
    </w:p>
    <w:p w14:paraId="18DE430B" w14:textId="77777777" w:rsidR="00791CAB" w:rsidRDefault="00791CAB" w:rsidP="00CE4CFF">
      <w:pPr>
        <w:spacing w:after="120" w:line="480" w:lineRule="auto"/>
        <w:rPr>
          <w:b/>
          <w:bCs/>
        </w:rPr>
      </w:pPr>
    </w:p>
    <w:p w14:paraId="0BB72764" w14:textId="0DE15749" w:rsidR="00DF7F25" w:rsidRPr="005652CA" w:rsidRDefault="00C7052C" w:rsidP="00CE4CFF">
      <w:pPr>
        <w:spacing w:after="120" w:line="480" w:lineRule="auto"/>
        <w:rPr>
          <w:b/>
          <w:bCs/>
        </w:rPr>
      </w:pPr>
      <w:r w:rsidRPr="00BB4371">
        <w:rPr>
          <w:b/>
          <w:bCs/>
        </w:rPr>
        <w:t>Author Bionote</w:t>
      </w:r>
    </w:p>
    <w:p w14:paraId="11FB3776" w14:textId="66C19644" w:rsidR="00DF7F25" w:rsidRPr="00BB4371" w:rsidRDefault="00C7052C" w:rsidP="00CE4CFF">
      <w:pPr>
        <w:spacing w:after="120" w:line="480" w:lineRule="auto"/>
        <w:jc w:val="both"/>
      </w:pPr>
      <w:r w:rsidRPr="00BB4371">
        <w:t>Thanh Thuy Nguyen (nguyenthanhthuy@hcmut.edu.vn) is a lecturer at the Foreign Language Center, Ho Chi Minh City University of Technology (HCMUT), Vietnam. She has accumulated over 15 years of experience in English language teaching since joining HCMUT in 2008. She holds a Bachelor's degree in English Language Teaching from Ho Chi Minh City University of Pedagogy and a Master's degree in Applied Linguistics from Curtin University, Australia. Her research interests include AI-assisted language learning, speaking instruction, and teacher–student interaction in EFL contexts. Guided by her philosophy that "teaching is a dual learning process," she believes teachers and students grow together through continuous learning and reflection.</w:t>
      </w:r>
    </w:p>
    <w:sectPr w:rsidR="00DF7F25" w:rsidRPr="00BB4371">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C973" w14:textId="77777777" w:rsidR="00E74330" w:rsidRDefault="00E74330">
      <w:r>
        <w:separator/>
      </w:r>
    </w:p>
  </w:endnote>
  <w:endnote w:type="continuationSeparator" w:id="0">
    <w:p w14:paraId="03DCEDCD" w14:textId="77777777" w:rsidR="00E74330" w:rsidRDefault="00E7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1F4F" w14:textId="77777777" w:rsidR="00DF7F25" w:rsidRDefault="00C7052C">
    <w:pPr>
      <w:jc w:val="center"/>
    </w:pPr>
    <w:r>
      <w:fldChar w:fldCharType="begin"/>
    </w:r>
    <w:r>
      <w:instrText>PAGE</w:instrText>
    </w:r>
    <w:r>
      <w:fldChar w:fldCharType="separate"/>
    </w:r>
    <w:r w:rsidR="003229D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F8A9E" w14:textId="77777777" w:rsidR="00E74330" w:rsidRDefault="00E74330">
      <w:r>
        <w:separator/>
      </w:r>
    </w:p>
  </w:footnote>
  <w:footnote w:type="continuationSeparator" w:id="0">
    <w:p w14:paraId="7ED4B60B" w14:textId="77777777" w:rsidR="00E74330" w:rsidRDefault="00E74330">
      <w:r>
        <w:continuationSeparator/>
      </w:r>
    </w:p>
  </w:footnote>
  <w:footnote w:id="1">
    <w:p w14:paraId="01F6EA12" w14:textId="54405103" w:rsidR="00E72BB8" w:rsidRDefault="00E72BB8">
      <w:pPr>
        <w:pStyle w:val="VnbanCcchu"/>
      </w:pPr>
      <w:r>
        <w:rPr>
          <w:rStyle w:val="ThamchiuCcchu"/>
        </w:rPr>
        <w:footnoteRef/>
      </w:r>
      <w:r>
        <w:t xml:space="preserve"> Corresponding author. Foreign Language Center, Ho Chi Minh City University of Technology (HCMUT), Ho Chi Minh City, Vietnam. Email: </w:t>
      </w:r>
      <w:hyperlink r:id="rId1" w:history="1">
        <w:r w:rsidRPr="00C73100">
          <w:rPr>
            <w:rStyle w:val="Siuktni"/>
          </w:rPr>
          <w:t>nguyenthanhthuy@hcmut.edu.vn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405BB"/>
    <w:multiLevelType w:val="hybridMultilevel"/>
    <w:tmpl w:val="E8385E16"/>
    <w:lvl w:ilvl="0" w:tplc="FF8A1A70">
      <w:start w:val="1"/>
      <w:numFmt w:val="bullet"/>
      <w:lvlText w:val="●"/>
      <w:lvlJc w:val="left"/>
      <w:pPr>
        <w:ind w:left="720" w:hanging="360"/>
      </w:pPr>
    </w:lvl>
    <w:lvl w:ilvl="1" w:tplc="82E27E5A">
      <w:start w:val="1"/>
      <w:numFmt w:val="bullet"/>
      <w:lvlText w:val="○"/>
      <w:lvlJc w:val="left"/>
      <w:pPr>
        <w:ind w:left="1440" w:hanging="360"/>
      </w:pPr>
    </w:lvl>
    <w:lvl w:ilvl="2" w:tplc="A8B49F22">
      <w:start w:val="1"/>
      <w:numFmt w:val="bullet"/>
      <w:lvlText w:val="■"/>
      <w:lvlJc w:val="left"/>
      <w:pPr>
        <w:ind w:left="2160" w:hanging="360"/>
      </w:pPr>
    </w:lvl>
    <w:lvl w:ilvl="3" w:tplc="494EC5C4">
      <w:start w:val="1"/>
      <w:numFmt w:val="bullet"/>
      <w:lvlText w:val="●"/>
      <w:lvlJc w:val="left"/>
      <w:pPr>
        <w:ind w:left="2880" w:hanging="360"/>
      </w:pPr>
    </w:lvl>
    <w:lvl w:ilvl="4" w:tplc="94CCC926">
      <w:start w:val="1"/>
      <w:numFmt w:val="bullet"/>
      <w:lvlText w:val="○"/>
      <w:lvlJc w:val="left"/>
      <w:pPr>
        <w:ind w:left="3600" w:hanging="360"/>
      </w:pPr>
    </w:lvl>
    <w:lvl w:ilvl="5" w:tplc="4C0CF1A0">
      <w:start w:val="1"/>
      <w:numFmt w:val="bullet"/>
      <w:lvlText w:val="■"/>
      <w:lvlJc w:val="left"/>
      <w:pPr>
        <w:ind w:left="4320" w:hanging="360"/>
      </w:pPr>
    </w:lvl>
    <w:lvl w:ilvl="6" w:tplc="0F64D8C6">
      <w:start w:val="1"/>
      <w:numFmt w:val="bullet"/>
      <w:lvlText w:val="●"/>
      <w:lvlJc w:val="left"/>
      <w:pPr>
        <w:ind w:left="5040" w:hanging="360"/>
      </w:pPr>
    </w:lvl>
    <w:lvl w:ilvl="7" w:tplc="C69AB8DE">
      <w:start w:val="1"/>
      <w:numFmt w:val="bullet"/>
      <w:lvlText w:val="●"/>
      <w:lvlJc w:val="left"/>
      <w:pPr>
        <w:ind w:left="5760" w:hanging="360"/>
      </w:pPr>
    </w:lvl>
    <w:lvl w:ilvl="8" w:tplc="9A52EA0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F25"/>
    <w:rsid w:val="00002004"/>
    <w:rsid w:val="0017703B"/>
    <w:rsid w:val="001B4581"/>
    <w:rsid w:val="001F0145"/>
    <w:rsid w:val="003229D8"/>
    <w:rsid w:val="00330F92"/>
    <w:rsid w:val="003507C6"/>
    <w:rsid w:val="0039344C"/>
    <w:rsid w:val="00421191"/>
    <w:rsid w:val="004C5601"/>
    <w:rsid w:val="005652CA"/>
    <w:rsid w:val="006E7B5E"/>
    <w:rsid w:val="007361C5"/>
    <w:rsid w:val="00791CAB"/>
    <w:rsid w:val="008174F8"/>
    <w:rsid w:val="00861B33"/>
    <w:rsid w:val="009C756E"/>
    <w:rsid w:val="00B073A2"/>
    <w:rsid w:val="00B12473"/>
    <w:rsid w:val="00B54F48"/>
    <w:rsid w:val="00BA0BB2"/>
    <w:rsid w:val="00BB4371"/>
    <w:rsid w:val="00BF3717"/>
    <w:rsid w:val="00C7052C"/>
    <w:rsid w:val="00CE4CFF"/>
    <w:rsid w:val="00CE7DF5"/>
    <w:rsid w:val="00D41CF9"/>
    <w:rsid w:val="00DF3746"/>
    <w:rsid w:val="00DF7F25"/>
    <w:rsid w:val="00E465AA"/>
    <w:rsid w:val="00E72BB8"/>
    <w:rsid w:val="00E73514"/>
    <w:rsid w:val="00E74330"/>
    <w:rsid w:val="00EF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0861"/>
  <w15:docId w15:val="{4A454B04-67C1-4551-9D4E-25DE2C97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uiPriority w:val="9"/>
    <w:qFormat/>
    <w:pPr>
      <w:spacing w:before="280" w:after="120"/>
      <w:outlineLvl w:val="0"/>
    </w:pPr>
    <w:rPr>
      <w:b/>
      <w:bCs/>
    </w:rPr>
  </w:style>
  <w:style w:type="paragraph" w:styleId="u2">
    <w:name w:val="heading 2"/>
    <w:uiPriority w:val="9"/>
    <w:unhideWhenUsed/>
    <w:qFormat/>
    <w:pPr>
      <w:spacing w:before="200" w:after="80"/>
      <w:outlineLvl w:val="1"/>
    </w:pPr>
    <w:rPr>
      <w:b/>
      <w:bCs/>
    </w:rPr>
  </w:style>
  <w:style w:type="paragraph" w:styleId="u3">
    <w:name w:val="heading 3"/>
    <w:uiPriority w:val="9"/>
    <w:unhideWhenUsed/>
    <w:qFormat/>
    <w:pPr>
      <w:spacing w:before="160" w:after="80"/>
      <w:outlineLvl w:val="2"/>
    </w:pPr>
    <w:rPr>
      <w:b/>
      <w:bCs/>
      <w:i/>
      <w:iCs/>
    </w:rPr>
  </w:style>
  <w:style w:type="paragraph" w:styleId="u4">
    <w:name w:val="heading 4"/>
    <w:uiPriority w:val="9"/>
    <w:semiHidden/>
    <w:unhideWhenUsed/>
    <w:qFormat/>
    <w:pPr>
      <w:outlineLvl w:val="3"/>
    </w:pPr>
    <w:rPr>
      <w:i/>
      <w:iCs/>
      <w:color w:val="2E74B5"/>
    </w:rPr>
  </w:style>
  <w:style w:type="paragraph" w:styleId="u5">
    <w:name w:val="heading 5"/>
    <w:uiPriority w:val="9"/>
    <w:semiHidden/>
    <w:unhideWhenUsed/>
    <w:qFormat/>
    <w:pPr>
      <w:outlineLvl w:val="4"/>
    </w:pPr>
    <w:rPr>
      <w:color w:val="2E74B5"/>
    </w:rPr>
  </w:style>
  <w:style w:type="paragraph" w:styleId="u6">
    <w:name w:val="heading 6"/>
    <w:uiPriority w:val="9"/>
    <w:semiHidden/>
    <w:unhideWhenUsed/>
    <w:qFormat/>
    <w:pPr>
      <w:outlineLvl w:val="5"/>
    </w:pPr>
    <w:rPr>
      <w:color w:val="1F4D7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uiPriority w:val="10"/>
    <w:qFormat/>
    <w:rPr>
      <w:sz w:val="56"/>
      <w:szCs w:val="56"/>
    </w:rPr>
  </w:style>
  <w:style w:type="paragraph" w:customStyle="1" w:styleId="Manh1">
    <w:name w:val="Mạnh1"/>
    <w:qFormat/>
    <w:rPr>
      <w:b/>
      <w:bCs/>
    </w:rPr>
  </w:style>
  <w:style w:type="paragraph" w:styleId="oancuaDanhsach">
    <w:name w:val="List Paragraph"/>
    <w:qFormat/>
  </w:style>
  <w:style w:type="character" w:styleId="Siuktni">
    <w:name w:val="Hyperlink"/>
    <w:uiPriority w:val="99"/>
    <w:unhideWhenUsed/>
    <w:rPr>
      <w:color w:val="0563C1"/>
      <w:u w:val="single"/>
    </w:rPr>
  </w:style>
  <w:style w:type="character" w:styleId="ThamchiuCcchu">
    <w:name w:val="footnote reference"/>
    <w:uiPriority w:val="99"/>
    <w:semiHidden/>
    <w:unhideWhenUsed/>
    <w:rPr>
      <w:vertAlign w:val="superscript"/>
    </w:rPr>
  </w:style>
  <w:style w:type="paragraph" w:styleId="VnbanCcchu">
    <w:name w:val="footnote text"/>
    <w:link w:val="VnbanCcchuChar"/>
    <w:uiPriority w:val="99"/>
    <w:semiHidden/>
    <w:unhideWhenUsed/>
    <w:rPr>
      <w:sz w:val="20"/>
      <w:szCs w:val="20"/>
    </w:rPr>
  </w:style>
  <w:style w:type="character" w:customStyle="1" w:styleId="VnbanCcchuChar">
    <w:name w:val="Văn bản Cước chú Char"/>
    <w:link w:val="VnbanCcchu"/>
    <w:uiPriority w:val="99"/>
    <w:semiHidden/>
    <w:unhideWhenUsed/>
    <w:rPr>
      <w:sz w:val="20"/>
      <w:szCs w:val="20"/>
    </w:rPr>
  </w:style>
  <w:style w:type="character" w:styleId="ThamchiuChuthichcui">
    <w:name w:val="endnote reference"/>
    <w:uiPriority w:val="99"/>
    <w:semiHidden/>
    <w:unhideWhenUsed/>
    <w:rPr>
      <w:vertAlign w:val="superscript"/>
    </w:rPr>
  </w:style>
  <w:style w:type="paragraph" w:styleId="VnbanChuthichcui">
    <w:name w:val="endnote text"/>
    <w:link w:val="VnbanChuthichcuiChar"/>
    <w:uiPriority w:val="99"/>
    <w:semiHidden/>
    <w:unhideWhenUsed/>
    <w:rPr>
      <w:sz w:val="20"/>
      <w:szCs w:val="20"/>
    </w:rPr>
  </w:style>
  <w:style w:type="character" w:customStyle="1" w:styleId="VnbanChuthichcuiChar">
    <w:name w:val="Văn bản Chú thích cuối Char"/>
    <w:link w:val="VnbanChuthichcui"/>
    <w:uiPriority w:val="99"/>
    <w:semiHidden/>
    <w:unhideWhenUsed/>
    <w:rPr>
      <w:sz w:val="20"/>
      <w:szCs w:val="20"/>
    </w:rPr>
  </w:style>
  <w:style w:type="character" w:styleId="ThamchiuChuthich">
    <w:name w:val="annotation reference"/>
    <w:basedOn w:val="Phngmcinhcuaoanvn"/>
    <w:uiPriority w:val="99"/>
    <w:semiHidden/>
    <w:unhideWhenUsed/>
    <w:rsid w:val="00E72BB8"/>
    <w:rPr>
      <w:sz w:val="16"/>
      <w:szCs w:val="16"/>
    </w:rPr>
  </w:style>
  <w:style w:type="paragraph" w:styleId="VnbanChuthich">
    <w:name w:val="annotation text"/>
    <w:basedOn w:val="Binhthng"/>
    <w:link w:val="VnbanChuthichChar"/>
    <w:uiPriority w:val="99"/>
    <w:semiHidden/>
    <w:unhideWhenUsed/>
    <w:rsid w:val="00E72BB8"/>
    <w:rPr>
      <w:sz w:val="20"/>
      <w:szCs w:val="20"/>
    </w:rPr>
  </w:style>
  <w:style w:type="character" w:customStyle="1" w:styleId="VnbanChuthichChar">
    <w:name w:val="Văn bản Chú thích Char"/>
    <w:basedOn w:val="Phngmcinhcuaoanvn"/>
    <w:link w:val="VnbanChuthich"/>
    <w:uiPriority w:val="99"/>
    <w:semiHidden/>
    <w:rsid w:val="00E72BB8"/>
    <w:rPr>
      <w:sz w:val="20"/>
      <w:szCs w:val="20"/>
    </w:rPr>
  </w:style>
  <w:style w:type="paragraph" w:styleId="ChuChuthich">
    <w:name w:val="annotation subject"/>
    <w:basedOn w:val="VnbanChuthich"/>
    <w:next w:val="VnbanChuthich"/>
    <w:link w:val="ChuChuthichChar"/>
    <w:uiPriority w:val="99"/>
    <w:semiHidden/>
    <w:unhideWhenUsed/>
    <w:rsid w:val="00E72BB8"/>
    <w:rPr>
      <w:b/>
      <w:bCs/>
    </w:rPr>
  </w:style>
  <w:style w:type="character" w:customStyle="1" w:styleId="ChuChuthichChar">
    <w:name w:val="Chủ đề Chú thích Char"/>
    <w:basedOn w:val="VnbanChuthichChar"/>
    <w:link w:val="ChuChuthich"/>
    <w:uiPriority w:val="99"/>
    <w:semiHidden/>
    <w:rsid w:val="00E72BB8"/>
    <w:rPr>
      <w:b/>
      <w:bCs/>
      <w:sz w:val="20"/>
      <w:szCs w:val="20"/>
    </w:rPr>
  </w:style>
  <w:style w:type="character" w:styleId="cpChagiiquyt">
    <w:name w:val="Unresolved Mention"/>
    <w:basedOn w:val="Phngmcinhcuaoanvn"/>
    <w:uiPriority w:val="99"/>
    <w:semiHidden/>
    <w:unhideWhenUsed/>
    <w:rsid w:val="00E72BB8"/>
    <w:rPr>
      <w:color w:val="605E5C"/>
      <w:shd w:val="clear" w:color="auto" w:fill="E1DFDD"/>
    </w:rPr>
  </w:style>
  <w:style w:type="paragraph" w:customStyle="1" w:styleId="RALs-HeadingsNoIndent">
    <w:name w:val="RALs-HeadingsNoIndent"/>
    <w:basedOn w:val="Binhthng"/>
    <w:next w:val="Binhthng"/>
    <w:qFormat/>
    <w:rsid w:val="00BB4371"/>
    <w:pPr>
      <w:keepNext/>
      <w:spacing w:before="240" w:after="60" w:line="276" w:lineRule="auto"/>
      <w:jc w:val="both"/>
    </w:pPr>
    <w:rPr>
      <w:rFonts w:cs="B Zar"/>
      <w:b/>
      <w:bCs/>
      <w:sz w:val="20"/>
      <w:szCs w:val="22"/>
    </w:rPr>
  </w:style>
  <w:style w:type="paragraph" w:customStyle="1" w:styleId="RALs-TableCaption">
    <w:name w:val="RALs-TableCaption"/>
    <w:basedOn w:val="Binhthng"/>
    <w:next w:val="Binhthng"/>
    <w:qFormat/>
    <w:rsid w:val="00B073A2"/>
    <w:pPr>
      <w:keepNext/>
      <w:spacing w:before="120" w:after="60" w:line="276" w:lineRule="auto"/>
      <w:ind w:left="720" w:hanging="720"/>
      <w:jc w:val="both"/>
    </w:pPr>
    <w:rPr>
      <w:rFonts w:cs="B Zar"/>
      <w:sz w:val="20"/>
      <w:szCs w:val="22"/>
    </w:rPr>
  </w:style>
  <w:style w:type="paragraph" w:customStyle="1" w:styleId="RALs-Heading1">
    <w:name w:val="RALs-Heading1"/>
    <w:basedOn w:val="Binhthng"/>
    <w:next w:val="Binhthng"/>
    <w:qFormat/>
    <w:rsid w:val="005652CA"/>
    <w:pPr>
      <w:keepNext/>
      <w:spacing w:before="240" w:line="276" w:lineRule="auto"/>
      <w:ind w:left="284" w:hanging="284"/>
      <w:jc w:val="center"/>
    </w:pPr>
    <w:rPr>
      <w:rFonts w:cs="B Zar"/>
      <w:b/>
      <w:bCs/>
      <w:sz w:val="20"/>
      <w:szCs w:val="22"/>
    </w:rPr>
  </w:style>
  <w:style w:type="paragraph" w:styleId="utrang">
    <w:name w:val="header"/>
    <w:basedOn w:val="Binhthng"/>
    <w:link w:val="utrangChar"/>
    <w:uiPriority w:val="99"/>
    <w:unhideWhenUsed/>
    <w:rsid w:val="00CE4CFF"/>
    <w:pPr>
      <w:tabs>
        <w:tab w:val="center" w:pos="4680"/>
        <w:tab w:val="right" w:pos="9360"/>
      </w:tabs>
    </w:pPr>
  </w:style>
  <w:style w:type="character" w:customStyle="1" w:styleId="utrangChar">
    <w:name w:val="Đầu trang Char"/>
    <w:basedOn w:val="Phngmcinhcuaoanvn"/>
    <w:link w:val="utrang"/>
    <w:uiPriority w:val="99"/>
    <w:rsid w:val="00CE4CFF"/>
  </w:style>
  <w:style w:type="paragraph" w:styleId="Chntrang">
    <w:name w:val="footer"/>
    <w:basedOn w:val="Binhthng"/>
    <w:link w:val="ChntrangChar"/>
    <w:uiPriority w:val="99"/>
    <w:unhideWhenUsed/>
    <w:rsid w:val="00CE4CFF"/>
    <w:pPr>
      <w:tabs>
        <w:tab w:val="center" w:pos="4680"/>
        <w:tab w:val="right" w:pos="9360"/>
      </w:tabs>
    </w:pPr>
  </w:style>
  <w:style w:type="character" w:customStyle="1" w:styleId="ChntrangChar">
    <w:name w:val="Chân trang Char"/>
    <w:basedOn w:val="Phngmcinhcuaoanvn"/>
    <w:link w:val="Chntrang"/>
    <w:uiPriority w:val="99"/>
    <w:rsid w:val="00CE4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919940">
      <w:bodyDiv w:val="1"/>
      <w:marLeft w:val="0"/>
      <w:marRight w:val="0"/>
      <w:marTop w:val="0"/>
      <w:marBottom w:val="0"/>
      <w:divBdr>
        <w:top w:val="none" w:sz="0" w:space="0" w:color="auto"/>
        <w:left w:val="none" w:sz="0" w:space="0" w:color="auto"/>
        <w:bottom w:val="none" w:sz="0" w:space="0" w:color="auto"/>
        <w:right w:val="none" w:sz="0" w:space="0" w:color="auto"/>
      </w:divBdr>
    </w:div>
    <w:div w:id="1061945728">
      <w:bodyDiv w:val="1"/>
      <w:marLeft w:val="0"/>
      <w:marRight w:val="0"/>
      <w:marTop w:val="0"/>
      <w:marBottom w:val="0"/>
      <w:divBdr>
        <w:top w:val="none" w:sz="0" w:space="0" w:color="auto"/>
        <w:left w:val="none" w:sz="0" w:space="0" w:color="auto"/>
        <w:bottom w:val="none" w:sz="0" w:space="0" w:color="auto"/>
        <w:right w:val="none" w:sz="0" w:space="0" w:color="auto"/>
      </w:divBdr>
    </w:div>
    <w:div w:id="1517227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guyenthanhthuy@hcmut.edu.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042CD-9B24-48D3-A533-415F3ED12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30</Pages>
  <Words>8225</Words>
  <Characters>46888</Characters>
  <Application>Microsoft Office Word</Application>
  <DocSecurity>0</DocSecurity>
  <Lines>390</Lines>
  <Paragraphs>110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13</cp:revision>
  <dcterms:created xsi:type="dcterms:W3CDTF">2026-06-24T11:28:00Z</dcterms:created>
  <dcterms:modified xsi:type="dcterms:W3CDTF">2026-07-01T11:45:00Z</dcterms:modified>
</cp:coreProperties>
</file>