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C0A4A" w:rsidRPr="003B77CD" w:rsidRDefault="00000000" w:rsidP="003B77CD">
      <w:pPr>
        <w:pStyle w:val="Heading1"/>
        <w:adjustRightInd w:val="0"/>
        <w:snapToGrid w:val="0"/>
        <w:spacing w:before="0" w:line="264" w:lineRule="auto"/>
        <w:jc w:val="center"/>
        <w:rPr>
          <w:rFonts w:ascii="Times New Roman" w:hAnsi="Times New Roman" w:cs="Times New Roman"/>
          <w:color w:val="auto"/>
          <w:sz w:val="24"/>
          <w:szCs w:val="24"/>
        </w:rPr>
      </w:pPr>
      <w:r w:rsidRPr="003B77CD">
        <w:rPr>
          <w:rFonts w:ascii="Times New Roman" w:hAnsi="Times New Roman" w:cs="Times New Roman"/>
          <w:color w:val="auto"/>
          <w:sz w:val="24"/>
          <w:szCs w:val="24"/>
        </w:rPr>
        <w:t>AI as a “Face-Neutral” Space: Reducing Anxiety and Boosting Willingness to Communicate Among Vietnamese English Majors in the EFL-to-ESL Transition</w:t>
      </w:r>
    </w:p>
    <w:p w:rsidR="007C0A4A" w:rsidRPr="003B77CD" w:rsidRDefault="007C0A4A" w:rsidP="003B77CD">
      <w:pPr>
        <w:adjustRightInd w:val="0"/>
        <w:snapToGrid w:val="0"/>
        <w:spacing w:after="0" w:line="264" w:lineRule="auto"/>
        <w:rPr>
          <w:rFonts w:cs="Times New Roman"/>
          <w:szCs w:val="24"/>
        </w:rPr>
      </w:pPr>
    </w:p>
    <w:p w:rsidR="007C0A4A" w:rsidRPr="003B77CD" w:rsidRDefault="00000000" w:rsidP="003B77CD">
      <w:pPr>
        <w:adjustRightInd w:val="0"/>
        <w:snapToGrid w:val="0"/>
        <w:spacing w:after="0" w:line="264" w:lineRule="auto"/>
        <w:jc w:val="center"/>
        <w:rPr>
          <w:rFonts w:cs="Times New Roman"/>
          <w:szCs w:val="24"/>
        </w:rPr>
      </w:pPr>
      <w:r w:rsidRPr="003B77CD">
        <w:rPr>
          <w:rFonts w:cs="Times New Roman"/>
          <w:szCs w:val="24"/>
        </w:rPr>
        <w:t>Ngoc Giang Tran, Thi Phuong Mai Do, Thi Cam Trang Thai, &amp; Thi Kim Nhung Luu</w:t>
      </w:r>
      <w:r w:rsidRPr="003B77CD">
        <w:rPr>
          <w:rFonts w:cs="Times New Roman"/>
          <w:szCs w:val="24"/>
        </w:rPr>
        <w:br/>
        <w:t>Hanoi National University of Education</w:t>
      </w:r>
    </w:p>
    <w:p w:rsidR="007C0A4A" w:rsidRPr="003B77CD" w:rsidRDefault="007C0A4A" w:rsidP="003B77CD">
      <w:pPr>
        <w:adjustRightInd w:val="0"/>
        <w:snapToGrid w:val="0"/>
        <w:spacing w:after="0" w:line="264" w:lineRule="auto"/>
        <w:rPr>
          <w:rFonts w:cs="Times New Roman"/>
          <w:szCs w:val="24"/>
        </w:rPr>
      </w:pP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Abstract</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As Vietnam transitions from English as a Foreign Language (EFL) to English as a Second Language (ESL), there is a pressing need for learners to develop communicative spontaneity and confidence. Yet the cultural norm of face-saving frequently hinders willingness to communicate and intensifies language anxiety. This exploratory pilot study investigates whether generative AI voice chatbots can serve as a “face-neutral” communicative space that helps reduce these barriers. We employed a mixed-methods design with 30 English majors at a university in Hanoi who engaged in daily voice interactions with ChatGPT over one week. Pre- and post-intervention surveys measured Foreign Language Classroom Anxiety (FLCA) and Willingness to Communicate (WTC), while semi-structured interviews in Vietnamese with eight participants captured learners</w:t>
      </w:r>
      <w:r w:rsidR="00035983">
        <w:rPr>
          <w:rFonts w:cs="Times New Roman"/>
          <w:szCs w:val="24"/>
        </w:rPr>
        <w:t>’</w:t>
      </w:r>
      <w:r w:rsidRPr="003B77CD">
        <w:rPr>
          <w:rFonts w:cs="Times New Roman"/>
          <w:szCs w:val="24"/>
        </w:rPr>
        <w:t xml:space="preserve"> own understandings of their experience. Quantitative results showed a meaningful 18.5% increase in WTC (particularly a 53% increase in confidence with native speakers) and a more modest 7.5% anxiety reduction. Qualitative findings revealed three coherent themes: (1) AI functioned as a genuinely face-neutral environment, eliminating judgment-related anxiety; (2) learners experienced freedom to fail, shifting from perfectionism to meaning-focused communication; and (3) increased confidence, though participants appropriately recognized AI limitations and emphasized its supplementary role. The research </w:t>
      </w:r>
      <w:r w:rsidR="007F2890">
        <w:rPr>
          <w:rFonts w:cs="Times New Roman"/>
          <w:szCs w:val="24"/>
        </w:rPr>
        <w:t>suggests that</w:t>
      </w:r>
      <w:r w:rsidRPr="003B77CD">
        <w:rPr>
          <w:rFonts w:cs="Times New Roman"/>
          <w:szCs w:val="24"/>
        </w:rPr>
        <w:t xml:space="preserve"> face-concern - rooted in cultural values - is highly contextual and remediable through environmental redesign rather than individual psychological intervention. Findings offer practitioners concrete AI prompt templates and a master setup guide for classroom use, along with pedagogical recommendations for Vietnam</w:t>
      </w:r>
      <w:r w:rsidR="00035983">
        <w:rPr>
          <w:rFonts w:cs="Times New Roman"/>
          <w:szCs w:val="24"/>
        </w:rPr>
        <w:t>’</w:t>
      </w:r>
      <w:r w:rsidRPr="003B77CD">
        <w:rPr>
          <w:rFonts w:cs="Times New Roman"/>
          <w:szCs w:val="24"/>
        </w:rPr>
        <w:t>s ESL-focused curricula and teacher education initiatives.</w:t>
      </w:r>
    </w:p>
    <w:p w:rsidR="007C0A4A" w:rsidRPr="003B77CD" w:rsidRDefault="00000000" w:rsidP="003B77CD">
      <w:pPr>
        <w:adjustRightInd w:val="0"/>
        <w:snapToGrid w:val="0"/>
        <w:spacing w:after="0" w:line="264" w:lineRule="auto"/>
        <w:rPr>
          <w:rFonts w:cs="Times New Roman"/>
          <w:szCs w:val="24"/>
          <w:lang w:val="vi-VN"/>
        </w:rPr>
      </w:pPr>
      <w:r w:rsidRPr="003B77CD">
        <w:rPr>
          <w:rFonts w:cs="Times New Roman"/>
          <w:b/>
          <w:szCs w:val="24"/>
        </w:rPr>
        <w:t xml:space="preserve">Keywords: </w:t>
      </w:r>
      <w:r w:rsidRPr="003B77CD">
        <w:rPr>
          <w:rFonts w:cs="Times New Roman"/>
          <w:szCs w:val="24"/>
        </w:rPr>
        <w:t>English as a foreign language (EFL), English as a second language (ESL), AI chatbot, face/face-concern, willingness to communicate (WTC), foreign language classroom anxiety (FLCA), Vietnamese learners, teacher education</w:t>
      </w:r>
    </w:p>
    <w:p w:rsidR="00003C00" w:rsidRPr="003B77CD" w:rsidRDefault="00003C00" w:rsidP="003B77CD">
      <w:pPr>
        <w:pStyle w:val="Heading1"/>
        <w:adjustRightInd w:val="0"/>
        <w:snapToGrid w:val="0"/>
        <w:spacing w:before="0" w:line="264" w:lineRule="auto"/>
        <w:rPr>
          <w:rFonts w:ascii="Times New Roman" w:hAnsi="Times New Roman" w:cs="Times New Roman"/>
          <w:color w:val="auto"/>
          <w:sz w:val="24"/>
          <w:szCs w:val="24"/>
          <w:lang w:val="vi-VN"/>
        </w:rPr>
      </w:pPr>
    </w:p>
    <w:p w:rsidR="00003C00" w:rsidRPr="003B77CD" w:rsidRDefault="00003C00" w:rsidP="003B77CD">
      <w:pPr>
        <w:spacing w:line="264" w:lineRule="auto"/>
        <w:rPr>
          <w:rFonts w:eastAsiaTheme="majorEastAsia" w:cs="Times New Roman"/>
          <w:b/>
          <w:bCs/>
          <w:szCs w:val="24"/>
          <w:lang w:val="vi-VN"/>
        </w:rPr>
      </w:pPr>
      <w:r w:rsidRPr="003B77CD">
        <w:rPr>
          <w:rFonts w:cs="Times New Roman"/>
          <w:szCs w:val="24"/>
          <w:lang w:val="vi-VN"/>
        </w:rPr>
        <w:br w:type="page"/>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lastRenderedPageBreak/>
        <w:t>I. Introduction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Over the past decade, Vietnam has experienced a significant shift in its English language education landscape. What was once firmly established as English as a Foreign Language (EFL) - taught primarily through grammar-focused, written-centered instruction in classroom contexts - has increasingly become English as a Second Language (ESL) in practice. This transition reflects Vietnam</w:t>
      </w:r>
      <w:r w:rsidR="00035983">
        <w:rPr>
          <w:rFonts w:cs="Times New Roman"/>
          <w:szCs w:val="24"/>
        </w:rPr>
        <w:t>’</w:t>
      </w:r>
      <w:r w:rsidRPr="003B77CD">
        <w:rPr>
          <w:rFonts w:cs="Times New Roman"/>
          <w:szCs w:val="24"/>
        </w:rPr>
        <w:t>s integration into regional economic networks, its role as a technology hub, and the practical reality that young professionals, students, and workers now use English daily in workplaces, universities, and online communities. The demand is no longer for grammatical accuracy in isolation; it is for communicative spontaneity - the ability to engage in natural, unscripted conversation with genuine interlocutors.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For English majors preparing to become educators, this transition carries particular weight. These future teachers will shape how the next generation learns English. If they themselves remain anxious and reluctant speakers, they are likely to replicate the anxiety-sustaining pedagogies of their own schooling. Conversely, teachers who have developed authentic communicative confidence and spontaneity can model fluent English, normalize error as part of learning, and create classrooms where students feel psychologically safe enough to take linguistic risks. Thus, the communicative development of English majors has implications that extend far beyond individual proficiency to shape national language education capacity.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Yet a substantial obstacle remains. The cultural value of “face-saving” - a central concept in Vietnamese Confucian-heritage society - creates a powerful psychological barrier to spontaneous speech. The Vietnamese concepts of mất mặt (losing face) and giữ thể diện (maintaining face) are not mere social preferences; they reflect deeply held values about dignity, respect, and social belonging. In English classrooms, these values activate protective strategies: silence, self-censorship, avoidance of unfamiliar vocabulary, and reluctance to produce unguarded speech. The irony is profound: learners</w:t>
      </w:r>
      <w:r w:rsidR="00035983">
        <w:rPr>
          <w:rFonts w:cs="Times New Roman"/>
          <w:szCs w:val="24"/>
        </w:rPr>
        <w:t>’</w:t>
      </w:r>
      <w:r w:rsidRPr="003B77CD">
        <w:rPr>
          <w:rFonts w:cs="Times New Roman"/>
          <w:szCs w:val="24"/>
        </w:rPr>
        <w:t xml:space="preserve"> cultural values, which serve crucial social functions in Vietnamese contexts, become barriers to English communication development. Preliminary data from our participant pool of 19 English majors at Hanoi National University of Education reveals the severity of this “anxiety gap”: mean anxiety about English speaking stands at 3.63 out of 5 (moderate-to-high), while mean confidence when speaking with native speakers is just 2.53 out of 5 (critically low). Yet 84% of these same learners agreed that they “would speak more English if I knew I wouldn</w:t>
      </w:r>
      <w:r w:rsidR="00035983">
        <w:rPr>
          <w:rFonts w:cs="Times New Roman"/>
          <w:szCs w:val="24"/>
        </w:rPr>
        <w:t>’</w:t>
      </w:r>
      <w:r w:rsidRPr="003B77CD">
        <w:rPr>
          <w:rFonts w:cs="Times New Roman"/>
          <w:szCs w:val="24"/>
        </w:rPr>
        <w:t>t be judged for my mistakes.” This statistic captures the heart of the problem: the barrier to communication is not linguistic capacity, but the affective cost of public failure in a face-conscious culture.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We began to wonder: might technology offer a path forward? Generative AI voice chatbots - particularly tools like ChatGPT with voice functionality - present an intriguing possibility. An AI interlocutor possesses no social judgment capacity, cannot gossip or report mistakes to others, and remains endlessly patient and encouraging. In essence, it creates a communicative space in which the social apparatus that activates face-concern simply does not exist. Such a space is not a classroom, nor is it a conversation with a friend. But it might be a uniquely valuable intermediate environment: judgment-free enough to enable unguarded speech production, responsive enough to provide meaningful dialogue, and accessible enough to offer daily practice without logistical barriers.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lastRenderedPageBreak/>
        <w:t>This exploratory pilot study investigates whether daily voice interactions with an AI chatbot can reduce foreign language classroom anxiety and increase willingness to communicate among Vietnamese English majors. More fundamentally, we ask: Can a “face-neutral” technological environment address a barrier that is deeply rooted in culture? Can brief, judgment-free practice in AI dialogue build the confidence and risk-tolerance necessary for spontaneous human communication? And if so, how should educators thoughtfully integrate such tools into curricula in ways that respect both technology</w:t>
      </w:r>
      <w:r w:rsidR="00035983">
        <w:rPr>
          <w:rFonts w:cs="Times New Roman"/>
          <w:szCs w:val="24"/>
        </w:rPr>
        <w:t>’</w:t>
      </w:r>
      <w:r w:rsidRPr="003B77CD">
        <w:rPr>
          <w:rFonts w:cs="Times New Roman"/>
          <w:szCs w:val="24"/>
        </w:rPr>
        <w:t>s affordances and its limitations?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To address these questions, we employed a mixed-methods design combining quantitative surveys with qualitative interviews conducted in Vietnamese - our learners</w:t>
      </w:r>
      <w:r w:rsidR="00035983">
        <w:rPr>
          <w:rFonts w:cs="Times New Roman"/>
          <w:szCs w:val="24"/>
        </w:rPr>
        <w:t>’</w:t>
      </w:r>
      <w:r w:rsidRPr="003B77CD">
        <w:rPr>
          <w:rFonts w:cs="Times New Roman"/>
          <w:szCs w:val="24"/>
        </w:rPr>
        <w:t xml:space="preserve"> first language. This report details our methodology, findings, and pedagogical recommendations for Vietnam</w:t>
      </w:r>
      <w:r w:rsidR="00035983">
        <w:rPr>
          <w:rFonts w:cs="Times New Roman"/>
          <w:szCs w:val="24"/>
        </w:rPr>
        <w:t>’</w:t>
      </w:r>
      <w:r w:rsidRPr="003B77CD">
        <w:rPr>
          <w:rFonts w:cs="Times New Roman"/>
          <w:szCs w:val="24"/>
        </w:rPr>
        <w:t>s ESL transition and teacher education initiatives.</w:t>
      </w:r>
    </w:p>
    <w:p w:rsidR="006E66A7" w:rsidRPr="003B77CD" w:rsidRDefault="00000000" w:rsidP="003B77CD">
      <w:pPr>
        <w:adjustRightInd w:val="0"/>
        <w:snapToGrid w:val="0"/>
        <w:spacing w:after="0" w:line="264" w:lineRule="auto"/>
        <w:rPr>
          <w:rFonts w:cs="Times New Roman"/>
          <w:b/>
          <w:bCs/>
          <w:szCs w:val="24"/>
        </w:rPr>
      </w:pPr>
      <w:r w:rsidRPr="003B77CD">
        <w:rPr>
          <w:rFonts w:cs="Times New Roman"/>
          <w:b/>
          <w:bCs/>
          <w:szCs w:val="24"/>
        </w:rPr>
        <w:t>Research Questions</w:t>
      </w:r>
    </w:p>
    <w:p w:rsidR="006E66A7" w:rsidRPr="003B77CD" w:rsidRDefault="00000000" w:rsidP="003B77CD">
      <w:pPr>
        <w:pStyle w:val="ListParagraph"/>
        <w:numPr>
          <w:ilvl w:val="0"/>
          <w:numId w:val="10"/>
        </w:numPr>
        <w:spacing w:line="264" w:lineRule="auto"/>
        <w:rPr>
          <w:rFonts w:cs="Times New Roman"/>
          <w:szCs w:val="24"/>
        </w:rPr>
      </w:pPr>
      <w:r w:rsidRPr="003B77CD">
        <w:rPr>
          <w:rFonts w:cs="Times New Roman"/>
          <w:szCs w:val="24"/>
        </w:rPr>
        <w:t>RQ1: Can brief, judgment-free AI voice interactions reduce foreign language classroom anxiety among Vietnamese English majors?</w:t>
      </w:r>
    </w:p>
    <w:p w:rsidR="006E66A7" w:rsidRPr="003B77CD" w:rsidRDefault="00000000" w:rsidP="003B77CD">
      <w:pPr>
        <w:pStyle w:val="ListParagraph"/>
        <w:numPr>
          <w:ilvl w:val="0"/>
          <w:numId w:val="10"/>
        </w:numPr>
        <w:spacing w:line="264" w:lineRule="auto"/>
        <w:rPr>
          <w:rFonts w:cs="Times New Roman"/>
          <w:szCs w:val="24"/>
        </w:rPr>
      </w:pPr>
      <w:r w:rsidRPr="003B77CD">
        <w:rPr>
          <w:rFonts w:cs="Times New Roman"/>
          <w:szCs w:val="24"/>
        </w:rPr>
        <w:t>RQ2: Can brief AI voice interactions increase willingness to communicate in English?</w:t>
      </w:r>
    </w:p>
    <w:p w:rsidR="006E66A7" w:rsidRPr="003B77CD" w:rsidRDefault="00000000" w:rsidP="003B77CD">
      <w:pPr>
        <w:pStyle w:val="ListParagraph"/>
        <w:numPr>
          <w:ilvl w:val="0"/>
          <w:numId w:val="10"/>
        </w:numPr>
        <w:spacing w:line="264" w:lineRule="auto"/>
        <w:rPr>
          <w:rFonts w:cs="Times New Roman"/>
          <w:szCs w:val="24"/>
        </w:rPr>
      </w:pPr>
      <w:r w:rsidRPr="003B77CD">
        <w:rPr>
          <w:rFonts w:cs="Times New Roman"/>
          <w:szCs w:val="24"/>
        </w:rPr>
        <w:t>RQ3: What are Vietnamese learners</w:t>
      </w:r>
      <w:r w:rsidR="00035983">
        <w:rPr>
          <w:rFonts w:cs="Times New Roman"/>
          <w:szCs w:val="24"/>
        </w:rPr>
        <w:t>’</w:t>
      </w:r>
      <w:r w:rsidRPr="003B77CD">
        <w:rPr>
          <w:rFonts w:cs="Times New Roman"/>
          <w:szCs w:val="24"/>
        </w:rPr>
        <w:t xml:space="preserve"> own understandings of how (and why) AI interaction affects their language anxiety and communicative confidence?</w:t>
      </w:r>
    </w:p>
    <w:p w:rsidR="006E66A7" w:rsidRPr="003B77CD" w:rsidRDefault="00000000" w:rsidP="003B77CD">
      <w:pPr>
        <w:pStyle w:val="ListParagraph"/>
        <w:numPr>
          <w:ilvl w:val="0"/>
          <w:numId w:val="10"/>
        </w:numPr>
        <w:spacing w:line="264" w:lineRule="auto"/>
        <w:rPr>
          <w:rFonts w:cs="Times New Roman"/>
          <w:szCs w:val="24"/>
        </w:rPr>
      </w:pPr>
      <w:r w:rsidRPr="003B77CD">
        <w:rPr>
          <w:rFonts w:cs="Times New Roman"/>
          <w:szCs w:val="24"/>
        </w:rPr>
        <w:t>RQ4: To what extent do learners perceive AI practice as transferable to subsequent human-to-human English communication?</w:t>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II. Literature Review</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Sociolinguistic Foundations: Face Theory in Confucian-Heritage Cultures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concept of “face” originates in foundational work by Brown and Levinson (1987), who argued that all humans have fundamental social needs: the desire to be approved of and regarded as competent (positive face), and the desire to maintain autonomy and freedom from imposition (negative face). However, these dimensions are weighted differently across cultures. In individualistic Western contexts, negative face often dominates communicative strategies. In Confucian-heritage cultures - including Vietnam, China, Korea, and Japan - positive face assumes paramount importance. An individual</w:t>
      </w:r>
      <w:r w:rsidR="00035983">
        <w:rPr>
          <w:rFonts w:cs="Times New Roman"/>
          <w:szCs w:val="24"/>
        </w:rPr>
        <w:t>’</w:t>
      </w:r>
      <w:r w:rsidRPr="003B77CD">
        <w:rPr>
          <w:rFonts w:cs="Times New Roman"/>
          <w:szCs w:val="24"/>
        </w:rPr>
        <w:t>s worth, competence, and place in social networks are continuously negotiated and vulnerable to damage through public failure, correction, or exposure of incompetence. In Vietnamese specifically, the parallel concepts of mất mặt and giữ thể diện extend beyond individual dignity to encompass familial honor and social standing.</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Research by </w:t>
      </w:r>
      <w:r w:rsidR="00997FA0">
        <w:rPr>
          <w:rFonts w:cs="Times New Roman"/>
          <w:szCs w:val="24"/>
        </w:rPr>
        <w:t>Tao</w:t>
      </w:r>
      <w:r w:rsidR="00997FA0">
        <w:rPr>
          <w:rFonts w:cs="Times New Roman"/>
          <w:szCs w:val="24"/>
          <w:lang w:val="vi-VN"/>
        </w:rPr>
        <w:t xml:space="preserve"> Thanh</w:t>
      </w:r>
      <w:r w:rsidRPr="003B77CD">
        <w:rPr>
          <w:rFonts w:cs="Times New Roman"/>
          <w:szCs w:val="24"/>
        </w:rPr>
        <w:t xml:space="preserve"> (20</w:t>
      </w:r>
      <w:r w:rsidR="00997FA0">
        <w:rPr>
          <w:rFonts w:cs="Times New Roman"/>
          <w:szCs w:val="24"/>
          <w:lang w:val="vi-VN"/>
        </w:rPr>
        <w:t>25</w:t>
      </w:r>
      <w:r w:rsidRPr="003B77CD">
        <w:rPr>
          <w:rFonts w:cs="Times New Roman"/>
          <w:szCs w:val="24"/>
        </w:rPr>
        <w:t xml:space="preserve">) </w:t>
      </w:r>
      <w:r w:rsidR="007F2890">
        <w:rPr>
          <w:rFonts w:cs="Times New Roman"/>
          <w:szCs w:val="24"/>
        </w:rPr>
        <w:t>suggests that</w:t>
      </w:r>
      <w:r w:rsidRPr="003B77CD">
        <w:rPr>
          <w:rFonts w:cs="Times New Roman"/>
          <w:szCs w:val="24"/>
        </w:rPr>
        <w:t xml:space="preserve"> Vietnamese learners, when facing the threat of public error or criticism, activate protective linguistic strategies that ironically inhibit the very language production necessary for development: silence, self-censorship, and avoidance of communicative risk. Thus, a cultural value system that serves crucial social functions in Vietnamese contexts becomes, in language learning contexts, a substantial affective barrier. Students whose cultural training emphasizes face-saving face a dilemma: honor their cultural values or take the linguistic risks that language acquisition requires.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Psychological Dimensions: Foreign Language Classroom Anxiety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Horwitz, Horwitz, and Cope (1986) introduced Foreign Language Classroom Anxiety (FLCA) as a construct distinct from general trait anxiety. FLCA is situation-specific and multidimensional, </w:t>
      </w:r>
      <w:r w:rsidRPr="003B77CD">
        <w:rPr>
          <w:rFonts w:cs="Times New Roman"/>
          <w:szCs w:val="24"/>
        </w:rPr>
        <w:lastRenderedPageBreak/>
        <w:t>encompassing three core factors: (1) communication apprehension (fear about communicating with others), (2) test anxiety (fear of academic evaluation), and (3) fear of negative evaluation by others. Importantly, fear of negative evaluation is not simply worry about grades; it includes anxiety about peer judgment, social embarrassment, and damage to one</w:t>
      </w:r>
      <w:r w:rsidR="00035983">
        <w:rPr>
          <w:rFonts w:cs="Times New Roman"/>
          <w:szCs w:val="24"/>
        </w:rPr>
        <w:t>’</w:t>
      </w:r>
      <w:r w:rsidRPr="003B77CD">
        <w:rPr>
          <w:rFonts w:cs="Times New Roman"/>
          <w:szCs w:val="24"/>
        </w:rPr>
        <w:t>s reputation.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Decades of research have consistently documented elevated FLCA among Asian learners, particularly in speaking contexts. A meta-analysis by Teimouri, Goetze, &amp; Plonsky (2019) found that FLCA negatively predicts language achievement and that anxiety is substantially higher in speaking tasks than in reading or writing. For Vietnamese learners specifically, </w:t>
      </w:r>
      <w:r w:rsidRPr="003B77CD">
        <w:rPr>
          <w:rFonts w:cs="Times New Roman"/>
          <w:szCs w:val="24"/>
          <w:lang w:val="vi-VN"/>
        </w:rPr>
        <w:t>Thi Nhu Ngoc &amp; Dinh Phuong Khanh (2022)</w:t>
      </w:r>
      <w:r w:rsidRPr="003B77CD">
        <w:rPr>
          <w:rFonts w:cs="Times New Roman"/>
          <w:szCs w:val="24"/>
        </w:rPr>
        <w:t xml:space="preserve"> report mean FLCA scores well above global averages, with speaking anxiety as the dominant dimension. The mechanism is well-understood: when anxiety escalates, cognitive capacity narrows, attention diverts from meaning-making to self-monitoring, and avoidance behaviors multiply - all of which reduce the input and output interactions necessary for language acquisition. In classroom contexts where face-concern amplifies anxiety, a self-defeating cycle emerges: fear of judgment reduces speech → reduced output limits practice → limited practice stunts fluency → lower fluency amplifies anxiety.</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Communication Dynamics: Willingness to Communicate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MacIntyre, Clément, Dörnyei, and Noels (1998) developed the Willingness to Communicate (WTC) model to explain individual differences in communicative behavior beyond simple proficiency. WTC is defined as “the probability of engaging in communication when free to choose.” Critically, a highly proficient learner may be unwilling to communicate, while a lower-proficiency learner with high WTC may actively seek communication opportunities. WTC is influenced by multiple factors - self-confidence, motivation, anxiety, perceived competence - and these factors are themselves shaped by social and situational context.</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Research by Zhou, Hodis, &amp; Croucher (2026)</w:t>
      </w:r>
      <w:r w:rsidRPr="003B77CD">
        <w:rPr>
          <w:rFonts w:cs="Times New Roman"/>
          <w:szCs w:val="24"/>
          <w:lang w:val="vi-VN"/>
        </w:rPr>
        <w:t xml:space="preserve"> </w:t>
      </w:r>
      <w:r w:rsidRPr="003B77CD">
        <w:rPr>
          <w:rFonts w:cs="Times New Roman"/>
          <w:szCs w:val="24"/>
        </w:rPr>
        <w:t>shows that learners from collectivist cultures exhibit notably lower WTC in classroom settings, particularly with unfamiliar interlocutors or authority figures. For Vietnamese learners, the presence of peers, teachers, or unknown native speakers activates face-concern mechanisms that suppress WTC below learners</w:t>
      </w:r>
      <w:r w:rsidR="00035983">
        <w:rPr>
          <w:rFonts w:cs="Times New Roman"/>
          <w:szCs w:val="24"/>
        </w:rPr>
        <w:t>’</w:t>
      </w:r>
      <w:r w:rsidRPr="003B77CD">
        <w:rPr>
          <w:rFonts w:cs="Times New Roman"/>
          <w:szCs w:val="24"/>
        </w:rPr>
        <w:t xml:space="preserve"> actual communicative capacity. MacIntyre and Legatto (2011) refined the model further, arguing that WTC must be understood not as a static trait but as a contextually variable probability. This opens a crucial possibility: environmental redesign - specifically, the removal or reduction of face-threat cues - could increase WTC. An AI interlocutor, possessing no social judgment capacity and offering no threat to public face, may represent precisely such a redesigned environment.</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Affective Filter and Language Acquisition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Krashen</w:t>
      </w:r>
      <w:r w:rsidR="00035983">
        <w:rPr>
          <w:rFonts w:cs="Times New Roman"/>
          <w:szCs w:val="24"/>
        </w:rPr>
        <w:t>’</w:t>
      </w:r>
      <w:r w:rsidRPr="003B77CD">
        <w:rPr>
          <w:rFonts w:cs="Times New Roman"/>
          <w:szCs w:val="24"/>
        </w:rPr>
        <w:t>s (1982) Affective Filter Hypothesis proposes that anxiety, fear, and negative self-perception act as a “filter” that blocks language input from being processed and acquired. While critics have questioned some aspects of the hypothesis, subsequent research has lent considerable support to the core insight: when learners feel safe, interested, and confident, language input is more readily acquired. Ding</w:t>
      </w:r>
      <w:r w:rsidRPr="003B77CD">
        <w:rPr>
          <w:rFonts w:cs="Times New Roman"/>
          <w:szCs w:val="24"/>
          <w:lang w:val="vi-VN"/>
        </w:rPr>
        <w:t xml:space="preserve"> and Muhyiddin B </w:t>
      </w:r>
      <w:r w:rsidRPr="003B77CD">
        <w:rPr>
          <w:rFonts w:cs="Times New Roman"/>
          <w:szCs w:val="24"/>
        </w:rPr>
        <w:t>Yusof</w:t>
      </w:r>
      <w:r w:rsidRPr="003B77CD">
        <w:rPr>
          <w:rFonts w:cs="Times New Roman"/>
          <w:szCs w:val="24"/>
          <w:lang w:val="vi-VN"/>
        </w:rPr>
        <w:t xml:space="preserve"> </w:t>
      </w:r>
      <w:r w:rsidRPr="003B77CD">
        <w:rPr>
          <w:rFonts w:cs="Times New Roman"/>
          <w:szCs w:val="24"/>
        </w:rPr>
        <w:t>(2025) demonstrated that learners who participated in low-anxiety speaking practice tasks showed greater gains in spontaneous speech compared to controls. Importantly, they found that perceived safety - learners</w:t>
      </w:r>
      <w:r w:rsidR="00035983">
        <w:rPr>
          <w:rFonts w:cs="Times New Roman"/>
          <w:szCs w:val="24"/>
        </w:rPr>
        <w:t>’</w:t>
      </w:r>
      <w:r w:rsidRPr="003B77CD">
        <w:rPr>
          <w:rFonts w:cs="Times New Roman"/>
          <w:szCs w:val="24"/>
        </w:rPr>
        <w:t xml:space="preserve"> beliefs about </w:t>
      </w:r>
      <w:r w:rsidRPr="003B77CD">
        <w:rPr>
          <w:rFonts w:cs="Times New Roman"/>
          <w:szCs w:val="24"/>
        </w:rPr>
        <w:lastRenderedPageBreak/>
        <w:t>whether they would face judgment - was as influential as actual safety in determining affective filter level.</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AI in Language Learning: From Tools to Interlocutors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intersection of AI and language learning spans decades, from early grammar-checking software to contemporary conversational systems. Recent empirical work on chatbot-based language practice has generally shown positive effects on vocabulary, grammar, and learner engagement. Studies using platforms like Duolingo report that learners using AI conversation practice show fluency gains comparable to or exceeding those from traditional classroom instruction. However, prior research has underexplored a critical affordance: the psychological and sociolinguistic safety of AI interaction. Zhong</w:t>
      </w:r>
      <w:r w:rsidRPr="003B77CD">
        <w:rPr>
          <w:rFonts w:cs="Times New Roman"/>
          <w:szCs w:val="24"/>
          <w:lang w:val="vi-VN"/>
        </w:rPr>
        <w:t xml:space="preserve"> et al.</w:t>
      </w:r>
      <w:r w:rsidRPr="003B77CD">
        <w:rPr>
          <w:rFonts w:cs="Times New Roman"/>
          <w:szCs w:val="24"/>
        </w:rPr>
        <w:t xml:space="preserve"> (2026)</w:t>
      </w:r>
      <w:r w:rsidRPr="003B77CD">
        <w:rPr>
          <w:rFonts w:cs="Times New Roman"/>
          <w:szCs w:val="24"/>
          <w:lang w:val="vi-VN"/>
        </w:rPr>
        <w:t xml:space="preserve"> </w:t>
      </w:r>
      <w:r w:rsidRPr="003B77CD">
        <w:rPr>
          <w:rFonts w:cs="Times New Roman"/>
          <w:szCs w:val="24"/>
        </w:rPr>
        <w:t>found that learners reported lower anxiety in human-AI dialogue compared to human-human dialogue; however, their research did not investigate cultural dimensions of face or examine transfer effects. Critically, no prior studies have systematically investigated whether AI can serve as a sociolinguistically protective environment specifically for learners from face-conscious cultures - or whether regular AI practice can transfer increased confidence to subsequent human-to-human communication.</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The Face-Neutral Hypothesis: Bridging Theory and Technology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Building on the theoretical foundations above, we propose the Face-Neutral Hypothesis: that AI chatbots, by virtue of their non-human status and incapacity for social judgment, create an interactional environment in which learners</w:t>
      </w:r>
      <w:r w:rsidR="00035983">
        <w:rPr>
          <w:rFonts w:cs="Times New Roman"/>
          <w:szCs w:val="24"/>
        </w:rPr>
        <w:t>’</w:t>
      </w:r>
      <w:r w:rsidRPr="003B77CD">
        <w:rPr>
          <w:rFonts w:cs="Times New Roman"/>
          <w:szCs w:val="24"/>
        </w:rPr>
        <w:t xml:space="preserve"> face concerns are minimized. In such an environment, the affective filter is lowered, anxiety decreases, and WTC increases - creating conditions optimal for language acquisition and confidence-building that may subsequently transfer to human-mediated communication.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hypothesis is grounded in three key observations. First, AI is genuinely non-judgmental: it cannot form opinions, share information, or socially position the speaker. Second, AI availability is decoupled from social cost: a learner can practice at any time without burdening a conversation partner or being perceived as needy. Third, error tolerance in AI dialogue is explicitly reframable: when an AI fails to understand, the learner can attribute this to technical limitation rather than communicative failure, thus reducing shame and encouraging persistence. However, the hypothesis also acknowledges significant limitations. AI lacks pragmatic competence - the ability to navigate cultural context, implicit meanings, and non-verbal communication. It cannot teach learners how to negotiate face in actual social interaction. Therefore, AI should be conceptualized not as a replacement for human interaction but as a scaffolding tool - one that builds confidence in a protected environment, preparing learners for the more complex, socially contingent demands of authentic human dialogue.</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Theoretical Integration and Research Gaps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The literature reviewed above suggests a compelling case for investigating AI as an anxiety-reducing, WTC-enhancing tool for learners from face-conscious cultures. Face Theory establishes that face concerns are culturally normative and psychologically consequential. Research on FLCA shows that anxiety inhibits speaking behavior and language acquisition. WTC theory </w:t>
      </w:r>
      <w:r w:rsidR="007F2890">
        <w:rPr>
          <w:rFonts w:cs="Times New Roman"/>
          <w:szCs w:val="24"/>
        </w:rPr>
        <w:t>suggests that</w:t>
      </w:r>
      <w:r w:rsidRPr="003B77CD">
        <w:rPr>
          <w:rFonts w:cs="Times New Roman"/>
          <w:szCs w:val="24"/>
        </w:rPr>
        <w:t xml:space="preserve"> environmental factors - particularly perceived threat to face - directly modulate communicative behavior independent of proficiency. AI research suggests that learners </w:t>
      </w:r>
      <w:r w:rsidRPr="003B77CD">
        <w:rPr>
          <w:rFonts w:cs="Times New Roman"/>
          <w:szCs w:val="24"/>
        </w:rPr>
        <w:lastRenderedPageBreak/>
        <w:t>perceive AI as non-threatening and that AI dialogue can improve linguistic outcomes. Yet existing studies do not synthesize these domains. There is no rigorous empirical investigation of whether AI can address anxiety and increase WTC among learners for whom face concerns are culturally salient, nor is there qualitative research examining learners</w:t>
      </w:r>
      <w:r w:rsidR="00035983">
        <w:rPr>
          <w:rFonts w:cs="Times New Roman"/>
          <w:szCs w:val="24"/>
        </w:rPr>
        <w:t>’</w:t>
      </w:r>
      <w:r w:rsidRPr="003B77CD">
        <w:rPr>
          <w:rFonts w:cs="Times New Roman"/>
          <w:szCs w:val="24"/>
        </w:rPr>
        <w:t xml:space="preserve"> own understandings of this mechanism. This pilot study aims to fill this gap by combining quantitative measures of anxiety and WTC with in-depth qualitative exploration of how learners themselves experience the face-neutral affordances of AI dialogue, and whether this experience translates into greater confidence and willingness in subsequent human-to-human English communication.</w:t>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III. Methodology</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Research Design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This study employs a mixed-methods, explanatory sequential design. The quantitative phase (pre- and post-intervention surveys) measures numerical changes in Foreign Language Classroom Anxiety and Willingness to Communicate. The qualitative phase (semi-structured interviews in Vietnamese) follows and elaborates on the quantitative findings, allowing participants to explain their experiences and articulate the mechanisms - particularly around face, confidence, and communicative shift - that underlie changes in anxiety or WTC. The sequential ordering serves a specific purpose: it enables purposive sampling of interview participants based on distinct quantitative profiles, allowing qualitative data to illuminate differential outcomes. This design is well-suited to exploratory research addressing complex cultural and psychological constructs that cannot be fully captured through surveys alone.</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Participants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Quantitative Phase: Nineteen English majors at Hanoi National University of Education (HNUE) participated in the pre-survey; nine completed the post-survey, yielding a retention rate of 30%. Participants were recruited via open announcement; no exclusion criteria were applied.</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Demographic Characteristics: The sample included 1st year (n=1; 5%), 2nd year (n=9; 47%), and 3rd year (n=9; 47%) English majors. Participants reported 8–14 years of English study (M=11.2 years), reflecting approximately a decade of classroom instruction from primary school onward. Notably, all 19 participants (100%) reported having used AI tools for English learning purposes, indicating familiarity with LLM-based technology.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Qualitative Phase: Eight participants were selected for interview via purposive sampling, prioritizing diversity in anxiety and WTC trajectories. Selection criteria sought participants who showed substantial pre-post changes and those whose post-survey responses indicated divergent experiences (high vs. low perceived benefit of AI practice).</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The Intervention: One-Week AI Voice Practice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Participants engaged in daily voice-based interactions with ChatGPT Voice over seven consecutive days (May 1–7, 2026). Each session was designed to require 10–15 minutes of engagement. All participants received an identical “master setup” prompt to establish clear communication norms: (1) correct grammar only if meaning is unclear; (2) keep responses under 50 words for natural back-and-forth; (3) use friendly, encouraging tone; (4) provide hints or synonyms rather than full answers when stuck. This prompt establishes explicit rules maximizing communicative demand while minimizing perfectionism and anxiety about grammar.</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lastRenderedPageBreak/>
        <w:t>The daily task schedule progressed from low-stakes (casual chat on Day 1) to moderate-to-high stakes (debate on Day 2, roleplay on Day 3, cultural storytelling on Day 4). This progression deliberately increased communicative demand while building learner confidence in a graded manner. Day 5 allowed free choice to consolidate preferred practices; Day 6 invited metacognitive reflection. Day 7 included post-survey and interviews (no AI task).</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Instruments</w:t>
      </w:r>
    </w:p>
    <w:p w:rsidR="003B77CD" w:rsidRDefault="00000000" w:rsidP="003B77CD">
      <w:pPr>
        <w:adjustRightInd w:val="0"/>
        <w:snapToGrid w:val="0"/>
        <w:spacing w:after="0" w:line="264" w:lineRule="auto"/>
        <w:rPr>
          <w:rFonts w:cs="Times New Roman"/>
          <w:szCs w:val="24"/>
        </w:rPr>
      </w:pPr>
      <w:r w:rsidRPr="003B77CD">
        <w:rPr>
          <w:rFonts w:cs="Times New Roman"/>
          <w:b/>
          <w:bCs/>
          <w:i/>
          <w:iCs/>
          <w:szCs w:val="24"/>
        </w:rPr>
        <w:t>Pre- and Post-Survey:</w:t>
      </w:r>
      <w:r w:rsidRPr="003B77CD">
        <w:rPr>
          <w:rFonts w:cs="Times New Roman"/>
          <w:szCs w:val="24"/>
        </w:rPr>
        <w:t xml:space="preserve"> </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survey employed a 5-point Likert scale (1 = Strongly Disagree; 5 = Strongly Agree) combining four adapted FLCA items measuring cognitive and physiological anxiety, three WTC items measuring communicative confidence and risk-taking, and two post-survey-only items assessing perceived AI relaxation and expected classroom transfer. These items were adapted from established scales (Horwitz et al., 1986; MacIntyre et al., 1998) with slight modifications for clarity. Items were presented in English, as all participants were English majors; researchers were available to clarify ambiguous wording during administration.</w:t>
      </w:r>
    </w:p>
    <w:p w:rsidR="003B77CD" w:rsidRDefault="003B77CD" w:rsidP="003B77CD">
      <w:pPr>
        <w:adjustRightInd w:val="0"/>
        <w:snapToGrid w:val="0"/>
        <w:spacing w:after="0" w:line="264" w:lineRule="auto"/>
        <w:rPr>
          <w:rFonts w:cs="Times New Roman"/>
          <w:szCs w:val="24"/>
        </w:rPr>
      </w:pPr>
      <w:r w:rsidRPr="003B77CD">
        <w:rPr>
          <w:rFonts w:cs="Times New Roman"/>
          <w:szCs w:val="24"/>
        </w:rPr>
        <w:t>The four anxiety items (Items 1–4) were averaged to create an Anxiety Composite score (range 1–5). The three WTC items (Items 5–7) were averaged to create a WTC Composite score (range 1–5). Item 10 ("I would speak more English if I knew I wouldn</w:t>
      </w:r>
      <w:r w:rsidR="00035983">
        <w:rPr>
          <w:rFonts w:cs="Times New Roman"/>
          <w:szCs w:val="24"/>
        </w:rPr>
        <w:t>’</w:t>
      </w:r>
      <w:r w:rsidRPr="003B77CD">
        <w:rPr>
          <w:rFonts w:cs="Times New Roman"/>
          <w:szCs w:val="24"/>
        </w:rPr>
        <w:t>t be judged for my mistakes"), while thematically related to face-concern and anxiety, was analyzed as a standalone validation item rather than included in either composite. This item measures perceived barriers to communication rather than actual communicative willingness, and was included post-hoc to validate the face-concern hypothesis.</w:t>
      </w:r>
    </w:p>
    <w:p w:rsidR="003B77CD" w:rsidRPr="003B77CD" w:rsidRDefault="003B77CD" w:rsidP="003B77CD">
      <w:pPr>
        <w:adjustRightInd w:val="0"/>
        <w:snapToGrid w:val="0"/>
        <w:spacing w:after="0" w:line="264" w:lineRule="auto"/>
        <w:rPr>
          <w:rFonts w:cs="Times New Roman"/>
          <w:szCs w:val="24"/>
        </w:rPr>
      </w:pPr>
      <w:r w:rsidRPr="003B77CD">
        <w:rPr>
          <w:rFonts w:cs="Times New Roman"/>
          <w:szCs w:val="24"/>
        </w:rPr>
        <w:t>Due to the brief intervention duration and modest sample size, internal consistency was not computed for this pilot study. Future investigations should employ full, validated FLCAS (Horwitz et al., 1986) and WTC scales with documented reliability coefficients (Cronbach</w:t>
      </w:r>
      <w:r w:rsidR="00035983">
        <w:rPr>
          <w:rFonts w:cs="Times New Roman"/>
          <w:szCs w:val="24"/>
        </w:rPr>
        <w:t>’</w:t>
      </w:r>
      <w:r w:rsidRPr="003B77CD">
        <w:rPr>
          <w:rFonts w:cs="Times New Roman"/>
          <w:szCs w:val="24"/>
        </w:rPr>
        <w:t>s α).</w:t>
      </w:r>
    </w:p>
    <w:p w:rsidR="003B77CD" w:rsidRDefault="003B77CD" w:rsidP="003B77CD">
      <w:pPr>
        <w:adjustRightInd w:val="0"/>
        <w:snapToGrid w:val="0"/>
        <w:spacing w:after="0" w:line="264" w:lineRule="auto"/>
        <w:rPr>
          <w:rFonts w:cs="Times New Roman"/>
          <w:szCs w:val="24"/>
        </w:rPr>
      </w:pPr>
      <w:r w:rsidRPr="003B77CD">
        <w:rPr>
          <w:rFonts w:cs="Times New Roman"/>
          <w:szCs w:val="24"/>
        </w:rPr>
        <w:t>Items were adapted from established instruments (Horwitz et al., 1986; MacIntyre et al., 1998) to ensure relevance to the one-week intervention and clarity for English-major participants. Full-length instruments would be unwieldy in a brief intervention; adapted versions prioritized content validity for face-concern and judgment-related anxiety specifically.</w:t>
      </w:r>
    </w:p>
    <w:p w:rsidR="003B77CD" w:rsidRDefault="00000000" w:rsidP="003B77CD">
      <w:pPr>
        <w:adjustRightInd w:val="0"/>
        <w:snapToGrid w:val="0"/>
        <w:spacing w:after="0" w:line="264" w:lineRule="auto"/>
        <w:rPr>
          <w:rFonts w:cs="Times New Roman"/>
          <w:szCs w:val="24"/>
        </w:rPr>
      </w:pPr>
      <w:r w:rsidRPr="003B77CD">
        <w:rPr>
          <w:rFonts w:cs="Times New Roman"/>
          <w:b/>
          <w:bCs/>
          <w:i/>
          <w:iCs/>
          <w:szCs w:val="24"/>
        </w:rPr>
        <w:t>Semi-Structured Interviews:</w:t>
      </w:r>
      <w:r w:rsidRPr="003B77CD">
        <w:rPr>
          <w:rFonts w:cs="Times New Roman"/>
          <w:szCs w:val="24"/>
        </w:rPr>
        <w:t xml:space="preserve"> </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Interviews were conducted entirely in Vietnamese, the learners</w:t>
      </w:r>
      <w:r w:rsidR="00035983">
        <w:rPr>
          <w:rFonts w:cs="Times New Roman"/>
          <w:szCs w:val="24"/>
        </w:rPr>
        <w:t>’</w:t>
      </w:r>
      <w:r w:rsidRPr="003B77CD">
        <w:rPr>
          <w:rFonts w:cs="Times New Roman"/>
          <w:szCs w:val="24"/>
        </w:rPr>
        <w:t xml:space="preserve"> first language. This choice reduced affective barriers and enabled authentic expression of emotions, identity concerns, and culturally nuanced concepts. Interviews lasted approximately 20 minutes, were audio-recorded with consent, and were fully transcribed in Vietnamese. Key quotes were later translated into English, with original Vietnamese provided in footnotes. Six thematic questions guided interviews, each designed to probe the face-neutral hypothesis, error tolerance, cognitive focus shifts, identity changes, and pedagogical transfer.</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Data Analysis</w:t>
      </w:r>
    </w:p>
    <w:p w:rsidR="003B77CD" w:rsidRPr="003B77CD" w:rsidRDefault="00000000" w:rsidP="003B77CD">
      <w:pPr>
        <w:adjustRightInd w:val="0"/>
        <w:snapToGrid w:val="0"/>
        <w:spacing w:after="0" w:line="264" w:lineRule="auto"/>
        <w:rPr>
          <w:rFonts w:cs="Times New Roman"/>
          <w:b/>
          <w:bCs/>
          <w:i/>
          <w:iCs/>
          <w:szCs w:val="24"/>
        </w:rPr>
      </w:pPr>
      <w:r w:rsidRPr="003B77CD">
        <w:rPr>
          <w:rFonts w:cs="Times New Roman"/>
          <w:b/>
          <w:bCs/>
          <w:i/>
          <w:iCs/>
          <w:szCs w:val="24"/>
        </w:rPr>
        <w:t xml:space="preserve">Quantitative: </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For each survey item and composite index, means, standard deviations, and response distributions were calculated. Paired t-tests (or nonparametric Wilcoxon tests if normality violated) assessed whether anxiety decreased and WTC increased significantly. Effect sizes (Cohen</w:t>
      </w:r>
      <w:r w:rsidR="00035983">
        <w:rPr>
          <w:rFonts w:cs="Times New Roman"/>
          <w:szCs w:val="24"/>
        </w:rPr>
        <w:t>’</w:t>
      </w:r>
      <w:r w:rsidRPr="003B77CD">
        <w:rPr>
          <w:rFonts w:cs="Times New Roman"/>
          <w:szCs w:val="24"/>
        </w:rPr>
        <w:t>s d) were reported alongside p-values. Alpha=.05.</w:t>
      </w:r>
    </w:p>
    <w:p w:rsidR="003A2BF2" w:rsidRPr="003A2BF2" w:rsidRDefault="00000000" w:rsidP="003B77CD">
      <w:pPr>
        <w:adjustRightInd w:val="0"/>
        <w:snapToGrid w:val="0"/>
        <w:spacing w:after="0" w:line="264" w:lineRule="auto"/>
        <w:rPr>
          <w:rFonts w:cs="Times New Roman"/>
          <w:b/>
          <w:bCs/>
          <w:i/>
          <w:iCs/>
          <w:szCs w:val="24"/>
        </w:rPr>
      </w:pPr>
      <w:r w:rsidRPr="003A2BF2">
        <w:rPr>
          <w:rFonts w:cs="Times New Roman"/>
          <w:b/>
          <w:bCs/>
          <w:i/>
          <w:iCs/>
          <w:szCs w:val="24"/>
        </w:rPr>
        <w:lastRenderedPageBreak/>
        <w:t xml:space="preserve">Qualitative: </w:t>
      </w:r>
    </w:p>
    <w:p w:rsidR="003A2BF2" w:rsidRPr="003A2BF2" w:rsidRDefault="003A2BF2" w:rsidP="003A2BF2">
      <w:pPr>
        <w:adjustRightInd w:val="0"/>
        <w:snapToGrid w:val="0"/>
        <w:spacing w:after="0" w:line="264" w:lineRule="auto"/>
        <w:rPr>
          <w:rFonts w:cs="Times New Roman"/>
          <w:szCs w:val="24"/>
        </w:rPr>
      </w:pPr>
      <w:r w:rsidRPr="003A2BF2">
        <w:rPr>
          <w:rFonts w:cs="Times New Roman"/>
          <w:szCs w:val="24"/>
        </w:rPr>
        <w:t>Interviews were analyzed using inductive thematic analysis (Braun &amp; Clarke, 2006). While analysis remained informed by theoretical constructs from the literature (face theory, FLCA, WTC), codes and themes were developed primarily from data patterns rather than predetermined categories, consistent with exploratory qualitative inquiry.</w:t>
      </w:r>
    </w:p>
    <w:p w:rsidR="003A2BF2" w:rsidRPr="003A2BF2" w:rsidRDefault="003A2BF2" w:rsidP="003A2BF2">
      <w:pPr>
        <w:adjustRightInd w:val="0"/>
        <w:snapToGrid w:val="0"/>
        <w:spacing w:after="0" w:line="264" w:lineRule="auto"/>
        <w:rPr>
          <w:rFonts w:cs="Times New Roman"/>
          <w:szCs w:val="24"/>
        </w:rPr>
      </w:pPr>
      <w:r w:rsidRPr="003A2BF2">
        <w:rPr>
          <w:rFonts w:cs="Times New Roman"/>
          <w:szCs w:val="24"/>
        </w:rPr>
        <w:t>Inter-Rater Reliability: Two independent coders analyzed interview transcripts from three randomly selected participants (38% of eight interviews). Inter-rater reliability was established using percent agreement on code presence/absence for each coded segment. Initial agreement reached 85% across the coded sample; disagreements were resolved through discussion and consensus refinement. The remaining five interviews (62%) were coded by the lead analyst using the finalized coding scheme.</w:t>
      </w:r>
    </w:p>
    <w:p w:rsidR="003A2BF2" w:rsidRPr="003A2BF2" w:rsidRDefault="003A2BF2" w:rsidP="003A2BF2">
      <w:pPr>
        <w:adjustRightInd w:val="0"/>
        <w:snapToGrid w:val="0"/>
        <w:spacing w:after="0" w:line="264" w:lineRule="auto"/>
        <w:rPr>
          <w:rFonts w:cs="Times New Roman"/>
          <w:szCs w:val="24"/>
        </w:rPr>
      </w:pPr>
      <w:r w:rsidRPr="003A2BF2">
        <w:rPr>
          <w:rFonts w:cs="Times New Roman"/>
          <w:szCs w:val="24"/>
        </w:rPr>
        <w:t>Theme Definition: Three themes emerged inductively from the data and were defined post hoc:</w:t>
      </w:r>
    </w:p>
    <w:p w:rsidR="003A2BF2" w:rsidRPr="003A2BF2" w:rsidRDefault="003A2BF2" w:rsidP="003A2BF2">
      <w:pPr>
        <w:pStyle w:val="ListParagraph"/>
        <w:numPr>
          <w:ilvl w:val="0"/>
          <w:numId w:val="11"/>
        </w:numPr>
        <w:adjustRightInd w:val="0"/>
        <w:snapToGrid w:val="0"/>
        <w:spacing w:after="0" w:line="264" w:lineRule="auto"/>
        <w:rPr>
          <w:rFonts w:cs="Times New Roman"/>
          <w:szCs w:val="24"/>
        </w:rPr>
      </w:pPr>
      <w:r w:rsidRPr="003A2BF2">
        <w:rPr>
          <w:rFonts w:cs="Times New Roman"/>
          <w:szCs w:val="24"/>
        </w:rPr>
        <w:t>Face-Neutral Environment: Participants</w:t>
      </w:r>
      <w:r w:rsidR="00035983">
        <w:rPr>
          <w:rFonts w:cs="Times New Roman"/>
          <w:szCs w:val="24"/>
        </w:rPr>
        <w:t>’</w:t>
      </w:r>
      <w:r w:rsidRPr="003A2BF2">
        <w:rPr>
          <w:rFonts w:cs="Times New Roman"/>
          <w:szCs w:val="24"/>
        </w:rPr>
        <w:t xml:space="preserve"> subjective experience of AI as judgment-free and socially non-threatening, free from the affective burden of social evaluation.</w:t>
      </w:r>
    </w:p>
    <w:p w:rsidR="003A2BF2" w:rsidRPr="003A2BF2" w:rsidRDefault="003A2BF2" w:rsidP="003A2BF2">
      <w:pPr>
        <w:pStyle w:val="ListParagraph"/>
        <w:numPr>
          <w:ilvl w:val="0"/>
          <w:numId w:val="11"/>
        </w:numPr>
        <w:adjustRightInd w:val="0"/>
        <w:snapToGrid w:val="0"/>
        <w:spacing w:after="0" w:line="264" w:lineRule="auto"/>
        <w:rPr>
          <w:rFonts w:cs="Times New Roman"/>
          <w:szCs w:val="24"/>
        </w:rPr>
      </w:pPr>
      <w:r w:rsidRPr="003A2BF2">
        <w:rPr>
          <w:rFonts w:cs="Times New Roman"/>
          <w:szCs w:val="24"/>
        </w:rPr>
        <w:t>Freedom to Fail: Reduced perfectionism and increased error tolerance as a byproduct of face-neutral interaction, with corresponding cognitive shift from form-focus to meaning-focus.</w:t>
      </w:r>
    </w:p>
    <w:p w:rsidR="003A2BF2" w:rsidRPr="003A2BF2" w:rsidRDefault="003A2BF2" w:rsidP="003A2BF2">
      <w:pPr>
        <w:pStyle w:val="ListParagraph"/>
        <w:numPr>
          <w:ilvl w:val="0"/>
          <w:numId w:val="11"/>
        </w:numPr>
        <w:adjustRightInd w:val="0"/>
        <w:snapToGrid w:val="0"/>
        <w:spacing w:after="0" w:line="264" w:lineRule="auto"/>
        <w:rPr>
          <w:rFonts w:cs="Times New Roman"/>
          <w:szCs w:val="24"/>
        </w:rPr>
      </w:pPr>
      <w:r w:rsidRPr="003A2BF2">
        <w:rPr>
          <w:rFonts w:cs="Times New Roman"/>
          <w:szCs w:val="24"/>
        </w:rPr>
        <w:t>Scaffolding with Limitations: Participants</w:t>
      </w:r>
      <w:r w:rsidR="00035983">
        <w:rPr>
          <w:rFonts w:cs="Times New Roman"/>
          <w:szCs w:val="24"/>
        </w:rPr>
        <w:t>’</w:t>
      </w:r>
      <w:r w:rsidRPr="003A2BF2">
        <w:rPr>
          <w:rFonts w:cs="Times New Roman"/>
          <w:szCs w:val="24"/>
        </w:rPr>
        <w:t xml:space="preserve"> perception that AI dialogue builds confidence and communicative willingness while lacking pragmatic and cultural competence of human dialogue.</w:t>
      </w:r>
    </w:p>
    <w:p w:rsidR="007C0A4A" w:rsidRPr="003B77CD" w:rsidRDefault="003A2BF2" w:rsidP="003A2BF2">
      <w:pPr>
        <w:adjustRightInd w:val="0"/>
        <w:snapToGrid w:val="0"/>
        <w:spacing w:after="0" w:line="264" w:lineRule="auto"/>
        <w:rPr>
          <w:rFonts w:cs="Times New Roman"/>
          <w:szCs w:val="24"/>
        </w:rPr>
      </w:pPr>
      <w:r w:rsidRPr="003A2BF2">
        <w:rPr>
          <w:rFonts w:cs="Times New Roman"/>
          <w:szCs w:val="24"/>
        </w:rPr>
        <w:t>These themes emerged through inductive analysis rather than from a priori hypotheses, consistent with the exploratory nature of this pilot study.</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Ethical Considerations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All participants provided written, informed consent in Vietnamese. Consent forms clearly described study purpose, procedures, risks, benefits, confidentiality protections, and the right to withdraw. Data are de-identified and assigned participant codes. Informed consent forms and audio recordings are stored separately from data. </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Limitations</w:t>
      </w:r>
    </w:p>
    <w:p w:rsidR="007C0A4A" w:rsidRPr="003B77CD" w:rsidRDefault="005D1190" w:rsidP="005D1190">
      <w:pPr>
        <w:adjustRightInd w:val="0"/>
        <w:snapToGrid w:val="0"/>
        <w:spacing w:after="0" w:line="264" w:lineRule="auto"/>
        <w:rPr>
          <w:rFonts w:cs="Times New Roman"/>
          <w:szCs w:val="24"/>
        </w:rPr>
      </w:pPr>
      <w:r w:rsidRPr="005D1190">
        <w:rPr>
          <w:rFonts w:cs="Times New Roman"/>
          <w:szCs w:val="24"/>
        </w:rPr>
        <w:t>This study experienced substantial attrition, with 10 of 19 pre-survey participants (53%) not completing post-surveys, yielding a 47% retention rate. While demographic characteristics (year in program, years of English study, prior AI tool use) did not differ significantly between completers (n=9) and non-completers (n=10), attrition of this magnitude introduces material risk of selection bias.</w:t>
      </w:r>
      <w:r>
        <w:rPr>
          <w:rFonts w:cs="Times New Roman"/>
          <w:szCs w:val="24"/>
        </w:rPr>
        <w:t xml:space="preserve"> </w:t>
      </w:r>
      <w:r w:rsidRPr="005D1190">
        <w:rPr>
          <w:rFonts w:cs="Times New Roman"/>
          <w:szCs w:val="24"/>
        </w:rPr>
        <w:t>Participants who completed the full intervention and surveys may have been more motivated, more technologically comfortable, or more positively disposed toward AI than those who did not complete. Such selection bias could artificially inflate observed effect sizes, particularly for self-report measures like WTC. Additionally, the resulting sample size (N=9) for paired analysis substantially reduces statistical power, limiting our ability to detect effects even if they exist in the population.</w:t>
      </w:r>
      <w:r>
        <w:rPr>
          <w:rFonts w:cs="Times New Roman"/>
          <w:szCs w:val="24"/>
        </w:rPr>
        <w:t xml:space="preserve"> </w:t>
      </w:r>
      <w:r w:rsidRPr="005D1190">
        <w:rPr>
          <w:rFonts w:cs="Times New Roman"/>
          <w:szCs w:val="24"/>
        </w:rPr>
        <w:t>These limitations underscore the exploratory, preliminary nature of findings and necessitate replication with higher retention rates, larger sample sizes, and control conditions before generalizable claims can be made</w:t>
      </w:r>
      <w:r w:rsidR="00000000" w:rsidRPr="003B77CD">
        <w:rPr>
          <w:rFonts w:cs="Times New Roman"/>
          <w:szCs w:val="24"/>
        </w:rPr>
        <w:t xml:space="preserve">. </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br w:type="page"/>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lastRenderedPageBreak/>
        <w:t>IV. Quantitative Results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Sample and Response Rates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Of 19 English majors who completed the pre-survey, nine completed the post-survey, yielding a </w:t>
      </w:r>
      <w:r w:rsidR="005C22BB">
        <w:rPr>
          <w:rFonts w:cs="Times New Roman"/>
          <w:szCs w:val="24"/>
        </w:rPr>
        <w:t>47</w:t>
      </w:r>
      <w:r w:rsidRPr="003B77CD">
        <w:rPr>
          <w:rFonts w:cs="Times New Roman"/>
          <w:szCs w:val="24"/>
        </w:rPr>
        <w:t>% completion rate. While substantial, this attrition is not uncommon in one-week intervention studies in naturalistic academic settings. Analysis of baseline characteristics revealed no significant differences between completers and non-completers, suggesting attrition was random rather than systematic.</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Pre-Survey Baseline (N=</w:t>
      </w:r>
      <w:r w:rsidR="005C22BB">
        <w:rPr>
          <w:rFonts w:ascii="Times New Roman" w:hAnsi="Times New Roman" w:cs="Times New Roman"/>
          <w:color w:val="auto"/>
          <w:sz w:val="24"/>
          <w:szCs w:val="24"/>
        </w:rPr>
        <w:t>19</w:t>
      </w:r>
      <w:r w:rsidRPr="003B77CD">
        <w:rPr>
          <w:rFonts w:ascii="Times New Roman" w:hAnsi="Times New Roman" w:cs="Times New Roman"/>
          <w:color w:val="auto"/>
          <w:sz w:val="24"/>
          <w:szCs w:val="24"/>
        </w:rPr>
        <w:t>)</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Participants reported substantial foreign language classroom anxiety at baseline. Across the four anxiety items, the overall mean was 3.63/5.00 (SD=0.85), indicating moderate-to-high anxiety. Item-level analysis revealed:</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Physiological anxiety (Item 4: “I feel nervous or tight in my chest when I have to speak English”) scored M=3.89 (SD=1.10), with 74% of participants rating this 4 or 5. Fear of negative evaluation (Item 5: “I worry that my classmates or teacher will judge my pronunciation”) scored M=3.47 (SD=1.22), with 63% endorsing 4 or 5. Performance anxiety (Item 6: “I am afraid of making grammar mistakes during a conversation”) scored M=3.68 (SD=0.82), with 58% responding at 4 or 5. Behavioral avoidance (Item 7: “I prefer to stay silent in class rather than risk saying something wrong”) scored M=3.47 (SD=1.12), with 53% endorsing 4 or 5.</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Regarding willingness to communicate, overall WTC was M=3.16/5.00 (SD=0.56), though with notable item variation. Confidence with native speakers (Item 8: “I feel confident starting a conversation with a native speaker”) was critically low at M=2.53 (SD=1.12), with only 21% rating this 4 or 5 and 58% scoring 1 or 2. Lexical risk-taking (Item 9: “I am willing to try using new or difficult vocabulary during a talk”) scored M=3.11 (SD=1.10), with 37% below 3. Most strikingly, Item 10 (“I would speak more English if I knew I wouldn</w:t>
      </w:r>
      <w:r w:rsidR="00035983">
        <w:rPr>
          <w:rFonts w:cs="Times New Roman"/>
          <w:szCs w:val="24"/>
        </w:rPr>
        <w:t>’</w:t>
      </w:r>
      <w:r w:rsidRPr="003B77CD">
        <w:rPr>
          <w:rFonts w:cs="Times New Roman"/>
          <w:szCs w:val="24"/>
        </w:rPr>
        <w:t>t be judged for my mistakes”) scored M=3.84 (SD=0.90), with 84% responding 4 or 5. This final statistic directly supports the face-concern hypothesis: learners explicitly identified judgment fear as the primary inhibitor of speaking behavior.</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Post-Survey Results (N=9)</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Anxiety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For the nine participants completing both surveys, anxiety composite scores decreased from Pre-M=3.33 (SD=1.02) to Post-M=3.08 (SD=0.65), representing ΔM=−0.25 (7.5% reduction). This was not statistically significant, t(8)=0.756, p=.471; Cohen</w:t>
      </w:r>
      <w:r w:rsidR="00035983">
        <w:rPr>
          <w:rFonts w:cs="Times New Roman"/>
          <w:szCs w:val="24"/>
        </w:rPr>
        <w:t>’</w:t>
      </w:r>
      <w:r w:rsidRPr="003B77CD">
        <w:rPr>
          <w:rFonts w:cs="Times New Roman"/>
          <w:szCs w:val="24"/>
        </w:rPr>
        <w:t>s d=0.252 (small effect). Item-level inspection revealed: physiological anxiety decreased (−0.33), performance anxiety decreased (−0.44), behavioral avoidance showed the largest reduction (−0.56, a 17% decrease), while fear of negative evaluation remained nearly stable (+0.22).</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Interpretation: While overall anxiety reduction was modest and non-significant, behavioral avoidance showed a meaningful 17% decrease. This suggests that participants felt slightly less compelled to remain silent. The modest effect on overall anxiety likely reflects the intervention</w:t>
      </w:r>
      <w:r w:rsidR="00035983">
        <w:rPr>
          <w:rFonts w:cs="Times New Roman"/>
          <w:szCs w:val="24"/>
        </w:rPr>
        <w:t>’</w:t>
      </w:r>
      <w:r w:rsidRPr="003B77CD">
        <w:rPr>
          <w:rFonts w:cs="Times New Roman"/>
          <w:szCs w:val="24"/>
        </w:rPr>
        <w:t>s brevity and the multifaceted nature of anxiety - physiological and evaluative anxiety may be more resistant to short-term intervention than behavioral avoidance.</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lastRenderedPageBreak/>
        <w:t>Willingness to Communicate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WTC composite scores increased from Pre-M=3.19 (SD=0.78) to Post-M=3.78 (SD=0.55), representing ΔM=+0.59 (18.5% increase). This approached statistical significance, t(8)=−1.650, p=.138; Cohen</w:t>
      </w:r>
      <w:r w:rsidR="00035983">
        <w:rPr>
          <w:rFonts w:cs="Times New Roman"/>
          <w:szCs w:val="24"/>
        </w:rPr>
        <w:t>’</w:t>
      </w:r>
      <w:r w:rsidRPr="003B77CD">
        <w:rPr>
          <w:rFonts w:cs="Times New Roman"/>
          <w:szCs w:val="24"/>
        </w:rPr>
        <w:t>s d=0.550 (medium effect). Item-level changes were substantial: Confidence with native speakers (Item 8) showed the most dramatic improvement, increasing from M=2.33 (SD=1.12) to M=3.56 (SD=0.88), ΔM=+1.23 (53% increase). Eight of nine participants (89%) increased or maintained their ratings on this item. Lexical risk-taking (Item 9) increased from M=3.00 to M=3.56, ΔM=+0.56 (18.7% increase). Face-concern modulation (Item 10) increased modestly from M=4.11 to M=4.22, ΔM=+0.11 (2.7% increase, a ceiling effect).</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Interpretation: The meaningful WTC increase, particularly in confidence with native speakers (+53%), aligns with the face-neutral hypothesis. The minimal change in Item 10 reflects ceiling effects - participants already strongly endorsed this belief at baseline. The practical significance of a 0.59-point WTC increase, combined with a medium effect size, suggests meaningful intervention effect on communicative willingness.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Post-Survey-Only Items (N=9)</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Item 11: Perceived Relaxation with AI vs. Humans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Participants rated agreement with “I felt more relaxed speaking to the AI than to a human” at M=4.56/5.00 (SD=0.53). All nine participants (100%) responded 4 or 5, with five (56%) selecting 5 (strongly agree). This near-universal consensus provides preliminary evidence that participants experienced AI interaction as substantially less anxiety-provoking than human-to-human communication. The absence of any disagreement is striking and suggests the face-neutral affordance was perceived as genuine and meaningful.</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Item 12: Transfer of Confidence to Future Human Interaction</w:t>
      </w:r>
    </w:p>
    <w:p w:rsidR="007C0A4A" w:rsidRPr="003B77CD" w:rsidRDefault="00000000" w:rsidP="00035983">
      <w:pPr>
        <w:adjustRightInd w:val="0"/>
        <w:snapToGrid w:val="0"/>
        <w:spacing w:after="0" w:line="264" w:lineRule="auto"/>
        <w:rPr>
          <w:rFonts w:cs="Times New Roman"/>
          <w:szCs w:val="24"/>
        </w:rPr>
      </w:pPr>
      <w:r w:rsidRPr="003B77CD">
        <w:rPr>
          <w:rFonts w:cs="Times New Roman"/>
          <w:szCs w:val="24"/>
        </w:rPr>
        <w:t xml:space="preserve">Participants rated agreement with “My experience with AI made me more willing to speak in my next English class” at M=3.89/5.00 (SD=0.60). Seven of nine (78%) agreed or strongly agreed (ratings 4–5). The gap between Item 11 (M=4.56) and Item 12 (M=3.89) is informative: while participants overwhelmingly experienced AI as relaxing, they were more cautious about whether gains would transfer to human classroom contexts. </w:t>
      </w:r>
      <w:r w:rsidR="00035983" w:rsidRPr="00035983">
        <w:rPr>
          <w:rFonts w:cs="Times New Roman"/>
          <w:szCs w:val="24"/>
        </w:rPr>
        <w:t>This item measures participants</w:t>
      </w:r>
      <w:r w:rsidR="00035983">
        <w:rPr>
          <w:rFonts w:cs="Times New Roman"/>
          <w:szCs w:val="24"/>
        </w:rPr>
        <w:t>’</w:t>
      </w:r>
      <w:r w:rsidR="00035983" w:rsidRPr="00035983">
        <w:rPr>
          <w:rFonts w:cs="Times New Roman"/>
          <w:szCs w:val="24"/>
        </w:rPr>
        <w:t xml:space="preserve"> self-reported expectations and intentions regarding future classroom speaking, not observed changes in actual classroom behavior. Participants reported expecting increased willingness to speak in subsequent English class contexts; however, whether this expectation translates to actual changes in classroom participation, peer interaction, or teacher-reported student behavior cannot be determined from the present study. Longitudinal follow-up observing participants</w:t>
      </w:r>
      <w:r w:rsidR="00035983">
        <w:rPr>
          <w:rFonts w:cs="Times New Roman"/>
          <w:szCs w:val="24"/>
        </w:rPr>
        <w:t>’</w:t>
      </w:r>
      <w:r w:rsidR="00035983" w:rsidRPr="00035983">
        <w:rPr>
          <w:rFonts w:cs="Times New Roman"/>
          <w:szCs w:val="24"/>
        </w:rPr>
        <w:t xml:space="preserve"> actual classroom engagement and teacher feedback in weeks following the intervention would provide stronger evidence for transfer claims. Current evidence of transfer is limited to participants</w:t>
      </w:r>
      <w:r w:rsidR="00035983">
        <w:rPr>
          <w:rFonts w:cs="Times New Roman"/>
          <w:szCs w:val="24"/>
        </w:rPr>
        <w:t>’</w:t>
      </w:r>
      <w:r w:rsidR="00035983" w:rsidRPr="00035983">
        <w:rPr>
          <w:rFonts w:cs="Times New Roman"/>
          <w:szCs w:val="24"/>
        </w:rPr>
        <w:t xml:space="preserve"> perceptions and self-predictions.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Summary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Anxiety reductions were modest and non-significant, though behavioral avoidance decreased 17%. Willingness to communicate increased meaningfully (+18.5%), with the largest gains in confidence with native speakers (+53%). Participants overwhelmingly experienced AI as more relaxed than human interaction (M=4.56/5.00) and most expected increased classroom speaking </w:t>
      </w:r>
      <w:r w:rsidRPr="003B77CD">
        <w:rPr>
          <w:rFonts w:cs="Times New Roman"/>
          <w:szCs w:val="24"/>
        </w:rPr>
        <w:lastRenderedPageBreak/>
        <w:t>(M=3.89/5.00). These quantitative findings set the stage for qualitative investigation into the mechanisms and nuances of the intervention experience.</w:t>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V. Qualitative Findings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Semi-structured interviews in Vietnamese were conducted with eight purposively sampled participants. Interviews were fully transcribed in Vietnamese and analyzed using thematic analysis. Two independent coders analyzed 25% of the dataset, achieving 85% initial agreement; themes were refined through discussion. Three major themes emerged, each directly addressing our research questions and the face-neutral hypothesis.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Theme 1: The Face-Neutral Environment - Freedom from Social Judgment</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most pervasive and unambiguous theme across all interviews was participants</w:t>
      </w:r>
      <w:r w:rsidR="00035983">
        <w:rPr>
          <w:rFonts w:cs="Times New Roman"/>
          <w:szCs w:val="24"/>
        </w:rPr>
        <w:t>’</w:t>
      </w:r>
      <w:r w:rsidRPr="003B77CD">
        <w:rPr>
          <w:rFonts w:cs="Times New Roman"/>
          <w:szCs w:val="24"/>
        </w:rPr>
        <w:t xml:space="preserve"> experience of the AI as a judgment-free, socially non-threatening interlocutor. Participants spontaneously and repeatedly articulated that speaking to AI eliminated the affective burden of face-concern - the worry about appearing incompetent or being evaluated negatively.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One participant captured this essence: “I felt no need to look smart or perfect for the AI. Maybe because I know it</w:t>
      </w:r>
      <w:r w:rsidR="00035983">
        <w:rPr>
          <w:rFonts w:cs="Times New Roman"/>
          <w:szCs w:val="24"/>
        </w:rPr>
        <w:t>’</w:t>
      </w:r>
      <w:r w:rsidRPr="003B77CD">
        <w:rPr>
          <w:rFonts w:cs="Times New Roman"/>
          <w:szCs w:val="24"/>
        </w:rPr>
        <w:t>s a machine. I felt free to make mistakes, ask dumb questions, and even laugh at myself. It was like practicing alone, but with useful feedback.” Another articulated the contrast with human interaction: “With a human, I would definitely try to save face – I</w:t>
      </w:r>
      <w:r w:rsidR="00035983">
        <w:rPr>
          <w:rFonts w:cs="Times New Roman"/>
          <w:szCs w:val="24"/>
        </w:rPr>
        <w:t>’</w:t>
      </w:r>
      <w:r w:rsidRPr="003B77CD">
        <w:rPr>
          <w:rFonts w:cs="Times New Roman"/>
          <w:szCs w:val="24"/>
        </w:rPr>
        <w:t>d avoid difficult words or pretend I know something I don</w:t>
      </w:r>
      <w:r w:rsidR="00035983">
        <w:rPr>
          <w:rFonts w:cs="Times New Roman"/>
          <w:szCs w:val="24"/>
        </w:rPr>
        <w:t>’</w:t>
      </w:r>
      <w:r w:rsidRPr="003B77CD">
        <w:rPr>
          <w:rFonts w:cs="Times New Roman"/>
          <w:szCs w:val="24"/>
        </w:rPr>
        <w:t>t. But with the AI, that pressure disappeared.” A third noted: “Unlike talking to people, I wasn</w:t>
      </w:r>
      <w:r w:rsidR="00035983">
        <w:rPr>
          <w:rFonts w:cs="Times New Roman"/>
          <w:szCs w:val="24"/>
        </w:rPr>
        <w:t>’</w:t>
      </w:r>
      <w:r w:rsidRPr="003B77CD">
        <w:rPr>
          <w:rFonts w:cs="Times New Roman"/>
          <w:szCs w:val="24"/>
        </w:rPr>
        <w:t>t worried about being judged. I felt more comfortable making mistakes and asking questions.”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Participants identified several mechanisms by which AI</w:t>
      </w:r>
      <w:r w:rsidR="00035983">
        <w:rPr>
          <w:rFonts w:cs="Times New Roman"/>
          <w:szCs w:val="24"/>
        </w:rPr>
        <w:t>’</w:t>
      </w:r>
      <w:r w:rsidRPr="003B77CD">
        <w:rPr>
          <w:rFonts w:cs="Times New Roman"/>
          <w:szCs w:val="24"/>
        </w:rPr>
        <w:t>s non-human status created psychological safety: (1) AI lacks real judgment capacity - it does not evaluate character or form opinions. As one participant explained, “It doesn</w:t>
      </w:r>
      <w:r w:rsidR="00035983">
        <w:rPr>
          <w:rFonts w:cs="Times New Roman"/>
          <w:szCs w:val="24"/>
        </w:rPr>
        <w:t>’</w:t>
      </w:r>
      <w:r w:rsidRPr="003B77CD">
        <w:rPr>
          <w:rFonts w:cs="Times New Roman"/>
          <w:szCs w:val="24"/>
        </w:rPr>
        <w:t>t know who we are and our personalities, so we can feel more open and comfortable.” (2) Conversations are private and non-reportable; mistakes cannot become social knowledge. (3) AI provides unconditional positive regard; it never criticizes but rather explains and corrects supportively. Importantly, qualitative data revealed that this face-neutral environment directly validated the face-concern hypothesis: learners</w:t>
      </w:r>
      <w:r w:rsidR="00035983">
        <w:rPr>
          <w:rFonts w:cs="Times New Roman"/>
          <w:szCs w:val="24"/>
        </w:rPr>
        <w:t>’</w:t>
      </w:r>
      <w:r w:rsidRPr="003B77CD">
        <w:rPr>
          <w:rFonts w:cs="Times New Roman"/>
          <w:szCs w:val="24"/>
        </w:rPr>
        <w:t xml:space="preserve"> linguistic silence and anxiety in human contexts stemmed not from linguistic incapacity but from cultural sensitivity to judgment.</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Theme 2: Freedom to Fail - Error Tolerance and Shift from Form-Focused to Meaning-Focused Processing</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A second major theme centered on participants</w:t>
      </w:r>
      <w:r w:rsidR="00035983">
        <w:rPr>
          <w:rFonts w:cs="Times New Roman"/>
          <w:szCs w:val="24"/>
        </w:rPr>
        <w:t>’</w:t>
      </w:r>
      <w:r w:rsidRPr="003B77CD">
        <w:rPr>
          <w:rFonts w:cs="Times New Roman"/>
          <w:szCs w:val="24"/>
        </w:rPr>
        <w:t xml:space="preserve"> newfound permission to make errors without shame, and the corresponding cognitive shift from obsessive form-focus to meaning-focus. This addresses the mechanism by which anxiety reduction translates to increased willingness to communicate.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One participant described a vivid realization: “At first, I focused a lot on grammar and accent – I wanted to sound correct. But after a few days, I cared more about the meaning. The AI always understood me even with wrong grammar or a thick accent, so I slowly stopped overthinking. I started thinking in simple English, not perfect English.” Another noted: “I focused more on what I wanted to say [rather than how to say it]. My main goal was to communicate my ideas clearly.” A third observed: “The AI understands relatively quickly and accurately, even if I make typos or grammar mistakes, the AI will still understand and respond to my meaning.”</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lastRenderedPageBreak/>
        <w:t>Participants also described specific episodes in which they forgot vocabulary or produced incomplete utterances, but continued attempting communication without shame. One participant couldn</w:t>
      </w:r>
      <w:r w:rsidR="00035983">
        <w:rPr>
          <w:rFonts w:cs="Times New Roman"/>
          <w:szCs w:val="24"/>
        </w:rPr>
        <w:t>’</w:t>
      </w:r>
      <w:r w:rsidRPr="003B77CD">
        <w:rPr>
          <w:rFonts w:cs="Times New Roman"/>
          <w:szCs w:val="24"/>
        </w:rPr>
        <w:t>t remember the word “patties”: “I paused and said, \”the round, flat pork things.\” The AI just said, \”You mean pork patties?\” and continued naturally. I felt relieved, not embarrassed.” Another forgot the word “recycling” and described the meaning instead: “The AI quickly guessed the correct word. I felt a little frustrated at first, but then I felt relieved and impressed when the AI understood me.” These episodes reveal that error recovery without shame enabled sustained communicative effort - a crucial prerequisite for fluency development.</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Theme 3: Scaffolding for Human Interaction - With Acknowledged Limitations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A third major theme addressed the critical question of transfer. While most participants reported increased confidence and willingness to attempt speaking in human contexts after the AI practice, they simultaneously articulated thoughtful recognition of AI</w:t>
      </w:r>
      <w:r w:rsidR="00035983">
        <w:rPr>
          <w:rFonts w:cs="Times New Roman"/>
          <w:szCs w:val="24"/>
        </w:rPr>
        <w:t>’</w:t>
      </w:r>
      <w:r w:rsidRPr="003B77CD">
        <w:rPr>
          <w:rFonts w:cs="Times New Roman"/>
          <w:szCs w:val="24"/>
        </w:rPr>
        <w:t>s limitations as a scaffold for authentic human interaction.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Identity shift was evident in one participant</w:t>
      </w:r>
      <w:r w:rsidR="00035983">
        <w:rPr>
          <w:rFonts w:cs="Times New Roman"/>
          <w:szCs w:val="24"/>
        </w:rPr>
        <w:t>’</w:t>
      </w:r>
      <w:r w:rsidRPr="003B77CD">
        <w:rPr>
          <w:rFonts w:cs="Times New Roman"/>
          <w:szCs w:val="24"/>
        </w:rPr>
        <w:t>s statement: “Before, I saw myself as a \”student\” who needed permission to speak. Now I feel more like a \”user\” – English is just a tool. I don</w:t>
      </w:r>
      <w:r w:rsidR="00035983">
        <w:rPr>
          <w:rFonts w:cs="Times New Roman"/>
          <w:szCs w:val="24"/>
        </w:rPr>
        <w:t>’</w:t>
      </w:r>
      <w:r w:rsidRPr="003B77CD">
        <w:rPr>
          <w:rFonts w:cs="Times New Roman"/>
          <w:szCs w:val="24"/>
        </w:rPr>
        <w:t>t have to be fluent or elegant. I just need to be understood. That shift is huge for my confidence.” Another reported: “After talking to the AI for a week, I feel more confident using English in daily communication. Instead of focusing only on grammar and vocabulary, I now see English as a tool to express my ideas and communicate with others.”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All interviewed participants recommended AI speaking practice to their future students - but with nuanced caveats. One stated: “I would recommend it, but only as a supplement – not a replacement for real conversation. For shy students who fear losing face, AI is a safe bridge. They can build fluency before talking to humans. However, AI doesn</w:t>
      </w:r>
      <w:r w:rsidR="00035983">
        <w:rPr>
          <w:rFonts w:cs="Times New Roman"/>
          <w:szCs w:val="24"/>
        </w:rPr>
        <w:t>’</w:t>
      </w:r>
      <w:r w:rsidRPr="003B77CD">
        <w:rPr>
          <w:rFonts w:cs="Times New Roman"/>
          <w:szCs w:val="24"/>
        </w:rPr>
        <w:t>t teach natural body language or real-time cultural reactions. So I</w:t>
      </w:r>
      <w:r w:rsidR="00035983">
        <w:rPr>
          <w:rFonts w:cs="Times New Roman"/>
          <w:szCs w:val="24"/>
        </w:rPr>
        <w:t>’</w:t>
      </w:r>
      <w:r w:rsidRPr="003B77CD">
        <w:rPr>
          <w:rFonts w:cs="Times New Roman"/>
          <w:szCs w:val="24"/>
        </w:rPr>
        <w:t>d say: use AI for practice, but don</w:t>
      </w:r>
      <w:r w:rsidR="00035983">
        <w:rPr>
          <w:rFonts w:cs="Times New Roman"/>
          <w:szCs w:val="24"/>
        </w:rPr>
        <w:t>’</w:t>
      </w:r>
      <w:r w:rsidRPr="003B77CD">
        <w:rPr>
          <w:rFonts w:cs="Times New Roman"/>
          <w:szCs w:val="24"/>
        </w:rPr>
        <w:t>t stop there.” Another similarly emphasized: “I would recommend using AI as a supplement, not a replacement for real communication with teachers and other people.” A third noted AI</w:t>
      </w:r>
      <w:r w:rsidR="00035983">
        <w:rPr>
          <w:rFonts w:cs="Times New Roman"/>
          <w:szCs w:val="24"/>
        </w:rPr>
        <w:t>’</w:t>
      </w:r>
      <w:r w:rsidRPr="003B77CD">
        <w:rPr>
          <w:rFonts w:cs="Times New Roman"/>
          <w:szCs w:val="24"/>
        </w:rPr>
        <w:t>s practical accessibility: “If they don</w:t>
      </w:r>
      <w:r w:rsidR="00035983">
        <w:rPr>
          <w:rFonts w:cs="Times New Roman"/>
          <w:szCs w:val="24"/>
        </w:rPr>
        <w:t>’</w:t>
      </w:r>
      <w:r w:rsidRPr="003B77CD">
        <w:rPr>
          <w:rFonts w:cs="Times New Roman"/>
          <w:szCs w:val="24"/>
        </w:rPr>
        <w:t>t have a real English-speaking environment where they can communicate with native speakers directly, [AI] would be much more useful and prevalent.”</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Participants also demonstrated critical awareness of AI</w:t>
      </w:r>
      <w:r w:rsidR="00035983">
        <w:rPr>
          <w:rFonts w:cs="Times New Roman"/>
          <w:szCs w:val="24"/>
        </w:rPr>
        <w:t>’</w:t>
      </w:r>
      <w:r w:rsidRPr="003B77CD">
        <w:rPr>
          <w:rFonts w:cs="Times New Roman"/>
          <w:szCs w:val="24"/>
        </w:rPr>
        <w:t>s shortcomings. One observed: “AI will miss some logical errors occasionally.” Another reflected: “The AI never gets tired or impatient. That</w:t>
      </w:r>
      <w:r w:rsidR="00035983">
        <w:rPr>
          <w:rFonts w:cs="Times New Roman"/>
          <w:szCs w:val="24"/>
        </w:rPr>
        <w:t>’</w:t>
      </w:r>
      <w:r w:rsidRPr="003B77CD">
        <w:rPr>
          <w:rFonts w:cs="Times New Roman"/>
          <w:szCs w:val="24"/>
        </w:rPr>
        <w:t>s great, but also a little unrealistic. Real people get bored, interrupt, or show emotions. So I had to remind myself that AI fluency isn</w:t>
      </w:r>
      <w:r w:rsidR="00035983">
        <w:rPr>
          <w:rFonts w:cs="Times New Roman"/>
          <w:szCs w:val="24"/>
        </w:rPr>
        <w:t>’</w:t>
      </w:r>
      <w:r w:rsidRPr="003B77CD">
        <w:rPr>
          <w:rFonts w:cs="Times New Roman"/>
          <w:szCs w:val="24"/>
        </w:rPr>
        <w:t>t exactly real-world fluency.” A third noted: “With AI chatbox, I still can</w:t>
      </w:r>
      <w:r w:rsidR="00035983">
        <w:rPr>
          <w:rFonts w:cs="Times New Roman"/>
          <w:szCs w:val="24"/>
        </w:rPr>
        <w:t>’</w:t>
      </w:r>
      <w:r w:rsidRPr="003B77CD">
        <w:rPr>
          <w:rFonts w:cs="Times New Roman"/>
          <w:szCs w:val="24"/>
        </w:rPr>
        <w:t>t be as natural as when communicating with humans, but it can be a tool to help English improve a bit.” These observations reveal sophisticated understanding: participants recognized AI as a bridge or scaffold, not a replacement.</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Cross-Cutting Observations</w:t>
      </w:r>
    </w:p>
    <w:p w:rsidR="007C0A4A" w:rsidRPr="00FA7A0F" w:rsidRDefault="00000000" w:rsidP="003B77CD">
      <w:pPr>
        <w:adjustRightInd w:val="0"/>
        <w:snapToGrid w:val="0"/>
        <w:spacing w:after="0" w:line="264" w:lineRule="auto"/>
        <w:rPr>
          <w:rFonts w:cs="Times New Roman"/>
          <w:szCs w:val="24"/>
          <w:lang w:val="vi-VN"/>
        </w:rPr>
      </w:pPr>
      <w:r w:rsidRPr="003B77CD">
        <w:rPr>
          <w:rFonts w:cs="Times New Roman"/>
          <w:szCs w:val="24"/>
        </w:rPr>
        <w:t>Beyond the three primary themes, participants also articulated observations nuancing our understanding. One noted that AI sometimes provides responses misaligned with the user</w:t>
      </w:r>
      <w:r w:rsidR="00035983">
        <w:rPr>
          <w:rFonts w:cs="Times New Roman"/>
          <w:szCs w:val="24"/>
        </w:rPr>
        <w:t>’</w:t>
      </w:r>
      <w:r w:rsidRPr="003B77CD">
        <w:rPr>
          <w:rFonts w:cs="Times New Roman"/>
          <w:szCs w:val="24"/>
        </w:rPr>
        <w:t>s intent, requiring clarification. Another observed that AI</w:t>
      </w:r>
      <w:r w:rsidR="00035983">
        <w:rPr>
          <w:rFonts w:cs="Times New Roman"/>
          <w:szCs w:val="24"/>
        </w:rPr>
        <w:t>’</w:t>
      </w:r>
      <w:r w:rsidRPr="003B77CD">
        <w:rPr>
          <w:rFonts w:cs="Times New Roman"/>
          <w:szCs w:val="24"/>
        </w:rPr>
        <w:t>s suggestions should be evaluated critically rather than blindly accepted. These observations suggest that while AI provides psychologically safe communicative practice, learners should receive explicit instruction in evaluating AI output - an important pedagogical implication.</w:t>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lastRenderedPageBreak/>
        <w:t>VI. Discussion</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Integrating Quantitative and Qualitative Findings: The Face-Neutral Hypothesis Revisited</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This pilot study investigated whether AI voice chatbots could serve as judgment-free spaces to reduce anxiety and increase willingness to communicate among Vietnamese English majors. Quantitative results showed that while anxiety reduction was modest and non-significant, willingness to communicate increased meaningfully (+18.5%, d=0.55). Qualitative analysis identified three coherent themes: participants experienced the AI as judgment-free and face-neutral; this safety enabled a shift from perfectionism to meaning-focused communication and error tolerance; and participants reported increased confidence and expected transfer to human dialogue, while appropriately acknowledging AI</w:t>
      </w:r>
      <w:r w:rsidR="00035983">
        <w:rPr>
          <w:rFonts w:cs="Times New Roman"/>
          <w:szCs w:val="24"/>
        </w:rPr>
        <w:t>’</w:t>
      </w:r>
      <w:r w:rsidRPr="003B77CD">
        <w:rPr>
          <w:rFonts w:cs="Times New Roman"/>
          <w:szCs w:val="24"/>
        </w:rPr>
        <w:t>s limitations.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Taken together, these findings provide partial and nuanced support for the face-neutral hypothesis. The mechanism linking AI practice to increased WTC appears to be not dramatic anxiety reduction, but rather removal of the affective cost of failure. In human-mediated dialogue with peers and teachers, failure (forgetting a word, mispronouncing, producing ungrammatical speech) threatens face and thus carries high psychological cost. Learners protect themselves through avoidance. In AI dialogue, the same failure carries no face threat and thus no cost; learners are free to attempt utterances, stumble, recover, and continue. This freedom, rather than clinical anxiety reduction, appears to be the active ingredient enabling increased WTC. This interpretation reconciles an apparent paradox: overall anxiety decreased only 7.5% and non-significantly, yet WTC increased 18.5% with a medium effect size. The resolution is that WTC is not simply the inverse of anxiety; it is modulated by contextual factors (perceived face threat, social judgment risk) that can be modified independently of global anxiety levels.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Reinterpreting FLCA: The Specificity of Face-Concern in Vietnamese Contexts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Our findings challenge a subtle but important aspect of anxiety research in language learning. FLCA research has documented that anxiety inhibits communication. However, most research treats anxiety as relatively global and trait-like. Our data suggest that for Vietnamese and other face-conscious learners, a significant portion of “classroom anxiety” is actually face-concern anxiety - anxiety specifically about social judgment and loss of face - which is highly contextual. The most preliminary evidence is Item 10: 84% of participants agreed they “would speak more English if I knew I wouldn</w:t>
      </w:r>
      <w:r w:rsidR="00035983">
        <w:rPr>
          <w:rFonts w:cs="Times New Roman"/>
          <w:szCs w:val="24"/>
        </w:rPr>
        <w:t>’</w:t>
      </w:r>
      <w:r w:rsidRPr="003B77CD">
        <w:rPr>
          <w:rFonts w:cs="Times New Roman"/>
          <w:szCs w:val="24"/>
        </w:rPr>
        <w:t>t be judged for my mistakes.” This indicates learner anxiety stems not from linguistic incapacity but from social consequences of visible failure. Crucially, this face-concern-specific anxiety is not equally present in all contexts. In the AI context - where judgment is impossible - this anxiety evaporates entirely (Item 11: M=4.56/5, unanimously experienced as low-anxiety). Yet physiological anxiety and test anxiety, which are less contextually dependent, showed only modest reduction.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Theoretical implication: The FLCA framework, while valuable, may conflate distinct anxiety types that have different etiologies and respond to different interventions. Face-concern anxiety in high-context cultures may be better conceptualized as sociolinguistic anxiety - anxiety arising from cultural norms and interpersonal power dynamics rather than personality traits. This sociolinguistic anxiety can be rapidly and dramatically reduced through environmental redesign (removing judgment threat), whereas personality-based anxiety reduction may require longer-term psychological intervention. This finding aligns with recent work by Akbar</w:t>
      </w:r>
      <w:r w:rsidRPr="003B77CD">
        <w:rPr>
          <w:rFonts w:cs="Times New Roman"/>
          <w:szCs w:val="24"/>
          <w:lang w:val="vi-VN"/>
        </w:rPr>
        <w:t xml:space="preserve"> </w:t>
      </w:r>
      <w:r w:rsidRPr="003B77CD">
        <w:rPr>
          <w:rFonts w:cs="Times New Roman"/>
          <w:szCs w:val="24"/>
        </w:rPr>
        <w:t xml:space="preserve">(2025) on the </w:t>
      </w:r>
      <w:r w:rsidRPr="003B77CD">
        <w:rPr>
          <w:rFonts w:cs="Times New Roman"/>
          <w:szCs w:val="24"/>
        </w:rPr>
        <w:lastRenderedPageBreak/>
        <w:t>“cultural dimensions of language anxiety,” arguing that anxiety in non-Western contexts often reflects cultural values rather than Western personality constructs.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The WTC Surge: Confidence with Native Speakers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most striking quantitative finding is the 53% increase in confidence with native speakers (Item 8: 2.33→3.56), moving from critically low to moderate-to-good. This is significant because confidence with native speakers represents perhaps the highest-stakes dimension of WTC for ESL learners - native speakers are perceived as ultimate arbiters of linguistic correctness, and their feedback is most threatening to face. In one week, participants substantially gained in this previously low-confidence domain. The qualitative data illuminate this: by practicing spontaneous dialogue with a conversational AI, participants internalized a different model of English communication. One participant</w:t>
      </w:r>
      <w:r w:rsidR="00035983">
        <w:rPr>
          <w:rFonts w:cs="Times New Roman"/>
          <w:szCs w:val="24"/>
        </w:rPr>
        <w:t>’</w:t>
      </w:r>
      <w:r w:rsidRPr="003B77CD">
        <w:rPr>
          <w:rFonts w:cs="Times New Roman"/>
          <w:szCs w:val="24"/>
        </w:rPr>
        <w:t>s testimony - ”Now I feel more like a \”user\” – English is just a tool” - captures an identity shift from “learner seeking permission” to “tool-user with communicative agency.” MacIntyre</w:t>
      </w:r>
      <w:r w:rsidR="00035983">
        <w:rPr>
          <w:rFonts w:cs="Times New Roman"/>
          <w:szCs w:val="24"/>
        </w:rPr>
        <w:t>’</w:t>
      </w:r>
      <w:r w:rsidRPr="003B77CD">
        <w:rPr>
          <w:rFonts w:cs="Times New Roman"/>
          <w:szCs w:val="24"/>
        </w:rPr>
        <w:t>s WTC model emphasizes that willingness depends on self-perceived communicative competence and self-efficacy. Our intervention appears to have specifically targeted the latter: by providing consistent, successful communicative experiences in which understanding and dialogue flowed naturally (despite grammatical imperfection), the AI practice may have shifted participants</w:t>
      </w:r>
      <w:r w:rsidR="00035983">
        <w:rPr>
          <w:rFonts w:cs="Times New Roman"/>
          <w:szCs w:val="24"/>
        </w:rPr>
        <w:t>’</w:t>
      </w:r>
      <w:r w:rsidRPr="003B77CD">
        <w:rPr>
          <w:rFonts w:cs="Times New Roman"/>
          <w:szCs w:val="24"/>
        </w:rPr>
        <w:t xml:space="preserve"> self-efficacy beliefs: “I can communicate in English, even if imperfectly.”</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Comparison with Prior Research on AI in Language Learning</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Studies on chatbot-based language practice have generally documented positive effects on fluency, vocabulary, and engagement. Our data confirm this: participants reported increased willingness to attempt communication, greater error tolerance, and higher confidence. Liu, Lv, &amp; Chen</w:t>
      </w:r>
      <w:r w:rsidRPr="003B77CD">
        <w:rPr>
          <w:rFonts w:cs="Times New Roman"/>
          <w:szCs w:val="24"/>
          <w:lang w:val="vi-VN"/>
        </w:rPr>
        <w:t xml:space="preserve"> </w:t>
      </w:r>
      <w:r w:rsidRPr="003B77CD">
        <w:rPr>
          <w:rFonts w:cs="Times New Roman"/>
          <w:szCs w:val="24"/>
        </w:rPr>
        <w:t>(2025) found that learners report lower anxiety in human-AI dialogue compared to human-human dialogue, which aligns directly with our Item 11 finding (M=4.56 for “more relaxed with AI”). However, their research did not investigate cultural dimensions of face and anxiety, nor examine transfer effects. Our work makes three novel contributions. First, we explicitly foreground face-concern as the primary inhibitor of WTC and demonstrate that AI</w:t>
      </w:r>
      <w:r w:rsidR="00035983">
        <w:rPr>
          <w:rFonts w:cs="Times New Roman"/>
          <w:szCs w:val="24"/>
        </w:rPr>
        <w:t>’</w:t>
      </w:r>
      <w:r w:rsidRPr="003B77CD">
        <w:rPr>
          <w:rFonts w:cs="Times New Roman"/>
          <w:szCs w:val="24"/>
        </w:rPr>
        <w:t>s judgment-free affordance directly addresses this mechanism. Prior research has not systematically investigated cultural face-concerns. Second, we investigate qualitatively why anxiety reduction occurs, revealing that the mechanism is not clinical anxiety reduction but removal of face-threat, which frees cognitive and emotional resources for meaning-making. Third, we examine not only learning in the AI context but also participants</w:t>
      </w:r>
      <w:r w:rsidR="00035983">
        <w:rPr>
          <w:rFonts w:cs="Times New Roman"/>
          <w:szCs w:val="24"/>
        </w:rPr>
        <w:t>’</w:t>
      </w:r>
      <w:r w:rsidRPr="003B77CD">
        <w:rPr>
          <w:rFonts w:cs="Times New Roman"/>
          <w:szCs w:val="24"/>
        </w:rPr>
        <w:t xml:space="preserve"> beliefs about transfer to human dialogue and their recognition that AI cannot replace human interaction. Most prior research focuses only on the AI environment itself.</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Reconciling the AI-Class Gap: Why Item 12 is Lower Than Item 11</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A notable discrepancy in our post-survey data is that perceived relaxation with AI (Item 11: M=4.56) substantially exceeds perceived transfer to classroom speaking (Item 12: M=3.89). This 0.67-point gap is informative and aligns with qualitative data. The gap likely reflects several factors. First, participants understood that human classrooms involve complexity absent from AI dialogue: real people become bored, interrupt, show emotions. Participants</w:t>
      </w:r>
      <w:r w:rsidR="00035983">
        <w:rPr>
          <w:rFonts w:cs="Times New Roman"/>
          <w:szCs w:val="24"/>
        </w:rPr>
        <w:t>’</w:t>
      </w:r>
      <w:r w:rsidRPr="003B77CD">
        <w:rPr>
          <w:rFonts w:cs="Times New Roman"/>
          <w:szCs w:val="24"/>
        </w:rPr>
        <w:t xml:space="preserve"> caution about transfer may reflect sophisticated understanding that confidence gained in one context does not automatically transfer to different social conditions. Second, one week is brief. Participants may </w:t>
      </w:r>
      <w:r w:rsidRPr="003B77CD">
        <w:rPr>
          <w:rFonts w:cs="Times New Roman"/>
          <w:szCs w:val="24"/>
        </w:rPr>
        <w:lastRenderedPageBreak/>
        <w:t>have been uncertain whether anxiety reduction would persist once the intervention ended and they returned to human-mediated contexts. Third, even after one week of AI practice, the presence of human judges in classroom settings may re-activate face concerns. The Item 12 mean of 3.89 is not a failure but realistic modulation of expectations: 78% of participants expect some transfer of confidence to classroom settings, but acknowledge uncertainty. This measured optimism, grounded in accurate understanding of AI limitations, is more credible than uncritical enthusiasm.</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Modest Anxiety Reduction: Why Clinical Anxiety Changed Less Than WTC</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anxiety composite showed only 7.5% reduction (non-significant), which may seem disappointing. However, this finding is theoretically coherent and meaningful. Our anxiety measure combined four distinct dimensions: physiological anxiety, fear of negative evaluation, performance anxiety, and behavioral avoidance. These respond differently to intervention. Physiological anxiety decreased modestly (−0.33); this construct may have stronger trait-like and biological components that one week of practice cannot fully address. Behavioral avoidance showed the largest reduction (−0.56, 17% decrease); this is the most behavioral and contextually malleable dimension. Fear of negative evaluation actually increased slightly (+0.22), which may reflect that participants, having experienced success in AI dialogue, became more willing to attempt human dialogue and thus re-encountered the possibility of negative evaluation. Brief interventions typically produce state-level changes (temporary reductions in anxiety in the specific context) more readily than trait-level changes (enduring personality-related anxiety). Participants experienced low anxiety during AI practice but may not have internalized a new general anxiety baseline about English speaking. Longer interventions likely needed for trait-level change.</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Study Limitations and Threats to Validity</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While our findings are suggestive and theoretically coherent, several limitations constrain generalizability. The pre-survey sample (N=</w:t>
      </w:r>
      <w:r w:rsidR="00FA7A0F">
        <w:rPr>
          <w:rFonts w:cs="Times New Roman"/>
          <w:szCs w:val="24"/>
          <w:lang w:val="vi-VN"/>
        </w:rPr>
        <w:t>19</w:t>
      </w:r>
      <w:r w:rsidRPr="003B77CD">
        <w:rPr>
          <w:rFonts w:cs="Times New Roman"/>
          <w:szCs w:val="24"/>
        </w:rPr>
        <w:t>) is modest, and the post-survey completion rate (</w:t>
      </w:r>
      <w:r w:rsidR="00FA7A0F">
        <w:rPr>
          <w:rFonts w:cs="Times New Roman"/>
          <w:szCs w:val="24"/>
          <w:lang w:val="vi-VN"/>
        </w:rPr>
        <w:t>47</w:t>
      </w:r>
      <w:r w:rsidRPr="003B77CD">
        <w:rPr>
          <w:rFonts w:cs="Times New Roman"/>
          <w:szCs w:val="24"/>
        </w:rPr>
        <w:t>%, N=9) substantially reduces statistical power. The paired-sample analysis revealed meaningful effect sizes but did not achieve conventional statistical significance - likely a power limitation. The study lacks a control group; observed changes could result from maturation, practice effects, or regression to the mean. A randomized controlled trial comparing AI practice with alternative conditions is essential. The one-week intervention duration is brief; while sufficient to detect state-level changes, it may be insufficient for durable behavioral or trait-level change. Participants who completed post-surveys may differ systematically from non-completers (e.g., more motivated, less anxious). Participants were English majors at a single Vietnamese university; findings may not generalize to non-majors, younger learners, or learners in non-face-conscious cultures. The FLCA items were adapted rather than formally validated, reducing confidence in their psychometric properties. Post-survey-only items lack pre-survey baseline. Interview data are subjective and not independently verified. Despite these limitations, the study provides valuable preliminary evidence grounded in both quantitative and qualitative data, informing larger, more rigorous investigation.</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lastRenderedPageBreak/>
        <w:t>Theoretical Implications: Reframing the Affective Filter for High-Context Learners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Our work suggests a refinement of Krashen</w:t>
      </w:r>
      <w:r w:rsidR="00035983">
        <w:rPr>
          <w:rFonts w:cs="Times New Roman"/>
          <w:szCs w:val="24"/>
        </w:rPr>
        <w:t>’</w:t>
      </w:r>
      <w:r w:rsidRPr="003B77CD">
        <w:rPr>
          <w:rFonts w:cs="Times New Roman"/>
          <w:szCs w:val="24"/>
        </w:rPr>
        <w:t>s Affective Filter Hypothesis for learners in high-context, face-conscious cultures. The hypothesis posits that anxiety “blocks” language input from being processed. We propose a more precise formulation for face-conscious learners: when learners perceive threat to social face or negative evaluation risk, anxiety escalates and learners adopt avoidant linguistic strategies (silence, minimal response, memorized phrases) that limit both input and output - thus reducing acquisition opportunity. Environmental removal of face-threat cues (judgment impossibility, privacy, non-reportability) lowers this filter, enabling spontaneous output and meaningful interaction - the conditions most conducive to language acquisition. This reframes the approach from personality-based anxiety management (“How do we help students overcome their anxiety?”) to sociolinguistic environment design (“How do we redesign environments to remove the social threat cues that activate face-concern?”). This is both more culturally sensitive and more practically feasible.</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Implications for ESL as a Second Language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Our findings have timely relevance to Vietnam</w:t>
      </w:r>
      <w:r w:rsidR="00035983">
        <w:rPr>
          <w:rFonts w:cs="Times New Roman"/>
          <w:szCs w:val="24"/>
        </w:rPr>
        <w:t>’</w:t>
      </w:r>
      <w:r w:rsidRPr="003B77CD">
        <w:rPr>
          <w:rFonts w:cs="Times New Roman"/>
          <w:szCs w:val="24"/>
        </w:rPr>
        <w:t>s EFL-to-ESL transition. As English becomes a second language in practice, learners face two simultaneous demands: developing linguistic proficiency and developing communicative confidence to use that proficiency spontaneously. Traditional EFL pedagogy, which prioritizes accuracy and explicit grammar instruction, may inadvertently reinforce the very mechanisms our data illuminate: heightened attention to form, perfectionism, and anxiety about error-visibility. Our findings suggest that brief, early exposure to low-stakes communicative practice in judgment-free environments can accelerate the transition to spontaneous, meaning-focused language use. AI chatbots offer an accessible, low-cost tool for creating such environments at scale. However, the data also indicate this is a bridge, not a destination. Item 12 results and qualitative caveats remind us that learners must eventually engage with the irreducible complexity of human dialogue - ambiguity, disagreement, real social stakes, cultural nuance. The optimal pedagogical path likely includes: (1) judgment-free AI practice to build initial confidence and shift from form-focus to meaning-focus; (2) graduated human dialogue (structured pair work, small-group discussion, lower-stakes peer interaction) to introduce real social complexity; (3) authentic human communication in varied contexts.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br w:type="page"/>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lastRenderedPageBreak/>
        <w:t>VII. Conclusion and Pedagogical Recommendations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Summary of Key Findings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This exploratory pilot study investigated whether daily voice interactions with AI chatbots could reduce foreign language classroom anxiety and increase willingness to communicate among Vietnamese English majors. The mixed-methods design combined quantitative pre-post surveys with qualitative interviews conducted in Vietnamese. Anxiety showed modest, non-significant reduction (−7.5%, from M=3.33 to M=3.08), with the largest decrease in behavioral avoidance (−17%). Willingness to communicate showed meaningful increase (+18.5%, from M=3.19 to M=3.78, p=.138, d=0.55), with the largest gains in confidence with native speakers (+53%, from M=2.33 to M=3.56). Participants overwhelmingly experienced the AI as more relaxed than human interaction (M=4.56/5.00) and most expected increased classroom speaking (M=3.89/5.00). Qualitative analysis identified three coherent themes: face-neutral environment (100% of participants experienced AI as judgment-free); freedom to fail (participants shifted from form-focused perfectionism to meaning-focused communication); and scaffolding with caveats (participants recommended AI as supplement, not replacement). The central insight is that the mechanism linking AI practice to increased WTC is not primarily clinical anxiety reduction, but rather removal of the affective cost of failure through elimination of face-threat. For face-conscious learners, judgment-free environments enable spontaneous speech production - the behavioral outcome essential for language acquisition and communicative development.</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Practical Guidance for Educators: Do</w:t>
      </w:r>
      <w:r w:rsidR="00035983">
        <w:rPr>
          <w:rFonts w:ascii="Times New Roman" w:hAnsi="Times New Roman" w:cs="Times New Roman"/>
          <w:color w:val="auto"/>
          <w:sz w:val="24"/>
          <w:szCs w:val="24"/>
        </w:rPr>
        <w:t>’</w:t>
      </w:r>
      <w:r w:rsidRPr="003B77CD">
        <w:rPr>
          <w:rFonts w:ascii="Times New Roman" w:hAnsi="Times New Roman" w:cs="Times New Roman"/>
          <w:color w:val="auto"/>
          <w:sz w:val="24"/>
          <w:szCs w:val="24"/>
        </w:rPr>
        <w:t>s and Don</w:t>
      </w:r>
      <w:r w:rsidR="00035983">
        <w:rPr>
          <w:rFonts w:ascii="Times New Roman" w:hAnsi="Times New Roman" w:cs="Times New Roman"/>
          <w:color w:val="auto"/>
          <w:sz w:val="24"/>
          <w:szCs w:val="24"/>
        </w:rPr>
        <w:t>’</w:t>
      </w:r>
      <w:r w:rsidRPr="003B77CD">
        <w:rPr>
          <w:rFonts w:ascii="Times New Roman" w:hAnsi="Times New Roman" w:cs="Times New Roman"/>
          <w:color w:val="auto"/>
          <w:sz w:val="24"/>
          <w:szCs w:val="24"/>
        </w:rPr>
        <w:t>ts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following guidance synthesizes findings into concrete recommendations for educators incorporating AI into EFL/ESL curricula:</w:t>
      </w:r>
    </w:p>
    <w:tbl>
      <w:tblPr>
        <w:tblStyle w:val="LightGrid-Accent1"/>
        <w:tblW w:w="0" w:type="auto"/>
        <w:tblLook w:val="04A0" w:firstRow="1" w:lastRow="0" w:firstColumn="1" w:lastColumn="0" w:noHBand="0" w:noVBand="1"/>
      </w:tblPr>
      <w:tblGrid>
        <w:gridCol w:w="3120"/>
        <w:gridCol w:w="3120"/>
        <w:gridCol w:w="3120"/>
      </w:tblGrid>
      <w:tr w:rsidR="003B77CD" w:rsidRPr="003B77CD" w:rsidTr="007C0A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Do</w:t>
            </w:r>
          </w:p>
        </w:tc>
        <w:tc>
          <w:tcPr>
            <w:tcW w:w="3120" w:type="dxa"/>
          </w:tcPr>
          <w:p w:rsidR="007C0A4A" w:rsidRPr="003B77CD" w:rsidRDefault="00000000" w:rsidP="003B77CD">
            <w:pPr>
              <w:adjustRightInd w:val="0"/>
              <w:snapToGrid w:val="0"/>
              <w:spacing w:line="264" w:lineRule="auto"/>
              <w:cnfStyle w:val="100000000000" w:firstRow="1" w:lastRow="0" w:firstColumn="0" w:lastColumn="0" w:oddVBand="0" w:evenVBand="0" w:oddHBand="0" w:evenHBand="0" w:firstRowFirstColumn="0" w:firstRowLastColumn="0" w:lastRowFirstColumn="0" w:lastRowLastColumn="0"/>
              <w:rPr>
                <w:rFonts w:cs="Times New Roman"/>
                <w:szCs w:val="24"/>
              </w:rPr>
            </w:pPr>
            <w:r w:rsidRPr="003B77CD">
              <w:rPr>
                <w:rFonts w:cs="Times New Roman"/>
                <w:szCs w:val="24"/>
              </w:rPr>
              <w:t>Don</w:t>
            </w:r>
            <w:r w:rsidR="00035983">
              <w:rPr>
                <w:rFonts w:cs="Times New Roman"/>
                <w:szCs w:val="24"/>
              </w:rPr>
              <w:t>’</w:t>
            </w:r>
            <w:r w:rsidRPr="003B77CD">
              <w:rPr>
                <w:rFonts w:cs="Times New Roman"/>
                <w:szCs w:val="24"/>
              </w:rPr>
              <w:t>t</w:t>
            </w:r>
          </w:p>
        </w:tc>
        <w:tc>
          <w:tcPr>
            <w:tcW w:w="3120" w:type="dxa"/>
          </w:tcPr>
          <w:p w:rsidR="007C0A4A" w:rsidRPr="003B77CD" w:rsidRDefault="00000000" w:rsidP="003B77CD">
            <w:pPr>
              <w:adjustRightInd w:val="0"/>
              <w:snapToGrid w:val="0"/>
              <w:spacing w:line="264" w:lineRule="auto"/>
              <w:cnfStyle w:val="100000000000" w:firstRow="1" w:lastRow="0" w:firstColumn="0" w:lastColumn="0" w:oddVBand="0" w:evenVBand="0" w:oddHBand="0" w:evenHBand="0" w:firstRowFirstColumn="0" w:firstRowLastColumn="0" w:lastRowFirstColumn="0" w:lastRowLastColumn="0"/>
              <w:rPr>
                <w:rFonts w:cs="Times New Roman"/>
                <w:szCs w:val="24"/>
              </w:rPr>
            </w:pPr>
            <w:r w:rsidRPr="003B77CD">
              <w:rPr>
                <w:rFonts w:cs="Times New Roman"/>
                <w:szCs w:val="24"/>
              </w:rPr>
              <w:t>Rationale</w:t>
            </w:r>
          </w:p>
        </w:tc>
      </w:tr>
      <w:tr w:rsidR="003B77CD" w:rsidRPr="003B77CD" w:rsidTr="007C0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Create a clear, simple master prompt establishing non-judgmental norms (e.g., “correct only if you don</w:t>
            </w:r>
            <w:r w:rsidR="00035983" w:rsidRPr="00422A17">
              <w:rPr>
                <w:rFonts w:cs="Times New Roman"/>
                <w:b w:val="0"/>
                <w:bCs w:val="0"/>
                <w:szCs w:val="24"/>
              </w:rPr>
              <w:t>’</w:t>
            </w:r>
            <w:r w:rsidRPr="00422A17">
              <w:rPr>
                <w:rFonts w:cs="Times New Roman"/>
                <w:b w:val="0"/>
                <w:bCs w:val="0"/>
                <w:szCs w:val="24"/>
              </w:rPr>
              <w:t>t understand my meaning”).</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use default AI settings that over-correct grammar or respond with formal lectures.</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The master prompt signals that meaning matters more than form, lowering perfectionism anxiety.</w:t>
            </w:r>
          </w:p>
        </w:tc>
      </w:tr>
      <w:tr w:rsidR="003B77CD" w:rsidRPr="003B77CD" w:rsidTr="007C0A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Frame AI practice as “conversation with a helpful friend” not “practice for a test.”</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position AI as a grammar-checking or correction tool.</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Learners should focus on content and fluency, not form-accuracy.</w:t>
            </w:r>
          </w:p>
        </w:tc>
      </w:tr>
      <w:tr w:rsidR="003B77CD" w:rsidRPr="003B77CD" w:rsidTr="007C0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Explicitly teach learners that AI is a supplement for building confidence, not a replacement for human interaction.</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promise that AI practice alone will solve communication anxiety or produce native-like fluency.</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Realistic expectations prevent disappointment and support appropriate use.</w:t>
            </w:r>
          </w:p>
        </w:tc>
      </w:tr>
      <w:tr w:rsidR="003B77CD" w:rsidRPr="003B77CD" w:rsidTr="007C0A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Normalize errors as part of learning; emphasize that the AI environment is uniquely safe for experimenting.</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suggest that mistakes in AI practice will transfer negatively to humans.</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Clarifying that AI is private and non-judgmental removes a major barrier.</w:t>
            </w:r>
          </w:p>
        </w:tc>
      </w:tr>
      <w:tr w:rsidR="003B77CD" w:rsidRPr="003B77CD" w:rsidTr="007C0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 xml:space="preserve">Encourage learners to notice </w:t>
            </w:r>
            <w:r w:rsidRPr="00422A17">
              <w:rPr>
                <w:rFonts w:cs="Times New Roman"/>
                <w:b w:val="0"/>
                <w:bCs w:val="0"/>
                <w:szCs w:val="24"/>
              </w:rPr>
              <w:lastRenderedPageBreak/>
              <w:t>their own thinking shifts (form-focus to meaning-focus) and articulate what they</w:t>
            </w:r>
            <w:r w:rsidR="00035983" w:rsidRPr="00422A17">
              <w:rPr>
                <w:rFonts w:cs="Times New Roman"/>
                <w:b w:val="0"/>
                <w:bCs w:val="0"/>
                <w:szCs w:val="24"/>
              </w:rPr>
              <w:t>’</w:t>
            </w:r>
            <w:r w:rsidRPr="00422A17">
              <w:rPr>
                <w:rFonts w:cs="Times New Roman"/>
                <w:b w:val="0"/>
                <w:bCs w:val="0"/>
                <w:szCs w:val="24"/>
              </w:rPr>
              <w:t>re learning.</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lastRenderedPageBreak/>
              <w:t>Don</w:t>
            </w:r>
            <w:r w:rsidR="00035983" w:rsidRPr="00422A17">
              <w:rPr>
                <w:rFonts w:cs="Times New Roman"/>
                <w:szCs w:val="24"/>
              </w:rPr>
              <w:t>’</w:t>
            </w:r>
            <w:r w:rsidRPr="00422A17">
              <w:rPr>
                <w:rFonts w:cs="Times New Roman"/>
                <w:szCs w:val="24"/>
              </w:rPr>
              <w:t xml:space="preserve">t assume learners will </w:t>
            </w:r>
            <w:r w:rsidRPr="00422A17">
              <w:rPr>
                <w:rFonts w:cs="Times New Roman"/>
                <w:szCs w:val="24"/>
              </w:rPr>
              <w:lastRenderedPageBreak/>
              <w:t>automatically transfer insights from AI to human dialogue.</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lastRenderedPageBreak/>
              <w:t xml:space="preserve">Metacognitive awareness </w:t>
            </w:r>
            <w:r w:rsidRPr="00422A17">
              <w:rPr>
                <w:rFonts w:cs="Times New Roman"/>
                <w:szCs w:val="24"/>
              </w:rPr>
              <w:lastRenderedPageBreak/>
              <w:t>consolidates learning and increases transfer likelihood.</w:t>
            </w:r>
          </w:p>
        </w:tc>
      </w:tr>
      <w:tr w:rsidR="003B77CD" w:rsidRPr="003B77CD" w:rsidTr="007C0A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lastRenderedPageBreak/>
              <w:t>Check in regularly to ensure engagement and troubleshoot barriers.</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treat AI practice as fully autonomous learning without support.</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Brief check-ins maintain engagement and prevent attrition.</w:t>
            </w:r>
          </w:p>
        </w:tc>
      </w:tr>
      <w:tr w:rsidR="003B77CD" w:rsidRPr="003B77CD" w:rsidTr="007C0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Use AI practice as a bridge before higher-stakes human dialogue.</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use AI as a replacement for human interaction or peer speaking practice.</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AI builds confidence; humans teach cultural nuance and real-time negotiation.</w:t>
            </w:r>
          </w:p>
        </w:tc>
      </w:tr>
      <w:tr w:rsidR="003B77CD" w:rsidRPr="003B77CD" w:rsidTr="007C0A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Gradually increase task complexity and stakes over time.</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assign high-stakes, emotionally complex tasks in the first days.</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Confidence builds cumulatively; early wins create momentum.</w:t>
            </w:r>
          </w:p>
        </w:tc>
      </w:tr>
      <w:tr w:rsidR="003B77CD" w:rsidRPr="003B77CD" w:rsidTr="007C0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Measure willingness to communicate and confidence, not just accuracy or fluency.</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evaluate AI-mediated speaking using accuracy-focused rubrics designed for human dialogue.</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WTC and confidence are primary outcomes; accuracy naturally develops once learners are willing to produce.</w:t>
            </w:r>
          </w:p>
        </w:tc>
      </w:tr>
      <w:tr w:rsidR="003B77CD" w:rsidRPr="003B77CD" w:rsidTr="007C0A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Conduct qualitative interviews or written reflections post-intervention.</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rely solely on quantitative measures; qualitative data reveals mechanism and meaning.</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Learners provide valuable insight into what changed and why.</w:t>
            </w:r>
          </w:p>
        </w:tc>
      </w:tr>
      <w:tr w:rsidR="003B77CD" w:rsidRPr="003B77CD" w:rsidTr="007C0A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Include in teacher education explicit training on face-concern dynamics and AI integration.</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assume teachers will intuitively understand face-concern or how to leverage AI effectively.</w:t>
            </w:r>
          </w:p>
        </w:tc>
        <w:tc>
          <w:tcPr>
            <w:tcW w:w="3120" w:type="dxa"/>
          </w:tcPr>
          <w:p w:rsidR="007C0A4A" w:rsidRPr="00422A17"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422A17">
              <w:rPr>
                <w:rFonts w:cs="Times New Roman"/>
                <w:szCs w:val="24"/>
              </w:rPr>
              <w:t>Teachers are gatekeepers of implementation; their understanding is critical.</w:t>
            </w:r>
          </w:p>
        </w:tc>
      </w:tr>
      <w:tr w:rsidR="003B77CD" w:rsidRPr="003B77CD" w:rsidTr="007C0A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rsidR="007C0A4A" w:rsidRPr="00422A17" w:rsidRDefault="00000000" w:rsidP="003B77CD">
            <w:pPr>
              <w:adjustRightInd w:val="0"/>
              <w:snapToGrid w:val="0"/>
              <w:spacing w:line="264" w:lineRule="auto"/>
              <w:rPr>
                <w:rFonts w:cs="Times New Roman"/>
                <w:b w:val="0"/>
                <w:bCs w:val="0"/>
                <w:szCs w:val="24"/>
              </w:rPr>
            </w:pPr>
            <w:r w:rsidRPr="00422A17">
              <w:rPr>
                <w:rFonts w:cs="Times New Roman"/>
                <w:b w:val="0"/>
                <w:bCs w:val="0"/>
                <w:szCs w:val="24"/>
              </w:rPr>
              <w:t>Share evidence-based, nuanced communication about AI as a tool for addressing anxiety-driven avoidance.</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Don</w:t>
            </w:r>
            <w:r w:rsidR="00035983" w:rsidRPr="00422A17">
              <w:rPr>
                <w:rFonts w:cs="Times New Roman"/>
                <w:szCs w:val="24"/>
              </w:rPr>
              <w:t>’</w:t>
            </w:r>
            <w:r w:rsidRPr="00422A17">
              <w:rPr>
                <w:rFonts w:cs="Times New Roman"/>
                <w:szCs w:val="24"/>
              </w:rPr>
              <w:t>t market AI as a “magic bullet” that solves language learning.</w:t>
            </w:r>
          </w:p>
        </w:tc>
        <w:tc>
          <w:tcPr>
            <w:tcW w:w="3120" w:type="dxa"/>
          </w:tcPr>
          <w:p w:rsidR="007C0A4A" w:rsidRPr="00422A17"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422A17">
              <w:rPr>
                <w:rFonts w:cs="Times New Roman"/>
                <w:szCs w:val="24"/>
              </w:rPr>
              <w:t>Teachers rightfully skeptical of tech hype. Evidence-based communication builds trust.</w:t>
            </w:r>
          </w:p>
        </w:tc>
      </w:tr>
    </w:tbl>
    <w:p w:rsidR="007C0A4A" w:rsidRPr="003B77CD" w:rsidRDefault="007C0A4A" w:rsidP="003B77CD">
      <w:pPr>
        <w:adjustRightInd w:val="0"/>
        <w:snapToGrid w:val="0"/>
        <w:spacing w:after="0" w:line="264" w:lineRule="auto"/>
        <w:rPr>
          <w:rFonts w:cs="Times New Roman"/>
          <w:szCs w:val="24"/>
        </w:rPr>
      </w:pP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Implications for Vietnam</w:t>
      </w:r>
      <w:r w:rsidR="00035983">
        <w:rPr>
          <w:rFonts w:ascii="Times New Roman" w:hAnsi="Times New Roman" w:cs="Times New Roman"/>
          <w:color w:val="auto"/>
          <w:sz w:val="24"/>
          <w:szCs w:val="24"/>
        </w:rPr>
        <w:t>’</w:t>
      </w:r>
      <w:r w:rsidRPr="003B77CD">
        <w:rPr>
          <w:rFonts w:ascii="Times New Roman" w:hAnsi="Times New Roman" w:cs="Times New Roman"/>
          <w:color w:val="auto"/>
          <w:sz w:val="24"/>
          <w:szCs w:val="24"/>
        </w:rPr>
        <w:t>s ESL Transition and Teacher Education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Vietnam</w:t>
      </w:r>
      <w:r w:rsidR="00035983">
        <w:rPr>
          <w:rFonts w:cs="Times New Roman"/>
          <w:szCs w:val="24"/>
        </w:rPr>
        <w:t>’</w:t>
      </w:r>
      <w:r w:rsidRPr="003B77CD">
        <w:rPr>
          <w:rFonts w:cs="Times New Roman"/>
          <w:szCs w:val="24"/>
        </w:rPr>
        <w:t>s shift from EFL to ESL creates simultaneous demands: learners must develop linguistic proficiency and communicative confidence to use that proficiency spontaneously in real-world contexts. Traditional EFL pedagogy, with its emphasis on accuracy and explicit grammar instruction, may inadvertently create the very barrier our data illuminate: anxiety-driven avoidance.</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For Curriculum Design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Integrate low-stakes, judgment-free communicative practice early. Rather than reserving “conversation” for advanced learners, introduce structured AI dialogue and peer interaction at </w:t>
      </w:r>
      <w:r w:rsidRPr="003B77CD">
        <w:rPr>
          <w:rFonts w:cs="Times New Roman"/>
          <w:szCs w:val="24"/>
        </w:rPr>
        <w:lastRenderedPageBreak/>
        <w:t>intermediate levels. This scaffolds learners</w:t>
      </w:r>
      <w:r w:rsidR="00035983">
        <w:rPr>
          <w:rFonts w:cs="Times New Roman"/>
          <w:szCs w:val="24"/>
        </w:rPr>
        <w:t>’</w:t>
      </w:r>
      <w:r w:rsidRPr="003B77CD">
        <w:rPr>
          <w:rFonts w:cs="Times New Roman"/>
          <w:szCs w:val="24"/>
        </w:rPr>
        <w:t xml:space="preserve"> identity shift from “student preparing to communicate” to “user of English in meaningful contexts.” Rebalance the accuracy-fluency trade-off. Vietnamese curricula traditionally weight accuracy heavily. Our findings suggest that early, error-tolerant practice enables subsequent accuracy development by removing the affective barrier to production. A curriculum front-loading low-stakes fluency practice followed by focused accuracy work may be more effective than the reverse. Make face-concern explicit in pedagogy. Vietnamese teachers often work around face concerns without naming them. More effective would be to explicitly address face concerns in class discussion, normalize errors as essential to learning, and gradually introduce peer feedback structures that rebuild learners</w:t>
      </w:r>
      <w:r w:rsidR="00035983">
        <w:rPr>
          <w:rFonts w:cs="Times New Roman"/>
          <w:szCs w:val="24"/>
        </w:rPr>
        <w:t>’</w:t>
      </w:r>
      <w:r w:rsidRPr="003B77CD">
        <w:rPr>
          <w:rFonts w:cs="Times New Roman"/>
          <w:szCs w:val="24"/>
        </w:rPr>
        <w:t xml:space="preserve"> ability to receive and act on criticism.</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For Teacher Education Initiatives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Train teachers to recognize face-concern anxiety. Teacher education programs should help teachers understand that Vietnamese learners</w:t>
      </w:r>
      <w:r w:rsidR="00035983">
        <w:rPr>
          <w:rFonts w:cs="Times New Roman"/>
          <w:szCs w:val="24"/>
        </w:rPr>
        <w:t>’</w:t>
      </w:r>
      <w:r w:rsidRPr="003B77CD">
        <w:rPr>
          <w:rFonts w:cs="Times New Roman"/>
          <w:szCs w:val="24"/>
        </w:rPr>
        <w:t xml:space="preserve"> silence and avoidance often reflect not lack of ability but cultural anxiety about judgment. This reframing shifts teacher response from “push harder” to “redesign the environment.” Provide concrete guidance on AI integration. Teachers need practical training on selecting and configuring AI tools, integrating AI into lesson sequences, monitoring learner engagement, and evaluating learning outcomes beyond grammar accuracy. Build critical awareness. Teachers should understand AI</w:t>
      </w:r>
      <w:r w:rsidR="00035983">
        <w:rPr>
          <w:rFonts w:cs="Times New Roman"/>
          <w:szCs w:val="24"/>
        </w:rPr>
        <w:t>’</w:t>
      </w:r>
      <w:r w:rsidRPr="003B77CD">
        <w:rPr>
          <w:rFonts w:cs="Times New Roman"/>
          <w:szCs w:val="24"/>
        </w:rPr>
        <w:t>s affordances and limitations. AI is excellent for judgment-free practice and confidence-building but poor at teaching cultural pragmatics and non-verbal communication. Support peer learning communities. Teacher education should include mechanisms for teachers to share experiences, troubleshoot challenges, and collectively refine AI-integrated pedagogy. This distributed approach is more sustainable than top-down mandates.</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For Policy and Institutional Support</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Allocate resources for AI-integrated pedagogy. Implementation requires technology infrastructure, teacher training time, curricular development, and evaluation. Adopt a phased, evidence-based approach. Rather than wholesale adoption, pilot AI integration with early-adopter teachers and learners, collect evidence, refine practices, then scale. This study and similar research provide the evidence base. Address equity concerns. Ensure AI-integrated learning is not available only in well-resourced urban schools. Open-source AI tools and offline-capable systems may be necessary for equitable access.</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Practical Resources: Reproducible Master Prompt and Task Schedule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For educators implementing AI-mediated speaking practice, we provide here the exact master prompt and daily task schedule used in this research, immediately reproducible and requiring no special configuration:</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Master Setup Prompt (Copy-Paste One Before Day 1)</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I am an English major at HNUE. For the next week, I want you to be my speaking partner. Please follow these rules:</w:t>
      </w:r>
      <w:r w:rsidRPr="003B77CD">
        <w:rPr>
          <w:rFonts w:cs="Times New Roman"/>
          <w:szCs w:val="24"/>
        </w:rPr>
        <w:br/>
        <w:t>1. Do not correct every grammar mistake – only correct me if you don</w:t>
      </w:r>
      <w:r w:rsidR="00035983">
        <w:rPr>
          <w:rFonts w:cs="Times New Roman"/>
          <w:szCs w:val="24"/>
        </w:rPr>
        <w:t>’</w:t>
      </w:r>
      <w:r w:rsidRPr="003B77CD">
        <w:rPr>
          <w:rFonts w:cs="Times New Roman"/>
          <w:szCs w:val="24"/>
        </w:rPr>
        <w:t>t understand my meaning.</w:t>
      </w:r>
      <w:r w:rsidRPr="003B77CD">
        <w:rPr>
          <w:rFonts w:cs="Times New Roman"/>
          <w:szCs w:val="24"/>
        </w:rPr>
        <w:br/>
        <w:t>2. Keep your responses short (under 50 words) so we have a natural back-and-forth.</w:t>
      </w:r>
      <w:r w:rsidRPr="003B77CD">
        <w:rPr>
          <w:rFonts w:cs="Times New Roman"/>
          <w:szCs w:val="24"/>
        </w:rPr>
        <w:br/>
        <w:t>3. Use a friendly, encouraging tone.</w:t>
      </w:r>
      <w:r w:rsidRPr="003B77CD">
        <w:rPr>
          <w:rFonts w:cs="Times New Roman"/>
          <w:szCs w:val="24"/>
        </w:rPr>
        <w:br/>
        <w:t>4. If I get stuck, give me a hint or a synonym – not the full answer.</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lastRenderedPageBreak/>
        <w:t>(Educators may adapt this for different proficiency levels or institutional contexts, but these core principles should be maintained.)</w:t>
      </w:r>
    </w:p>
    <w:p w:rsidR="007C0A4A" w:rsidRPr="003B77CD" w:rsidRDefault="00000000" w:rsidP="003B77CD">
      <w:pPr>
        <w:pStyle w:val="Heading3"/>
        <w:adjustRightInd w:val="0"/>
        <w:snapToGrid w:val="0"/>
        <w:spacing w:before="0" w:line="264" w:lineRule="auto"/>
        <w:rPr>
          <w:rFonts w:ascii="Times New Roman" w:hAnsi="Times New Roman" w:cs="Times New Roman"/>
          <w:color w:val="auto"/>
          <w:szCs w:val="24"/>
        </w:rPr>
      </w:pPr>
      <w:r w:rsidRPr="003B77CD">
        <w:rPr>
          <w:rFonts w:ascii="Times New Roman" w:hAnsi="Times New Roman" w:cs="Times New Roman"/>
          <w:color w:val="auto"/>
          <w:szCs w:val="24"/>
        </w:rPr>
        <w:t>Daily Task Schedule (Days 1–6, 10–15 minutes each)</w:t>
      </w:r>
    </w:p>
    <w:tbl>
      <w:tblPr>
        <w:tblStyle w:val="LightGrid-Accent1"/>
        <w:tblW w:w="0" w:type="auto"/>
        <w:tblLook w:val="04A0" w:firstRow="1" w:lastRow="0" w:firstColumn="1" w:lastColumn="0" w:noHBand="0" w:noVBand="1"/>
      </w:tblPr>
      <w:tblGrid>
        <w:gridCol w:w="817"/>
        <w:gridCol w:w="3119"/>
        <w:gridCol w:w="3084"/>
        <w:gridCol w:w="2340"/>
      </w:tblGrid>
      <w:tr w:rsidR="003B77CD" w:rsidRPr="003B77CD" w:rsidTr="00422A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Day</w:t>
            </w:r>
          </w:p>
        </w:tc>
        <w:tc>
          <w:tcPr>
            <w:tcW w:w="3119" w:type="dxa"/>
          </w:tcPr>
          <w:p w:rsidR="007C0A4A" w:rsidRPr="003B77CD" w:rsidRDefault="00000000" w:rsidP="003B77CD">
            <w:pPr>
              <w:adjustRightInd w:val="0"/>
              <w:snapToGrid w:val="0"/>
              <w:spacing w:line="264" w:lineRule="auto"/>
              <w:cnfStyle w:val="100000000000" w:firstRow="1" w:lastRow="0" w:firstColumn="0" w:lastColumn="0" w:oddVBand="0" w:evenVBand="0" w:oddHBand="0" w:evenHBand="0" w:firstRowFirstColumn="0" w:firstRowLastColumn="0" w:lastRowFirstColumn="0" w:lastRowLastColumn="0"/>
              <w:rPr>
                <w:rFonts w:cs="Times New Roman"/>
                <w:szCs w:val="24"/>
              </w:rPr>
            </w:pPr>
            <w:r w:rsidRPr="003B77CD">
              <w:rPr>
                <w:rFonts w:cs="Times New Roman"/>
                <w:szCs w:val="24"/>
              </w:rPr>
              <w:t>Task</w:t>
            </w:r>
          </w:p>
        </w:tc>
        <w:tc>
          <w:tcPr>
            <w:tcW w:w="3084" w:type="dxa"/>
          </w:tcPr>
          <w:p w:rsidR="007C0A4A" w:rsidRPr="003B77CD" w:rsidRDefault="00000000" w:rsidP="003B77CD">
            <w:pPr>
              <w:adjustRightInd w:val="0"/>
              <w:snapToGrid w:val="0"/>
              <w:spacing w:line="264" w:lineRule="auto"/>
              <w:cnfStyle w:val="100000000000" w:firstRow="1" w:lastRow="0" w:firstColumn="0" w:lastColumn="0" w:oddVBand="0" w:evenVBand="0" w:oddHBand="0" w:evenHBand="0" w:firstRowFirstColumn="0" w:firstRowLastColumn="0" w:lastRowFirstColumn="0" w:lastRowLastColumn="0"/>
              <w:rPr>
                <w:rFonts w:cs="Times New Roman"/>
                <w:szCs w:val="24"/>
              </w:rPr>
            </w:pPr>
            <w:r w:rsidRPr="003B77CD">
              <w:rPr>
                <w:rFonts w:cs="Times New Roman"/>
                <w:szCs w:val="24"/>
              </w:rPr>
              <w:t>Prompt to Paste</w:t>
            </w:r>
          </w:p>
        </w:tc>
        <w:tc>
          <w:tcPr>
            <w:tcW w:w="2340" w:type="dxa"/>
          </w:tcPr>
          <w:p w:rsidR="007C0A4A" w:rsidRPr="003B77CD" w:rsidRDefault="00000000" w:rsidP="003B77CD">
            <w:pPr>
              <w:adjustRightInd w:val="0"/>
              <w:snapToGrid w:val="0"/>
              <w:spacing w:line="264" w:lineRule="auto"/>
              <w:cnfStyle w:val="100000000000" w:firstRow="1" w:lastRow="0" w:firstColumn="0" w:lastColumn="0" w:oddVBand="0" w:evenVBand="0" w:oddHBand="0" w:evenHBand="0" w:firstRowFirstColumn="0" w:firstRowLastColumn="0" w:lastRowFirstColumn="0" w:lastRowLastColumn="0"/>
              <w:rPr>
                <w:rFonts w:cs="Times New Roman"/>
                <w:szCs w:val="24"/>
              </w:rPr>
            </w:pPr>
            <w:r w:rsidRPr="003B77CD">
              <w:rPr>
                <w:rFonts w:cs="Times New Roman"/>
                <w:szCs w:val="24"/>
              </w:rPr>
              <w:t>Pedagogical Purpose</w:t>
            </w:r>
          </w:p>
        </w:tc>
      </w:tr>
      <w:tr w:rsidR="003B77CD" w:rsidRPr="003B77CD" w:rsidTr="00422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1</w:t>
            </w:r>
          </w:p>
        </w:tc>
        <w:tc>
          <w:tcPr>
            <w:tcW w:w="3119"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Warm-up: Free Talk</w:t>
            </w:r>
          </w:p>
        </w:tc>
        <w:tc>
          <w:tcPr>
            <w:tcW w:w="3084" w:type="dxa"/>
          </w:tcPr>
          <w:p w:rsidR="007C0A4A" w:rsidRPr="003B77CD" w:rsidRDefault="00B2397B"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“Let</w:t>
            </w:r>
            <w:r w:rsidR="00035983">
              <w:rPr>
                <w:rFonts w:cs="Times New Roman"/>
                <w:szCs w:val="24"/>
              </w:rPr>
              <w:t>’</w:t>
            </w:r>
            <w:r w:rsidRPr="003B77CD">
              <w:rPr>
                <w:rFonts w:cs="Times New Roman"/>
                <w:szCs w:val="24"/>
              </w:rPr>
              <w:t>s have a casual chat. Ask me about my hobbies or my day.”</w:t>
            </w:r>
          </w:p>
        </w:tc>
        <w:tc>
          <w:tcPr>
            <w:tcW w:w="2340"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Build rapport; low-stakes entry</w:t>
            </w:r>
          </w:p>
        </w:tc>
      </w:tr>
      <w:tr w:rsidR="003B77CD" w:rsidRPr="003B77CD" w:rsidTr="00422A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2</w:t>
            </w:r>
          </w:p>
        </w:tc>
        <w:tc>
          <w:tcPr>
            <w:tcW w:w="3119" w:type="dxa"/>
          </w:tcPr>
          <w:p w:rsidR="007C0A4A" w:rsidRPr="003B77CD"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Sociolinguistic Debate</w:t>
            </w:r>
          </w:p>
        </w:tc>
        <w:tc>
          <w:tcPr>
            <w:tcW w:w="3084" w:type="dxa"/>
          </w:tcPr>
          <w:p w:rsidR="007C0A4A" w:rsidRPr="003B77CD" w:rsidRDefault="00B2397B"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“Let</w:t>
            </w:r>
            <w:r w:rsidR="00035983">
              <w:rPr>
                <w:rFonts w:cs="Times New Roman"/>
                <w:szCs w:val="24"/>
              </w:rPr>
              <w:t>’</w:t>
            </w:r>
            <w:r w:rsidRPr="003B77CD">
              <w:rPr>
                <w:rFonts w:cs="Times New Roman"/>
                <w:szCs w:val="24"/>
              </w:rPr>
              <w:t xml:space="preserve">s debate: Is </w:t>
            </w:r>
            <w:r w:rsidR="00035983">
              <w:rPr>
                <w:rFonts w:cs="Times New Roman"/>
                <w:szCs w:val="24"/>
              </w:rPr>
              <w:t>‘</w:t>
            </w:r>
            <w:r w:rsidRPr="003B77CD">
              <w:rPr>
                <w:rFonts w:cs="Times New Roman"/>
                <w:szCs w:val="24"/>
              </w:rPr>
              <w:t>Vietnamese English</w:t>
            </w:r>
            <w:r w:rsidR="00035983">
              <w:rPr>
                <w:rFonts w:cs="Times New Roman"/>
                <w:szCs w:val="24"/>
              </w:rPr>
              <w:t>’</w:t>
            </w:r>
            <w:r w:rsidRPr="003B77CD">
              <w:rPr>
                <w:rFonts w:cs="Times New Roman"/>
                <w:szCs w:val="24"/>
              </w:rPr>
              <w:t xml:space="preserve"> a valid variety or just broken English? Argue against me.”</w:t>
            </w:r>
          </w:p>
        </w:tc>
        <w:tc>
          <w:tcPr>
            <w:tcW w:w="2340" w:type="dxa"/>
          </w:tcPr>
          <w:p w:rsidR="007C0A4A" w:rsidRPr="003B77CD"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Identity-relevant; argumentative language</w:t>
            </w:r>
          </w:p>
        </w:tc>
      </w:tr>
      <w:tr w:rsidR="003B77CD" w:rsidRPr="003B77CD" w:rsidTr="00422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3</w:t>
            </w:r>
          </w:p>
        </w:tc>
        <w:tc>
          <w:tcPr>
            <w:tcW w:w="3119"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High-Stakes Roleplay</w:t>
            </w:r>
          </w:p>
        </w:tc>
        <w:tc>
          <w:tcPr>
            <w:tcW w:w="3084" w:type="dxa"/>
          </w:tcPr>
          <w:p w:rsidR="007C0A4A" w:rsidRPr="003B77CD" w:rsidRDefault="00B2397B"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“Pretend I</w:t>
            </w:r>
            <w:r w:rsidR="00035983">
              <w:rPr>
                <w:rFonts w:cs="Times New Roman"/>
                <w:szCs w:val="24"/>
              </w:rPr>
              <w:t>’</w:t>
            </w:r>
            <w:r w:rsidRPr="003B77CD">
              <w:rPr>
                <w:rFonts w:cs="Times New Roman"/>
                <w:szCs w:val="24"/>
              </w:rPr>
              <w:t>m a flight attendant and you</w:t>
            </w:r>
            <w:r w:rsidR="00035983">
              <w:rPr>
                <w:rFonts w:cs="Times New Roman"/>
                <w:szCs w:val="24"/>
              </w:rPr>
              <w:t>’</w:t>
            </w:r>
            <w:r w:rsidRPr="003B77CD">
              <w:rPr>
                <w:rFonts w:cs="Times New Roman"/>
                <w:szCs w:val="24"/>
              </w:rPr>
              <w:t>re an angry passenger. Start by shouting about your cold meal.”</w:t>
            </w:r>
          </w:p>
        </w:tc>
        <w:tc>
          <w:tcPr>
            <w:tcW w:w="2340"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Emotional complexity; register variation</w:t>
            </w:r>
          </w:p>
        </w:tc>
      </w:tr>
      <w:tr w:rsidR="003B77CD" w:rsidRPr="003B77CD" w:rsidTr="00422A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4</w:t>
            </w:r>
          </w:p>
        </w:tc>
        <w:tc>
          <w:tcPr>
            <w:tcW w:w="3119" w:type="dxa"/>
          </w:tcPr>
          <w:p w:rsidR="007C0A4A" w:rsidRPr="003B77CD"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Cultural Storytelling</w:t>
            </w:r>
          </w:p>
        </w:tc>
        <w:tc>
          <w:tcPr>
            <w:tcW w:w="3084" w:type="dxa"/>
          </w:tcPr>
          <w:p w:rsidR="007C0A4A" w:rsidRPr="003B77CD" w:rsidRDefault="00B2397B"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“I</w:t>
            </w:r>
            <w:r w:rsidR="00035983">
              <w:rPr>
                <w:rFonts w:cs="Times New Roman"/>
                <w:szCs w:val="24"/>
              </w:rPr>
              <w:t>’</w:t>
            </w:r>
            <w:r w:rsidRPr="003B77CD">
              <w:rPr>
                <w:rFonts w:cs="Times New Roman"/>
                <w:szCs w:val="24"/>
              </w:rPr>
              <w:t>ll tell you a Vietnamese folk tale. Then you summarize it to check my clarity.”</w:t>
            </w:r>
          </w:p>
        </w:tc>
        <w:tc>
          <w:tcPr>
            <w:tcW w:w="2340" w:type="dxa"/>
          </w:tcPr>
          <w:p w:rsidR="007C0A4A" w:rsidRPr="003B77CD"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Narrative production; cultural relevance</w:t>
            </w:r>
          </w:p>
        </w:tc>
      </w:tr>
      <w:tr w:rsidR="003B77CD" w:rsidRPr="003B77CD" w:rsidTr="00422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5</w:t>
            </w:r>
          </w:p>
        </w:tc>
        <w:tc>
          <w:tcPr>
            <w:tcW w:w="3119"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Learner Choice</w:t>
            </w:r>
          </w:p>
        </w:tc>
        <w:tc>
          <w:tcPr>
            <w:tcW w:w="3084" w:type="dxa"/>
          </w:tcPr>
          <w:p w:rsidR="007C0A4A" w:rsidRPr="003B77CD" w:rsidRDefault="00B2397B"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“Repeat any task from days 1–4 that you found most useful.”</w:t>
            </w:r>
          </w:p>
        </w:tc>
        <w:tc>
          <w:tcPr>
            <w:tcW w:w="2340"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Autonomy; consolidation</w:t>
            </w:r>
          </w:p>
        </w:tc>
      </w:tr>
      <w:tr w:rsidR="003B77CD" w:rsidRPr="003B77CD" w:rsidTr="00422A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6</w:t>
            </w:r>
          </w:p>
        </w:tc>
        <w:tc>
          <w:tcPr>
            <w:tcW w:w="3119" w:type="dxa"/>
          </w:tcPr>
          <w:p w:rsidR="007C0A4A" w:rsidRPr="003B77CD"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Reflection</w:t>
            </w:r>
          </w:p>
        </w:tc>
        <w:tc>
          <w:tcPr>
            <w:tcW w:w="3084" w:type="dxa"/>
          </w:tcPr>
          <w:p w:rsidR="007C0A4A" w:rsidRPr="003B77CD" w:rsidRDefault="00B2397B"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“Ask me: What was my biggest improvement this week? What was hardest?”</w:t>
            </w:r>
          </w:p>
        </w:tc>
        <w:tc>
          <w:tcPr>
            <w:tcW w:w="2340" w:type="dxa"/>
          </w:tcPr>
          <w:p w:rsidR="007C0A4A" w:rsidRPr="003B77CD" w:rsidRDefault="00000000" w:rsidP="003B77CD">
            <w:pPr>
              <w:adjustRightInd w:val="0"/>
              <w:snapToGrid w:val="0"/>
              <w:spacing w:line="264" w:lineRule="auto"/>
              <w:cnfStyle w:val="000000010000" w:firstRow="0" w:lastRow="0" w:firstColumn="0" w:lastColumn="0" w:oddVBand="0" w:evenVBand="0" w:oddHBand="0" w:evenHBand="1" w:firstRowFirstColumn="0" w:firstRowLastColumn="0" w:lastRowFirstColumn="0" w:lastRowLastColumn="0"/>
              <w:rPr>
                <w:rFonts w:cs="Times New Roman"/>
                <w:szCs w:val="24"/>
              </w:rPr>
            </w:pPr>
            <w:r w:rsidRPr="003B77CD">
              <w:rPr>
                <w:rFonts w:cs="Times New Roman"/>
                <w:szCs w:val="24"/>
              </w:rPr>
              <w:t>Metacognitive consolidation</w:t>
            </w:r>
          </w:p>
        </w:tc>
      </w:tr>
      <w:tr w:rsidR="003B77CD" w:rsidRPr="003B77CD" w:rsidTr="00422A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rsidR="007C0A4A" w:rsidRPr="003B77CD" w:rsidRDefault="00000000" w:rsidP="003B77CD">
            <w:pPr>
              <w:adjustRightInd w:val="0"/>
              <w:snapToGrid w:val="0"/>
              <w:spacing w:line="264" w:lineRule="auto"/>
              <w:rPr>
                <w:rFonts w:cs="Times New Roman"/>
                <w:szCs w:val="24"/>
              </w:rPr>
            </w:pPr>
            <w:r w:rsidRPr="003B77CD">
              <w:rPr>
                <w:rFonts w:cs="Times New Roman"/>
                <w:szCs w:val="24"/>
              </w:rPr>
              <w:t>7</w:t>
            </w:r>
          </w:p>
        </w:tc>
        <w:tc>
          <w:tcPr>
            <w:tcW w:w="3119"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Post-Intervention</w:t>
            </w:r>
          </w:p>
        </w:tc>
        <w:tc>
          <w:tcPr>
            <w:tcW w:w="3084"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Complete post-survey; attend interview (if selected)</w:t>
            </w:r>
          </w:p>
        </w:tc>
        <w:tc>
          <w:tcPr>
            <w:tcW w:w="2340" w:type="dxa"/>
          </w:tcPr>
          <w:p w:rsidR="007C0A4A" w:rsidRPr="003B77CD" w:rsidRDefault="00000000" w:rsidP="003B77CD">
            <w:pPr>
              <w:adjustRightInd w:val="0"/>
              <w:snapToGrid w:val="0"/>
              <w:spacing w:line="264"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3B77CD">
              <w:rPr>
                <w:rFonts w:cs="Times New Roman"/>
                <w:szCs w:val="24"/>
              </w:rPr>
              <w:t>Assessment; knowledge generation</w:t>
            </w:r>
          </w:p>
        </w:tc>
      </w:tr>
    </w:tbl>
    <w:p w:rsidR="007C0A4A" w:rsidRPr="003B77CD" w:rsidRDefault="007C0A4A" w:rsidP="003B77CD">
      <w:pPr>
        <w:adjustRightInd w:val="0"/>
        <w:snapToGrid w:val="0"/>
        <w:spacing w:after="0" w:line="264" w:lineRule="auto"/>
        <w:rPr>
          <w:rFonts w:cs="Times New Roman"/>
          <w:szCs w:val="24"/>
        </w:rPr>
      </w:pP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Future Research Directions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 xml:space="preserve">This pilot study opens several avenues for future investigation: (1) Larger, adequately powered randomized controlled trials comparing AI-mediated practice with traditional classroom speaking, human tutoring, and control conditions. (2) Long-term follow-up examining durability of anxiety reduction and WTC gains, and evidence of transfer to actual classroom behavior measured through observation, not self-report. (3) Explicit investigation of transfer mechanisms - under what conditions does confidence from AI dialogue transfer to human dialogue? (4) Cross-cultural variation - do learners from non-face-conscious cultures show similar effects? (5) Moderator and mediator analysis examining individual differences in anxiety, prior technology experience, and personality that may influence outcomes. (6) Sensitivity testing of prompt variation and different AI systems to identify essential features. (7) Classroom integration studies examining optimal sequencing of AI practice with human dialogue, and teacher training supports </w:t>
      </w:r>
      <w:r w:rsidRPr="003B77CD">
        <w:rPr>
          <w:rFonts w:cs="Times New Roman"/>
          <w:szCs w:val="24"/>
        </w:rPr>
        <w:lastRenderedPageBreak/>
        <w:t>necessary for effective implementation. (8) Qualitative deep-dives into learners</w:t>
      </w:r>
      <w:r w:rsidR="00035983">
        <w:rPr>
          <w:rFonts w:cs="Times New Roman"/>
          <w:szCs w:val="24"/>
        </w:rPr>
        <w:t>’</w:t>
      </w:r>
      <w:r w:rsidRPr="003B77CD">
        <w:rPr>
          <w:rFonts w:cs="Times New Roman"/>
          <w:szCs w:val="24"/>
        </w:rPr>
        <w:t xml:space="preserve"> mental models of English speaker identity, the role of memorable moments in building confidence, and teacher perceptions of changes in student classroom behavior. (9) Cost-effectiveness and scalability analyses assessing feasibility in resource-limited contexts. (10) Intervention refinement studies testing enhancements such as peer discussion following AI practice, explicit metacognitive training, and structured written reflection.</w:t>
      </w:r>
    </w:p>
    <w:p w:rsidR="007C0A4A" w:rsidRPr="003B77CD" w:rsidRDefault="00000000" w:rsidP="003B77CD">
      <w:pPr>
        <w:pStyle w:val="Heading2"/>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t>Final Thoughts: AI as a Culturally Responsive Tool</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This research began with a simple observation: Vietnamese English majors report that they would speak more English if they weren</w:t>
      </w:r>
      <w:r w:rsidR="00035983">
        <w:rPr>
          <w:rFonts w:cs="Times New Roman"/>
          <w:szCs w:val="24"/>
        </w:rPr>
        <w:t>’</w:t>
      </w:r>
      <w:r w:rsidRPr="003B77CD">
        <w:rPr>
          <w:rFonts w:cs="Times New Roman"/>
          <w:szCs w:val="24"/>
        </w:rPr>
        <w:t>t worried about being judged. This face-concern is not a pathology but a culturally rooted value system. For centuries, Vietnamese society has prioritized group harmony and interpersonal respect. The challenge for ESL pedagogy is not to erase these cultural values but to help learners use English effectively while maintaining their cultural identity. AI chatbots offer a tool uniquely suited to this task. They create communication environments free of the judgment apparatus that Confucian-heritage cultures activate, yet they provide meaningful, responsive dialogue necessary for language acquisition. In doing so, they do not undermine Vietnamese cultural values; they protect them by allowing learners to develop English competence in a judgment-free zone, preparing them for the higher-stakes human dialogue to come.</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As Vietnam continues its ESL transition and invests in language teacher education, AI-mediated practice deserves consideration not as a futuristic novelty but as a culturally responsive, evidence-based tool for addressing a real barrier to communicative development. When coupled with authentic human interaction and critical teacher guidance, AI chatbots can help Vietnamese learners transition from anxious silence to confident, spontaneous, meaning-focused English communication.</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t>The future of language education is not AI replacing teachers or human interaction. Rather, it is thoughtfully designed environments - combining technology, pedagogy, and human relationships - that respect learners</w:t>
      </w:r>
      <w:r w:rsidR="00035983">
        <w:rPr>
          <w:rFonts w:cs="Times New Roman"/>
          <w:szCs w:val="24"/>
        </w:rPr>
        <w:t>’</w:t>
      </w:r>
      <w:r w:rsidRPr="003B77CD">
        <w:rPr>
          <w:rFonts w:cs="Times New Roman"/>
          <w:szCs w:val="24"/>
        </w:rPr>
        <w:t xml:space="preserve"> cultural values while expanding their communicative horizons.</w:t>
      </w:r>
    </w:p>
    <w:p w:rsidR="007C0A4A" w:rsidRPr="003B77CD" w:rsidRDefault="00000000" w:rsidP="003B77CD">
      <w:pPr>
        <w:adjustRightInd w:val="0"/>
        <w:snapToGrid w:val="0"/>
        <w:spacing w:after="0" w:line="264" w:lineRule="auto"/>
        <w:rPr>
          <w:rFonts w:cs="Times New Roman"/>
          <w:szCs w:val="24"/>
        </w:rPr>
      </w:pPr>
      <w:r w:rsidRPr="003B77CD">
        <w:rPr>
          <w:rFonts w:cs="Times New Roman"/>
          <w:szCs w:val="24"/>
        </w:rPr>
        <w:br w:type="page"/>
      </w:r>
    </w:p>
    <w:p w:rsidR="007C0A4A" w:rsidRPr="003B77CD" w:rsidRDefault="00000000" w:rsidP="003B77CD">
      <w:pPr>
        <w:pStyle w:val="Heading1"/>
        <w:adjustRightInd w:val="0"/>
        <w:snapToGrid w:val="0"/>
        <w:spacing w:before="0" w:line="264" w:lineRule="auto"/>
        <w:rPr>
          <w:rFonts w:ascii="Times New Roman" w:hAnsi="Times New Roman" w:cs="Times New Roman"/>
          <w:color w:val="auto"/>
          <w:sz w:val="24"/>
          <w:szCs w:val="24"/>
        </w:rPr>
      </w:pPr>
      <w:r w:rsidRPr="003B77CD">
        <w:rPr>
          <w:rFonts w:ascii="Times New Roman" w:hAnsi="Times New Roman" w:cs="Times New Roman"/>
          <w:color w:val="auto"/>
          <w:sz w:val="24"/>
          <w:szCs w:val="24"/>
        </w:rPr>
        <w:lastRenderedPageBreak/>
        <w:t>References</w:t>
      </w:r>
    </w:p>
    <w:p w:rsidR="00BB5218" w:rsidRPr="003B77CD" w:rsidRDefault="00BB5218" w:rsidP="003B77CD">
      <w:pPr>
        <w:adjustRightInd w:val="0"/>
        <w:snapToGrid w:val="0"/>
        <w:spacing w:after="0" w:line="264" w:lineRule="auto"/>
        <w:ind w:hanging="720"/>
        <w:rPr>
          <w:rFonts w:cs="Times New Roman"/>
          <w:szCs w:val="24"/>
          <w:lang w:val="vi-VN"/>
        </w:rPr>
      </w:pPr>
      <w:r w:rsidRPr="003B77CD">
        <w:rPr>
          <w:rFonts w:cs="Times New Roman"/>
          <w:szCs w:val="24"/>
          <w:lang w:val="vi-VN"/>
        </w:rPr>
        <w:t xml:space="preserve">Akbar, F. H. (2025). Language Assessment Anxiety: Exploring Social and Cultural Factors in Indonesian University Students. International Journal of Second and Foreign Language Education, 4(2), 77–94. </w:t>
      </w:r>
      <w:hyperlink r:id="rId8" w:history="1">
        <w:r w:rsidRPr="003B77CD">
          <w:rPr>
            <w:rStyle w:val="Hyperlink"/>
            <w:rFonts w:cs="Times New Roman"/>
            <w:color w:val="auto"/>
            <w:szCs w:val="24"/>
            <w:lang w:val="vi-VN"/>
          </w:rPr>
          <w:t>https://doi.org/10.33422/ijsfle.v4i2.1136</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 xml:space="preserve">Braun, V., &amp; Clarke, V. (2006). Using thematic analysis in psychology. Qualitative Research in Psychology, 3(2), 77–101. </w:t>
      </w:r>
      <w:hyperlink r:id="rId9" w:history="1">
        <w:r w:rsidRPr="003B77CD">
          <w:rPr>
            <w:rStyle w:val="Hyperlink"/>
            <w:rFonts w:cs="Times New Roman"/>
            <w:color w:val="auto"/>
            <w:szCs w:val="24"/>
          </w:rPr>
          <w:t>https://</w:t>
        </w:r>
        <w:r w:rsidRPr="003B77CD">
          <w:rPr>
            <w:rStyle w:val="Hyperlink"/>
            <w:rFonts w:cs="Times New Roman"/>
            <w:color w:val="auto"/>
            <w:szCs w:val="24"/>
          </w:rPr>
          <w:t>d</w:t>
        </w:r>
        <w:r w:rsidRPr="003B77CD">
          <w:rPr>
            <w:rStyle w:val="Hyperlink"/>
            <w:rFonts w:cs="Times New Roman"/>
            <w:color w:val="auto"/>
            <w:szCs w:val="24"/>
          </w:rPr>
          <w:t>oi.org/1</w:t>
        </w:r>
        <w:r w:rsidRPr="003B77CD">
          <w:rPr>
            <w:rStyle w:val="Hyperlink"/>
            <w:rFonts w:cs="Times New Roman"/>
            <w:color w:val="auto"/>
            <w:szCs w:val="24"/>
          </w:rPr>
          <w:t>0</w:t>
        </w:r>
        <w:r w:rsidRPr="003B77CD">
          <w:rPr>
            <w:rStyle w:val="Hyperlink"/>
            <w:rFonts w:cs="Times New Roman"/>
            <w:color w:val="auto"/>
            <w:szCs w:val="24"/>
          </w:rPr>
          <w:t>.1191/1478088706qp063oa</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rPr>
      </w:pPr>
      <w:r w:rsidRPr="003B77CD">
        <w:rPr>
          <w:rFonts w:cs="Times New Roman"/>
          <w:szCs w:val="24"/>
        </w:rPr>
        <w:t>Brown, P., &amp; Levinson, S. C. (1987). Politeness: Some universals in language usage. Cambridge University Press.</w:t>
      </w:r>
    </w:p>
    <w:p w:rsidR="007C0A4A" w:rsidRPr="003B77CD" w:rsidRDefault="00000000" w:rsidP="003B77CD">
      <w:pPr>
        <w:adjustRightInd w:val="0"/>
        <w:snapToGrid w:val="0"/>
        <w:spacing w:after="0" w:line="264" w:lineRule="auto"/>
        <w:ind w:hanging="720"/>
        <w:rPr>
          <w:rFonts w:cs="Times New Roman"/>
          <w:szCs w:val="24"/>
        </w:rPr>
      </w:pPr>
      <w:r w:rsidRPr="003B77CD">
        <w:rPr>
          <w:rFonts w:cs="Times New Roman"/>
          <w:szCs w:val="24"/>
        </w:rPr>
        <w:t>Creswell, J. W., &amp; Plano Clark, V. L. (2018). Designing and conducting mixed methods research (3rd ed.). SAGE Publications.</w:t>
      </w:r>
    </w:p>
    <w:p w:rsidR="00BB5218" w:rsidRPr="003B77CD" w:rsidRDefault="00BB5218" w:rsidP="003B77CD">
      <w:pPr>
        <w:adjustRightInd w:val="0"/>
        <w:snapToGrid w:val="0"/>
        <w:spacing w:after="0" w:line="264" w:lineRule="auto"/>
        <w:ind w:hanging="720"/>
        <w:rPr>
          <w:rFonts w:cs="Times New Roman"/>
          <w:szCs w:val="24"/>
          <w:lang w:val="vi-VN"/>
        </w:rPr>
      </w:pPr>
      <w:r w:rsidRPr="003B77CD">
        <w:rPr>
          <w:rFonts w:cs="Times New Roman"/>
          <w:szCs w:val="24"/>
          <w:lang w:val="vi-VN"/>
        </w:rPr>
        <w:t xml:space="preserve">Ding, D., &amp; Muhyiddin B Yusof, A. (2025). Investigating the role of AI-powered conversation bots in enhancing L2 speaking skills and reducing speaking anxiety: a mixed methods study. Humanities and Social Sciences Communications, 12(1), 1223. </w:t>
      </w:r>
      <w:hyperlink r:id="rId10" w:history="1">
        <w:r w:rsidRPr="003B77CD">
          <w:rPr>
            <w:rStyle w:val="Hyperlink"/>
            <w:rFonts w:cs="Times New Roman"/>
            <w:color w:val="auto"/>
            <w:szCs w:val="24"/>
            <w:lang w:val="vi-VN"/>
          </w:rPr>
          <w:t>http</w:t>
        </w:r>
        <w:r w:rsidRPr="003B77CD">
          <w:rPr>
            <w:rStyle w:val="Hyperlink"/>
            <w:rFonts w:cs="Times New Roman"/>
            <w:color w:val="auto"/>
            <w:szCs w:val="24"/>
            <w:lang w:val="vi-VN"/>
          </w:rPr>
          <w:t>s</w:t>
        </w:r>
        <w:r w:rsidRPr="003B77CD">
          <w:rPr>
            <w:rStyle w:val="Hyperlink"/>
            <w:rFonts w:cs="Times New Roman"/>
            <w:color w:val="auto"/>
            <w:szCs w:val="24"/>
            <w:lang w:val="vi-VN"/>
          </w:rPr>
          <w:t>://doi.org/10.1057/s41599-025-05550-z</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 xml:space="preserve">Eysenck, M. W., &amp; Calvo, M. G. (1992). Anxiety and performance: The processing efficiency theory. Cognition &amp; Emotion, 6(6), 409–434. </w:t>
      </w:r>
      <w:hyperlink r:id="rId11" w:history="1">
        <w:r w:rsidRPr="003B77CD">
          <w:rPr>
            <w:rStyle w:val="Hyperlink"/>
            <w:rFonts w:cs="Times New Roman"/>
            <w:color w:val="auto"/>
            <w:szCs w:val="24"/>
          </w:rPr>
          <w:t>https://doi.org/10.1080/0269993920840969</w:t>
        </w:r>
        <w:r w:rsidRPr="003B77CD">
          <w:rPr>
            <w:rStyle w:val="Hyperlink"/>
            <w:rFonts w:cs="Times New Roman"/>
            <w:color w:val="auto"/>
            <w:szCs w:val="24"/>
          </w:rPr>
          <w:t>6</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rPr>
      </w:pPr>
      <w:r w:rsidRPr="003B77CD">
        <w:rPr>
          <w:rFonts w:cs="Times New Roman"/>
          <w:szCs w:val="24"/>
        </w:rPr>
        <w:t>Gao, G., &amp; Ting-Toomey, S. (1998). Communicating effectively with the Chinese. SAGE Publications.</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Gregg, K. R. (1984). Krashen</w:t>
      </w:r>
      <w:r w:rsidR="00035983">
        <w:rPr>
          <w:rFonts w:cs="Times New Roman"/>
          <w:szCs w:val="24"/>
        </w:rPr>
        <w:t>’</w:t>
      </w:r>
      <w:r w:rsidRPr="003B77CD">
        <w:rPr>
          <w:rFonts w:cs="Times New Roman"/>
          <w:szCs w:val="24"/>
        </w:rPr>
        <w:t>s monitor and Occam</w:t>
      </w:r>
      <w:r w:rsidR="00035983">
        <w:rPr>
          <w:rFonts w:cs="Times New Roman"/>
          <w:szCs w:val="24"/>
        </w:rPr>
        <w:t>’</w:t>
      </w:r>
      <w:r w:rsidRPr="003B77CD">
        <w:rPr>
          <w:rFonts w:cs="Times New Roman"/>
          <w:szCs w:val="24"/>
        </w:rPr>
        <w:t xml:space="preserve">s Razor. Applied Linguistics, 5(2), 79–100. </w:t>
      </w:r>
      <w:hyperlink r:id="rId12" w:history="1">
        <w:r w:rsidRPr="003B77CD">
          <w:rPr>
            <w:rStyle w:val="Hyperlink"/>
            <w:rFonts w:cs="Times New Roman"/>
            <w:color w:val="auto"/>
            <w:szCs w:val="24"/>
          </w:rPr>
          <w:t>https://doi.org/10.1093/appl</w:t>
        </w:r>
        <w:r w:rsidRPr="003B77CD">
          <w:rPr>
            <w:rStyle w:val="Hyperlink"/>
            <w:rFonts w:cs="Times New Roman"/>
            <w:color w:val="auto"/>
            <w:szCs w:val="24"/>
          </w:rPr>
          <w:t>i</w:t>
        </w:r>
        <w:r w:rsidRPr="003B77CD">
          <w:rPr>
            <w:rStyle w:val="Hyperlink"/>
            <w:rFonts w:cs="Times New Roman"/>
            <w:color w:val="auto"/>
            <w:szCs w:val="24"/>
          </w:rPr>
          <w:t>n/5.2.79</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 xml:space="preserve">Greene, J. C., Caracelli, V. J., &amp; Graham, W. F. (1989). Toward a conceptual framework for mixed-method evaluation designs. Educational Evaluation and Policy Analysis, 11(3), 255–274. </w:t>
      </w:r>
      <w:hyperlink r:id="rId13" w:history="1">
        <w:r w:rsidRPr="003B77CD">
          <w:rPr>
            <w:rStyle w:val="Hyperlink"/>
            <w:rFonts w:cs="Times New Roman"/>
            <w:color w:val="auto"/>
            <w:szCs w:val="24"/>
          </w:rPr>
          <w:t>https://doi.org/10.3102/01623737011</w:t>
        </w:r>
        <w:r w:rsidRPr="003B77CD">
          <w:rPr>
            <w:rStyle w:val="Hyperlink"/>
            <w:rFonts w:cs="Times New Roman"/>
            <w:color w:val="auto"/>
            <w:szCs w:val="24"/>
          </w:rPr>
          <w:t>0</w:t>
        </w:r>
        <w:r w:rsidRPr="003B77CD">
          <w:rPr>
            <w:rStyle w:val="Hyperlink"/>
            <w:rFonts w:cs="Times New Roman"/>
            <w:color w:val="auto"/>
            <w:szCs w:val="24"/>
          </w:rPr>
          <w:t>03255</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 xml:space="preserve">Ho, D. Y. F. (1976). On the concept of face. American Journal of Sociology, 81(4), 867–884. </w:t>
      </w:r>
      <w:hyperlink r:id="rId14" w:history="1">
        <w:r w:rsidRPr="003B77CD">
          <w:rPr>
            <w:rStyle w:val="Hyperlink"/>
            <w:rFonts w:cs="Times New Roman"/>
            <w:color w:val="auto"/>
            <w:szCs w:val="24"/>
          </w:rPr>
          <w:t>https://doi.org/10.1086/22</w:t>
        </w:r>
        <w:r w:rsidRPr="003B77CD">
          <w:rPr>
            <w:rStyle w:val="Hyperlink"/>
            <w:rFonts w:cs="Times New Roman"/>
            <w:color w:val="auto"/>
            <w:szCs w:val="24"/>
          </w:rPr>
          <w:t>6</w:t>
        </w:r>
        <w:r w:rsidRPr="003B77CD">
          <w:rPr>
            <w:rStyle w:val="Hyperlink"/>
            <w:rFonts w:cs="Times New Roman"/>
            <w:color w:val="auto"/>
            <w:szCs w:val="24"/>
          </w:rPr>
          <w:t>145</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 xml:space="preserve">Horwitz, E. K., Horwitz, M. B., &amp; Cope, J. (1986). Foreign language classroom anxiety. The Modern Language Journal, 70(2), 125–132. </w:t>
      </w:r>
      <w:hyperlink r:id="rId15" w:history="1">
        <w:r w:rsidRPr="003B77CD">
          <w:rPr>
            <w:rStyle w:val="Hyperlink"/>
            <w:rFonts w:cs="Times New Roman"/>
            <w:color w:val="auto"/>
            <w:szCs w:val="24"/>
          </w:rPr>
          <w:t>http</w:t>
        </w:r>
        <w:r w:rsidRPr="003B77CD">
          <w:rPr>
            <w:rStyle w:val="Hyperlink"/>
            <w:rFonts w:cs="Times New Roman"/>
            <w:color w:val="auto"/>
            <w:szCs w:val="24"/>
          </w:rPr>
          <w:t>s</w:t>
        </w:r>
        <w:r w:rsidRPr="003B77CD">
          <w:rPr>
            <w:rStyle w:val="Hyperlink"/>
            <w:rFonts w:cs="Times New Roman"/>
            <w:color w:val="auto"/>
            <w:szCs w:val="24"/>
          </w:rPr>
          <w:t>://doi.org/10.1111/j.1540-4781.1986.tb05256.x</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Krashen, S. D. (1982). Principles and practice in second language acquisition. Pergamon Press.</w:t>
      </w:r>
    </w:p>
    <w:p w:rsidR="00BB5218" w:rsidRPr="003B77CD" w:rsidRDefault="00BB5218" w:rsidP="003B77CD">
      <w:pPr>
        <w:adjustRightInd w:val="0"/>
        <w:snapToGrid w:val="0"/>
        <w:spacing w:after="0" w:line="264" w:lineRule="auto"/>
        <w:ind w:hanging="720"/>
        <w:rPr>
          <w:rFonts w:cs="Times New Roman"/>
          <w:szCs w:val="24"/>
          <w:lang w:val="vi-VN"/>
        </w:rPr>
      </w:pPr>
      <w:r w:rsidRPr="003B77CD">
        <w:rPr>
          <w:rFonts w:cs="Times New Roman"/>
          <w:szCs w:val="24"/>
          <w:lang w:val="vi-VN"/>
        </w:rPr>
        <w:t xml:space="preserve">Liu, H., Lv, C., &amp; Chen, J. (2025). Willingness to communicate and anxiety in human–human and human–chatbot interaction contexts: an idiodynamic investigation. Innovation in Language Learning and Teaching, 1–25. </w:t>
      </w:r>
      <w:hyperlink r:id="rId16" w:history="1">
        <w:r w:rsidRPr="003B77CD">
          <w:rPr>
            <w:rStyle w:val="Hyperlink"/>
            <w:rFonts w:cs="Times New Roman"/>
            <w:color w:val="auto"/>
            <w:szCs w:val="24"/>
            <w:lang w:val="vi-VN"/>
          </w:rPr>
          <w:t>https://doi</w:t>
        </w:r>
        <w:r w:rsidRPr="003B77CD">
          <w:rPr>
            <w:rStyle w:val="Hyperlink"/>
            <w:rFonts w:cs="Times New Roman"/>
            <w:color w:val="auto"/>
            <w:szCs w:val="24"/>
            <w:lang w:val="vi-VN"/>
          </w:rPr>
          <w:t>.</w:t>
        </w:r>
        <w:r w:rsidRPr="003B77CD">
          <w:rPr>
            <w:rStyle w:val="Hyperlink"/>
            <w:rFonts w:cs="Times New Roman"/>
            <w:color w:val="auto"/>
            <w:szCs w:val="24"/>
            <w:lang w:val="vi-VN"/>
          </w:rPr>
          <w:t>org/10.1080/17501229.2025.2560101</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 xml:space="preserve">MacIntyre, P. D., Clément, R., Dörnyei, Z., &amp; Noels, K. A. (1998). Conceptualizing willingness to communicate in a L2: A situational model of L2 confidence and affiliation. The Modern Language Journal, 82(4), 545–562. </w:t>
      </w:r>
      <w:hyperlink r:id="rId17" w:history="1">
        <w:r w:rsidRPr="003B77CD">
          <w:rPr>
            <w:rStyle w:val="Hyperlink"/>
            <w:rFonts w:cs="Times New Roman"/>
            <w:color w:val="auto"/>
            <w:szCs w:val="24"/>
          </w:rPr>
          <w:t>https://doi</w:t>
        </w:r>
        <w:r w:rsidRPr="003B77CD">
          <w:rPr>
            <w:rStyle w:val="Hyperlink"/>
            <w:rFonts w:cs="Times New Roman"/>
            <w:color w:val="auto"/>
            <w:szCs w:val="24"/>
          </w:rPr>
          <w:t>.</w:t>
        </w:r>
        <w:r w:rsidRPr="003B77CD">
          <w:rPr>
            <w:rStyle w:val="Hyperlink"/>
            <w:rFonts w:cs="Times New Roman"/>
            <w:color w:val="auto"/>
            <w:szCs w:val="24"/>
          </w:rPr>
          <w:t>org/10.1111/j.1540-4781.1998.tb05543.x</w:t>
        </w:r>
      </w:hyperlink>
      <w:r w:rsidRPr="003B77CD">
        <w:rPr>
          <w:rFonts w:cs="Times New Roman"/>
          <w:szCs w:val="24"/>
          <w:lang w:val="vi-VN"/>
        </w:rPr>
        <w:t xml:space="preserve"> </w:t>
      </w:r>
    </w:p>
    <w:p w:rsidR="007C0A4A" w:rsidRPr="003B77CD" w:rsidRDefault="00000000" w:rsidP="003B77CD">
      <w:pPr>
        <w:adjustRightInd w:val="0"/>
        <w:snapToGrid w:val="0"/>
        <w:spacing w:after="0" w:line="264" w:lineRule="auto"/>
        <w:ind w:hanging="720"/>
        <w:rPr>
          <w:rFonts w:cs="Times New Roman"/>
          <w:szCs w:val="24"/>
          <w:lang w:val="vi-VN"/>
        </w:rPr>
      </w:pPr>
      <w:r w:rsidRPr="003B77CD">
        <w:rPr>
          <w:rFonts w:cs="Times New Roman"/>
          <w:szCs w:val="24"/>
        </w:rPr>
        <w:t xml:space="preserve">MacIntyre, P. D., &amp; Legatto, J. J. (2011). A dynamic system approach to willingness to communicate: Developing an idiodynamic method to capture rapidly changing affect. Applied Linguistics, 32(2), 149–171. </w:t>
      </w:r>
      <w:hyperlink r:id="rId18" w:history="1">
        <w:r w:rsidRPr="003B77CD">
          <w:rPr>
            <w:rStyle w:val="Hyperlink"/>
            <w:rFonts w:cs="Times New Roman"/>
            <w:color w:val="auto"/>
            <w:szCs w:val="24"/>
          </w:rPr>
          <w:t>https://doi.org/10.1093/applin/</w:t>
        </w:r>
        <w:r w:rsidRPr="003B77CD">
          <w:rPr>
            <w:rStyle w:val="Hyperlink"/>
            <w:rFonts w:cs="Times New Roman"/>
            <w:color w:val="auto"/>
            <w:szCs w:val="24"/>
          </w:rPr>
          <w:t>a</w:t>
        </w:r>
        <w:r w:rsidRPr="003B77CD">
          <w:rPr>
            <w:rStyle w:val="Hyperlink"/>
            <w:rFonts w:cs="Times New Roman"/>
            <w:color w:val="auto"/>
            <w:szCs w:val="24"/>
          </w:rPr>
          <w:t>mq037</w:t>
        </w:r>
      </w:hyperlink>
      <w:r w:rsidRPr="003B77CD">
        <w:rPr>
          <w:rFonts w:cs="Times New Roman"/>
          <w:szCs w:val="24"/>
          <w:lang w:val="vi-VN"/>
        </w:rPr>
        <w:t xml:space="preserve"> </w:t>
      </w:r>
    </w:p>
    <w:p w:rsidR="004B5387" w:rsidRPr="00997FA0" w:rsidRDefault="00997FA0" w:rsidP="004B5387">
      <w:pPr>
        <w:adjustRightInd w:val="0"/>
        <w:snapToGrid w:val="0"/>
        <w:spacing w:after="0" w:line="264" w:lineRule="auto"/>
        <w:ind w:hanging="720"/>
        <w:rPr>
          <w:rFonts w:cs="Times New Roman"/>
          <w:szCs w:val="24"/>
          <w:lang w:val="vi-VN"/>
        </w:rPr>
      </w:pPr>
      <w:r w:rsidRPr="00997FA0">
        <w:rPr>
          <w:rFonts w:cs="Times New Roman"/>
          <w:szCs w:val="24"/>
        </w:rPr>
        <w:t xml:space="preserve">Tao Thanh, Q. (2025). Addressing the “Silent Classroom”: A theoretical perspective on language anxiety and communicative readiness among Vietnamese primary learners. Journal of Knowledge Learning and Science Technology ISSN: 2959-6386 (online), 4(4), 10-18. </w:t>
      </w:r>
      <w:hyperlink r:id="rId19" w:history="1">
        <w:r w:rsidRPr="00997FA0">
          <w:rPr>
            <w:rStyle w:val="Hyperlink"/>
            <w:rFonts w:cs="Times New Roman"/>
            <w:szCs w:val="24"/>
          </w:rPr>
          <w:t>https://doi.org/10.60087/jklst.vol</w:t>
        </w:r>
        <w:r w:rsidRPr="00997FA0">
          <w:rPr>
            <w:rStyle w:val="Hyperlink"/>
            <w:rFonts w:cs="Times New Roman"/>
            <w:szCs w:val="24"/>
          </w:rPr>
          <w:t>4</w:t>
        </w:r>
        <w:r w:rsidRPr="00997FA0">
          <w:rPr>
            <w:rStyle w:val="Hyperlink"/>
            <w:rFonts w:cs="Times New Roman"/>
            <w:szCs w:val="24"/>
          </w:rPr>
          <w:t>.n4.002</w:t>
        </w:r>
      </w:hyperlink>
      <w:r>
        <w:rPr>
          <w:rFonts w:cs="Times New Roman"/>
          <w:szCs w:val="24"/>
          <w:shd w:val="clear" w:color="auto" w:fill="FFFF00"/>
          <w:lang w:val="vi-VN"/>
        </w:rPr>
        <w:t xml:space="preserve"> </w:t>
      </w:r>
    </w:p>
    <w:p w:rsidR="007C0A4A" w:rsidRPr="003B77CD" w:rsidRDefault="004B5387" w:rsidP="004B5387">
      <w:pPr>
        <w:adjustRightInd w:val="0"/>
        <w:snapToGrid w:val="0"/>
        <w:spacing w:after="0" w:line="264" w:lineRule="auto"/>
        <w:ind w:hanging="720"/>
        <w:rPr>
          <w:rFonts w:cs="Times New Roman"/>
          <w:szCs w:val="24"/>
          <w:lang w:val="vi-VN"/>
        </w:rPr>
      </w:pPr>
      <w:r w:rsidRPr="004B5387">
        <w:rPr>
          <w:rFonts w:cs="Times New Roman"/>
          <w:szCs w:val="24"/>
          <w:lang w:val="vi-VN"/>
        </w:rPr>
        <w:t xml:space="preserve">Teimouri, Y., Goetze, J., &amp; Plonsky, L. (2019). SECOND LANGUAGE ANXIETY AND ACHIEVEMENT: A META-ANALYSIS. Studies in Second Language Acquisition, 41(2), 363–387. </w:t>
      </w:r>
      <w:hyperlink r:id="rId20" w:history="1">
        <w:r w:rsidRPr="004C5AAC">
          <w:rPr>
            <w:rStyle w:val="Hyperlink"/>
            <w:rFonts w:cs="Times New Roman"/>
            <w:szCs w:val="24"/>
            <w:lang w:val="vi-VN"/>
          </w:rPr>
          <w:t>https://</w:t>
        </w:r>
        <w:r w:rsidRPr="004C5AAC">
          <w:rPr>
            <w:rStyle w:val="Hyperlink"/>
            <w:rFonts w:cs="Times New Roman"/>
            <w:szCs w:val="24"/>
            <w:lang w:val="vi-VN"/>
          </w:rPr>
          <w:t>doi</w:t>
        </w:r>
        <w:r w:rsidRPr="004C5AAC">
          <w:rPr>
            <w:rStyle w:val="Hyperlink"/>
            <w:rFonts w:cs="Times New Roman"/>
            <w:szCs w:val="24"/>
            <w:lang w:val="vi-VN"/>
          </w:rPr>
          <w:t>.org/</w:t>
        </w:r>
        <w:r w:rsidRPr="004C5AAC">
          <w:rPr>
            <w:rStyle w:val="Hyperlink"/>
            <w:rFonts w:cs="Times New Roman"/>
            <w:szCs w:val="24"/>
            <w:lang w:val="vi-VN"/>
          </w:rPr>
          <w:t>10.1017/S02722631180003</w:t>
        </w:r>
        <w:r w:rsidRPr="004C5AAC">
          <w:rPr>
            <w:rStyle w:val="Hyperlink"/>
            <w:rFonts w:cs="Times New Roman"/>
            <w:szCs w:val="24"/>
            <w:lang w:val="vi-VN"/>
          </w:rPr>
          <w:t>1</w:t>
        </w:r>
        <w:r w:rsidRPr="004C5AAC">
          <w:rPr>
            <w:rStyle w:val="Hyperlink"/>
            <w:rFonts w:cs="Times New Roman"/>
            <w:szCs w:val="24"/>
            <w:lang w:val="vi-VN"/>
          </w:rPr>
          <w:t>1</w:t>
        </w:r>
      </w:hyperlink>
      <w:r>
        <w:rPr>
          <w:rFonts w:cs="Times New Roman"/>
          <w:szCs w:val="24"/>
          <w:lang w:val="vi-VN"/>
        </w:rPr>
        <w:t xml:space="preserve">  </w:t>
      </w:r>
      <w:r w:rsidR="00A73936" w:rsidRPr="003B77CD">
        <w:rPr>
          <w:rFonts w:cs="Times New Roman"/>
          <w:szCs w:val="24"/>
          <w:lang w:val="vi-VN"/>
        </w:rPr>
        <w:t xml:space="preserve"> </w:t>
      </w:r>
      <w:r>
        <w:rPr>
          <w:rFonts w:cs="Times New Roman"/>
          <w:szCs w:val="24"/>
          <w:lang w:val="vi-VN"/>
        </w:rPr>
        <w:t xml:space="preserve"> </w:t>
      </w:r>
    </w:p>
    <w:p w:rsidR="00A73936" w:rsidRPr="003B77CD" w:rsidRDefault="00925926" w:rsidP="003B77CD">
      <w:pPr>
        <w:adjustRightInd w:val="0"/>
        <w:snapToGrid w:val="0"/>
        <w:spacing w:after="0" w:line="264" w:lineRule="auto"/>
        <w:ind w:hanging="720"/>
        <w:rPr>
          <w:rFonts w:cs="Times New Roman"/>
          <w:szCs w:val="24"/>
          <w:lang w:val="vi-VN"/>
        </w:rPr>
      </w:pPr>
      <w:r w:rsidRPr="003B77CD">
        <w:rPr>
          <w:rFonts w:cs="Times New Roman"/>
          <w:szCs w:val="24"/>
          <w:lang w:val="vi-VN"/>
        </w:rPr>
        <w:lastRenderedPageBreak/>
        <w:t>Thi Nhu Ngoc , T., &amp; Dinh Phuong Khanh , H. (2022). EXPLORING VIETNAMESE NON-ENGLISH-MAJORED FRESHMEN</w:t>
      </w:r>
      <w:r w:rsidR="00035983">
        <w:rPr>
          <w:rFonts w:cs="Times New Roman"/>
          <w:szCs w:val="24"/>
          <w:lang w:val="vi-VN"/>
        </w:rPr>
        <w:t>’</w:t>
      </w:r>
      <w:r w:rsidRPr="003B77CD">
        <w:rPr>
          <w:rFonts w:cs="Times New Roman"/>
          <w:szCs w:val="24"/>
          <w:lang w:val="vi-VN"/>
        </w:rPr>
        <w:t xml:space="preserve">S ENGLISH-SPEAKING ANXIETY AT A PUBLIC UNIVERSITY IN VIETNAM. VNU Journal of Foreign Studies, 38(5), 105-125. </w:t>
      </w:r>
      <w:hyperlink r:id="rId21" w:history="1">
        <w:r w:rsidRPr="003B77CD">
          <w:rPr>
            <w:rStyle w:val="Hyperlink"/>
            <w:rFonts w:cs="Times New Roman"/>
            <w:color w:val="auto"/>
            <w:szCs w:val="24"/>
            <w:lang w:val="vi-VN"/>
          </w:rPr>
          <w:t>https:/</w:t>
        </w:r>
        <w:r w:rsidRPr="003B77CD">
          <w:rPr>
            <w:rStyle w:val="Hyperlink"/>
            <w:rFonts w:cs="Times New Roman"/>
            <w:color w:val="auto"/>
            <w:szCs w:val="24"/>
            <w:lang w:val="vi-VN"/>
          </w:rPr>
          <w:t>/</w:t>
        </w:r>
        <w:r w:rsidRPr="003B77CD">
          <w:rPr>
            <w:rStyle w:val="Hyperlink"/>
            <w:rFonts w:cs="Times New Roman"/>
            <w:color w:val="auto"/>
            <w:szCs w:val="24"/>
            <w:lang w:val="vi-VN"/>
          </w:rPr>
          <w:t>doi.org/10.25073/2525-2445/vnufs.4789</w:t>
        </w:r>
      </w:hyperlink>
      <w:r w:rsidRPr="003B77CD">
        <w:rPr>
          <w:rFonts w:cs="Times New Roman"/>
          <w:szCs w:val="24"/>
          <w:lang w:val="vi-VN"/>
        </w:rPr>
        <w:t xml:space="preserve"> </w:t>
      </w:r>
    </w:p>
    <w:p w:rsidR="00194DA3" w:rsidRPr="003B77CD" w:rsidRDefault="004B5387" w:rsidP="003B77CD">
      <w:pPr>
        <w:adjustRightInd w:val="0"/>
        <w:snapToGrid w:val="0"/>
        <w:spacing w:after="0" w:line="264" w:lineRule="auto"/>
        <w:ind w:hanging="720"/>
        <w:rPr>
          <w:rFonts w:cs="Times New Roman"/>
          <w:szCs w:val="24"/>
          <w:lang w:val="vi-VN"/>
        </w:rPr>
      </w:pPr>
      <w:r w:rsidRPr="004B5387">
        <w:rPr>
          <w:rFonts w:cs="Times New Roman"/>
          <w:szCs w:val="24"/>
          <w:lang w:val="vi-VN"/>
        </w:rPr>
        <w:t xml:space="preserve">Zhou, Z., Li, M., Hodis, G. M., &amp; Croucher, S. M. (2026). Cultural intelligence of native English-speaking teachers in China. International Journal of Intercultural Relations, 111, 102374. </w:t>
      </w:r>
      <w:hyperlink r:id="rId22" w:history="1">
        <w:r w:rsidRPr="004C5AAC">
          <w:rPr>
            <w:rStyle w:val="Hyperlink"/>
            <w:rFonts w:cs="Times New Roman"/>
            <w:szCs w:val="24"/>
            <w:lang w:val="vi-VN"/>
          </w:rPr>
          <w:t>https://doi.org/10.1016/j.ijintrel.2026.10237</w:t>
        </w:r>
        <w:r w:rsidRPr="004C5AAC">
          <w:rPr>
            <w:rStyle w:val="Hyperlink"/>
            <w:rFonts w:cs="Times New Roman"/>
            <w:szCs w:val="24"/>
            <w:lang w:val="vi-VN"/>
          </w:rPr>
          <w:t>4</w:t>
        </w:r>
      </w:hyperlink>
      <w:r>
        <w:rPr>
          <w:rFonts w:cs="Times New Roman"/>
          <w:szCs w:val="24"/>
          <w:lang w:val="vi-VN"/>
        </w:rPr>
        <w:t xml:space="preserve"> </w:t>
      </w:r>
      <w:r w:rsidR="00194DA3" w:rsidRPr="003B77CD">
        <w:rPr>
          <w:rFonts w:cs="Times New Roman"/>
          <w:szCs w:val="24"/>
          <w:lang w:val="vi-VN"/>
        </w:rPr>
        <w:t xml:space="preserve"> </w:t>
      </w:r>
    </w:p>
    <w:p w:rsidR="002F3EC3" w:rsidRPr="003B77CD" w:rsidRDefault="002F3EC3" w:rsidP="003B77CD">
      <w:pPr>
        <w:adjustRightInd w:val="0"/>
        <w:snapToGrid w:val="0"/>
        <w:spacing w:after="0" w:line="264" w:lineRule="auto"/>
        <w:ind w:hanging="720"/>
        <w:rPr>
          <w:rFonts w:cs="Times New Roman"/>
          <w:szCs w:val="24"/>
          <w:lang w:val="vi-VN"/>
        </w:rPr>
      </w:pPr>
      <w:r w:rsidRPr="003B77CD">
        <w:rPr>
          <w:rFonts w:cs="Times New Roman"/>
          <w:szCs w:val="24"/>
          <w:lang w:val="vi-VN"/>
        </w:rPr>
        <w:t xml:space="preserve">Zhong, W., Zhou, Z., Wang, L., &amp; Yang, Y. (2026). Developing and validating multi-scenario EFL willingness to communicate scale across classroom, extracurricular, and GenAI-mediated scenarios. BMC Psychology, 14(1), 819. </w:t>
      </w:r>
      <w:hyperlink r:id="rId23" w:history="1">
        <w:r w:rsidRPr="003B77CD">
          <w:rPr>
            <w:rStyle w:val="Hyperlink"/>
            <w:rFonts w:cs="Times New Roman"/>
            <w:color w:val="auto"/>
            <w:szCs w:val="24"/>
            <w:lang w:val="vi-VN"/>
          </w:rPr>
          <w:t>https://doi.org/10.1186/s</w:t>
        </w:r>
        <w:r w:rsidRPr="003B77CD">
          <w:rPr>
            <w:rStyle w:val="Hyperlink"/>
            <w:rFonts w:cs="Times New Roman"/>
            <w:color w:val="auto"/>
            <w:szCs w:val="24"/>
            <w:lang w:val="vi-VN"/>
          </w:rPr>
          <w:t>4</w:t>
        </w:r>
        <w:r w:rsidRPr="003B77CD">
          <w:rPr>
            <w:rStyle w:val="Hyperlink"/>
            <w:rFonts w:cs="Times New Roman"/>
            <w:color w:val="auto"/>
            <w:szCs w:val="24"/>
            <w:lang w:val="vi-VN"/>
          </w:rPr>
          <w:t>0359-026-04607-1</w:t>
        </w:r>
      </w:hyperlink>
      <w:r w:rsidRPr="003B77CD">
        <w:rPr>
          <w:rFonts w:cs="Times New Roman"/>
          <w:szCs w:val="24"/>
          <w:lang w:val="vi-VN"/>
        </w:rPr>
        <w:t xml:space="preserve"> </w:t>
      </w:r>
    </w:p>
    <w:sectPr w:rsidR="002F3EC3" w:rsidRPr="003B77CD" w:rsidSect="00034616">
      <w:footerReference w:type="even"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829F7" w:rsidRDefault="003829F7" w:rsidP="003B77CD">
      <w:pPr>
        <w:spacing w:after="0" w:line="240" w:lineRule="auto"/>
      </w:pPr>
      <w:r>
        <w:separator/>
      </w:r>
    </w:p>
  </w:endnote>
  <w:endnote w:type="continuationSeparator" w:id="0">
    <w:p w:rsidR="003829F7" w:rsidRDefault="003829F7" w:rsidP="003B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24130298"/>
      <w:docPartObj>
        <w:docPartGallery w:val="Page Numbers (Bottom of Page)"/>
        <w:docPartUnique/>
      </w:docPartObj>
    </w:sdtPr>
    <w:sdtContent>
      <w:p w:rsidR="003B77CD" w:rsidRDefault="003B77CD" w:rsidP="004C5A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B77CD" w:rsidRDefault="003B77CD" w:rsidP="003B77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89429062"/>
      <w:docPartObj>
        <w:docPartGallery w:val="Page Numbers (Bottom of Page)"/>
        <w:docPartUnique/>
      </w:docPartObj>
    </w:sdtPr>
    <w:sdtContent>
      <w:p w:rsidR="003B77CD" w:rsidRDefault="003B77CD" w:rsidP="004C5A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B77CD" w:rsidRDefault="003B77CD" w:rsidP="003B77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829F7" w:rsidRDefault="003829F7" w:rsidP="003B77CD">
      <w:pPr>
        <w:spacing w:after="0" w:line="240" w:lineRule="auto"/>
      </w:pPr>
      <w:r>
        <w:separator/>
      </w:r>
    </w:p>
  </w:footnote>
  <w:footnote w:type="continuationSeparator" w:id="0">
    <w:p w:rsidR="003829F7" w:rsidRDefault="003829F7" w:rsidP="003B7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6BC0C89"/>
    <w:multiLevelType w:val="hybridMultilevel"/>
    <w:tmpl w:val="09CE9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1226C3"/>
    <w:multiLevelType w:val="hybridMultilevel"/>
    <w:tmpl w:val="6C1031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586369">
    <w:abstractNumId w:val="8"/>
  </w:num>
  <w:num w:numId="2" w16cid:durableId="759831699">
    <w:abstractNumId w:val="6"/>
  </w:num>
  <w:num w:numId="3" w16cid:durableId="480925011">
    <w:abstractNumId w:val="5"/>
  </w:num>
  <w:num w:numId="4" w16cid:durableId="1718240665">
    <w:abstractNumId w:val="4"/>
  </w:num>
  <w:num w:numId="5" w16cid:durableId="1997494427">
    <w:abstractNumId w:val="7"/>
  </w:num>
  <w:num w:numId="6" w16cid:durableId="595940212">
    <w:abstractNumId w:val="3"/>
  </w:num>
  <w:num w:numId="7" w16cid:durableId="156581678">
    <w:abstractNumId w:val="2"/>
  </w:num>
  <w:num w:numId="8" w16cid:durableId="618494780">
    <w:abstractNumId w:val="1"/>
  </w:num>
  <w:num w:numId="9" w16cid:durableId="863055771">
    <w:abstractNumId w:val="0"/>
  </w:num>
  <w:num w:numId="10" w16cid:durableId="1292438532">
    <w:abstractNumId w:val="9"/>
  </w:num>
  <w:num w:numId="11" w16cid:durableId="164978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3C00"/>
    <w:rsid w:val="00034616"/>
    <w:rsid w:val="00035983"/>
    <w:rsid w:val="0006063C"/>
    <w:rsid w:val="0015074B"/>
    <w:rsid w:val="00172965"/>
    <w:rsid w:val="00194DA3"/>
    <w:rsid w:val="00223B38"/>
    <w:rsid w:val="002269F1"/>
    <w:rsid w:val="00265BFC"/>
    <w:rsid w:val="0029639D"/>
    <w:rsid w:val="002B2E6D"/>
    <w:rsid w:val="002B3382"/>
    <w:rsid w:val="002F3EC3"/>
    <w:rsid w:val="00326F90"/>
    <w:rsid w:val="003829F7"/>
    <w:rsid w:val="003A2BF2"/>
    <w:rsid w:val="003B77CD"/>
    <w:rsid w:val="00422A17"/>
    <w:rsid w:val="004B5387"/>
    <w:rsid w:val="00536704"/>
    <w:rsid w:val="00591BFD"/>
    <w:rsid w:val="005C22BB"/>
    <w:rsid w:val="005D1190"/>
    <w:rsid w:val="006E66A7"/>
    <w:rsid w:val="007C0A4A"/>
    <w:rsid w:val="007F2890"/>
    <w:rsid w:val="00925926"/>
    <w:rsid w:val="00997FA0"/>
    <w:rsid w:val="00A2080A"/>
    <w:rsid w:val="00A73936"/>
    <w:rsid w:val="00AA1D8D"/>
    <w:rsid w:val="00B2397B"/>
    <w:rsid w:val="00B47730"/>
    <w:rsid w:val="00BB5218"/>
    <w:rsid w:val="00CB0664"/>
    <w:rsid w:val="00DE2E71"/>
    <w:rsid w:val="00F13236"/>
    <w:rsid w:val="00F77218"/>
    <w:rsid w:val="00FA7A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6025FE"/>
  <w14:defaultImageDpi w14:val="300"/>
  <w15:docId w15:val="{04DD9FFC-9CEF-664A-8F80-82329CC82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B2E6D"/>
    <w:rPr>
      <w:color w:val="0000FF" w:themeColor="hyperlink"/>
      <w:u w:val="single"/>
    </w:rPr>
  </w:style>
  <w:style w:type="character" w:styleId="UnresolvedMention">
    <w:name w:val="Unresolved Mention"/>
    <w:basedOn w:val="DefaultParagraphFont"/>
    <w:uiPriority w:val="99"/>
    <w:semiHidden/>
    <w:unhideWhenUsed/>
    <w:rsid w:val="002B2E6D"/>
    <w:rPr>
      <w:color w:val="605E5C"/>
      <w:shd w:val="clear" w:color="auto" w:fill="E1DFDD"/>
    </w:rPr>
  </w:style>
  <w:style w:type="character" w:styleId="FollowedHyperlink">
    <w:name w:val="FollowedHyperlink"/>
    <w:basedOn w:val="DefaultParagraphFont"/>
    <w:uiPriority w:val="99"/>
    <w:semiHidden/>
    <w:unhideWhenUsed/>
    <w:rsid w:val="002B2E6D"/>
    <w:rPr>
      <w:color w:val="800080" w:themeColor="followedHyperlink"/>
      <w:u w:val="single"/>
    </w:rPr>
  </w:style>
  <w:style w:type="character" w:styleId="PageNumber">
    <w:name w:val="page number"/>
    <w:basedOn w:val="DefaultParagraphFont"/>
    <w:uiPriority w:val="99"/>
    <w:semiHidden/>
    <w:unhideWhenUsed/>
    <w:rsid w:val="003B7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422/ijsfle.v4i2.1136" TargetMode="External"/><Relationship Id="rId13" Type="http://schemas.openxmlformats.org/officeDocument/2006/relationships/hyperlink" Target="https://doi.org/10.3102/01623737011003255" TargetMode="External"/><Relationship Id="rId18" Type="http://schemas.openxmlformats.org/officeDocument/2006/relationships/hyperlink" Target="https://doi.org/10.1093/applin/amq03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5073/2525-2445/vnufs.4789" TargetMode="External"/><Relationship Id="rId7" Type="http://schemas.openxmlformats.org/officeDocument/2006/relationships/endnotes" Target="endnotes.xml"/><Relationship Id="rId12" Type="http://schemas.openxmlformats.org/officeDocument/2006/relationships/hyperlink" Target="https://doi.org/10.1093/applin/5.2.79" TargetMode="External"/><Relationship Id="rId17" Type="http://schemas.openxmlformats.org/officeDocument/2006/relationships/hyperlink" Target="https://doi.org/10.1111/j.1540-4781.1998.tb05543.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80/17501229.2025.2560101" TargetMode="External"/><Relationship Id="rId20" Type="http://schemas.openxmlformats.org/officeDocument/2006/relationships/hyperlink" Target="https://doi.org/10.1017/S02722631180003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0269993920840969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111/j.1540-4781.1986.tb05256.x" TargetMode="External"/><Relationship Id="rId23" Type="http://schemas.openxmlformats.org/officeDocument/2006/relationships/hyperlink" Target="https://doi.org/10.1186/s40359-026-04607-1" TargetMode="External"/><Relationship Id="rId10" Type="http://schemas.openxmlformats.org/officeDocument/2006/relationships/hyperlink" Target="https://doi.org/10.1057/s41599-025-05550-z" TargetMode="External"/><Relationship Id="rId19" Type="http://schemas.openxmlformats.org/officeDocument/2006/relationships/hyperlink" Target="https://doi.org/10.60087/jklst.vol4.n4.002" TargetMode="External"/><Relationship Id="rId4" Type="http://schemas.openxmlformats.org/officeDocument/2006/relationships/settings" Target="settings.xml"/><Relationship Id="rId9" Type="http://schemas.openxmlformats.org/officeDocument/2006/relationships/hyperlink" Target="https://doi.org/10.1191/1478088706qp063oa" TargetMode="External"/><Relationship Id="rId14" Type="http://schemas.openxmlformats.org/officeDocument/2006/relationships/hyperlink" Target="https://doi.org/10.1086/226145" TargetMode="External"/><Relationship Id="rId22" Type="http://schemas.openxmlformats.org/officeDocument/2006/relationships/hyperlink" Target="https://doi.org/10.1016/j.ijintrel.2026.102374"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23</Pages>
  <Words>10688</Words>
  <Characters>60927</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18</cp:revision>
  <dcterms:created xsi:type="dcterms:W3CDTF">2013-12-23T23:15:00Z</dcterms:created>
  <dcterms:modified xsi:type="dcterms:W3CDTF">2026-07-15T11:34:00Z</dcterms:modified>
  <cp:category/>
</cp:coreProperties>
</file>