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9C0B1" w14:textId="77777777" w:rsidR="00882F07" w:rsidRDefault="00882F07" w:rsidP="00102BFE">
      <w:pPr>
        <w:jc w:val="center"/>
        <w:rPr>
          <w:b/>
          <w:bCs/>
        </w:rPr>
      </w:pPr>
      <w:r>
        <w:rPr>
          <w:b/>
          <w:bCs/>
        </w:rPr>
        <w:t>Teacher Beliefs, Identity, and Professional Agency in ESL-Oriented Tourism Education: A PLS-SEM Analysis in Vietnam</w:t>
      </w:r>
    </w:p>
    <w:p w14:paraId="1BD10338" w14:textId="77777777" w:rsidR="00AF0979" w:rsidRDefault="00AF0979" w:rsidP="00102BFE">
      <w:pPr>
        <w:jc w:val="center"/>
        <w:rPr>
          <w:b/>
          <w:bCs/>
        </w:rPr>
      </w:pPr>
    </w:p>
    <w:p w14:paraId="1CC230DA" w14:textId="77777777" w:rsidR="00882F07" w:rsidRPr="004B394D" w:rsidRDefault="004B394D" w:rsidP="004B394D">
      <w:pPr>
        <w:jc w:val="center"/>
        <w:rPr>
          <w:b/>
          <w:bCs/>
        </w:rPr>
      </w:pPr>
      <w:r>
        <w:rPr>
          <w:b/>
          <w:bCs/>
        </w:rPr>
        <w:t>Phong Hai Tran</w:t>
      </w:r>
      <w:r>
        <w:rPr>
          <w:b/>
          <w:bCs/>
          <w:vertAlign w:val="superscript"/>
        </w:rPr>
        <w:t>1</w:t>
      </w:r>
    </w:p>
    <w:p w14:paraId="60D8D9E9" w14:textId="77777777" w:rsidR="00882F07" w:rsidRPr="00882F07" w:rsidRDefault="00882F07" w:rsidP="00882F07">
      <w:pPr>
        <w:rPr>
          <w:b/>
          <w:bCs/>
        </w:rPr>
      </w:pPr>
      <w:r>
        <w:rPr>
          <w:b/>
          <w:bCs/>
        </w:rPr>
        <w:t>Abstract</w:t>
      </w:r>
    </w:p>
    <w:p w14:paraId="7A2C9AC1" w14:textId="77777777" w:rsidR="000121AE" w:rsidRDefault="000121AE" w:rsidP="000121AE">
      <w:pPr>
        <w:contextualSpacing/>
        <w:jc w:val="both"/>
      </w:pPr>
      <w:r>
        <w:t>The transition from English as a Foreign Language (EFL) to English as a Second Language (ESL)-oriented pedagogy has become increasingly critical in tourism education, particularly in emerging economies such as Vietnam where English proficiency directly shapes graduate employability and service quality. Drawing on teacher cognition theory, sociocultural perspectives, and professional agency theory, this study develops and empirically tests a structural model linking teacher beliefs, professional identity, and professional agency to pedagogical innovation and teacher-perceived communicative competence in tourism English education. Using survey data collected from 112 English lecturers in tourism and hospitality programs across universities in Ho Chi Minh City, Vietnam, the study employs Partial Least Squares Structural Equation Modeling (PLS-SEM) to examine both linear and indirect relationships. The findings reveal that teacher beliefs regarding communicative and industry-relevant English significantly influence identity reconstruction and agency enactment, which in turn drive pedagogical innovation (e.g., experiential learning, VR/AR integration) and enhance teacher-perceived communicative competence. Professional agency emerges as a key mediating mechanism translating beliefs into practice under institutional constraints. This study contributes to the literature by integrating teacher cognition with ESL transition in tourism education and provides actionable implications for curriculum reform, teacher development, and policy in Vietnam and comparable contexts.</w:t>
      </w:r>
    </w:p>
    <w:p w14:paraId="1C39D986" w14:textId="77777777" w:rsidR="00882F07" w:rsidRPr="00882F07" w:rsidRDefault="00882F07" w:rsidP="0002676C">
      <w:pPr>
        <w:ind w:firstLine="720"/>
        <w:jc w:val="both"/>
      </w:pPr>
      <w:r>
        <w:rPr>
          <w:b/>
          <w:bCs/>
          <w:i/>
          <w:iCs/>
        </w:rPr>
        <w:t>Keywords:</w:t>
      </w:r>
      <w:r>
        <w:t xml:space="preserve"> teacher beliefs, professional agency, pedagogical innovation, ESL-oriented tourism education, teacher-perceived communicative competence</w:t>
      </w:r>
    </w:p>
    <w:p w14:paraId="725AA372" w14:textId="77777777" w:rsidR="004B394D" w:rsidRDefault="004B394D" w:rsidP="004B394D">
      <w:pPr>
        <w:jc w:val="center"/>
        <w:rPr>
          <w:b/>
          <w:bCs/>
        </w:rPr>
      </w:pPr>
    </w:p>
    <w:p w14:paraId="1A3D4E58" w14:textId="77777777" w:rsidR="00882F07" w:rsidRPr="00882F07" w:rsidRDefault="00882F07" w:rsidP="004B394D">
      <w:pPr>
        <w:jc w:val="center"/>
        <w:rPr>
          <w:b/>
          <w:bCs/>
        </w:rPr>
      </w:pPr>
      <w:r>
        <w:rPr>
          <w:b/>
          <w:bCs/>
        </w:rPr>
        <w:t>1. Introduction</w:t>
      </w:r>
    </w:p>
    <w:p w14:paraId="3CF3383F" w14:textId="77777777" w:rsidR="004B394D" w:rsidRDefault="00882F07" w:rsidP="004B394D">
      <w:pPr>
        <w:spacing w:after="120" w:line="480" w:lineRule="auto"/>
        <w:ind w:firstLine="720"/>
        <w:jc w:val="both"/>
      </w:pPr>
      <w:r>
        <w:t xml:space="preserve">The globalization of tourism and the increasing mobility of international travelers have positioned English as a critical lingua franca in hospitality and tourism industries, thereby reshaping the objectives of language education in non-English-speaking countries. In this context, tourism education must move beyond traditional EFL paradigms toward more practice-oriented, ESL-like environments where English is used as a tool for authentic communication rather than as an abstract academic subject </w:t>
      </w:r>
      <w:sdt>
        <w:sdtPr>
          <w:rPr>
            <w:color w:val="000000"/>
          </w:rPr>
          <w:tag w:val="MENDELEY_CITATION_v3_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"/>
          <w:id w:val="-1902278313"/>
          <w:placeholder>
            <w:docPart w:val="DefaultPlaceholder_-1854013440"/>
          </w:placeholder>
        </w:sdtPr>
        <w:sdtContent>
          <w:r>
            <w:rPr>
              <w:color w:val="000000"/>
            </w:rPr>
            <w:t>(Cloudia Ho, 2020)</w:t>
          </w:r>
        </w:sdtContent>
      </w:sdt>
      <w:r>
        <w:t xml:space="preserve">. This transformation is particularly salient in Vietnam, where tourism has become a strategic economic sector and universities are under pressure to produce graduates with strong communicative competence and workplace readiness. </w:t>
      </w:r>
    </w:p>
    <w:p w14:paraId="59C19E27" w14:textId="77777777" w:rsidR="004B394D" w:rsidRDefault="004B394D" w:rsidP="004B394D">
      <w:pPr>
        <w:spacing w:after="120" w:line="480" w:lineRule="auto"/>
        <w:jc w:val="both"/>
      </w:pPr>
    </w:p>
    <w:p w14:paraId="73DD3321" w14:textId="77777777" w:rsidR="004B394D" w:rsidRDefault="004B394D" w:rsidP="004B394D">
      <w:r>
        <w:rPr>
          <w:noProof/>
        </w:rPr>
        <mc:AlternateContent>
          <mc:Choice Requires="wps">
            <w:drawing>
              <wp:anchor distT="0" distB="0" distL="114300" distR="114300" simplePos="0" relativeHeight="251659264" behindDoc="0" locked="0" layoutInCell="1" allowOverlap="1" wp14:anchorId="32DA2B05" wp14:editId="65E585ED">
                <wp:simplePos x="0" y="0"/>
                <wp:positionH relativeFrom="column">
                  <wp:posOffset>466724</wp:posOffset>
                </wp:positionH>
                <wp:positionV relativeFrom="paragraph">
                  <wp:posOffset>44450</wp:posOffset>
                </wp:positionV>
                <wp:extent cx="2028825" cy="9525"/>
                <wp:effectExtent l="0" t="0" r="28575" b="28575"/>
                <wp:wrapNone/>
                <wp:docPr id="1435713323" name="Straight Connector 18"/>
                <wp:cNvGraphicFramePr/>
                <a:graphic xmlns:a="http://schemas.openxmlformats.org/drawingml/2006/main">
                  <a:graphicData uri="http://schemas.microsoft.com/office/word/2010/wordprocessingShape">
                    <wps:wsp>
                      <wps:cNvCnPr/>
                      <wps:spPr>
                        <a:xfrm flipV="1">
                          <a:off x="0" y="0"/>
                          <a:ext cx="20288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5CCBB8" id="Straight Connector 18"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6.75pt,3.5pt" to="196.5pt,4.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2jYgpAEAAJUDAAAOAAAAZHJzL2Uyb0RvYy54bWysU01v1DAQvVfiP1i+s8lGKtpGm91DK7gg qKDt3XXGGwt/yTab7L9nPNlNUQEJIS6WP957M29mvN1P1rAjxKS96/h6VXMGTvpeu0PHHx/ev91w lrJwvTDeQcdPkPh+9+ZqO4YWGj9400NkKOJSO4aODzmHtqqSHMCKtPIBHD4qH63IeIyHqo9iRHVr qqau31Wjj32IXkJKeHs3P/Id6SsFMn9WKkFmpuOYW6Y10vpc1mq3Fe0hijBoeU5D/EMWVmiHQRep O5EF+x71L1JWy+iTV3klva28UloCeUA36/qVm6+DCEBesDgpLGVK/09WfjreuvuIZRhDalO4j8XF pKJlyujwhD0lX5gpm6hsp6VsMGUm8bKpm82mueZM4tvNNe5QrppVilqIKX8Ab1nZdNxoV0yJVhw/ pjxDLxDkveRBu3wyUMDGfQHFdI/x5oxoRODWRHYU2Nz+2/oclpCForQxC6mmkH8knbGFBjQ2f0tc 0BTRu7wQrXY+/i5qni6pqhl/cT17LbaffX+irlA5sPdU0POcluH6+Uz0l9+0+wEAAP//AwBQSwME FAAGAAgAAAAhAM1tSSvZAAAABgEAAA8AAABkcnMvZG93bnJldi54bWxMj0FPwzAMhe9I/IfISNxY AlW3UZpOYxLizMZlN7cxbUXjlCbbyr/HnOBkW+/p+XvlZvaDOtMU+8AW7hcGFHETXM+thffDy90a VEzIDofAZOGbImyq66sSCxcu/EbnfWqVhHAs0EKX0lhoHZuOPMZFGIlF+wiTxyTn1Go34UXC/aAf jFlqjz3Lhw5H2nXUfO5P3sLh1Zu5Tv2O+GtltsfnfMnH3Nrbm3n7BCrRnP7M8Isv6FAJUx1O7KIa LKyyXJwypZHI2WMmS21hnYOuSv0fv/oBAAD//wMAUEsBAi0AFAAGAAgAAAAhALaDOJL+AAAA4QEA ABMAAAAAAAAAAAAAAAAAAAAAAFtDb250ZW50X1R5cGVzXS54bWxQSwECLQAUAAYACAAAACEAOP0h /9YAAACUAQAACwAAAAAAAAAAAAAAAAAvAQAAX3JlbHMvLnJlbHNQSwECLQAUAAYACAAAACEAqNo2 IKQBAACVAwAADgAAAAAAAAAAAAAAAAAuAgAAZHJzL2Uyb0RvYy54bWxQSwECLQAUAAYACAAAACEA zW1JK9kAAAAGAQAADwAAAAAAAAAAAAAAAAD+AwAAZHJzL2Rvd25yZXYueG1sUEsFBgAAAAAEAAQA 8wAAAAQFAAAAAA== " strokecolor="black [3200]" strokeweight=".5pt">
                <v:stroke joinstyle="miter"/>
              </v:line>
            </w:pict>
          </mc:Fallback>
        </mc:AlternateContent>
      </w:r>
    </w:p>
    <w:p w14:paraId="07FF6796" w14:textId="77777777" w:rsidR="004B394D" w:rsidRDefault="004B394D" w:rsidP="004B394D">
      <w:pPr>
        <w:rPr>
          <w:i/>
          <w:iCs/>
        </w:rPr>
      </w:pPr>
      <w:r>
        <w:rPr>
          <w:rStyle w:val="FootnoteReference"/>
          <w:sz w:val="20"/>
          <w:szCs w:val="20"/>
        </w:rPr>
        <w:footnoteRef/>
      </w:r>
      <w:r>
        <w:rPr>
          <w:sz w:val="20"/>
          <w:szCs w:val="20"/>
        </w:rPr>
        <w:t xml:space="preserve"> </w:t>
      </w:r>
      <w:r>
        <w:rPr>
          <w:spacing w:val="-2"/>
          <w:sz w:val="20"/>
          <w:szCs w:val="20"/>
        </w:rPr>
        <w:t xml:space="preserve">Corresponding author, Ho Chi Minh City University of Foreign Languages-Information Technology, Ho Chi Minh City, Vietnam; </w:t>
      </w:r>
      <w:r>
        <w:rPr>
          <w:i/>
          <w:iCs/>
          <w:spacing w:val="-2"/>
          <w:sz w:val="20"/>
          <w:szCs w:val="20"/>
        </w:rPr>
        <w:t>Email:</w:t>
      </w:r>
      <w:r>
        <w:rPr>
          <w:sz w:val="20"/>
          <w:szCs w:val="20"/>
        </w:rPr>
        <w:t xml:space="preserve"> </w:t>
      </w:r>
      <w:r>
        <w:rPr>
          <w:i/>
          <w:iCs/>
          <w:spacing w:val="-2"/>
          <w:sz w:val="20"/>
          <w:szCs w:val="20"/>
        </w:rPr>
        <w:t>phongth@huflit.edu.vn</w:t>
      </w:r>
    </w:p>
    <w:p w14:paraId="6C359CDD" w14:textId="77777777" w:rsidR="004B394D" w:rsidRDefault="004B394D" w:rsidP="004B394D">
      <w:pPr>
        <w:spacing w:after="120" w:line="480" w:lineRule="auto"/>
        <w:jc w:val="both"/>
      </w:pPr>
    </w:p>
    <w:p w14:paraId="5FCFAD0A" w14:textId="77777777" w:rsidR="00882F07" w:rsidRPr="00882F07" w:rsidRDefault="00882F07" w:rsidP="004B394D">
      <w:pPr>
        <w:spacing w:after="120" w:line="480" w:lineRule="auto"/>
        <w:ind w:firstLine="720"/>
        <w:contextualSpacing/>
        <w:jc w:val="both"/>
      </w:pPr>
      <w:r>
        <w:t>Despite this demand, prior research consistently highlights a mismatch between tourism English training and industry expectations, particularly in developing contexts where language instruction remains grammar-focused and examination-driven</w:t>
      </w:r>
      <w:sdt>
        <w:sdtPr>
          <w:rPr>
            <w:color w:val="000000"/>
          </w:rPr>
          <w:tag w:val="MENDELEY_CITATION_v3_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"/>
          <w:id w:val="304976470"/>
          <w:placeholder>
            <w:docPart w:val="DefaultPlaceholder_-1854013440"/>
          </w:placeholder>
        </w:sdtPr>
        <w:sdtContent>
          <w:r>
            <w:rPr>
              <w:color w:val="000000"/>
            </w:rPr>
            <w:t>(Al-Tarawneh &amp; Osam, 2019; Ghany &amp; Latif, 2012)</w:t>
          </w:r>
        </w:sdtContent>
      </w:sdt>
      <w:r>
        <w:t xml:space="preserve"> . This gap suggests that structural reform alone is insufficient; rather, understanding teachers as key agents of change becomes essential. Teachers’ beliefs, identity, and professional agency fundamentally shape how curricular innovations are interpreted and implemented in practice.</w:t>
      </w:r>
    </w:p>
    <w:p w14:paraId="3D2E420F" w14:textId="77777777" w:rsidR="004B394D" w:rsidRDefault="00882F07" w:rsidP="004B394D">
      <w:pPr>
        <w:spacing w:after="120" w:line="480" w:lineRule="auto"/>
        <w:ind w:firstLine="720"/>
        <w:contextualSpacing/>
        <w:jc w:val="both"/>
      </w:pPr>
      <w:r>
        <w:t xml:space="preserve">While previous studies have examined communicative language teaching (CLT) and technology-enhanced learning in tourism education </w:t>
      </w:r>
      <w:sdt>
        <w:sdtPr>
          <w:rPr>
            <w:color w:val="000000"/>
          </w:rPr>
          <w:tag w:val="MENDELEY_CITATION_v3_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"/>
          <w:id w:val="1659957392"/>
          <w:placeholder>
            <w:docPart w:val="DefaultPlaceholder_-1854013440"/>
          </w:placeholder>
        </w:sdtPr>
        <w:sdtContent>
          <w:r>
            <w:rPr>
              <w:color w:val="000000"/>
            </w:rPr>
            <w:t>(Elfiondri et al., 2021; He et al., 2025)</w:t>
          </w:r>
        </w:sdtContent>
      </w:sdt>
      <w:r>
        <w:t xml:space="preserve">, limited research integrates these pedagogical developments with teacher cognition and agency frameworks </w:t>
      </w:r>
      <w:sdt>
        <w:sdtPr>
          <w:rPr>
            <w:color w:val="000000"/>
          </w:rPr>
          <w:tag w:val="MENDELEY_CITATION_v3_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"/>
          <w:id w:val="-732461142"/>
          <w:placeholder>
            <w:docPart w:val="DefaultPlaceholder_-1854013440"/>
          </w:placeholder>
        </w:sdtPr>
        <w:sdtContent>
          <w:r>
            <w:rPr>
              <w:color w:val="000000"/>
            </w:rPr>
            <w:t>(Pantaruk et al., 2026)</w:t>
          </w:r>
        </w:sdtContent>
      </w:sdt>
      <w:r>
        <w:t xml:space="preserve">, particularly using robust empirical methods such as PLS-SEM. Moreover, there is a lack of Vietnam-specific empirical evidence examining how teachers navigate the transition toward ESL-oriented tourism education </w:t>
      </w:r>
      <w:sdt>
        <w:sdtPr>
          <w:rPr>
            <w:color w:val="000000"/>
          </w:rPr>
          <w:tag w:val="MENDELEY_CITATION_v3_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"/>
          <w:id w:val="-1975062137"/>
          <w:placeholder>
            <w:docPart w:val="DefaultPlaceholder_-1854013440"/>
          </w:placeholder>
        </w:sdtPr>
        <w:sdtContent>
          <w:r>
            <w:rPr>
              <w:color w:val="000000"/>
            </w:rPr>
            <w:t>(Şimşek &amp; Kalıpçı, 2023)</w:t>
          </w:r>
        </w:sdtContent>
      </w:sdt>
      <w:r>
        <w:t>.</w:t>
      </w:r>
    </w:p>
    <w:p w14:paraId="32A902BB" w14:textId="77777777" w:rsidR="00F97F22" w:rsidRDefault="00000000">
      <w:pPr>
        <w:spacing w:after="120" w:line="480" w:lineRule="auto"/>
        <w:contextualSpacing/>
        <w:rPr>
          <w:b/>
          <w:bCs/>
          <w:i/>
          <w:iCs/>
        </w:rPr>
      </w:pPr>
      <w:r>
        <w:rPr>
          <w:b/>
          <w:bCs/>
          <w:i/>
          <w:iCs/>
        </w:rPr>
        <w:t>1.1 Problem Statement</w:t>
      </w:r>
    </w:p>
    <w:p w14:paraId="18DA8C23" w14:textId="77777777" w:rsidR="00F97F22" w:rsidRDefault="00000000">
      <w:pPr>
        <w:spacing w:after="120" w:line="480" w:lineRule="auto"/>
        <w:ind w:firstLine="720"/>
        <w:contextualSpacing/>
        <w:jc w:val="both"/>
      </w:pPr>
      <w:r>
        <w:t xml:space="preserve">Although Vietnam's tourism sector increasingly requires graduates who can communicate fluently and appropriately in authentic service encounters, tourism English instruction at the tertiary level remains predominantly grammar-oriented, examination-driven, and detached from workplace communication demands. Reform efforts have concentrated on revising curricula and adopting new technologies, yet these structural interventions have produced limited improvement in graduates' communicative readiness. The central problem this study addresses is that the success of the transition from an EFL to an ESL orientation depends less on curricular documents than on whether teachers—who ultimately interpret and enact reform—hold the beliefs, reconstruct the professional identities, and exercise the agency </w:t>
      </w:r>
      <w:r>
        <w:lastRenderedPageBreak/>
        <w:t>required to translate ESL-oriented intentions into innovative classroom practice. At present, it remains unclear which teacher-level mechanisms actually convert reform intentions into pedagogical innovation and, in turn, into improved communicative outcomes, leaving institutions without an evidence-based basis for prioritizing their limited development resources.</w:t>
      </w:r>
    </w:p>
    <w:p w14:paraId="133EEA24" w14:textId="77777777" w:rsidR="00F97F22" w:rsidRDefault="00000000">
      <w:pPr>
        <w:spacing w:after="120" w:line="480" w:lineRule="auto"/>
        <w:contextualSpacing/>
        <w:rPr>
          <w:b/>
          <w:bCs/>
          <w:i/>
          <w:iCs/>
        </w:rPr>
      </w:pPr>
      <w:r>
        <w:rPr>
          <w:b/>
          <w:bCs/>
          <w:i/>
          <w:iCs/>
        </w:rPr>
        <w:t>1.2 Research Gap</w:t>
      </w:r>
    </w:p>
    <w:p w14:paraId="6FA92F3B" w14:textId="77777777" w:rsidR="00F97F22" w:rsidRDefault="00000000">
      <w:pPr>
        <w:spacing w:after="120" w:line="480" w:lineRule="auto"/>
        <w:ind w:firstLine="720"/>
        <w:contextualSpacing/>
        <w:jc w:val="both"/>
      </w:pPr>
      <w:r>
        <w:t>Three gaps motivate this study. First, although communicative language teaching (CLT) and technology-enhanced learning have been examined extensively in tourism education (Elfiondri et al., 2021; He et al., 2025), few studies integrate these pedagogical developments with teacher cognition and professional agency frameworks within a single, empirically testable model; existing work tends to treat beliefs, identity, agency, and innovation in isolation rather than specifying the sequential mechanism that links them. Second, prior research frequently assumes that reconstructing teacher identity is sufficient to generate innovative practice, yet the distinct mediating role of professional agency in converting identity into action remains empirically underexamined. Third, despite growing policy attention to English-medium employability in Vietnam, there is a shortage of Vietnam-specific, model-based evidence on how teachers navigate the transition toward ESL-oriented tourism education (Şimşek &amp; Kalıpçı, 2023). Addressing these gaps requires a robust quantitative approach capable of testing an integrated mediation model, which this study provides through PLS-SEM.</w:t>
      </w:r>
    </w:p>
    <w:p w14:paraId="4885E790" w14:textId="77777777" w:rsidR="00F97F22" w:rsidRDefault="00000000">
      <w:pPr>
        <w:spacing w:after="120" w:line="480" w:lineRule="auto"/>
        <w:contextualSpacing/>
        <w:rPr>
          <w:b/>
          <w:bCs/>
          <w:i/>
          <w:iCs/>
        </w:rPr>
      </w:pPr>
      <w:r>
        <w:rPr>
          <w:b/>
          <w:bCs/>
          <w:i/>
          <w:iCs/>
        </w:rPr>
        <w:t>1.3 Scope and Delimitations</w:t>
      </w:r>
    </w:p>
    <w:p w14:paraId="54116657" w14:textId="77777777" w:rsidR="00F97F22" w:rsidRDefault="00000000">
      <w:pPr>
        <w:spacing w:after="120" w:line="480" w:lineRule="auto"/>
        <w:ind w:firstLine="720"/>
        <w:contextualSpacing/>
        <w:jc w:val="both"/>
      </w:pPr>
      <w:r>
        <w:t xml:space="preserve">This study is deliberately bounded in several respects. Empirically, it focuses on English lecturers teaching tourism and hospitality programs at universities in Ho Chi Minh City, Vietnam—a leading tourism and educational hub—and does not claim to represent all Vietnamese regions or institutions. Conceptually, the model is delimited to five teacher-centered constructs (teacher beliefs, professional identity, professional agency, pedagogical </w:t>
      </w:r>
      <w:r>
        <w:lastRenderedPageBreak/>
        <w:t>innovation, and teacher-perceived communicative competence) and intentionally excludes institutional-level antecedents such as leadership, workload, and policy constraints, as well as student-generated performance data, which lie beyond the study's teacher-cognition focus. The outcome construct is operationalized as teachers' perceptions of student communicative competence rather than as objective or student-reported proficiency; accordingly, the findings should be interpreted as reflecting instructor-perceived outcomes. These boundaries define the analytical scope of the study and are revisited as limitations and directions for future research in Section 8.</w:t>
      </w:r>
    </w:p>
    <w:p w14:paraId="3A8FE814" w14:textId="77777777" w:rsidR="00F97F22" w:rsidRDefault="00000000">
      <w:pPr>
        <w:spacing w:after="120" w:line="480" w:lineRule="auto"/>
        <w:contextualSpacing/>
        <w:rPr>
          <w:b/>
          <w:bCs/>
          <w:i/>
          <w:iCs/>
        </w:rPr>
      </w:pPr>
      <w:r>
        <w:rPr>
          <w:b/>
          <w:bCs/>
          <w:i/>
          <w:iCs/>
        </w:rPr>
        <w:t>1.4 Research Objectives and Questions</w:t>
      </w:r>
    </w:p>
    <w:p w14:paraId="3DC72441" w14:textId="77777777" w:rsidR="00F97F22" w:rsidRDefault="00000000">
      <w:pPr>
        <w:spacing w:after="120" w:line="480" w:lineRule="auto"/>
        <w:ind w:firstLine="720"/>
        <w:contextualSpacing/>
        <w:jc w:val="both"/>
      </w:pPr>
      <w:r>
        <w:t>To address the problem and gaps outlined above, this study develops and empirically tests a structural model linking teacher beliefs, professional identity, and professional agency to pedagogical innovation and teacher-perceived communicative competence in tourism English education. Specifically, it seeks to answer three research questions: (RQ1) How do teacher beliefs shape professional identity and professional agency in the transition toward ESL-oriented tourism education? (RQ2) Through what mechanism do professional identity and professional agency translate into pedagogical innovation? and (RQ3) To what extent does pedagogical innovation enhance teacher-perceived communicative competence? By answering these questions, the study clarifies the teacher-level mechanisms underpinning ESL-oriented pedagogical transformation and identifies where institutional resources can be most effectively directed.</w:t>
      </w:r>
    </w:p>
    <w:p w14:paraId="1BC6950D" w14:textId="77777777" w:rsidR="00882F07" w:rsidRPr="00882F07" w:rsidRDefault="00882F07" w:rsidP="004B394D">
      <w:pPr>
        <w:spacing w:after="120" w:line="480" w:lineRule="auto"/>
        <w:contextualSpacing/>
        <w:jc w:val="center"/>
        <w:rPr>
          <w:b/>
          <w:bCs/>
        </w:rPr>
      </w:pPr>
      <w:r>
        <w:rPr>
          <w:b/>
          <w:bCs/>
        </w:rPr>
        <w:t>2. Literature Review and Hypothesis Development</w:t>
      </w:r>
    </w:p>
    <w:p w14:paraId="2C50D97C" w14:textId="77777777" w:rsidR="00F97F22" w:rsidRDefault="00000000">
      <w:pPr>
        <w:spacing w:after="120" w:line="480" w:lineRule="auto"/>
        <w:contextualSpacing/>
        <w:rPr>
          <w:b/>
          <w:bCs/>
          <w:i/>
          <w:iCs/>
        </w:rPr>
      </w:pPr>
      <w:r>
        <w:rPr>
          <w:b/>
          <w:bCs/>
          <w:i/>
          <w:iCs/>
        </w:rPr>
        <w:t>2.1 Theoretical Framework</w:t>
      </w:r>
    </w:p>
    <w:p w14:paraId="34B421A5" w14:textId="77777777" w:rsidR="00F97F22" w:rsidRDefault="00000000">
      <w:pPr>
        <w:spacing w:after="120" w:line="480" w:lineRule="auto"/>
        <w:ind w:firstLine="720"/>
        <w:contextualSpacing/>
        <w:jc w:val="both"/>
      </w:pPr>
      <w:r>
        <w:t xml:space="preserve">The conceptual model of this study integrates three complementary theoretical lenses—teacher cognition theory, sociocultural theory, and professional agency theory—to explain how the transition from an EFL to an ESL orientation is enacted in tourism English education. </w:t>
      </w:r>
      <w:r>
        <w:lastRenderedPageBreak/>
        <w:t>Teacher cognition theory provides the cognitive foundation of the model, positing that teachers' beliefs, knowledge, and assumptions about language and learning function as the primary filter through which curricular reforms are interpreted and instructional decisions are made (Borg, 2003; Wyatt &amp; Dikilitıaş, 2019). Within this framework, teacher beliefs are treated as the antecedent that initiates the transformation process.</w:t>
      </w:r>
    </w:p>
    <w:p w14:paraId="7D7B883C" w14:textId="77777777" w:rsidR="00F97F22" w:rsidRDefault="00000000">
      <w:pPr>
        <w:spacing w:after="120" w:line="480" w:lineRule="auto"/>
        <w:ind w:firstLine="720"/>
        <w:contextualSpacing/>
        <w:jc w:val="both"/>
      </w:pPr>
      <w:r>
        <w:t>Sociocultural theory complements this cognitive foundation by locating teacher development within social, institutional, and professional contexts. From this perspective, professional identity is not a fixed attribute but a dynamic, socially negotiated construct that evolves as teachers interact with institutional expectations, industry demands, and emerging pedagogical roles (Langum &amp; Sullivan, 2020; Tao &amp; Gao, 2017). Sociocultural theory therefore explains how beliefs are mediated by context to reshape teachers' self-perceptions in ESL-oriented settings, moving them from knowledge transmitters toward facilitators and designers of experiential learning.</w:t>
      </w:r>
    </w:p>
    <w:p w14:paraId="07266913" w14:textId="77777777" w:rsidR="00F97F22" w:rsidRDefault="00000000">
      <w:pPr>
        <w:spacing w:after="120" w:line="480" w:lineRule="auto"/>
        <w:ind w:firstLine="720"/>
        <w:contextualSpacing/>
        <w:jc w:val="both"/>
      </w:pPr>
      <w:r>
        <w:t>Professional agency theory supplies the behavioral bridge between cognition and practice. Agency—teachers' capacity to make intentional pedagogical choices and act purposefully within, and at times against, institutional constraints—is the mechanism that converts beliefs and reconstructed identities into concrete instructional innovation (Priestley et al., 2015; Tao &amp; Gao, 2017). Integrating these three lenses yields a coherent cognitive–behavioral logic in which cognition (beliefs) is filtered through socially constructed identity and enacted through agency to produce pedagogical innovation and, ultimately, teacher-perceived communicative competence. Figure 1 operationalizes this integrated framework, and the hypotheses developed in the following subsections (2.2–2.5) trace each pathway in this sequence.</w:t>
      </w:r>
    </w:p>
    <w:p w14:paraId="6799BA5E" w14:textId="77777777" w:rsidR="00882F07" w:rsidRPr="004B394D" w:rsidRDefault="00882F07" w:rsidP="004B394D">
      <w:pPr>
        <w:spacing w:after="120" w:line="480" w:lineRule="auto"/>
        <w:contextualSpacing/>
        <w:rPr>
          <w:b/>
          <w:bCs/>
          <w:i/>
          <w:iCs/>
        </w:rPr>
      </w:pPr>
      <w:r>
        <w:rPr>
          <w:b/>
          <w:bCs/>
          <w:i/>
          <w:iCs/>
        </w:rPr>
        <w:t>2.2 Teacher Beliefs and ESL-Oriented Pedagogy</w:t>
      </w:r>
    </w:p>
    <w:p w14:paraId="0F8F9865" w14:textId="77777777" w:rsidR="00882F07" w:rsidRPr="00882F07" w:rsidRDefault="000121AE" w:rsidP="004B394D">
      <w:pPr>
        <w:spacing w:after="120" w:line="480" w:lineRule="auto"/>
        <w:ind w:firstLine="720"/>
        <w:contextualSpacing/>
        <w:jc w:val="both"/>
      </w:pPr>
      <w:r>
        <w:t xml:space="preserve">Teacher beliefs represent deeply held assumptions about teaching and learning that </w:t>
      </w:r>
      <w:r>
        <w:lastRenderedPageBreak/>
        <w:t xml:space="preserve">guide instructional practices </w:t>
      </w:r>
      <w:sdt>
        <w:sdtPr>
          <w:rPr>
            <w:color w:val="000000"/>
          </w:rPr>
          <w:tag w:val="MENDELEY_CITATION_v3_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"/>
          <w:id w:val="-810319861"/>
          <w:placeholder>
            <w:docPart w:val="DD55F928C260467B836BB42853BF66FB"/>
          </w:placeholder>
        </w:sdtPr>
        <w:sdtContent>
          <w:r>
            <w:rPr>
              <w:color w:val="000000"/>
            </w:rPr>
            <w:t>(Wyatt &amp; Dikilitaş, 2019)</w:t>
          </w:r>
        </w:sdtContent>
      </w:sdt>
      <w:r>
        <w:t xml:space="preserve">. In tourism education, beliefs about communicative competence, industry relevance, and experiential learning are particularly critical. Communicative Language Teaching (CLT) has been shown to significantly enhance students’ communicative competence and confidence in tourism English contexts </w:t>
      </w:r>
      <w:sdt>
        <w:sdtPr>
          <w:rPr>
            <w:color w:val="000000"/>
          </w:rPr>
          <w:tag w:val="MENDELEY_CITATION_v3_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"/>
          <w:id w:val="-103115934"/>
          <w:placeholder>
            <w:docPart w:val="DefaultPlaceholder_-1854013440"/>
          </w:placeholder>
        </w:sdtPr>
        <w:sdtContent>
          <w:r>
            <w:rPr>
              <w:color w:val="000000"/>
            </w:rPr>
            <w:t>(Liu et al., 2024; Şimşek &amp; Kalıpçı, 2023)</w:t>
          </w:r>
        </w:sdtContent>
      </w:sdt>
      <w:r>
        <w:t>. However, the adoption of CLT and similar approaches depends largely on teachers’ epistemological orientations and perceived teaching goals. In emerging ESL-like environments, teachers who believe in the importance of authentic communication and workplace alignment are more likely to adopt experiential and student-centered approaches. Conversely, teachers who maintain traditional beliefs may resist pedagogical change. Therefore:</w:t>
      </w:r>
    </w:p>
    <w:p w14:paraId="12D611EB" w14:textId="77777777" w:rsidR="00882F07" w:rsidRPr="00882F07" w:rsidRDefault="00882F07" w:rsidP="004B394D">
      <w:pPr>
        <w:spacing w:after="120" w:line="480" w:lineRule="auto"/>
        <w:contextualSpacing/>
      </w:pPr>
      <w:r>
        <w:rPr>
          <w:b/>
          <w:bCs/>
        </w:rPr>
        <w:t>H1:</w:t>
      </w:r>
      <w:r>
        <w:t xml:space="preserve"> Teacher beliefs positively influence professional identity reconstruction toward ESL-oriented teaching.</w:t>
      </w:r>
    </w:p>
    <w:p w14:paraId="397A12D4" w14:textId="77777777" w:rsidR="00882F07" w:rsidRPr="00882F07" w:rsidRDefault="00882F07" w:rsidP="004B394D">
      <w:pPr>
        <w:spacing w:after="120" w:line="480" w:lineRule="auto"/>
        <w:contextualSpacing/>
      </w:pPr>
      <w:r>
        <w:rPr>
          <w:b/>
          <w:bCs/>
        </w:rPr>
        <w:t>H2:</w:t>
      </w:r>
      <w:r>
        <w:t xml:space="preserve"> Teacher beliefs positively influence professional agency in tourism English education.</w:t>
      </w:r>
    </w:p>
    <w:p w14:paraId="1B311A2C" w14:textId="77777777" w:rsidR="00882F07" w:rsidRPr="004B394D" w:rsidRDefault="00882F07" w:rsidP="004B394D">
      <w:pPr>
        <w:spacing w:after="120" w:line="480" w:lineRule="auto"/>
        <w:contextualSpacing/>
        <w:rPr>
          <w:b/>
          <w:bCs/>
          <w:i/>
          <w:iCs/>
        </w:rPr>
      </w:pPr>
      <w:r>
        <w:rPr>
          <w:b/>
          <w:bCs/>
          <w:i/>
          <w:iCs/>
        </w:rPr>
        <w:t>2.3 Professional Identity Transformation</w:t>
      </w:r>
    </w:p>
    <w:p w14:paraId="45C5C494" w14:textId="77777777" w:rsidR="00882F07" w:rsidRPr="00882F07" w:rsidRDefault="00882F07" w:rsidP="004B394D">
      <w:pPr>
        <w:spacing w:after="120" w:line="480" w:lineRule="auto"/>
        <w:ind w:firstLine="720"/>
        <w:contextualSpacing/>
        <w:jc w:val="both"/>
      </w:pPr>
      <w:r>
        <w:t xml:space="preserve">Teacher identity is not static but evolves through interaction with institutional contexts, professional expectations, and pedagogical demands </w:t>
      </w:r>
      <w:sdt>
        <w:sdtPr>
          <w:rPr>
            <w:color w:val="000000"/>
          </w:rPr>
          <w:tag w:val="MENDELEY_CITATION_v3_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"/>
          <w:id w:val="2111244082"/>
          <w:placeholder>
            <w:docPart w:val="DefaultPlaceholder_-1854013440"/>
          </w:placeholder>
        </w:sdtPr>
        <w:sdtContent>
          <w:r>
            <w:rPr>
              <w:color w:val="000000"/>
            </w:rPr>
            <w:t>(Langum &amp; Sullivan, 2020)</w:t>
          </w:r>
        </w:sdtContent>
      </w:sdt>
      <w:r>
        <w:t xml:space="preserve">. In tourism education, the shift toward ESL requires teachers to move from knowledge transmitters to facilitators of experiential learning and industry-relevant communication </w:t>
      </w:r>
      <w:sdt>
        <w:sdtPr>
          <w:rPr>
            <w:color w:val="000000"/>
          </w:rPr>
          <w:tag w:val="MENDELEY_CITATION_v3_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"/>
          <w:id w:val="-1779168958"/>
          <w:placeholder>
            <w:docPart w:val="DefaultPlaceholder_-1854013440"/>
          </w:placeholder>
        </w:sdtPr>
        <w:sdtContent>
          <w:r>
            <w:rPr>
              <w:color w:val="000000"/>
            </w:rPr>
            <w:t>(Ju et al., 2025)</w:t>
          </w:r>
        </w:sdtContent>
      </w:sdt>
      <w:r>
        <w:t xml:space="preserve">. The integration of immersive technologies such as VR and AR has further expanded the teacher’s role as a designer of learning environments that simulate real-world communication scenarios, thereby enhancing student engagement and reducing anxiety </w:t>
      </w:r>
      <w:sdt>
        <w:sdtPr>
          <w:rPr>
            <w:color w:val="000000"/>
          </w:rPr>
          <w:tag w:val="MENDELEY_CITATION_v3_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"/>
          <w:id w:val="1131296847"/>
          <w:placeholder>
            <w:docPart w:val="DefaultPlaceholder_-1854013440"/>
          </w:placeholder>
        </w:sdtPr>
        <w:sdtContent>
          <w:r>
            <w:rPr>
              <w:color w:val="000000"/>
            </w:rPr>
            <w:t>(Akyürek et al., 2024)</w:t>
          </w:r>
        </w:sdtContent>
      </w:sdt>
      <w:r>
        <w:t>. Identity reconstruction thus becomes a crucial mechanism through which beliefs are translated into pedagogical practices. Therefore:</w:t>
      </w:r>
    </w:p>
    <w:p w14:paraId="4F133D41" w14:textId="77777777" w:rsidR="00882F07" w:rsidRPr="00882F07" w:rsidRDefault="00882F07" w:rsidP="004B394D">
      <w:pPr>
        <w:spacing w:after="120" w:line="480" w:lineRule="auto"/>
        <w:contextualSpacing/>
      </w:pPr>
      <w:r>
        <w:rPr>
          <w:b/>
          <w:bCs/>
        </w:rPr>
        <w:t>H3:</w:t>
      </w:r>
      <w:r>
        <w:t xml:space="preserve"> Professional identity positively influences professional agency.</w:t>
      </w:r>
    </w:p>
    <w:p w14:paraId="3021B823" w14:textId="77777777" w:rsidR="00882F07" w:rsidRPr="00882F07" w:rsidRDefault="00882F07" w:rsidP="004B394D">
      <w:pPr>
        <w:spacing w:after="120" w:line="480" w:lineRule="auto"/>
        <w:contextualSpacing/>
      </w:pPr>
      <w:r>
        <w:rPr>
          <w:b/>
          <w:bCs/>
        </w:rPr>
        <w:t>H4:</w:t>
      </w:r>
      <w:r>
        <w:t xml:space="preserve"> Professional identity positively influences pedagogical innovation.</w:t>
      </w:r>
    </w:p>
    <w:p w14:paraId="18A1E22C" w14:textId="77777777" w:rsidR="00882F07" w:rsidRPr="004B394D" w:rsidRDefault="00882F07" w:rsidP="004B394D">
      <w:pPr>
        <w:spacing w:after="120" w:line="480" w:lineRule="auto"/>
        <w:contextualSpacing/>
        <w:rPr>
          <w:b/>
          <w:bCs/>
          <w:i/>
          <w:iCs/>
        </w:rPr>
      </w:pPr>
      <w:r>
        <w:rPr>
          <w:b/>
          <w:bCs/>
          <w:i/>
          <w:iCs/>
        </w:rPr>
        <w:lastRenderedPageBreak/>
        <w:t>2.4 Professional Agency as a Mediator</w:t>
      </w:r>
    </w:p>
    <w:p w14:paraId="156E6217" w14:textId="77777777" w:rsidR="00882F07" w:rsidRPr="00882F07" w:rsidRDefault="000121AE" w:rsidP="004B394D">
      <w:pPr>
        <w:spacing w:after="120" w:line="480" w:lineRule="auto"/>
        <w:ind w:firstLine="720"/>
        <w:contextualSpacing/>
        <w:jc w:val="both"/>
      </w:pPr>
      <w:r>
        <w:t xml:space="preserve">Professional Agency refers to teachers’ capacity to act purposefully and make pedagogical decisions within institutional constraints </w:t>
      </w:r>
      <w:sdt>
        <w:sdtPr>
          <w:rPr>
            <w:color w:val="000000"/>
          </w:rPr>
          <w:tag w:val="MENDELEY_CITATION_v3_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"/>
          <w:id w:val="-1930038440"/>
          <w:placeholder>
            <w:docPart w:val="DefaultPlaceholder_-1854013440"/>
          </w:placeholder>
        </w:sdtPr>
        <w:sdtContent>
          <w:r>
            <w:rPr>
              <w:color w:val="000000"/>
            </w:rPr>
            <w:t>(Habib et al., 2026)</w:t>
          </w:r>
        </w:sdtContent>
      </w:sdt>
      <w:r>
        <w:t xml:space="preserve">. In tourism education, agency enables teachers to adapt curricula, integrate technology, and align teaching with industry needs </w:t>
      </w:r>
      <w:sdt>
        <w:sdtPr>
          <w:rPr>
            <w:color w:val="000000"/>
          </w:rPr>
          <w:tag w:val="MENDELEY_CITATION_v3_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"/>
          <w:id w:val="-1945533385"/>
          <w:placeholder>
            <w:docPart w:val="DefaultPlaceholder_-1854013440"/>
          </w:placeholder>
        </w:sdtPr>
        <w:sdtContent>
          <w:r>
            <w:rPr>
              <w:color w:val="000000"/>
            </w:rPr>
            <w:t>(Liu et al., 2024)</w:t>
          </w:r>
        </w:sdtContent>
      </w:sdt>
      <w:r>
        <w:t xml:space="preserve">. Studies on AR, VR, and experiential learning demonstrate that innovative teaching practices significantly improve student engagement and practical competencies </w:t>
      </w:r>
      <w:sdt>
        <w:sdtPr>
          <w:rPr>
            <w:color w:val="000000"/>
          </w:rPr>
          <w:tag w:val="MENDELEY_CITATION_v3_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"/>
          <w:id w:val="604083039"/>
          <w:placeholder>
            <w:docPart w:val="DefaultPlaceholder_-1854013440"/>
          </w:placeholder>
        </w:sdtPr>
        <w:sdtContent>
          <w:r>
            <w:rPr>
              <w:color w:val="000000"/>
            </w:rPr>
            <w:t>(Ju et al., 2025)</w:t>
          </w:r>
        </w:sdtContent>
      </w:sdt>
      <w:r>
        <w:t>. However, the adoption of such practices depends on teachers’ ability to exercise agency.</w:t>
      </w:r>
    </w:p>
    <w:p w14:paraId="46B5D75C" w14:textId="77777777" w:rsidR="00882F07" w:rsidRPr="00882F07" w:rsidRDefault="00882F07" w:rsidP="004B394D">
      <w:pPr>
        <w:spacing w:after="120" w:line="480" w:lineRule="auto"/>
        <w:contextualSpacing/>
      </w:pPr>
      <w:r>
        <w:rPr>
          <w:b/>
          <w:bCs/>
        </w:rPr>
        <w:t>H5:</w:t>
      </w:r>
      <w:r>
        <w:t xml:space="preserve"> Professional agency positively influences pedagogical innovation.</w:t>
      </w:r>
    </w:p>
    <w:p w14:paraId="4913B771" w14:textId="77777777" w:rsidR="00882F07" w:rsidRPr="004B394D" w:rsidRDefault="00882F07" w:rsidP="004B394D">
      <w:pPr>
        <w:spacing w:after="120" w:line="480" w:lineRule="auto"/>
        <w:contextualSpacing/>
        <w:rPr>
          <w:b/>
          <w:bCs/>
          <w:i/>
          <w:iCs/>
        </w:rPr>
      </w:pPr>
      <w:r>
        <w:rPr>
          <w:b/>
          <w:bCs/>
          <w:i/>
          <w:iCs/>
        </w:rPr>
        <w:t>2.5 Pedagogical Innovation and Student Outcomes</w:t>
      </w:r>
    </w:p>
    <w:p w14:paraId="14714DC9" w14:textId="77777777" w:rsidR="000121AE" w:rsidRDefault="000121AE" w:rsidP="004B394D">
      <w:pPr>
        <w:spacing w:after="120" w:line="480" w:lineRule="auto"/>
        <w:ind w:firstLine="720"/>
        <w:contextualSpacing/>
        <w:jc w:val="both"/>
      </w:pPr>
      <w:r>
        <w:t xml:space="preserve">Pedagogical innovation in tourism education increasingly encompasses a range of learner-centered and practice-oriented approaches, notably experiential learning, technology-enhanced instruction such as virtual reality (VR) and augmented reality (AR), and industry-based simulations that replicate authentic workplace scenarios </w:t>
      </w:r>
      <w:sdt>
        <w:sdtPr>
          <w:rPr>
            <w:color w:val="000000"/>
          </w:rPr>
          <w:tag w:val="MENDELEY_CITATION_v3_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"/>
          <w:id w:val="-710266550"/>
          <w:placeholder>
            <w:docPart w:val="DefaultPlaceholder_-1854013440"/>
          </w:placeholder>
        </w:sdtPr>
        <w:sdtContent>
          <w:r>
            <w:rPr>
              <w:color w:val="000000"/>
            </w:rPr>
            <w:t>(Ju et al., 2025)</w:t>
          </w:r>
        </w:sdtContent>
      </w:sdt>
      <w:r>
        <w:t xml:space="preserve">. These approaches shift the focus from traditional knowledge transmission toward immersive and interactive learning environments in which students actively engage in communication tasks reflective of real tourism contexts. Empirical evidence suggests that experiential learning and simulation-based activities enable students to develop practical language skills, enhance confidence, and bridge the gap between classroom knowledge and industry expectations, while technology-enhanced tools such as VR and AR further enrich learning by providing realistic, low-risk environments for practicing communication and decision-making </w:t>
      </w:r>
      <w:sdt>
        <w:sdtPr>
          <w:rPr>
            <w:color w:val="000000"/>
          </w:rPr>
          <w:tag w:val="MENDELEY_CITATION_v3_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"/>
          <w:id w:val="1107617805"/>
          <w:placeholder>
            <w:docPart w:val="DefaultPlaceholder_-1854013440"/>
          </w:placeholder>
        </w:sdtPr>
        <w:sdtContent>
          <w:r>
            <w:rPr>
              <w:color w:val="000000"/>
            </w:rPr>
            <w:t>(Akyürek et al., 2024; Rahmanu &amp; Molnár, 2026)</w:t>
          </w:r>
        </w:sdtContent>
      </w:sdt>
      <w:r>
        <w:t xml:space="preserve">. In addition, multimedia resources such as video-based instruction and digital platforms contribute to vocabulary acquisition and contextual understanding, thereby strengthening communicative competence </w:t>
      </w:r>
      <w:sdt>
        <w:sdtPr>
          <w:rPr>
            <w:color w:val="000000"/>
          </w:rPr>
          <w:tag w:val="MENDELEY_CITATION_v3_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"/>
          <w:id w:val="-1463798510"/>
          <w:placeholder>
            <w:docPart w:val="DefaultPlaceholder_-1854013440"/>
          </w:placeholder>
        </w:sdtPr>
        <w:sdtContent>
          <w:r>
            <w:rPr>
              <w:color w:val="000000"/>
            </w:rPr>
            <w:t>(Cloudia Ho, 2020)</w:t>
          </w:r>
        </w:sdtContent>
      </w:sdt>
      <w:r>
        <w:t xml:space="preserve">. Collectively, these pedagogical innovations not only improve student engagement but also </w:t>
      </w:r>
      <w:r>
        <w:lastRenderedPageBreak/>
        <w:t xml:space="preserve">foster employability skills by aligning language learning with professional practice in tourism settings </w:t>
      </w:r>
      <w:sdt>
        <w:sdtPr>
          <w:rPr>
            <w:color w:val="000000"/>
          </w:rPr>
          <w:tag w:val="MENDELEY_CITATION_v3_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"/>
          <w:id w:val="-805708116"/>
          <w:placeholder>
            <w:docPart w:val="DefaultPlaceholder_-1854013440"/>
          </w:placeholder>
        </w:sdtPr>
        <w:sdtContent>
          <w:r>
            <w:rPr>
              <w:color w:val="000000"/>
            </w:rPr>
            <w:t>(Kacetl &amp; Frydrychova-Klimova, 2015)</w:t>
          </w:r>
        </w:sdtContent>
      </w:sdt>
      <w:r>
        <w:t>. Accordingly, it is hypothesized that pedagogical innovation has a significant positive effect on teacher-perceived communicative competence.</w:t>
      </w:r>
    </w:p>
    <w:p w14:paraId="59C1C26D" w14:textId="77777777" w:rsidR="000121AE" w:rsidRPr="00882F07" w:rsidRDefault="000121AE" w:rsidP="004B394D">
      <w:pPr>
        <w:spacing w:after="120" w:line="480" w:lineRule="auto"/>
        <w:contextualSpacing/>
      </w:pPr>
      <w:r>
        <w:rPr>
          <w:b/>
          <w:bCs/>
        </w:rPr>
        <w:t>H6:</w:t>
      </w:r>
      <w:r>
        <w:t xml:space="preserve"> Pedagogical innovation positively influences teacher-perceived communicative competence.</w:t>
      </w:r>
    </w:p>
    <w:p w14:paraId="794CC874" w14:textId="77777777" w:rsidR="00882F07" w:rsidRPr="00882F07" w:rsidRDefault="00882F07" w:rsidP="004B394D">
      <w:pPr>
        <w:spacing w:after="120" w:line="480" w:lineRule="auto"/>
        <w:contextualSpacing/>
        <w:jc w:val="center"/>
        <w:rPr>
          <w:b/>
          <w:bCs/>
        </w:rPr>
      </w:pPr>
      <w:r>
        <w:rPr>
          <w:b/>
          <w:bCs/>
        </w:rPr>
        <w:t>3. Research Model</w:t>
      </w:r>
    </w:p>
    <w:p w14:paraId="11B309D2" w14:textId="77777777" w:rsidR="00831664" w:rsidRPr="00882F07" w:rsidRDefault="00831664" w:rsidP="004B394D">
      <w:pPr>
        <w:spacing w:after="120" w:line="480" w:lineRule="auto"/>
        <w:ind w:firstLine="720"/>
        <w:contextualSpacing/>
        <w:jc w:val="both"/>
      </w:pPr>
      <w:r>
        <w:t xml:space="preserve">The proposed research model, presented in Figure 1, is grounded in an integrated theoretical framework that combines teacher cognition, sociocultural theory, and professional agency perspectives to explain pedagogical transformation in ESL-oriented tourism education. Specifically, the model comprises five key constructs: Teacher Beliefs (TB), Professional Identity (PI), Professional Agency (PA), Pedagogical Innovation (PIN), and Teacher-Perceived Communicative Competence (CC). Teacher beliefs (TB) refer to instructors’ underlying assumptions about language teaching, particularly the importance of communicative competence and industry-relevant English in tourism contexts, which have been shown to shape instructional practices and learning outcomes </w:t>
      </w:r>
      <w:sdt>
        <w:sdtPr>
          <w:rPr>
            <w:color w:val="000000"/>
          </w:rPr>
          <w:tag w:val="MENDELEY_CITATION_v3_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"/>
          <w:id w:val="-1982536905"/>
          <w:placeholder>
            <w:docPart w:val="DefaultPlaceholder_-1854013440"/>
          </w:placeholder>
        </w:sdtPr>
        <w:sdtContent>
          <w:r>
            <w:rPr>
              <w:color w:val="000000"/>
            </w:rPr>
            <w:t>(Cloudia Ho, 2020)</w:t>
          </w:r>
        </w:sdtContent>
      </w:sdt>
      <w:r>
        <w:t xml:space="preserve">. These beliefs influence the development of professional identity (PI), defined as teachers’ evolving self-perception as facilitators of communication, designers of experiential learning. In tourism education, identity reconstruction is increasingly necessary as teaching shifts toward more authentic, practice-based approaches supported by immersive technologies such as VR and AR </w:t>
      </w:r>
      <w:sdt>
        <w:sdtPr>
          <w:rPr>
            <w:color w:val="000000"/>
          </w:rPr>
          <w:tag w:val="MENDELEY_CITATION_v3_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"/>
          <w:id w:val="-1934973106"/>
          <w:placeholder>
            <w:docPart w:val="DefaultPlaceholder_-1854013440"/>
          </w:placeholder>
        </w:sdtPr>
        <w:sdtContent>
          <w:r>
            <w:rPr>
              <w:color w:val="000000"/>
            </w:rPr>
            <w:t>(Takada et al., 2022)</w:t>
          </w:r>
        </w:sdtContent>
      </w:sdt>
      <w:r>
        <w:t xml:space="preserve">. Professional agency (PA) represents teachers’ capacity to make pedagogical decisions, adapt curricula, and implement innovative teaching strategies within institutional constraints, playing a critical mediating role in translating beliefs and identity into actual classroom practices. This agency is particularly important for adopting pedagogical innovation (PIN), which includes experiential learning, simulation-based instruction, and </w:t>
      </w:r>
      <w:r>
        <w:lastRenderedPageBreak/>
        <w:t xml:space="preserve">technology-enhanced approaches that have been demonstrated to improve student engagement and practical competencies in tourism education </w:t>
      </w:r>
      <w:sdt>
        <w:sdtPr>
          <w:rPr>
            <w:color w:val="000000"/>
          </w:rPr>
          <w:tag w:val="MENDELEY_CITATION_v3_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"/>
          <w:id w:val="-1634404033"/>
          <w:placeholder>
            <w:docPart w:val="DefaultPlaceholder_-1854013440"/>
          </w:placeholder>
        </w:sdtPr>
        <w:sdtContent>
          <w:r>
            <w:rPr>
              <w:color w:val="000000"/>
            </w:rPr>
            <w:t>(Rahmanu &amp; Molnár, 2026; Takada et al., 2022)</w:t>
          </w:r>
        </w:sdtContent>
      </w:sdt>
      <w:r>
        <w:t xml:space="preserve">. Finally, teacher-perceived communicative competence (CC) reflects teachers’ assessment of students’ ability to use English effectively in real-world tourism situations, a core outcome of tourism English programs and a key determinant of employability </w:t>
      </w:r>
      <w:sdt>
        <w:sdtPr>
          <w:rPr>
            <w:color w:val="000000"/>
          </w:rPr>
          <w:tag w:val="MENDELEY_CITATION_v3_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"/>
          <w:id w:val="-403223382"/>
          <w:placeholder>
            <w:docPart w:val="DefaultPlaceholder_-1854013440"/>
          </w:placeholder>
        </w:sdtPr>
        <w:sdtContent>
          <w:r>
            <w:rPr>
              <w:color w:val="000000"/>
            </w:rPr>
            <w:t>(Al-Tarawneh &amp; Osam, 2019; Ghany &amp; Latif, 2012)</w:t>
          </w:r>
        </w:sdtContent>
      </w:sdt>
      <w:r>
        <w:t>. Collectively, these five constructs form a coherent structural model that captures both the cognitive and behavioral mechanisms underpinning the transition toward ESL-oriented pedagogy in tourism education.</w:t>
      </w:r>
    </w:p>
    <w:p w14:paraId="1C8C848C" w14:textId="77777777" w:rsidR="00882F07" w:rsidRPr="00882F07" w:rsidRDefault="00831664" w:rsidP="00882F07">
      <w:r>
        <w:rPr>
          <w:noProof/>
        </w:rPr>
        <mc:AlternateContent>
          <mc:Choice Requires="wpc">
            <w:drawing>
              <wp:inline distT="0" distB="0" distL="0" distR="0" wp14:anchorId="283EC588" wp14:editId="6CA95753">
                <wp:extent cx="5486400" cy="5695950"/>
                <wp:effectExtent l="0" t="0" r="0" b="0"/>
                <wp:docPr id="1162564616"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56930639" name="Rectangle 156930639"/>
                        <wps:cNvSpPr/>
                        <wps:spPr>
                          <a:xfrm>
                            <a:off x="2627925" y="4037625"/>
                            <a:ext cx="502013" cy="3724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D0C48F1" w14:textId="77777777" w:rsidR="00C8677A" w:rsidRDefault="00C8677A" w:rsidP="00C8677A">
                              <w:pPr>
                                <w:jc w:val="center"/>
                                <w:rPr>
                                  <w:szCs w:val="24"/>
                                </w:rPr>
                              </w:pPr>
                              <w:r>
                                <w:t>H6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0492218" name="Rectangle 60492218"/>
                        <wps:cNvSpPr/>
                        <wps:spPr>
                          <a:xfrm>
                            <a:off x="1618275" y="2666025"/>
                            <a:ext cx="553425" cy="2772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3150DC9" w14:textId="77777777" w:rsidR="00C8677A" w:rsidRDefault="00C8677A" w:rsidP="00C8677A">
                              <w:pPr>
                                <w:jc w:val="center"/>
                                <w:rPr>
                                  <w:szCs w:val="24"/>
                                </w:rPr>
                              </w:pPr>
                              <w:r>
                                <w:t>H5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08262837" name="Rectangle 1308262837"/>
                        <wps:cNvSpPr/>
                        <wps:spPr>
                          <a:xfrm>
                            <a:off x="3238500" y="2437425"/>
                            <a:ext cx="502013" cy="2772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0B7B941" w14:textId="77777777" w:rsidR="00C8677A" w:rsidRDefault="00C8677A" w:rsidP="00C8677A">
                              <w:pPr>
                                <w:jc w:val="center"/>
                                <w:rPr>
                                  <w:szCs w:val="24"/>
                                </w:rPr>
                              </w:pPr>
                              <w:r>
                                <w:t>H4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6504659" name="Rectangle 426504659"/>
                        <wps:cNvSpPr/>
                        <wps:spPr>
                          <a:xfrm>
                            <a:off x="3267074" y="1047750"/>
                            <a:ext cx="428625" cy="23812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64A9E8E" w14:textId="77777777" w:rsidR="00C8677A" w:rsidRDefault="00C8677A" w:rsidP="00C8677A">
                              <w:pPr>
                                <w:jc w:val="center"/>
                              </w:pPr>
                              <w: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2871124" name="Rectangle 942871124"/>
                        <wps:cNvSpPr/>
                        <wps:spPr>
                          <a:xfrm>
                            <a:off x="2456474" y="1704000"/>
                            <a:ext cx="524850" cy="3343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31FE22C0" w14:textId="77777777" w:rsidR="00C8677A" w:rsidRDefault="00C8677A" w:rsidP="00C8677A">
                              <w:pPr>
                                <w:jc w:val="center"/>
                                <w:rPr>
                                  <w:szCs w:val="24"/>
                                </w:rPr>
                              </w:pPr>
                              <w:r>
                                <w:t>H3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20248169" name="Rectangle 1320248169"/>
                        <wps:cNvSpPr/>
                        <wps:spPr>
                          <a:xfrm>
                            <a:off x="1723050" y="1095375"/>
                            <a:ext cx="428625" cy="23812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650EA10F" w14:textId="77777777" w:rsidR="00C8677A" w:rsidRDefault="00C8677A" w:rsidP="00C8677A">
                              <w:pPr>
                                <w:jc w:val="center"/>
                                <w:rPr>
                                  <w:szCs w:val="24"/>
                                </w:rPr>
                              </w:pPr>
                              <w:r>
                                <w:t>H2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54336156" name="Oval 1554336156"/>
                        <wps:cNvSpPr/>
                        <wps:spPr>
                          <a:xfrm>
                            <a:off x="2105025" y="161925"/>
                            <a:ext cx="1171575" cy="885825"/>
                          </a:xfrm>
                          <a:prstGeom prst="ellipse">
                            <a:avLst/>
                          </a:prstGeom>
                        </wps:spPr>
                        <wps:style>
                          <a:lnRef idx="2">
                            <a:schemeClr val="dk1"/>
                          </a:lnRef>
                          <a:fillRef idx="1">
                            <a:schemeClr val="lt1"/>
                          </a:fillRef>
                          <a:effectRef idx="0">
                            <a:schemeClr val="dk1"/>
                          </a:effectRef>
                          <a:fontRef idx="minor">
                            <a:schemeClr val="dk1"/>
                          </a:fontRef>
                        </wps:style>
                        <wps:txbx>
                          <w:txbxContent>
                            <w:p w14:paraId="752FBDAF" w14:textId="77777777" w:rsidR="00831664" w:rsidRDefault="00831664" w:rsidP="00831664">
                              <w:pPr>
                                <w:jc w:val="center"/>
                              </w:pPr>
                              <w:r>
                                <w:t xml:space="preserve">Teacher     </w:t>
                              </w:r>
                            </w:p>
                            <w:p w14:paraId="438CE493" w14:textId="77777777" w:rsidR="00831664" w:rsidRDefault="00831664" w:rsidP="00831664">
                              <w:pPr>
                                <w:jc w:val="center"/>
                              </w:pPr>
                              <w:r>
                                <w:t>Beliefs (TB)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837511" name="Oval 147837511"/>
                        <wps:cNvSpPr/>
                        <wps:spPr>
                          <a:xfrm>
                            <a:off x="682013" y="1570650"/>
                            <a:ext cx="1523025" cy="885190"/>
                          </a:xfrm>
                          <a:prstGeom prst="ellipse">
                            <a:avLst/>
                          </a:prstGeom>
                        </wps:spPr>
                        <wps:style>
                          <a:lnRef idx="2">
                            <a:schemeClr val="dk1"/>
                          </a:lnRef>
                          <a:fillRef idx="1">
                            <a:schemeClr val="lt1"/>
                          </a:fillRef>
                          <a:effectRef idx="0">
                            <a:schemeClr val="dk1"/>
                          </a:effectRef>
                          <a:fontRef idx="minor">
                            <a:schemeClr val="dk1"/>
                          </a:fontRef>
                        </wps:style>
                        <wps:txbx>
                          <w:txbxContent>
                            <w:p w14:paraId="4EF5535E" w14:textId="77777777" w:rsidR="00831664" w:rsidRDefault="00831664" w:rsidP="00831664">
                              <w:pPr>
                                <w:jc w:val="center"/>
                              </w:pPr>
                              <w:r>
                                <w:t>Professional agency (PA)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07479113" name="Oval 1807479113"/>
                        <wps:cNvSpPr/>
                        <wps:spPr>
                          <a:xfrm>
                            <a:off x="3238500" y="1580175"/>
                            <a:ext cx="1620225" cy="885190"/>
                          </a:xfrm>
                          <a:prstGeom prst="ellipse">
                            <a:avLst/>
                          </a:prstGeom>
                        </wps:spPr>
                        <wps:style>
                          <a:lnRef idx="2">
                            <a:schemeClr val="dk1"/>
                          </a:lnRef>
                          <a:fillRef idx="1">
                            <a:schemeClr val="lt1"/>
                          </a:fillRef>
                          <a:effectRef idx="0">
                            <a:schemeClr val="dk1"/>
                          </a:effectRef>
                          <a:fontRef idx="minor">
                            <a:schemeClr val="dk1"/>
                          </a:fontRef>
                        </wps:style>
                        <wps:txbx>
                          <w:txbxContent>
                            <w:p w14:paraId="7C580538" w14:textId="77777777" w:rsidR="00831664" w:rsidRDefault="00831664" w:rsidP="00831664">
                              <w:pPr>
                                <w:jc w:val="center"/>
                              </w:pPr>
                              <w:r>
                                <w:t>Professional Identity (PI)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48406932" name="Oval 1648406932"/>
                        <wps:cNvSpPr/>
                        <wps:spPr>
                          <a:xfrm>
                            <a:off x="1970700" y="3027975"/>
                            <a:ext cx="1515450" cy="885190"/>
                          </a:xfrm>
                          <a:prstGeom prst="ellipse">
                            <a:avLst/>
                          </a:prstGeom>
                        </wps:spPr>
                        <wps:style>
                          <a:lnRef idx="2">
                            <a:schemeClr val="dk1"/>
                          </a:lnRef>
                          <a:fillRef idx="1">
                            <a:schemeClr val="lt1"/>
                          </a:fillRef>
                          <a:effectRef idx="0">
                            <a:schemeClr val="dk1"/>
                          </a:effectRef>
                          <a:fontRef idx="minor">
                            <a:schemeClr val="dk1"/>
                          </a:fontRef>
                        </wps:style>
                        <wps:txbx>
                          <w:txbxContent>
                            <w:p w14:paraId="7492245D" w14:textId="77777777" w:rsidR="00831664" w:rsidRDefault="00831664" w:rsidP="00831664">
                              <w:pPr>
                                <w:jc w:val="center"/>
                              </w:pPr>
                              <w:r>
                                <w:t>Pedagogical Innovation (PIN)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78729775" name="Oval 1278729775"/>
                        <wps:cNvSpPr/>
                        <wps:spPr>
                          <a:xfrm>
                            <a:off x="1894500" y="4513875"/>
                            <a:ext cx="1658325" cy="885190"/>
                          </a:xfrm>
                          <a:prstGeom prst="ellipse">
                            <a:avLst/>
                          </a:prstGeom>
                        </wps:spPr>
                        <wps:style>
                          <a:lnRef idx="2">
                            <a:schemeClr val="dk1"/>
                          </a:lnRef>
                          <a:fillRef idx="1">
                            <a:schemeClr val="lt1"/>
                          </a:fillRef>
                          <a:effectRef idx="0">
                            <a:schemeClr val="dk1"/>
                          </a:effectRef>
                          <a:fontRef idx="minor">
                            <a:schemeClr val="dk1"/>
                          </a:fontRef>
                        </wps:style>
                        <wps:txbx>
                          <w:txbxContent>
                            <w:p w14:paraId="3B37EDB0" w14:textId="77777777" w:rsidR="00831664" w:rsidRDefault="00831664" w:rsidP="00831664">
                              <w:pPr>
                                <w:jc w:val="center"/>
                              </w:pPr>
                              <w:r>
                                <w:t>Communicative Competence (CC)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02745659" name="Straight Arrow Connector 1902745659"/>
                        <wps:cNvCnPr>
                          <a:stCxn id="1554336156" idx="4"/>
                          <a:endCxn id="147837511" idx="0"/>
                        </wps:cNvCnPr>
                        <wps:spPr>
                          <a:xfrm flipH="1">
                            <a:off x="1443526" y="1047750"/>
                            <a:ext cx="1247287" cy="52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39022739" name="Straight Arrow Connector 1539022739"/>
                        <wps:cNvCnPr>
                          <a:stCxn id="1554336156" idx="4"/>
                          <a:endCxn id="1807479113" idx="0"/>
                        </wps:cNvCnPr>
                        <wps:spPr>
                          <a:xfrm>
                            <a:off x="2690813" y="1047750"/>
                            <a:ext cx="1357800" cy="53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96237519" name="Straight Arrow Connector 796237519"/>
                        <wps:cNvCnPr>
                          <a:stCxn id="147837511" idx="4"/>
                          <a:endCxn id="1648406932" idx="0"/>
                        </wps:cNvCnPr>
                        <wps:spPr>
                          <a:xfrm>
                            <a:off x="1443526" y="2455840"/>
                            <a:ext cx="1284899" cy="5721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55122232" name="Straight Arrow Connector 955122232"/>
                        <wps:cNvCnPr>
                          <a:stCxn id="1807479113" idx="4"/>
                          <a:endCxn id="1648406932" idx="0"/>
                        </wps:cNvCnPr>
                        <wps:spPr>
                          <a:xfrm flipH="1">
                            <a:off x="2728425" y="2465365"/>
                            <a:ext cx="1320188" cy="5626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33393305" name="Straight Arrow Connector 1333393305"/>
                        <wps:cNvCnPr>
                          <a:stCxn id="1648406932" idx="4"/>
                          <a:endCxn id="1278729775" idx="0"/>
                        </wps:cNvCnPr>
                        <wps:spPr>
                          <a:xfrm flipH="1">
                            <a:off x="2723663" y="3913165"/>
                            <a:ext cx="4762" cy="6007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4924889" name="Straight Arrow Connector 264924889"/>
                        <wps:cNvCnPr>
                          <a:stCxn id="1807479113" idx="2"/>
                          <a:endCxn id="147837511" idx="6"/>
                        </wps:cNvCnPr>
                        <wps:spPr>
                          <a:xfrm flipH="1" flipV="1">
                            <a:off x="2205038" y="2013245"/>
                            <a:ext cx="1033462"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283EC588" id="Canvas 1" o:spid="_x0000_s1026" editas="canvas" style="width:6in;height:448.5pt;mso-position-horizontal-relative:char;mso-position-vertical-relative:line" coordsize="54864,56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56959;visibility:visible;mso-wrap-style:square" filled="t">
                  <v:fill o:detectmouseclick="t"/>
                  <v:path o:connecttype="none"/>
                </v:shape>
                <v:rect id="Rectangle 156930639" o:spid="_x0000_s1028" style="position:absolute;left:26279;top:40376;width:5020;height:3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" fillcolor="white [3201]" strokecolor="white [3212]" strokeweight="1pt">
                  <v:textbox>
                    <w:txbxContent>
                      <w:p w14:paraId="0D0C48F1" w14:textId="77777777" w:rsidR="00C8677A" w:rsidRDefault="00C8677A" w:rsidP="00C8677A">
                        <w:pPr>
                          <w:jc w:val="center"/>
                          <w:rPr>
                            <w:szCs w:val="24"/>
                          </w:rPr>
                        </w:pPr>
                        <w:r>
                          <w:t>H6</w:t>
                        </w:r>
                      </w:p>
                    </w:txbxContent>
                  </v:textbox>
                </v:rect>
                <v:rect id="Rectangle 60492218" o:spid="_x0000_s1029" style="position:absolute;left:16182;top:26660;width:5535;height:2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" fillcolor="white [3201]" strokecolor="white [3212]" strokeweight="1pt">
                  <v:textbox>
                    <w:txbxContent>
                      <w:p w14:paraId="43150DC9" w14:textId="77777777" w:rsidR="00C8677A" w:rsidRDefault="00C8677A" w:rsidP="00C8677A">
                        <w:pPr>
                          <w:jc w:val="center"/>
                          <w:rPr>
                            <w:szCs w:val="24"/>
                          </w:rPr>
                        </w:pPr>
                        <w:r>
                          <w:t>H5</w:t>
                        </w:r>
                      </w:p>
                    </w:txbxContent>
                  </v:textbox>
                </v:rect>
                <v:rect id="Rectangle 1308262837" o:spid="_x0000_s1030" style="position:absolute;left:32385;top:24374;width:5020;height:2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" fillcolor="white [3201]" strokecolor="white [3212]" strokeweight="1pt">
                  <v:textbox>
                    <w:txbxContent>
                      <w:p w14:paraId="40B7B941" w14:textId="77777777" w:rsidR="00C8677A" w:rsidRDefault="00C8677A" w:rsidP="00C8677A">
                        <w:pPr>
                          <w:jc w:val="center"/>
                          <w:rPr>
                            <w:szCs w:val="24"/>
                          </w:rPr>
                        </w:pPr>
                        <w:r>
                          <w:t>H4</w:t>
                        </w:r>
                      </w:p>
                    </w:txbxContent>
                  </v:textbox>
                </v:rect>
                <v:rect id="Rectangle 426504659" o:spid="_x0000_s1031" style="position:absolute;left:32670;top:10477;width:4286;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" fillcolor="white [3201]" strokecolor="white [3212]" strokeweight="1pt">
                  <v:textbox>
                    <w:txbxContent>
                      <w:p w14:paraId="464A9E8E" w14:textId="77777777" w:rsidR="00C8677A" w:rsidRDefault="00C8677A" w:rsidP="00C8677A">
                        <w:pPr>
                          <w:jc w:val="center"/>
                        </w:pPr>
                        <w:r>
                          <w:t>H1</w:t>
                        </w:r>
                      </w:p>
                    </w:txbxContent>
                  </v:textbox>
                </v:rect>
                <v:rect id="Rectangle 942871124" o:spid="_x0000_s1032" style="position:absolute;left:24564;top:17040;width:5249;height:3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" fillcolor="white [3201]" strokecolor="white [3212]" strokeweight="1pt">
                  <v:textbox>
                    <w:txbxContent>
                      <w:p w14:paraId="31FE22C0" w14:textId="77777777" w:rsidR="00C8677A" w:rsidRDefault="00C8677A" w:rsidP="00C8677A">
                        <w:pPr>
                          <w:jc w:val="center"/>
                          <w:rPr>
                            <w:szCs w:val="24"/>
                          </w:rPr>
                        </w:pPr>
                        <w:r>
                          <w:t>H3</w:t>
                        </w:r>
                      </w:p>
                    </w:txbxContent>
                  </v:textbox>
                </v:rect>
                <v:rect id="Rectangle 1320248169" o:spid="_x0000_s1033" style="position:absolute;left:17230;top:10953;width:4286;height:2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" fillcolor="white [3201]" strokecolor="white [3212]" strokeweight="1pt">
                  <v:textbox>
                    <w:txbxContent>
                      <w:p w14:paraId="650EA10F" w14:textId="77777777" w:rsidR="00C8677A" w:rsidRDefault="00C8677A" w:rsidP="00C8677A">
                        <w:pPr>
                          <w:jc w:val="center"/>
                          <w:rPr>
                            <w:szCs w:val="24"/>
                          </w:rPr>
                        </w:pPr>
                        <w:r>
                          <w:t>H2</w:t>
                        </w:r>
                      </w:p>
                    </w:txbxContent>
                  </v:textbox>
                </v:rect>
                <v:oval id="Oval 1554336156" o:spid="_x0000_s1034" style="position:absolute;left:21050;top:1619;width:11716;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" fillcolor="white [3201]" strokecolor="black [3200]" strokeweight="1pt">
                  <v:stroke joinstyle="miter"/>
                  <v:textbox>
                    <w:txbxContent>
                      <w:p w14:paraId="752FBDAF" w14:textId="77777777" w:rsidR="00831664" w:rsidRDefault="00831664" w:rsidP="00831664">
                        <w:pPr>
                          <w:jc w:val="center"/>
                        </w:pPr>
                        <w:r>
                          <w:t xml:space="preserve">Teacher     </w:t>
                        </w:r>
                      </w:p>
                      <w:p w14:paraId="438CE493" w14:textId="77777777" w:rsidR="00831664" w:rsidRDefault="00831664" w:rsidP="00831664">
                        <w:pPr>
                          <w:jc w:val="center"/>
                        </w:pPr>
                        <w:r>
                          <w:t>Beliefs (TB)</w:t>
                        </w:r>
                      </w:p>
                    </w:txbxContent>
                  </v:textbox>
                </v:oval>
                <v:oval id="Oval 147837511" o:spid="_x0000_s1035" style="position:absolute;left:6820;top:15706;width:15230;height:8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" fillcolor="white [3201]" strokecolor="black [3200]" strokeweight="1pt">
                  <v:stroke joinstyle="miter"/>
                  <v:textbox>
                    <w:txbxContent>
                      <w:p w14:paraId="4EF5535E" w14:textId="77777777" w:rsidR="00831664" w:rsidRDefault="00831664" w:rsidP="00831664">
                        <w:pPr>
                          <w:jc w:val="center"/>
                        </w:pPr>
                        <w:r>
                          <w:t>Professional agency (PA)</w:t>
                        </w:r>
                      </w:p>
                    </w:txbxContent>
                  </v:textbox>
                </v:oval>
                <v:oval id="Oval 1807479113" o:spid="_x0000_s1036" style="position:absolute;left:32385;top:15801;width:16202;height:8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" fillcolor="white [3201]" strokecolor="black [3200]" strokeweight="1pt">
                  <v:stroke joinstyle="miter"/>
                  <v:textbox>
                    <w:txbxContent>
                      <w:p w14:paraId="7C580538" w14:textId="77777777" w:rsidR="00831664" w:rsidRDefault="00831664" w:rsidP="00831664">
                        <w:pPr>
                          <w:jc w:val="center"/>
                        </w:pPr>
                        <w:r>
                          <w:t>Professional Identity (PI)</w:t>
                        </w:r>
                      </w:p>
                    </w:txbxContent>
                  </v:textbox>
                </v:oval>
                <v:oval id="Oval 1648406932" o:spid="_x0000_s1037" style="position:absolute;left:19707;top:30279;width:15154;height:8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" fillcolor="white [3201]" strokecolor="black [3200]" strokeweight="1pt">
                  <v:stroke joinstyle="miter"/>
                  <v:textbox>
                    <w:txbxContent>
                      <w:p w14:paraId="7492245D" w14:textId="77777777" w:rsidR="00831664" w:rsidRDefault="00831664" w:rsidP="00831664">
                        <w:pPr>
                          <w:jc w:val="center"/>
                        </w:pPr>
                        <w:r>
                          <w:t>Pedagogical Innovation (PIN)</w:t>
                        </w:r>
                      </w:p>
                    </w:txbxContent>
                  </v:textbox>
                </v:oval>
                <v:oval id="Oval 1278729775" o:spid="_x0000_s1038" style="position:absolute;left:18945;top:45138;width:16583;height:8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" fillcolor="white [3201]" strokecolor="black [3200]" strokeweight="1pt">
                  <v:stroke joinstyle="miter"/>
                  <v:textbox>
                    <w:txbxContent>
                      <w:p w14:paraId="3B37EDB0" w14:textId="77777777" w:rsidR="00831664" w:rsidRDefault="00831664" w:rsidP="00831664">
                        <w:pPr>
                          <w:jc w:val="center"/>
                        </w:pPr>
                        <w:r>
                          <w:t>Communicative Competence (CC)</w:t>
                        </w:r>
                      </w:p>
                    </w:txbxContent>
                  </v:textbox>
                </v:oval>
                <v:shapetype id="_x0000_t32" coordsize="21600,21600" o:spt="32" o:oned="t" path="m,l21600,21600e" filled="f">
                  <v:path arrowok="t" fillok="f" o:connecttype="none"/>
                  <o:lock v:ext="edit" shapetype="t"/>
                </v:shapetype>
                <v:shape id="Straight Arrow Connector 1902745659" o:spid="_x0000_s1039" type="#_x0000_t32" style="position:absolute;left:14435;top:10477;width:12473;height:52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" strokecolor="black [3200]" strokeweight=".5pt">
                  <v:stroke endarrow="block" joinstyle="miter"/>
                </v:shape>
                <v:shape id="Straight Arrow Connector 1539022739" o:spid="_x0000_s1040" type="#_x0000_t32" style="position:absolute;left:26908;top:10477;width:13578;height:5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" strokecolor="black [3200]" strokeweight=".5pt">
                  <v:stroke endarrow="block" joinstyle="miter"/>
                </v:shape>
                <v:shape id="Straight Arrow Connector 796237519" o:spid="_x0000_s1041" type="#_x0000_t32" style="position:absolute;left:14435;top:24558;width:12849;height:5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" strokecolor="black [3200]" strokeweight=".5pt">
                  <v:stroke endarrow="block" joinstyle="miter"/>
                </v:shape>
                <v:shape id="Straight Arrow Connector 955122232" o:spid="_x0000_s1042" type="#_x0000_t32" style="position:absolute;left:27284;top:24653;width:13202;height:56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" strokecolor="black [3200]" strokeweight=".5pt">
                  <v:stroke endarrow="block" joinstyle="miter"/>
                </v:shape>
                <v:shape id="Straight Arrow Connector 1333393305" o:spid="_x0000_s1043" type="#_x0000_t32" style="position:absolute;left:27236;top:39131;width:48;height:60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" strokecolor="black [3200]" strokeweight=".5pt">
                  <v:stroke endarrow="block" joinstyle="miter"/>
                </v:shape>
                <v:shape id="Straight Arrow Connector 264924889" o:spid="_x0000_s1044" type="#_x0000_t32" style="position:absolute;left:22050;top:20132;width:10335;height:9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" strokecolor="black [3200]" strokeweight=".5pt">
                  <v:stroke endarrow="block" joinstyle="miter"/>
                </v:shape>
                <w10:anchorlock/>
              </v:group>
            </w:pict>
          </mc:Fallback>
        </mc:AlternateContent>
      </w:r>
    </w:p>
    <w:p w14:paraId="55C5BEBB" w14:textId="77777777" w:rsidR="00194548" w:rsidRPr="00194548" w:rsidRDefault="00194548" w:rsidP="00194548">
      <w:pPr>
        <w:jc w:val="center"/>
      </w:pPr>
      <w:r>
        <w:t>Figure 1. Research model (CC = Teacher-Perceived Communicative Competence)</w:t>
      </w:r>
    </w:p>
    <w:p w14:paraId="1E32FDE7" w14:textId="77777777" w:rsidR="004B394D" w:rsidRDefault="004B394D" w:rsidP="004B394D">
      <w:pPr>
        <w:jc w:val="center"/>
        <w:rPr>
          <w:b/>
          <w:bCs/>
        </w:rPr>
      </w:pPr>
    </w:p>
    <w:p w14:paraId="254344F6" w14:textId="77777777" w:rsidR="00882F07" w:rsidRPr="00882F07" w:rsidRDefault="00882F07" w:rsidP="004B394D">
      <w:pPr>
        <w:spacing w:after="120" w:line="480" w:lineRule="auto"/>
        <w:contextualSpacing/>
        <w:jc w:val="center"/>
        <w:rPr>
          <w:b/>
          <w:bCs/>
        </w:rPr>
      </w:pPr>
      <w:r>
        <w:rPr>
          <w:b/>
          <w:bCs/>
        </w:rPr>
        <w:lastRenderedPageBreak/>
        <w:t>4. Methodology</w:t>
      </w:r>
    </w:p>
    <w:p w14:paraId="20B95421" w14:textId="77777777" w:rsidR="00882F07" w:rsidRDefault="00C8677A" w:rsidP="004B394D">
      <w:pPr>
        <w:spacing w:after="120" w:line="480" w:lineRule="auto"/>
        <w:ind w:firstLine="720"/>
        <w:contextualSpacing/>
        <w:jc w:val="both"/>
      </w:pPr>
      <w:r>
        <w:t>Data were collected from 112 English lecturers teaching tourism and hospitality programs at universities located in Ho Chi Minh City, Vietnam, which serves as a major educational and tourism hub with strong industry–academic linkages. Respondents were required to have at least one year of experience teaching Tourism English or English for Specific Purposes (ESP) courses to ensure adequate familiarity with industry-oriented language instruction. A structured questionnaire was administered using both online and offline distribution methods to maximize response rates and capture a diverse sample of instructors across public and private institutions. All measurement items were assessed using a seven-point Likert scale ranging from 1 (strongly disagree) to 7 (strongly agree), allowing for greater sensitivity and variance in responses, which is particularly suitable for PLS-SEM analysis.</w:t>
      </w:r>
    </w:p>
    <w:p w14:paraId="00DD49C3" w14:textId="77777777" w:rsidR="00C8677A" w:rsidRPr="00C8677A" w:rsidRDefault="00C8677A" w:rsidP="004B394D">
      <w:pPr>
        <w:spacing w:after="120" w:line="480" w:lineRule="auto"/>
        <w:ind w:firstLine="720"/>
        <w:contextualSpacing/>
        <w:jc w:val="both"/>
      </w:pPr>
      <w:r>
        <w:t xml:space="preserve">The measurement scales used in this study were adapted and contextualized from established literature in communicative language teaching (CLT), English for Specific Purposes (ESP), and tourism education to ensure both content validity and contextual relevance. Specifically, Teacher Beliefs (TB) were operationalized to capture instructors’ orientations toward communicative, industry-relevant, and practice-based language teaching, consistent with prior studies emphasizing the importance of communicative competence and workplace alignment in tourism English education </w:t>
      </w:r>
      <w:sdt>
        <w:sdtPr>
          <w:rPr>
            <w:color w:val="000000"/>
          </w:rPr>
          <w:tag w:val="MENDELEY_CITATION_v3_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"/>
          <w:id w:val="2013875174"/>
          <w:placeholder>
            <w:docPart w:val="DefaultPlaceholder_-1854013440"/>
          </w:placeholder>
        </w:sdtPr>
        <w:sdtContent>
          <w:r>
            <w:rPr>
              <w:color w:val="000000"/>
            </w:rPr>
            <w:t>(Cloudia Ho, 2020; Ghany &amp; Latif, 2012)</w:t>
          </w:r>
        </w:sdtContent>
      </w:sdt>
      <w:r>
        <w:t xml:space="preserve">. The TB construct included four items: TB1 (“I believe English teaching should focus on real-world communication”), TB2 (“Industry-relevant English is more important than grammar accuracy”), TB3 (“Students should learn English through interaction and practice”), and TB4 (“Tourism English should reflect workplace communication needs”). Professional Identity (PI) was measured to reflect teachers’ evolving roles in ESL-oriented environments, particularly their shift toward facilitation, experiential design, and industry alignment. This construct aligns with research highlighting the transformation of teacher roles in tourism education and </w:t>
      </w:r>
      <w:r>
        <w:lastRenderedPageBreak/>
        <w:t xml:space="preserve">technology-enhanced learning contexts </w:t>
      </w:r>
      <w:sdt>
        <w:sdtPr>
          <w:rPr>
            <w:color w:val="000000"/>
          </w:rPr>
          <w:tag w:val="MENDELEY_CITATION_v3_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"/>
          <w:id w:val="1024517376"/>
          <w:placeholder>
            <w:docPart w:val="DefaultPlaceholder_-1854013440"/>
          </w:placeholder>
        </w:sdtPr>
        <w:sdtContent>
          <w:r>
            <w:rPr>
              <w:color w:val="000000"/>
            </w:rPr>
            <w:t>(Rahmanu &amp; Molnár, 2026; Takada et al., 2022)</w:t>
          </w:r>
        </w:sdtContent>
      </w:sdt>
      <w:r>
        <w:t xml:space="preserve">. Four items were used: PI1 (“I see myself as a facilitator of communication”), PI2 (“I integrate industry practices into my teaching”), PI3 (“My role includes preparing students for real-world tourism contexts”), and PI4 (“I design learning experiences rather than only deliver content”). Professional Agency (PA) was operationalized to capture teachers’ capacity to make pedagogical decisions, innovate, and adapt to contextual demands, consistent with prior studies emphasizing the importance of agency in implementing educational innovations </w:t>
      </w:r>
      <w:sdt>
        <w:sdtPr>
          <w:rPr>
            <w:color w:val="000000"/>
          </w:rPr>
          <w:tag w:val="MENDELEY_CITATION_v3_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"/>
          <w:id w:val="-532576783"/>
          <w:placeholder>
            <w:docPart w:val="DefaultPlaceholder_-1854013440"/>
          </w:placeholder>
        </w:sdtPr>
        <w:sdtContent>
          <w:r>
            <w:rPr>
              <w:color w:val="000000"/>
            </w:rPr>
            <w:t>(Tao &amp; Gao, 2017)</w:t>
          </w:r>
        </w:sdtContent>
      </w:sdt>
      <w:r>
        <w:t xml:space="preserve">. The scale included PA1 (“I adapt teaching methods based on student needs”), PA2 (“I experiment with new teaching approaches”), PA3 (“I integrate technology into my teaching”), and PA4 (“I modify curriculum content to align with industry demands”). Pedagogical Innovation (PIN) was measured to reflect the extent to which teachers adopt experiential, simulation-based, and technology-enhanced teaching practices, which have been widely recognized as critical for improving engagement and practical competencies in tourism education </w:t>
      </w:r>
      <w:sdt>
        <w:sdtPr>
          <w:rPr>
            <w:color w:val="000000"/>
          </w:rPr>
          <w:tag w:val="MENDELEY_CITATION_v3_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"/>
          <w:id w:val="-1340306285"/>
          <w:placeholder>
            <w:docPart w:val="DefaultPlaceholder_-1854013440"/>
          </w:placeholder>
        </w:sdtPr>
        <w:sdtContent>
          <w:r>
            <w:rPr>
              <w:color w:val="000000"/>
            </w:rPr>
            <w:t>(Ju et al., 2025)</w:t>
          </w:r>
        </w:sdtContent>
      </w:sdt>
      <w:r>
        <w:t xml:space="preserve">. The items included PIN1 (“I use experiential learning activities”), PIN2 (“I incorporate simulations or role-plays”), PIN3 (“I use digital tools such as VR, video, or AR in teaching”), and PIN4 (“I design interactive classroom activities”). Finally, Teacher-Perceived Communicative Competence (CC) was measured based on teachers’ perceptions of student learning outcomes in tourism contexts. Because all CC items capture instructors’ perceptions rather than objective or student-reported proficiency, the construct is labeled Teacher-Perceived Communicative Competence throughout the study to reflect its measurement basis accurately, reflecting the central goal of ESL-oriented instruction. This construct is consistent with prior research emphasizing the importance of communicative ability, confidence, and real-world interaction skills in tourism English education </w:t>
      </w:r>
      <w:sdt>
        <w:sdtPr>
          <w:rPr>
            <w:color w:val="000000"/>
          </w:rPr>
          <w:tag w:val="MENDELEY_CITATION_v3_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"/>
          <w:id w:val="1007951340"/>
          <w:placeholder>
            <w:docPart w:val="DefaultPlaceholder_-1854013440"/>
          </w:placeholder>
        </w:sdtPr>
        <w:sdtContent>
          <w:r>
            <w:rPr>
              <w:color w:val="000000"/>
            </w:rPr>
            <w:t>(Cloudia Ho, 2020)</w:t>
          </w:r>
        </w:sdtContent>
      </w:sdt>
      <w:r>
        <w:t xml:space="preserve">. The scale included CC1 (“Students can communicate effectively in tourism contexts”), CC2 (“Students demonstrate confidence in speaking English”), CC3 (“Students can handle </w:t>
      </w:r>
      <w:r>
        <w:lastRenderedPageBreak/>
        <w:t>real-life service situations”), and CC4 (“Students show improved interaction skills”).</w:t>
      </w:r>
    </w:p>
    <w:p w14:paraId="4463742A" w14:textId="77777777" w:rsidR="00390CF1" w:rsidRPr="00882F07" w:rsidRDefault="00390CF1" w:rsidP="004B394D">
      <w:pPr>
        <w:spacing w:after="120" w:line="480" w:lineRule="auto"/>
        <w:ind w:firstLine="720"/>
        <w:contextualSpacing/>
        <w:jc w:val="both"/>
      </w:pPr>
      <w:r>
        <w:t xml:space="preserve">Data analysis was conducted using Partial Least Squares Structural Equation Modeling (PLS-SEM) with Smart-PLS 4, following a two-stage approach that included assessment of the measurement model and the structural model, in line with established guidelines for variance-based SEM </w:t>
      </w:r>
      <w:sdt>
        <w:sdtPr>
          <w:rPr>
            <w:color w:val="000000"/>
          </w:rPr>
          <w:tag w:val="MENDELEY_CITATION_v3_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"/>
          <w:id w:val="1370188008"/>
          <w:placeholder>
            <w:docPart w:val="DefaultPlaceholder_-1854013440"/>
          </w:placeholder>
        </w:sdtPr>
        <w:sdtContent>
          <w:r>
            <w:rPr>
              <w:color w:val="000000"/>
            </w:rPr>
            <w:t>(Hair et al., 2011; Henseler et al., 2014)</w:t>
          </w:r>
        </w:sdtContent>
      </w:sdt>
      <w:r>
        <w:t xml:space="preserve">. PLS-SEM was selected due to its suitability for exploratory research, prediction-oriented models, and complex relationships involving mediation effects, as well as its robustness with relatively small to medium sample sizes. To determine the minimum required sample size, this study employed G*Power, a widely used tool for statistical power analysis in behavioral and social sciences research. Following the guidelines for structural equation modeling, the sample size was calculated based on the maximum number of predictors pointing to an endogenous construct in the proposed model. In this study, the most complex endogenous construct is Pedagogical Innovation (PIN), which has two predictors (Professional Identity and Professional Agency). Accordingly, an a priori power analysis was conducted using the F-test: Linear multiple regression (fixed model, R² deviation from zero) with the following parameters: a medium effect size (f² = 0.15), a significance level (α) of 0.05, and a statistical power (1 – β) of 0.80, which are commonly recommended thresholds in SEM research </w:t>
      </w:r>
      <w:sdt>
        <w:sdtPr>
          <w:rPr>
            <w:color w:val="000000"/>
          </w:rPr>
          <w:tag w:val="MENDELEY_CITATION_v3_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"/>
          <w:id w:val="-413550346"/>
          <w:placeholder>
            <w:docPart w:val="DefaultPlaceholder_-1854013440"/>
          </w:placeholder>
        </w:sdtPr>
        <w:sdtContent>
          <w:r>
            <w:rPr>
              <w:color w:val="000000"/>
            </w:rPr>
            <w:t>(Hair et al., 2023)</w:t>
          </w:r>
        </w:sdtContent>
      </w:sdt>
      <w:r>
        <w:t>. The results from G*Power indicated that the minimum required sample size is 68 observations. Given that this study collected data from 112 respondents, the sample size exceeds the minimum requirement, thereby ensuring adequate statistical power for detecting significant relationships within the model. This also aligns with the “10-times rule” in PLS-SEM, further supporting the adequacy and robustness of the sample size for model estimation and hypothesis testing.</w:t>
      </w:r>
    </w:p>
    <w:p w14:paraId="366C3D2F" w14:textId="77777777" w:rsidR="00882F07" w:rsidRPr="00882F07" w:rsidRDefault="00882F07" w:rsidP="004B394D">
      <w:pPr>
        <w:spacing w:after="120" w:line="480" w:lineRule="auto"/>
        <w:contextualSpacing/>
      </w:pPr>
    </w:p>
    <w:p w14:paraId="717415C7" w14:textId="77777777" w:rsidR="00882F07" w:rsidRDefault="00882F07" w:rsidP="004B394D">
      <w:pPr>
        <w:spacing w:after="120" w:line="480" w:lineRule="auto"/>
        <w:contextualSpacing/>
        <w:jc w:val="center"/>
        <w:rPr>
          <w:b/>
          <w:bCs/>
        </w:rPr>
      </w:pPr>
      <w:r>
        <w:rPr>
          <w:b/>
          <w:bCs/>
        </w:rPr>
        <w:t>5. Results and Data Analysis</w:t>
      </w:r>
    </w:p>
    <w:p w14:paraId="0D746E1B" w14:textId="77777777" w:rsidR="002D6281" w:rsidRDefault="002D6281" w:rsidP="004B394D">
      <w:pPr>
        <w:spacing w:after="120" w:line="480" w:lineRule="auto"/>
        <w:ind w:firstLine="720"/>
        <w:contextualSpacing/>
        <w:jc w:val="both"/>
      </w:pPr>
      <w:r>
        <w:t xml:space="preserve">The demographic profile of the respondents is presented in Table 1. Among the 112 </w:t>
      </w:r>
      <w:r>
        <w:lastRenderedPageBreak/>
        <w:t>English lecturers surveyed in Ho Chi Minh City, the majority were female (58.9%), while male respondents accounted for 41.1%. In terms of age distribution, most participants were between 30 and 39 years old (46.4%), followed by those under 30 (25.0%), indicating a relatively young and dynamic teaching workforce. Regarding teaching experience, a substantial proportion of respondents had between four and six years of experience (32.1%), while 26.8% had seven to ten years, suggesting that most participants possessed moderate to high levels of professional experience. In terms of educational qualifications, the majority held a master’s degree (64.3%), followed by doctoral degrees (19.6%), reflecting a well-qualified academic sample. Additionally, 60.7% of respondents were affiliated with public universities, while 39.3% worked in private institutions, ensuring representation across different institutional contexts. With respect to experience in teaching Tourism English or ESP courses, most lecturers reported more than four years of experience, highlighting their familiarity with industry-oriented language instruction. Overall, the sample demonstrates a balanced and experienced group of educators suitable for examining ESL-oriented pedagogical transformation in tourism education.</w:t>
      </w:r>
    </w:p>
    <w:p w14:paraId="46B0AA32" w14:textId="77777777" w:rsidR="004B394D" w:rsidRPr="004B394D" w:rsidRDefault="002D6281" w:rsidP="004B394D">
      <w:pPr>
        <w:rPr>
          <w:b/>
          <w:bCs/>
        </w:rPr>
      </w:pPr>
      <w:r>
        <w:rPr>
          <w:b/>
          <w:bCs/>
        </w:rPr>
        <w:t xml:space="preserve">Table 1 </w:t>
      </w:r>
    </w:p>
    <w:p w14:paraId="027E1656" w14:textId="77777777" w:rsidR="002D6281" w:rsidRPr="004B394D" w:rsidRDefault="002D6281" w:rsidP="004B394D">
      <w:pPr>
        <w:rPr>
          <w:i/>
          <w:iCs/>
        </w:rPr>
      </w:pPr>
      <w:r>
        <w:rPr>
          <w:i/>
          <w:iCs/>
        </w:rPr>
        <w:t>Demographic Profile of Respondents (N = 112)</w:t>
      </w:r>
    </w:p>
    <w:p w14:paraId="3A2B905F" w14:textId="77777777" w:rsidR="002D6281" w:rsidRDefault="002D6281" w:rsidP="002D6281">
      <w:pPr>
        <w:jc w:val="both"/>
      </w:pPr>
    </w:p>
    <w:tbl>
      <w:tblPr>
        <w:tblStyle w:val="TableGrid"/>
        <w:tblW w:w="0" w:type="auto"/>
        <w:tblLook w:val="04A0" w:firstRow="1" w:lastRow="0" w:firstColumn="1" w:lastColumn="0" w:noHBand="0" w:noVBand="1"/>
      </w:tblPr>
      <w:tblGrid>
        <w:gridCol w:w="3550"/>
        <w:gridCol w:w="2035"/>
        <w:gridCol w:w="1645"/>
        <w:gridCol w:w="1786"/>
      </w:tblGrid>
      <w:tr w:rsidR="002D6281" w:rsidRPr="002D6281" w14:paraId="1354C907" w14:textId="77777777" w:rsidTr="002D6281">
        <w:tc>
          <w:tcPr>
            <w:tcW w:w="0" w:type="auto"/>
            <w:hideMark/>
          </w:tcPr>
          <w:p w14:paraId="344E7005" w14:textId="77777777" w:rsidR="002D6281" w:rsidRPr="002D6281" w:rsidRDefault="002D6281" w:rsidP="002D6281">
            <w:pPr>
              <w:jc w:val="both"/>
              <w:rPr>
                <w:b/>
                <w:bCs/>
              </w:rPr>
            </w:pPr>
            <w:r>
              <w:rPr>
                <w:b/>
                <w:bCs/>
              </w:rPr>
              <w:t>Characteristics</w:t>
            </w:r>
          </w:p>
        </w:tc>
        <w:tc>
          <w:tcPr>
            <w:tcW w:w="0" w:type="auto"/>
            <w:hideMark/>
          </w:tcPr>
          <w:p w14:paraId="402C42B0" w14:textId="77777777" w:rsidR="002D6281" w:rsidRPr="002D6281" w:rsidRDefault="002D6281" w:rsidP="002D6281">
            <w:pPr>
              <w:jc w:val="both"/>
              <w:rPr>
                <w:b/>
                <w:bCs/>
              </w:rPr>
            </w:pPr>
            <w:r>
              <w:rPr>
                <w:b/>
                <w:bCs/>
              </w:rPr>
              <w:t>Category</w:t>
            </w:r>
          </w:p>
        </w:tc>
        <w:tc>
          <w:tcPr>
            <w:tcW w:w="0" w:type="auto"/>
            <w:hideMark/>
          </w:tcPr>
          <w:p w14:paraId="7D072FBA" w14:textId="77777777" w:rsidR="002D6281" w:rsidRPr="002D6281" w:rsidRDefault="002D6281" w:rsidP="002D6281">
            <w:pPr>
              <w:jc w:val="both"/>
              <w:rPr>
                <w:b/>
                <w:bCs/>
              </w:rPr>
            </w:pPr>
            <w:r>
              <w:rPr>
                <w:b/>
                <w:bCs/>
              </w:rPr>
              <w:t>Frequency (n)</w:t>
            </w:r>
          </w:p>
        </w:tc>
        <w:tc>
          <w:tcPr>
            <w:tcW w:w="0" w:type="auto"/>
            <w:hideMark/>
          </w:tcPr>
          <w:p w14:paraId="17BEF1F4" w14:textId="77777777" w:rsidR="002D6281" w:rsidRPr="002D6281" w:rsidRDefault="002D6281" w:rsidP="002D6281">
            <w:pPr>
              <w:jc w:val="both"/>
              <w:rPr>
                <w:b/>
                <w:bCs/>
              </w:rPr>
            </w:pPr>
            <w:r>
              <w:rPr>
                <w:b/>
                <w:bCs/>
              </w:rPr>
              <w:t>Percentage (%)</w:t>
            </w:r>
          </w:p>
        </w:tc>
      </w:tr>
      <w:tr w:rsidR="002D6281" w:rsidRPr="002D6281" w14:paraId="41B35BE2" w14:textId="77777777" w:rsidTr="002D6281">
        <w:tc>
          <w:tcPr>
            <w:tcW w:w="0" w:type="auto"/>
            <w:hideMark/>
          </w:tcPr>
          <w:p w14:paraId="36B0CB8A" w14:textId="77777777" w:rsidR="002D6281" w:rsidRPr="002D6281" w:rsidRDefault="002D6281" w:rsidP="002D6281">
            <w:r>
              <w:rPr>
                <w:b/>
                <w:bCs/>
              </w:rPr>
              <w:t>Gender</w:t>
            </w:r>
          </w:p>
        </w:tc>
        <w:tc>
          <w:tcPr>
            <w:tcW w:w="0" w:type="auto"/>
            <w:hideMark/>
          </w:tcPr>
          <w:p w14:paraId="377D373D" w14:textId="77777777" w:rsidR="002D6281" w:rsidRPr="002D6281" w:rsidRDefault="002D6281" w:rsidP="002D6281">
            <w:pPr>
              <w:jc w:val="both"/>
            </w:pPr>
            <w:r>
              <w:t>Male</w:t>
            </w:r>
          </w:p>
        </w:tc>
        <w:tc>
          <w:tcPr>
            <w:tcW w:w="0" w:type="auto"/>
            <w:hideMark/>
          </w:tcPr>
          <w:p w14:paraId="59BCEB49" w14:textId="77777777" w:rsidR="002D6281" w:rsidRPr="002D6281" w:rsidRDefault="002D6281" w:rsidP="002D6281">
            <w:pPr>
              <w:jc w:val="both"/>
            </w:pPr>
            <w:r>
              <w:t>46</w:t>
            </w:r>
          </w:p>
        </w:tc>
        <w:tc>
          <w:tcPr>
            <w:tcW w:w="0" w:type="auto"/>
            <w:hideMark/>
          </w:tcPr>
          <w:p w14:paraId="3F9B3E57" w14:textId="77777777" w:rsidR="002D6281" w:rsidRPr="002D6281" w:rsidRDefault="002D6281" w:rsidP="002D6281">
            <w:pPr>
              <w:jc w:val="both"/>
            </w:pPr>
            <w:r>
              <w:t>41.1</w:t>
            </w:r>
          </w:p>
        </w:tc>
      </w:tr>
      <w:tr w:rsidR="002D6281" w:rsidRPr="002D6281" w14:paraId="5F12FD7A" w14:textId="77777777" w:rsidTr="002D6281">
        <w:tc>
          <w:tcPr>
            <w:tcW w:w="0" w:type="auto"/>
            <w:hideMark/>
          </w:tcPr>
          <w:p w14:paraId="18D8C37F" w14:textId="77777777" w:rsidR="002D6281" w:rsidRPr="002D6281" w:rsidRDefault="002D6281" w:rsidP="002D6281"/>
        </w:tc>
        <w:tc>
          <w:tcPr>
            <w:tcW w:w="0" w:type="auto"/>
            <w:hideMark/>
          </w:tcPr>
          <w:p w14:paraId="4ED0A32C" w14:textId="77777777" w:rsidR="002D6281" w:rsidRPr="002D6281" w:rsidRDefault="002D6281" w:rsidP="002D6281">
            <w:pPr>
              <w:jc w:val="both"/>
            </w:pPr>
            <w:r>
              <w:t>Female</w:t>
            </w:r>
          </w:p>
        </w:tc>
        <w:tc>
          <w:tcPr>
            <w:tcW w:w="0" w:type="auto"/>
            <w:hideMark/>
          </w:tcPr>
          <w:p w14:paraId="3510A621" w14:textId="77777777" w:rsidR="002D6281" w:rsidRPr="002D6281" w:rsidRDefault="002D6281" w:rsidP="002D6281">
            <w:pPr>
              <w:jc w:val="both"/>
            </w:pPr>
            <w:r>
              <w:t>66</w:t>
            </w:r>
          </w:p>
        </w:tc>
        <w:tc>
          <w:tcPr>
            <w:tcW w:w="0" w:type="auto"/>
            <w:hideMark/>
          </w:tcPr>
          <w:p w14:paraId="5AC1FCFB" w14:textId="77777777" w:rsidR="002D6281" w:rsidRPr="002D6281" w:rsidRDefault="002D6281" w:rsidP="002D6281">
            <w:pPr>
              <w:jc w:val="both"/>
            </w:pPr>
            <w:r>
              <w:t>58.9</w:t>
            </w:r>
          </w:p>
        </w:tc>
      </w:tr>
      <w:tr w:rsidR="002D6281" w:rsidRPr="002D6281" w14:paraId="6CF93C5F" w14:textId="77777777" w:rsidTr="002D6281">
        <w:tc>
          <w:tcPr>
            <w:tcW w:w="0" w:type="auto"/>
            <w:hideMark/>
          </w:tcPr>
          <w:p w14:paraId="7693186B" w14:textId="77777777" w:rsidR="002D6281" w:rsidRPr="002D6281" w:rsidRDefault="002D6281" w:rsidP="002D6281">
            <w:r>
              <w:rPr>
                <w:b/>
                <w:bCs/>
              </w:rPr>
              <w:t>Age</w:t>
            </w:r>
          </w:p>
        </w:tc>
        <w:tc>
          <w:tcPr>
            <w:tcW w:w="0" w:type="auto"/>
            <w:hideMark/>
          </w:tcPr>
          <w:p w14:paraId="041CBEAE" w14:textId="77777777" w:rsidR="002D6281" w:rsidRPr="002D6281" w:rsidRDefault="002D6281" w:rsidP="002D6281">
            <w:pPr>
              <w:jc w:val="both"/>
            </w:pPr>
            <w:r>
              <w:t>Under 30</w:t>
            </w:r>
          </w:p>
        </w:tc>
        <w:tc>
          <w:tcPr>
            <w:tcW w:w="0" w:type="auto"/>
            <w:hideMark/>
          </w:tcPr>
          <w:p w14:paraId="5DCBCBC9" w14:textId="77777777" w:rsidR="002D6281" w:rsidRPr="002D6281" w:rsidRDefault="002D6281" w:rsidP="002D6281">
            <w:pPr>
              <w:jc w:val="both"/>
            </w:pPr>
            <w:r>
              <w:t>28</w:t>
            </w:r>
          </w:p>
        </w:tc>
        <w:tc>
          <w:tcPr>
            <w:tcW w:w="0" w:type="auto"/>
            <w:hideMark/>
          </w:tcPr>
          <w:p w14:paraId="6E55CF29" w14:textId="77777777" w:rsidR="002D6281" w:rsidRPr="002D6281" w:rsidRDefault="002D6281" w:rsidP="002D6281">
            <w:pPr>
              <w:jc w:val="both"/>
            </w:pPr>
            <w:r>
              <w:t>25.0</w:t>
            </w:r>
          </w:p>
        </w:tc>
      </w:tr>
      <w:tr w:rsidR="002D6281" w:rsidRPr="002D6281" w14:paraId="7D035456" w14:textId="77777777" w:rsidTr="002D6281">
        <w:tc>
          <w:tcPr>
            <w:tcW w:w="0" w:type="auto"/>
            <w:hideMark/>
          </w:tcPr>
          <w:p w14:paraId="308DF8AE" w14:textId="77777777" w:rsidR="002D6281" w:rsidRPr="002D6281" w:rsidRDefault="002D6281" w:rsidP="002D6281"/>
        </w:tc>
        <w:tc>
          <w:tcPr>
            <w:tcW w:w="0" w:type="auto"/>
            <w:hideMark/>
          </w:tcPr>
          <w:p w14:paraId="518A01E7" w14:textId="77777777" w:rsidR="002D6281" w:rsidRPr="002D6281" w:rsidRDefault="002D6281" w:rsidP="002D6281">
            <w:pPr>
              <w:jc w:val="both"/>
            </w:pPr>
            <w:r>
              <w:t>30–39</w:t>
            </w:r>
          </w:p>
        </w:tc>
        <w:tc>
          <w:tcPr>
            <w:tcW w:w="0" w:type="auto"/>
            <w:hideMark/>
          </w:tcPr>
          <w:p w14:paraId="3677DAD4" w14:textId="77777777" w:rsidR="002D6281" w:rsidRPr="002D6281" w:rsidRDefault="002D6281" w:rsidP="002D6281">
            <w:pPr>
              <w:jc w:val="both"/>
            </w:pPr>
            <w:r>
              <w:t>52</w:t>
            </w:r>
          </w:p>
        </w:tc>
        <w:tc>
          <w:tcPr>
            <w:tcW w:w="0" w:type="auto"/>
            <w:hideMark/>
          </w:tcPr>
          <w:p w14:paraId="2F12BDAD" w14:textId="77777777" w:rsidR="002D6281" w:rsidRPr="002D6281" w:rsidRDefault="002D6281" w:rsidP="002D6281">
            <w:pPr>
              <w:jc w:val="both"/>
            </w:pPr>
            <w:r>
              <w:t>46.4</w:t>
            </w:r>
          </w:p>
        </w:tc>
      </w:tr>
      <w:tr w:rsidR="002D6281" w:rsidRPr="002D6281" w14:paraId="02AE864C" w14:textId="77777777" w:rsidTr="002D6281">
        <w:tc>
          <w:tcPr>
            <w:tcW w:w="0" w:type="auto"/>
            <w:hideMark/>
          </w:tcPr>
          <w:p w14:paraId="03C753D1" w14:textId="77777777" w:rsidR="002D6281" w:rsidRPr="002D6281" w:rsidRDefault="002D6281" w:rsidP="002D6281"/>
        </w:tc>
        <w:tc>
          <w:tcPr>
            <w:tcW w:w="0" w:type="auto"/>
            <w:hideMark/>
          </w:tcPr>
          <w:p w14:paraId="10E7340C" w14:textId="77777777" w:rsidR="002D6281" w:rsidRPr="002D6281" w:rsidRDefault="002D6281" w:rsidP="002D6281">
            <w:pPr>
              <w:jc w:val="both"/>
            </w:pPr>
            <w:r>
              <w:t>40–49</w:t>
            </w:r>
          </w:p>
        </w:tc>
        <w:tc>
          <w:tcPr>
            <w:tcW w:w="0" w:type="auto"/>
            <w:hideMark/>
          </w:tcPr>
          <w:p w14:paraId="10C46FE7" w14:textId="77777777" w:rsidR="002D6281" w:rsidRPr="002D6281" w:rsidRDefault="002D6281" w:rsidP="002D6281">
            <w:pPr>
              <w:jc w:val="both"/>
            </w:pPr>
            <w:r>
              <w:t>22</w:t>
            </w:r>
          </w:p>
        </w:tc>
        <w:tc>
          <w:tcPr>
            <w:tcW w:w="0" w:type="auto"/>
            <w:hideMark/>
          </w:tcPr>
          <w:p w14:paraId="5B05A597" w14:textId="77777777" w:rsidR="002D6281" w:rsidRPr="002D6281" w:rsidRDefault="002D6281" w:rsidP="002D6281">
            <w:pPr>
              <w:jc w:val="both"/>
            </w:pPr>
            <w:r>
              <w:t>19.6</w:t>
            </w:r>
          </w:p>
        </w:tc>
      </w:tr>
      <w:tr w:rsidR="002D6281" w:rsidRPr="002D6281" w14:paraId="67716EC6" w14:textId="77777777" w:rsidTr="002D6281">
        <w:tc>
          <w:tcPr>
            <w:tcW w:w="0" w:type="auto"/>
            <w:hideMark/>
          </w:tcPr>
          <w:p w14:paraId="7C62CF6C" w14:textId="77777777" w:rsidR="002D6281" w:rsidRPr="002D6281" w:rsidRDefault="002D6281" w:rsidP="002D6281"/>
        </w:tc>
        <w:tc>
          <w:tcPr>
            <w:tcW w:w="0" w:type="auto"/>
            <w:hideMark/>
          </w:tcPr>
          <w:p w14:paraId="75BC5CD1" w14:textId="77777777" w:rsidR="002D6281" w:rsidRPr="002D6281" w:rsidRDefault="002D6281" w:rsidP="002D6281">
            <w:pPr>
              <w:jc w:val="both"/>
            </w:pPr>
            <w:r>
              <w:t>50 and above</w:t>
            </w:r>
          </w:p>
        </w:tc>
        <w:tc>
          <w:tcPr>
            <w:tcW w:w="0" w:type="auto"/>
            <w:hideMark/>
          </w:tcPr>
          <w:p w14:paraId="5641B523" w14:textId="77777777" w:rsidR="002D6281" w:rsidRPr="002D6281" w:rsidRDefault="002D6281" w:rsidP="002D6281">
            <w:pPr>
              <w:jc w:val="both"/>
            </w:pPr>
            <w:r>
              <w:t>10</w:t>
            </w:r>
          </w:p>
        </w:tc>
        <w:tc>
          <w:tcPr>
            <w:tcW w:w="0" w:type="auto"/>
            <w:hideMark/>
          </w:tcPr>
          <w:p w14:paraId="31CED941" w14:textId="77777777" w:rsidR="002D6281" w:rsidRPr="002D6281" w:rsidRDefault="002D6281" w:rsidP="002D6281">
            <w:pPr>
              <w:jc w:val="both"/>
            </w:pPr>
            <w:r>
              <w:t>8.9</w:t>
            </w:r>
          </w:p>
        </w:tc>
      </w:tr>
      <w:tr w:rsidR="002D6281" w:rsidRPr="002D6281" w14:paraId="5C3CA67E" w14:textId="77777777" w:rsidTr="002D6281">
        <w:tc>
          <w:tcPr>
            <w:tcW w:w="0" w:type="auto"/>
            <w:hideMark/>
          </w:tcPr>
          <w:p w14:paraId="05B38BCF" w14:textId="77777777" w:rsidR="002D6281" w:rsidRPr="002D6281" w:rsidRDefault="002D6281" w:rsidP="002D6281">
            <w:r>
              <w:rPr>
                <w:b/>
                <w:bCs/>
              </w:rPr>
              <w:t>Teaching Experience</w:t>
            </w:r>
          </w:p>
        </w:tc>
        <w:tc>
          <w:tcPr>
            <w:tcW w:w="0" w:type="auto"/>
            <w:hideMark/>
          </w:tcPr>
          <w:p w14:paraId="54072A90" w14:textId="77777777" w:rsidR="002D6281" w:rsidRPr="002D6281" w:rsidRDefault="002D6281" w:rsidP="002D6281">
            <w:pPr>
              <w:jc w:val="both"/>
            </w:pPr>
            <w:r>
              <w:t>1–3 years</w:t>
            </w:r>
          </w:p>
        </w:tc>
        <w:tc>
          <w:tcPr>
            <w:tcW w:w="0" w:type="auto"/>
            <w:hideMark/>
          </w:tcPr>
          <w:p w14:paraId="31F8B027" w14:textId="77777777" w:rsidR="002D6281" w:rsidRPr="002D6281" w:rsidRDefault="002D6281" w:rsidP="002D6281">
            <w:pPr>
              <w:jc w:val="both"/>
            </w:pPr>
            <w:r>
              <w:t>24</w:t>
            </w:r>
          </w:p>
        </w:tc>
        <w:tc>
          <w:tcPr>
            <w:tcW w:w="0" w:type="auto"/>
            <w:hideMark/>
          </w:tcPr>
          <w:p w14:paraId="2C8A99D7" w14:textId="77777777" w:rsidR="002D6281" w:rsidRPr="002D6281" w:rsidRDefault="002D6281" w:rsidP="002D6281">
            <w:pPr>
              <w:jc w:val="both"/>
            </w:pPr>
            <w:r>
              <w:t>21.4</w:t>
            </w:r>
          </w:p>
        </w:tc>
      </w:tr>
      <w:tr w:rsidR="002D6281" w:rsidRPr="002D6281" w14:paraId="0432A99C" w14:textId="77777777" w:rsidTr="002D6281">
        <w:tc>
          <w:tcPr>
            <w:tcW w:w="0" w:type="auto"/>
            <w:hideMark/>
          </w:tcPr>
          <w:p w14:paraId="1DCC245D" w14:textId="77777777" w:rsidR="002D6281" w:rsidRPr="002D6281" w:rsidRDefault="002D6281" w:rsidP="002D6281"/>
        </w:tc>
        <w:tc>
          <w:tcPr>
            <w:tcW w:w="0" w:type="auto"/>
            <w:hideMark/>
          </w:tcPr>
          <w:p w14:paraId="3B9BCF8A" w14:textId="77777777" w:rsidR="002D6281" w:rsidRPr="002D6281" w:rsidRDefault="002D6281" w:rsidP="002D6281">
            <w:pPr>
              <w:jc w:val="both"/>
            </w:pPr>
            <w:r>
              <w:t>4–6 years</w:t>
            </w:r>
          </w:p>
        </w:tc>
        <w:tc>
          <w:tcPr>
            <w:tcW w:w="0" w:type="auto"/>
            <w:hideMark/>
          </w:tcPr>
          <w:p w14:paraId="6375AD1C" w14:textId="77777777" w:rsidR="002D6281" w:rsidRPr="002D6281" w:rsidRDefault="002D6281" w:rsidP="002D6281">
            <w:pPr>
              <w:jc w:val="both"/>
            </w:pPr>
            <w:r>
              <w:t>36</w:t>
            </w:r>
          </w:p>
        </w:tc>
        <w:tc>
          <w:tcPr>
            <w:tcW w:w="0" w:type="auto"/>
            <w:hideMark/>
          </w:tcPr>
          <w:p w14:paraId="347EEC0E" w14:textId="77777777" w:rsidR="002D6281" w:rsidRPr="002D6281" w:rsidRDefault="002D6281" w:rsidP="002D6281">
            <w:pPr>
              <w:jc w:val="both"/>
            </w:pPr>
            <w:r>
              <w:t>32.1</w:t>
            </w:r>
          </w:p>
        </w:tc>
      </w:tr>
      <w:tr w:rsidR="002D6281" w:rsidRPr="002D6281" w14:paraId="7677640E" w14:textId="77777777" w:rsidTr="002D6281">
        <w:tc>
          <w:tcPr>
            <w:tcW w:w="0" w:type="auto"/>
            <w:hideMark/>
          </w:tcPr>
          <w:p w14:paraId="26A174F4" w14:textId="77777777" w:rsidR="002D6281" w:rsidRPr="002D6281" w:rsidRDefault="002D6281" w:rsidP="002D6281"/>
        </w:tc>
        <w:tc>
          <w:tcPr>
            <w:tcW w:w="0" w:type="auto"/>
            <w:hideMark/>
          </w:tcPr>
          <w:p w14:paraId="1B107FB9" w14:textId="77777777" w:rsidR="002D6281" w:rsidRPr="002D6281" w:rsidRDefault="002D6281" w:rsidP="002D6281">
            <w:pPr>
              <w:jc w:val="both"/>
            </w:pPr>
            <w:r>
              <w:t>7–10 years</w:t>
            </w:r>
          </w:p>
        </w:tc>
        <w:tc>
          <w:tcPr>
            <w:tcW w:w="0" w:type="auto"/>
            <w:hideMark/>
          </w:tcPr>
          <w:p w14:paraId="63008FD5" w14:textId="77777777" w:rsidR="002D6281" w:rsidRPr="002D6281" w:rsidRDefault="002D6281" w:rsidP="002D6281">
            <w:pPr>
              <w:jc w:val="both"/>
            </w:pPr>
            <w:r>
              <w:t>30</w:t>
            </w:r>
          </w:p>
        </w:tc>
        <w:tc>
          <w:tcPr>
            <w:tcW w:w="0" w:type="auto"/>
            <w:hideMark/>
          </w:tcPr>
          <w:p w14:paraId="279ABDFD" w14:textId="77777777" w:rsidR="002D6281" w:rsidRPr="002D6281" w:rsidRDefault="002D6281" w:rsidP="002D6281">
            <w:pPr>
              <w:jc w:val="both"/>
            </w:pPr>
            <w:r>
              <w:t>26.8</w:t>
            </w:r>
          </w:p>
        </w:tc>
      </w:tr>
      <w:tr w:rsidR="002D6281" w:rsidRPr="002D6281" w14:paraId="2090B1C2" w14:textId="77777777" w:rsidTr="002D6281">
        <w:tc>
          <w:tcPr>
            <w:tcW w:w="0" w:type="auto"/>
            <w:hideMark/>
          </w:tcPr>
          <w:p w14:paraId="5D46626C" w14:textId="77777777" w:rsidR="002D6281" w:rsidRPr="002D6281" w:rsidRDefault="002D6281" w:rsidP="002D6281"/>
        </w:tc>
        <w:tc>
          <w:tcPr>
            <w:tcW w:w="0" w:type="auto"/>
            <w:hideMark/>
          </w:tcPr>
          <w:p w14:paraId="703AB474" w14:textId="77777777" w:rsidR="002D6281" w:rsidRPr="002D6281" w:rsidRDefault="002D6281" w:rsidP="002D6281">
            <w:pPr>
              <w:jc w:val="both"/>
            </w:pPr>
            <w:r>
              <w:t>More than 10 years</w:t>
            </w:r>
          </w:p>
        </w:tc>
        <w:tc>
          <w:tcPr>
            <w:tcW w:w="0" w:type="auto"/>
            <w:hideMark/>
          </w:tcPr>
          <w:p w14:paraId="1729C393" w14:textId="77777777" w:rsidR="002D6281" w:rsidRPr="002D6281" w:rsidRDefault="002D6281" w:rsidP="002D6281">
            <w:pPr>
              <w:jc w:val="both"/>
            </w:pPr>
            <w:r>
              <w:t>22</w:t>
            </w:r>
          </w:p>
        </w:tc>
        <w:tc>
          <w:tcPr>
            <w:tcW w:w="0" w:type="auto"/>
            <w:hideMark/>
          </w:tcPr>
          <w:p w14:paraId="38409494" w14:textId="77777777" w:rsidR="002D6281" w:rsidRPr="002D6281" w:rsidRDefault="002D6281" w:rsidP="002D6281">
            <w:pPr>
              <w:jc w:val="both"/>
            </w:pPr>
            <w:r>
              <w:t>19.6</w:t>
            </w:r>
          </w:p>
        </w:tc>
      </w:tr>
      <w:tr w:rsidR="002D6281" w:rsidRPr="002D6281" w14:paraId="05781CC8" w14:textId="77777777" w:rsidTr="002D6281">
        <w:tc>
          <w:tcPr>
            <w:tcW w:w="0" w:type="auto"/>
            <w:hideMark/>
          </w:tcPr>
          <w:p w14:paraId="6A001798" w14:textId="77777777" w:rsidR="002D6281" w:rsidRPr="002D6281" w:rsidRDefault="002D6281" w:rsidP="002D6281">
            <w:r>
              <w:rPr>
                <w:b/>
                <w:bCs/>
              </w:rPr>
              <w:t>Education Level</w:t>
            </w:r>
          </w:p>
        </w:tc>
        <w:tc>
          <w:tcPr>
            <w:tcW w:w="0" w:type="auto"/>
            <w:hideMark/>
          </w:tcPr>
          <w:p w14:paraId="2096244C" w14:textId="77777777" w:rsidR="002D6281" w:rsidRPr="002D6281" w:rsidRDefault="002D6281" w:rsidP="002D6281">
            <w:pPr>
              <w:jc w:val="both"/>
            </w:pPr>
            <w:r>
              <w:t>Bachelor’s Degree</w:t>
            </w:r>
          </w:p>
        </w:tc>
        <w:tc>
          <w:tcPr>
            <w:tcW w:w="0" w:type="auto"/>
            <w:hideMark/>
          </w:tcPr>
          <w:p w14:paraId="3AFB37AC" w14:textId="77777777" w:rsidR="002D6281" w:rsidRPr="002D6281" w:rsidRDefault="002D6281" w:rsidP="002D6281">
            <w:pPr>
              <w:jc w:val="both"/>
            </w:pPr>
            <w:r>
              <w:t>18</w:t>
            </w:r>
          </w:p>
        </w:tc>
        <w:tc>
          <w:tcPr>
            <w:tcW w:w="0" w:type="auto"/>
            <w:hideMark/>
          </w:tcPr>
          <w:p w14:paraId="5293A6F0" w14:textId="77777777" w:rsidR="002D6281" w:rsidRPr="002D6281" w:rsidRDefault="002D6281" w:rsidP="002D6281">
            <w:pPr>
              <w:jc w:val="both"/>
            </w:pPr>
            <w:r>
              <w:t>16.1</w:t>
            </w:r>
          </w:p>
        </w:tc>
      </w:tr>
      <w:tr w:rsidR="002D6281" w:rsidRPr="002D6281" w14:paraId="7466652E" w14:textId="77777777" w:rsidTr="002D6281">
        <w:tc>
          <w:tcPr>
            <w:tcW w:w="0" w:type="auto"/>
            <w:hideMark/>
          </w:tcPr>
          <w:p w14:paraId="6BF4E518" w14:textId="77777777" w:rsidR="002D6281" w:rsidRPr="002D6281" w:rsidRDefault="002D6281" w:rsidP="002D6281"/>
        </w:tc>
        <w:tc>
          <w:tcPr>
            <w:tcW w:w="0" w:type="auto"/>
            <w:hideMark/>
          </w:tcPr>
          <w:p w14:paraId="2D05ABA7" w14:textId="77777777" w:rsidR="002D6281" w:rsidRPr="002D6281" w:rsidRDefault="002D6281" w:rsidP="002D6281">
            <w:pPr>
              <w:jc w:val="both"/>
            </w:pPr>
            <w:r>
              <w:t>Master’s Degree</w:t>
            </w:r>
          </w:p>
        </w:tc>
        <w:tc>
          <w:tcPr>
            <w:tcW w:w="0" w:type="auto"/>
            <w:hideMark/>
          </w:tcPr>
          <w:p w14:paraId="4D96E8BA" w14:textId="77777777" w:rsidR="002D6281" w:rsidRPr="002D6281" w:rsidRDefault="002D6281" w:rsidP="002D6281">
            <w:pPr>
              <w:jc w:val="both"/>
            </w:pPr>
            <w:r>
              <w:t>72</w:t>
            </w:r>
          </w:p>
        </w:tc>
        <w:tc>
          <w:tcPr>
            <w:tcW w:w="0" w:type="auto"/>
            <w:hideMark/>
          </w:tcPr>
          <w:p w14:paraId="316B1737" w14:textId="77777777" w:rsidR="002D6281" w:rsidRPr="002D6281" w:rsidRDefault="002D6281" w:rsidP="002D6281">
            <w:pPr>
              <w:jc w:val="both"/>
            </w:pPr>
            <w:r>
              <w:t>64.3</w:t>
            </w:r>
          </w:p>
        </w:tc>
      </w:tr>
      <w:tr w:rsidR="002D6281" w:rsidRPr="002D6281" w14:paraId="408EE872" w14:textId="77777777" w:rsidTr="002D6281">
        <w:tc>
          <w:tcPr>
            <w:tcW w:w="0" w:type="auto"/>
            <w:hideMark/>
          </w:tcPr>
          <w:p w14:paraId="17448B80" w14:textId="77777777" w:rsidR="002D6281" w:rsidRPr="002D6281" w:rsidRDefault="002D6281" w:rsidP="002D6281"/>
        </w:tc>
        <w:tc>
          <w:tcPr>
            <w:tcW w:w="0" w:type="auto"/>
            <w:hideMark/>
          </w:tcPr>
          <w:p w14:paraId="3BA875A8" w14:textId="77777777" w:rsidR="002D6281" w:rsidRPr="002D6281" w:rsidRDefault="002D6281" w:rsidP="002D6281">
            <w:pPr>
              <w:jc w:val="both"/>
            </w:pPr>
            <w:r>
              <w:t>Doctoral Degree</w:t>
            </w:r>
          </w:p>
        </w:tc>
        <w:tc>
          <w:tcPr>
            <w:tcW w:w="0" w:type="auto"/>
            <w:hideMark/>
          </w:tcPr>
          <w:p w14:paraId="48B684CC" w14:textId="77777777" w:rsidR="002D6281" w:rsidRPr="002D6281" w:rsidRDefault="002D6281" w:rsidP="002D6281">
            <w:pPr>
              <w:jc w:val="both"/>
            </w:pPr>
            <w:r>
              <w:t>22</w:t>
            </w:r>
          </w:p>
        </w:tc>
        <w:tc>
          <w:tcPr>
            <w:tcW w:w="0" w:type="auto"/>
            <w:hideMark/>
          </w:tcPr>
          <w:p w14:paraId="1D116CFD" w14:textId="77777777" w:rsidR="002D6281" w:rsidRPr="002D6281" w:rsidRDefault="002D6281" w:rsidP="002D6281">
            <w:pPr>
              <w:jc w:val="both"/>
            </w:pPr>
            <w:r>
              <w:t>19.6</w:t>
            </w:r>
          </w:p>
        </w:tc>
      </w:tr>
      <w:tr w:rsidR="002D6281" w:rsidRPr="002D6281" w14:paraId="45D471DA" w14:textId="77777777" w:rsidTr="002D6281">
        <w:tc>
          <w:tcPr>
            <w:tcW w:w="0" w:type="auto"/>
            <w:hideMark/>
          </w:tcPr>
          <w:p w14:paraId="457842A4" w14:textId="77777777" w:rsidR="002D6281" w:rsidRPr="002D6281" w:rsidRDefault="002D6281" w:rsidP="002D6281">
            <w:r>
              <w:rPr>
                <w:b/>
                <w:bCs/>
              </w:rPr>
              <w:t>Type of Institution</w:t>
            </w:r>
          </w:p>
        </w:tc>
        <w:tc>
          <w:tcPr>
            <w:tcW w:w="0" w:type="auto"/>
            <w:hideMark/>
          </w:tcPr>
          <w:p w14:paraId="31A176A1" w14:textId="77777777" w:rsidR="002D6281" w:rsidRPr="002D6281" w:rsidRDefault="002D6281" w:rsidP="002D6281">
            <w:pPr>
              <w:jc w:val="both"/>
            </w:pPr>
            <w:r>
              <w:t>Public University</w:t>
            </w:r>
          </w:p>
        </w:tc>
        <w:tc>
          <w:tcPr>
            <w:tcW w:w="0" w:type="auto"/>
            <w:hideMark/>
          </w:tcPr>
          <w:p w14:paraId="1A50CB4B" w14:textId="77777777" w:rsidR="002D6281" w:rsidRPr="002D6281" w:rsidRDefault="002D6281" w:rsidP="002D6281">
            <w:pPr>
              <w:jc w:val="both"/>
            </w:pPr>
            <w:r>
              <w:t>68</w:t>
            </w:r>
          </w:p>
        </w:tc>
        <w:tc>
          <w:tcPr>
            <w:tcW w:w="0" w:type="auto"/>
            <w:hideMark/>
          </w:tcPr>
          <w:p w14:paraId="2893B6B1" w14:textId="77777777" w:rsidR="002D6281" w:rsidRPr="002D6281" w:rsidRDefault="002D6281" w:rsidP="002D6281">
            <w:pPr>
              <w:jc w:val="both"/>
            </w:pPr>
            <w:r>
              <w:t>60.7</w:t>
            </w:r>
          </w:p>
        </w:tc>
      </w:tr>
      <w:tr w:rsidR="002D6281" w:rsidRPr="002D6281" w14:paraId="121EC7FA" w14:textId="77777777" w:rsidTr="002D6281">
        <w:tc>
          <w:tcPr>
            <w:tcW w:w="0" w:type="auto"/>
            <w:hideMark/>
          </w:tcPr>
          <w:p w14:paraId="022091F7" w14:textId="77777777" w:rsidR="002D6281" w:rsidRPr="002D6281" w:rsidRDefault="002D6281" w:rsidP="002D6281"/>
        </w:tc>
        <w:tc>
          <w:tcPr>
            <w:tcW w:w="0" w:type="auto"/>
            <w:hideMark/>
          </w:tcPr>
          <w:p w14:paraId="368C5512" w14:textId="77777777" w:rsidR="002D6281" w:rsidRPr="002D6281" w:rsidRDefault="002D6281" w:rsidP="002D6281">
            <w:pPr>
              <w:jc w:val="both"/>
            </w:pPr>
            <w:r>
              <w:t>Private University</w:t>
            </w:r>
          </w:p>
        </w:tc>
        <w:tc>
          <w:tcPr>
            <w:tcW w:w="0" w:type="auto"/>
            <w:hideMark/>
          </w:tcPr>
          <w:p w14:paraId="40A8710D" w14:textId="77777777" w:rsidR="002D6281" w:rsidRPr="002D6281" w:rsidRDefault="002D6281" w:rsidP="002D6281">
            <w:pPr>
              <w:jc w:val="both"/>
            </w:pPr>
            <w:r>
              <w:t>44</w:t>
            </w:r>
          </w:p>
        </w:tc>
        <w:tc>
          <w:tcPr>
            <w:tcW w:w="0" w:type="auto"/>
            <w:hideMark/>
          </w:tcPr>
          <w:p w14:paraId="1905E494" w14:textId="77777777" w:rsidR="002D6281" w:rsidRPr="002D6281" w:rsidRDefault="002D6281" w:rsidP="002D6281">
            <w:pPr>
              <w:jc w:val="both"/>
            </w:pPr>
            <w:r>
              <w:t>39.3</w:t>
            </w:r>
          </w:p>
        </w:tc>
      </w:tr>
      <w:tr w:rsidR="002D6281" w:rsidRPr="002D6281" w14:paraId="52E49E03" w14:textId="77777777" w:rsidTr="002D6281">
        <w:tc>
          <w:tcPr>
            <w:tcW w:w="0" w:type="auto"/>
            <w:hideMark/>
          </w:tcPr>
          <w:p w14:paraId="41EA7CDD" w14:textId="77777777" w:rsidR="002D6281" w:rsidRPr="002D6281" w:rsidRDefault="002D6281" w:rsidP="002D6281">
            <w:r>
              <w:rPr>
                <w:b/>
                <w:bCs/>
              </w:rPr>
              <w:t>ESP/Tourism English Experience</w:t>
            </w:r>
          </w:p>
        </w:tc>
        <w:tc>
          <w:tcPr>
            <w:tcW w:w="0" w:type="auto"/>
            <w:hideMark/>
          </w:tcPr>
          <w:p w14:paraId="5BC50938" w14:textId="77777777" w:rsidR="002D6281" w:rsidRPr="002D6281" w:rsidRDefault="002D6281" w:rsidP="002D6281">
            <w:pPr>
              <w:jc w:val="both"/>
            </w:pPr>
            <w:r>
              <w:t>1–3 years</w:t>
            </w:r>
          </w:p>
        </w:tc>
        <w:tc>
          <w:tcPr>
            <w:tcW w:w="0" w:type="auto"/>
            <w:hideMark/>
          </w:tcPr>
          <w:p w14:paraId="30FF8881" w14:textId="77777777" w:rsidR="002D6281" w:rsidRPr="002D6281" w:rsidRDefault="002D6281" w:rsidP="002D6281">
            <w:pPr>
              <w:jc w:val="both"/>
            </w:pPr>
            <w:r>
              <w:t>30</w:t>
            </w:r>
          </w:p>
        </w:tc>
        <w:tc>
          <w:tcPr>
            <w:tcW w:w="0" w:type="auto"/>
            <w:hideMark/>
          </w:tcPr>
          <w:p w14:paraId="56248A90" w14:textId="77777777" w:rsidR="002D6281" w:rsidRPr="002D6281" w:rsidRDefault="002D6281" w:rsidP="002D6281">
            <w:pPr>
              <w:jc w:val="both"/>
            </w:pPr>
            <w:r>
              <w:t>26.8</w:t>
            </w:r>
          </w:p>
        </w:tc>
      </w:tr>
      <w:tr w:rsidR="002D6281" w:rsidRPr="002D6281" w14:paraId="283A66CE" w14:textId="77777777" w:rsidTr="002D6281">
        <w:tc>
          <w:tcPr>
            <w:tcW w:w="0" w:type="auto"/>
            <w:hideMark/>
          </w:tcPr>
          <w:p w14:paraId="278EC1EB" w14:textId="77777777" w:rsidR="002D6281" w:rsidRPr="002D6281" w:rsidRDefault="002D6281" w:rsidP="002D6281">
            <w:pPr>
              <w:jc w:val="both"/>
            </w:pPr>
          </w:p>
        </w:tc>
        <w:tc>
          <w:tcPr>
            <w:tcW w:w="0" w:type="auto"/>
            <w:hideMark/>
          </w:tcPr>
          <w:p w14:paraId="2AB20C45" w14:textId="77777777" w:rsidR="002D6281" w:rsidRPr="002D6281" w:rsidRDefault="002D6281" w:rsidP="002D6281">
            <w:pPr>
              <w:jc w:val="both"/>
            </w:pPr>
            <w:r>
              <w:t>4–6 years</w:t>
            </w:r>
          </w:p>
        </w:tc>
        <w:tc>
          <w:tcPr>
            <w:tcW w:w="0" w:type="auto"/>
            <w:hideMark/>
          </w:tcPr>
          <w:p w14:paraId="0B8D79E1" w14:textId="77777777" w:rsidR="002D6281" w:rsidRPr="002D6281" w:rsidRDefault="002D6281" w:rsidP="002D6281">
            <w:pPr>
              <w:jc w:val="both"/>
            </w:pPr>
            <w:r>
              <w:t>40</w:t>
            </w:r>
          </w:p>
        </w:tc>
        <w:tc>
          <w:tcPr>
            <w:tcW w:w="0" w:type="auto"/>
            <w:hideMark/>
          </w:tcPr>
          <w:p w14:paraId="4D8952CD" w14:textId="77777777" w:rsidR="002D6281" w:rsidRPr="002D6281" w:rsidRDefault="002D6281" w:rsidP="002D6281">
            <w:pPr>
              <w:jc w:val="both"/>
            </w:pPr>
            <w:r>
              <w:t>35.7</w:t>
            </w:r>
          </w:p>
        </w:tc>
      </w:tr>
      <w:tr w:rsidR="002D6281" w:rsidRPr="002D6281" w14:paraId="1D7AC1F9" w14:textId="77777777" w:rsidTr="002D6281">
        <w:tc>
          <w:tcPr>
            <w:tcW w:w="0" w:type="auto"/>
            <w:hideMark/>
          </w:tcPr>
          <w:p w14:paraId="6386A8A0" w14:textId="77777777" w:rsidR="002D6281" w:rsidRPr="002D6281" w:rsidRDefault="002D6281" w:rsidP="002D6281">
            <w:pPr>
              <w:jc w:val="both"/>
            </w:pPr>
          </w:p>
        </w:tc>
        <w:tc>
          <w:tcPr>
            <w:tcW w:w="0" w:type="auto"/>
            <w:hideMark/>
          </w:tcPr>
          <w:p w14:paraId="40000061" w14:textId="77777777" w:rsidR="002D6281" w:rsidRPr="002D6281" w:rsidRDefault="002D6281" w:rsidP="002D6281">
            <w:pPr>
              <w:jc w:val="both"/>
            </w:pPr>
            <w:r>
              <w:t>More than 6 years</w:t>
            </w:r>
          </w:p>
        </w:tc>
        <w:tc>
          <w:tcPr>
            <w:tcW w:w="0" w:type="auto"/>
            <w:hideMark/>
          </w:tcPr>
          <w:p w14:paraId="5B1B658C" w14:textId="77777777" w:rsidR="002D6281" w:rsidRPr="002D6281" w:rsidRDefault="002D6281" w:rsidP="002D6281">
            <w:pPr>
              <w:jc w:val="both"/>
            </w:pPr>
            <w:r>
              <w:t>42</w:t>
            </w:r>
          </w:p>
        </w:tc>
        <w:tc>
          <w:tcPr>
            <w:tcW w:w="0" w:type="auto"/>
            <w:hideMark/>
          </w:tcPr>
          <w:p w14:paraId="4513A3AB" w14:textId="77777777" w:rsidR="002D6281" w:rsidRPr="002D6281" w:rsidRDefault="002D6281" w:rsidP="002D6281">
            <w:pPr>
              <w:jc w:val="both"/>
            </w:pPr>
            <w:r>
              <w:t>37.5</w:t>
            </w:r>
          </w:p>
        </w:tc>
      </w:tr>
    </w:tbl>
    <w:p w14:paraId="097021B0" w14:textId="77777777" w:rsidR="002D6281" w:rsidRPr="002D6281" w:rsidRDefault="002D6281" w:rsidP="002D6281">
      <w:pPr>
        <w:jc w:val="right"/>
      </w:pPr>
      <w:r>
        <w:t>Sources: Author</w:t>
      </w:r>
    </w:p>
    <w:p w14:paraId="2DC90134" w14:textId="77777777" w:rsidR="002D6281" w:rsidRPr="00882F07" w:rsidRDefault="002D6281" w:rsidP="00882F07">
      <w:pPr>
        <w:rPr>
          <w:b/>
          <w:bCs/>
        </w:rPr>
      </w:pPr>
    </w:p>
    <w:p w14:paraId="133FFE70" w14:textId="77777777" w:rsidR="00882F07" w:rsidRPr="004B394D" w:rsidRDefault="00882F07" w:rsidP="00882F07">
      <w:pPr>
        <w:rPr>
          <w:b/>
          <w:bCs/>
          <w:i/>
          <w:iCs/>
        </w:rPr>
      </w:pPr>
      <w:r>
        <w:rPr>
          <w:b/>
          <w:bCs/>
          <w:i/>
          <w:iCs/>
        </w:rPr>
        <w:t>5.1 Measurement Model</w:t>
      </w:r>
    </w:p>
    <w:p w14:paraId="1910BA4C" w14:textId="77777777" w:rsidR="002D6281" w:rsidRPr="002D6281" w:rsidRDefault="002D6281" w:rsidP="00A37502">
      <w:pPr>
        <w:ind w:firstLine="720"/>
        <w:jc w:val="both"/>
      </w:pPr>
      <w:r>
        <w:t xml:space="preserve">Table 2 presents the results of the measurement model assessment, including indicator loadings, internal consistency reliability, convergent validity, and multicollinearity diagnostics for all constructs. Overall, the results demonstrate that the measurement model satisfies the recommended criteria for reliability and validity in PLS-SEM analysis </w:t>
      </w:r>
      <w:sdt>
        <w:sdtPr>
          <w:rPr>
            <w:color w:val="000000"/>
          </w:rPr>
          <w:tag w:val="MENDELEY_CITATION_v3_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"/>
          <w:id w:val="-2040035728"/>
          <w:placeholder>
            <w:docPart w:val="DefaultPlaceholder_-1854013440"/>
          </w:placeholder>
        </w:sdtPr>
        <w:sdtContent>
          <w:r>
            <w:rPr>
              <w:color w:val="000000"/>
            </w:rPr>
            <w:t>(Hair et al., 2011)</w:t>
          </w:r>
        </w:sdtContent>
      </w:sdt>
      <w:r>
        <w:t xml:space="preserve">. First, the indicator loadings for all items exceed the acceptable threshold of 0.70, with most values ranging from 0.79 to 0.90, indicating strong item reliability. Although one item (CC4 = 0.681) is slightly below the ideal threshold, it remains acceptable as it is close to 0.70 and does not adversely affect the overall construct reliability. This suggests that all indicators adequately represent their respective latent constructs. Second, internal consistency reliability is confirmed through Cronbach’s alpha and composite reliability (ρa and ρc). All constructs exhibit Cronbach’s alpha values above 0.80, ranging from 0.816 (CC) to 0.898 (TB), exceeding the recommended threshold of 0.70. Similarly, composite reliability values (ρc) range from 0.880 to 0.929, indicating a high level of internal consistency across all constructs. Third, convergent validity is established through the Average Variance Extracted (AVE). All constructs demonstrate AVE values above the recommended minimum of 0.50, ranging from 0.648 (CC) to 0.766 (TB), confirming that each construct explains more than half of the variance of its indicators. Finally, multicollinearity was assessed using Variance Inflation Factor (VIF) values. All VIF values are below the conservative threshold of 3.0, indicating that there are no significant collinearity issues among the indicators </w:t>
      </w:r>
      <w:sdt>
        <w:sdtPr>
          <w:rPr>
            <w:color w:val="000000"/>
          </w:rPr>
          <w:tag w:val="MENDELEY_CITATION_v3_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"/>
          <w:id w:val="1670986978"/>
          <w:placeholder>
            <w:docPart w:val="DefaultPlaceholder_-1854013440"/>
          </w:placeholder>
        </w:sdtPr>
        <w:sdtContent>
          <w:r>
            <w:rPr>
              <w:color w:val="000000"/>
            </w:rPr>
            <w:t>(Ooi &amp; Tan, 2016)</w:t>
          </w:r>
        </w:sdtContent>
      </w:sdt>
      <w:r>
        <w:t xml:space="preserve">. </w:t>
      </w:r>
    </w:p>
    <w:p w14:paraId="31C7C483" w14:textId="77777777" w:rsidR="004B394D" w:rsidRPr="004B394D" w:rsidRDefault="002D6281" w:rsidP="004B394D">
      <w:pPr>
        <w:rPr>
          <w:b/>
          <w:bCs/>
        </w:rPr>
      </w:pPr>
      <w:r>
        <w:rPr>
          <w:b/>
          <w:bCs/>
        </w:rPr>
        <w:t>Table 2</w:t>
      </w:r>
    </w:p>
    <w:p w14:paraId="57CA9354" w14:textId="77777777" w:rsidR="00882F07" w:rsidRPr="004B394D" w:rsidRDefault="002D6281" w:rsidP="004B394D">
      <w:pPr>
        <w:rPr>
          <w:i/>
          <w:iCs/>
        </w:rPr>
      </w:pPr>
      <w:r>
        <w:rPr>
          <w:i/>
          <w:iCs/>
        </w:rPr>
        <w:t>Indicator Loadings, Internal Consistency Reliability, Convergent Validity, and Multicollinearity Diagnostics for All Constructs</w:t>
      </w:r>
    </w:p>
    <w:tbl>
      <w:tblPr>
        <w:tblW w:w="7916" w:type="dxa"/>
        <w:jc w:val="center"/>
        <w:tblLook w:val="04A0" w:firstRow="1" w:lastRow="0" w:firstColumn="1" w:lastColumn="0" w:noHBand="0" w:noVBand="1"/>
      </w:tblPr>
      <w:tblGrid>
        <w:gridCol w:w="1072"/>
        <w:gridCol w:w="694"/>
        <w:gridCol w:w="1006"/>
        <w:gridCol w:w="1206"/>
        <w:gridCol w:w="1128"/>
        <w:gridCol w:w="1128"/>
        <w:gridCol w:w="1016"/>
        <w:gridCol w:w="666"/>
      </w:tblGrid>
      <w:tr w:rsidR="00CA15E3" w:rsidRPr="00CA15E3" w14:paraId="7783A70D" w14:textId="77777777" w:rsidTr="00A37502">
        <w:trPr>
          <w:trHeight w:val="1020"/>
          <w:jc w:val="center"/>
        </w:trPr>
        <w:tc>
          <w:tcPr>
            <w:tcW w:w="1072" w:type="dxa"/>
            <w:tcBorders>
              <w:top w:val="single" w:sz="4" w:space="0" w:color="auto"/>
              <w:left w:val="single" w:sz="4" w:space="0" w:color="auto"/>
              <w:bottom w:val="single" w:sz="4" w:space="0" w:color="auto"/>
              <w:right w:val="single" w:sz="4" w:space="0" w:color="auto"/>
            </w:tcBorders>
            <w:vAlign w:val="center"/>
            <w:hideMark/>
          </w:tcPr>
          <w:p w14:paraId="1182F122" w14:textId="77777777" w:rsidR="00CA15E3" w:rsidRPr="00CA15E3" w:rsidRDefault="00CA15E3" w:rsidP="00CA15E3">
            <w:pPr>
              <w:widowControl/>
              <w:autoSpaceDE/>
              <w:autoSpaceDN/>
              <w:rPr>
                <w:b/>
                <w:bCs/>
                <w:color w:val="000000"/>
                <w:sz w:val="20"/>
                <w:szCs w:val="20"/>
              </w:rPr>
            </w:pPr>
            <w:r>
              <w:rPr>
                <w:b/>
                <w:bCs/>
                <w:color w:val="000000"/>
                <w:sz w:val="20"/>
                <w:szCs w:val="20"/>
              </w:rPr>
              <w:t>Construct</w:t>
            </w:r>
          </w:p>
        </w:tc>
        <w:tc>
          <w:tcPr>
            <w:tcW w:w="694" w:type="dxa"/>
            <w:tcBorders>
              <w:top w:val="single" w:sz="4" w:space="0" w:color="auto"/>
              <w:left w:val="nil"/>
              <w:bottom w:val="single" w:sz="4" w:space="0" w:color="auto"/>
              <w:right w:val="single" w:sz="4" w:space="0" w:color="auto"/>
            </w:tcBorders>
            <w:vAlign w:val="center"/>
            <w:hideMark/>
          </w:tcPr>
          <w:p w14:paraId="6769633E" w14:textId="77777777" w:rsidR="00CA15E3" w:rsidRPr="00CA15E3" w:rsidRDefault="00CA15E3" w:rsidP="00CA15E3">
            <w:pPr>
              <w:widowControl/>
              <w:autoSpaceDE/>
              <w:autoSpaceDN/>
              <w:rPr>
                <w:b/>
                <w:bCs/>
                <w:color w:val="000000"/>
                <w:sz w:val="20"/>
                <w:szCs w:val="20"/>
              </w:rPr>
            </w:pPr>
            <w:r>
              <w:rPr>
                <w:b/>
                <w:bCs/>
                <w:color w:val="000000"/>
                <w:sz w:val="20"/>
                <w:szCs w:val="20"/>
              </w:rPr>
              <w:t>Items</w:t>
            </w:r>
          </w:p>
        </w:tc>
        <w:tc>
          <w:tcPr>
            <w:tcW w:w="1006" w:type="dxa"/>
            <w:tcBorders>
              <w:top w:val="single" w:sz="4" w:space="0" w:color="auto"/>
              <w:left w:val="nil"/>
              <w:bottom w:val="single" w:sz="4" w:space="0" w:color="auto"/>
              <w:right w:val="single" w:sz="4" w:space="0" w:color="auto"/>
            </w:tcBorders>
            <w:vAlign w:val="center"/>
            <w:hideMark/>
          </w:tcPr>
          <w:p w14:paraId="51111CB6" w14:textId="77777777" w:rsidR="00CA15E3" w:rsidRPr="00CA15E3" w:rsidRDefault="00CA15E3" w:rsidP="00CA15E3">
            <w:pPr>
              <w:widowControl/>
              <w:autoSpaceDE/>
              <w:autoSpaceDN/>
              <w:rPr>
                <w:b/>
                <w:bCs/>
                <w:color w:val="000000"/>
                <w:sz w:val="20"/>
                <w:szCs w:val="20"/>
              </w:rPr>
            </w:pPr>
            <w:r>
              <w:rPr>
                <w:b/>
                <w:bCs/>
                <w:color w:val="000000"/>
                <w:sz w:val="20"/>
                <w:szCs w:val="20"/>
              </w:rPr>
              <w:t>Loadings</w:t>
            </w:r>
          </w:p>
        </w:tc>
        <w:tc>
          <w:tcPr>
            <w:tcW w:w="1206" w:type="dxa"/>
            <w:tcBorders>
              <w:top w:val="single" w:sz="4" w:space="0" w:color="auto"/>
              <w:left w:val="nil"/>
              <w:bottom w:val="single" w:sz="4" w:space="0" w:color="auto"/>
              <w:right w:val="single" w:sz="4" w:space="0" w:color="auto"/>
            </w:tcBorders>
            <w:vAlign w:val="center"/>
            <w:hideMark/>
          </w:tcPr>
          <w:p w14:paraId="18874E22" w14:textId="77777777" w:rsidR="00CA15E3" w:rsidRPr="00CA15E3" w:rsidRDefault="00CA15E3" w:rsidP="00CA15E3">
            <w:pPr>
              <w:widowControl/>
              <w:autoSpaceDE/>
              <w:autoSpaceDN/>
              <w:jc w:val="right"/>
              <w:rPr>
                <w:b/>
                <w:bCs/>
                <w:color w:val="000000"/>
                <w:sz w:val="20"/>
                <w:szCs w:val="20"/>
              </w:rPr>
            </w:pPr>
            <w:r>
              <w:rPr>
                <w:b/>
                <w:bCs/>
                <w:color w:val="000000"/>
                <w:sz w:val="20"/>
                <w:szCs w:val="20"/>
              </w:rPr>
              <w:t>Cronbach's alpha</w:t>
            </w:r>
          </w:p>
        </w:tc>
        <w:tc>
          <w:tcPr>
            <w:tcW w:w="1128" w:type="dxa"/>
            <w:tcBorders>
              <w:top w:val="single" w:sz="4" w:space="0" w:color="auto"/>
              <w:left w:val="nil"/>
              <w:bottom w:val="single" w:sz="4" w:space="0" w:color="auto"/>
              <w:right w:val="single" w:sz="4" w:space="0" w:color="auto"/>
            </w:tcBorders>
            <w:vAlign w:val="center"/>
            <w:hideMark/>
          </w:tcPr>
          <w:p w14:paraId="19CD23EE" w14:textId="77777777" w:rsidR="00CA15E3" w:rsidRPr="00CA15E3" w:rsidRDefault="00CA15E3" w:rsidP="00CA15E3">
            <w:pPr>
              <w:widowControl/>
              <w:autoSpaceDE/>
              <w:autoSpaceDN/>
              <w:jc w:val="right"/>
              <w:rPr>
                <w:b/>
                <w:bCs/>
                <w:color w:val="000000"/>
                <w:sz w:val="20"/>
                <w:szCs w:val="20"/>
              </w:rPr>
            </w:pPr>
            <w:r>
              <w:rPr>
                <w:b/>
                <w:bCs/>
                <w:color w:val="000000"/>
                <w:sz w:val="20"/>
                <w:szCs w:val="20"/>
              </w:rPr>
              <w:t>Composite reliability (rho_a)</w:t>
            </w:r>
          </w:p>
        </w:tc>
        <w:tc>
          <w:tcPr>
            <w:tcW w:w="1128" w:type="dxa"/>
            <w:tcBorders>
              <w:top w:val="single" w:sz="4" w:space="0" w:color="auto"/>
              <w:left w:val="nil"/>
              <w:bottom w:val="single" w:sz="4" w:space="0" w:color="auto"/>
              <w:right w:val="single" w:sz="4" w:space="0" w:color="auto"/>
            </w:tcBorders>
            <w:vAlign w:val="center"/>
            <w:hideMark/>
          </w:tcPr>
          <w:p w14:paraId="6DE81010" w14:textId="77777777" w:rsidR="00CA15E3" w:rsidRPr="00CA15E3" w:rsidRDefault="00CA15E3" w:rsidP="00CA15E3">
            <w:pPr>
              <w:widowControl/>
              <w:autoSpaceDE/>
              <w:autoSpaceDN/>
              <w:jc w:val="right"/>
              <w:rPr>
                <w:b/>
                <w:bCs/>
                <w:color w:val="000000"/>
                <w:sz w:val="20"/>
                <w:szCs w:val="20"/>
              </w:rPr>
            </w:pPr>
            <w:r>
              <w:rPr>
                <w:b/>
                <w:bCs/>
                <w:color w:val="000000"/>
                <w:sz w:val="20"/>
                <w:szCs w:val="20"/>
              </w:rPr>
              <w:t>Composite reliability (rho_c)</w:t>
            </w:r>
          </w:p>
        </w:tc>
        <w:tc>
          <w:tcPr>
            <w:tcW w:w="1016" w:type="dxa"/>
            <w:tcBorders>
              <w:top w:val="single" w:sz="4" w:space="0" w:color="auto"/>
              <w:left w:val="nil"/>
              <w:bottom w:val="single" w:sz="4" w:space="0" w:color="auto"/>
              <w:right w:val="single" w:sz="4" w:space="0" w:color="auto"/>
            </w:tcBorders>
            <w:vAlign w:val="center"/>
            <w:hideMark/>
          </w:tcPr>
          <w:p w14:paraId="7ABD3543" w14:textId="77777777" w:rsidR="00CA15E3" w:rsidRPr="00CA15E3" w:rsidRDefault="00CA15E3" w:rsidP="00CA15E3">
            <w:pPr>
              <w:widowControl/>
              <w:autoSpaceDE/>
              <w:autoSpaceDN/>
              <w:jc w:val="right"/>
              <w:rPr>
                <w:b/>
                <w:bCs/>
                <w:color w:val="000000"/>
                <w:sz w:val="20"/>
                <w:szCs w:val="20"/>
              </w:rPr>
            </w:pPr>
            <w:r>
              <w:rPr>
                <w:b/>
                <w:bCs/>
                <w:color w:val="000000"/>
                <w:sz w:val="20"/>
                <w:szCs w:val="20"/>
              </w:rPr>
              <w:t>Average variance extracted (AVE)</w:t>
            </w:r>
          </w:p>
        </w:tc>
        <w:tc>
          <w:tcPr>
            <w:tcW w:w="666" w:type="dxa"/>
            <w:tcBorders>
              <w:top w:val="single" w:sz="4" w:space="0" w:color="auto"/>
              <w:left w:val="nil"/>
              <w:bottom w:val="single" w:sz="4" w:space="0" w:color="auto"/>
              <w:right w:val="single" w:sz="4" w:space="0" w:color="auto"/>
            </w:tcBorders>
            <w:vAlign w:val="center"/>
            <w:hideMark/>
          </w:tcPr>
          <w:p w14:paraId="47B14A7E" w14:textId="77777777" w:rsidR="00CA15E3" w:rsidRPr="00CA15E3" w:rsidRDefault="00CA15E3" w:rsidP="00CA15E3">
            <w:pPr>
              <w:widowControl/>
              <w:autoSpaceDE/>
              <w:autoSpaceDN/>
              <w:jc w:val="right"/>
              <w:rPr>
                <w:b/>
                <w:bCs/>
                <w:color w:val="000000"/>
                <w:sz w:val="20"/>
                <w:szCs w:val="20"/>
              </w:rPr>
            </w:pPr>
            <w:r>
              <w:rPr>
                <w:b/>
                <w:bCs/>
                <w:color w:val="000000"/>
                <w:sz w:val="20"/>
                <w:szCs w:val="20"/>
              </w:rPr>
              <w:t>VIF</w:t>
            </w:r>
          </w:p>
        </w:tc>
      </w:tr>
      <w:tr w:rsidR="00CA15E3" w:rsidRPr="00CA15E3" w14:paraId="45A5263D"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10AC916A" w14:textId="77777777" w:rsidR="00CA15E3" w:rsidRPr="00CA15E3" w:rsidRDefault="00CA15E3" w:rsidP="00CA15E3">
            <w:pPr>
              <w:widowControl/>
              <w:autoSpaceDE/>
              <w:autoSpaceDN/>
              <w:rPr>
                <w:b/>
                <w:bCs/>
                <w:color w:val="000000"/>
                <w:sz w:val="20"/>
                <w:szCs w:val="20"/>
              </w:rPr>
            </w:pPr>
            <w:r>
              <w:rPr>
                <w:b/>
                <w:bCs/>
                <w:color w:val="000000"/>
                <w:sz w:val="20"/>
                <w:szCs w:val="20"/>
              </w:rPr>
              <w:t>CC</w:t>
            </w:r>
          </w:p>
        </w:tc>
        <w:tc>
          <w:tcPr>
            <w:tcW w:w="694" w:type="dxa"/>
            <w:tcBorders>
              <w:top w:val="nil"/>
              <w:left w:val="nil"/>
              <w:bottom w:val="single" w:sz="4" w:space="0" w:color="auto"/>
              <w:right w:val="single" w:sz="4" w:space="0" w:color="auto"/>
            </w:tcBorders>
            <w:vAlign w:val="center"/>
            <w:hideMark/>
          </w:tcPr>
          <w:p w14:paraId="4753545E" w14:textId="77777777" w:rsidR="00CA15E3" w:rsidRPr="00CA15E3" w:rsidRDefault="00CA15E3" w:rsidP="00CA15E3">
            <w:pPr>
              <w:widowControl/>
              <w:autoSpaceDE/>
              <w:autoSpaceDN/>
              <w:rPr>
                <w:b/>
                <w:bCs/>
                <w:color w:val="000000"/>
                <w:sz w:val="20"/>
                <w:szCs w:val="20"/>
              </w:rPr>
            </w:pPr>
            <w:r>
              <w:rPr>
                <w:b/>
                <w:bCs/>
                <w:color w:val="000000"/>
                <w:sz w:val="20"/>
                <w:szCs w:val="20"/>
              </w:rPr>
              <w:t>CC1</w:t>
            </w:r>
          </w:p>
        </w:tc>
        <w:tc>
          <w:tcPr>
            <w:tcW w:w="1006" w:type="dxa"/>
            <w:tcBorders>
              <w:top w:val="nil"/>
              <w:left w:val="nil"/>
              <w:bottom w:val="single" w:sz="4" w:space="0" w:color="auto"/>
              <w:right w:val="single" w:sz="4" w:space="0" w:color="auto"/>
            </w:tcBorders>
            <w:vAlign w:val="center"/>
            <w:hideMark/>
          </w:tcPr>
          <w:p w14:paraId="62D87137" w14:textId="77777777" w:rsidR="00CA15E3" w:rsidRPr="00CA15E3" w:rsidRDefault="00CA15E3" w:rsidP="00CA15E3">
            <w:pPr>
              <w:widowControl/>
              <w:autoSpaceDE/>
              <w:autoSpaceDN/>
              <w:jc w:val="right"/>
              <w:rPr>
                <w:color w:val="000000"/>
                <w:sz w:val="20"/>
                <w:szCs w:val="20"/>
              </w:rPr>
            </w:pPr>
            <w:r>
              <w:rPr>
                <w:color w:val="000000"/>
                <w:sz w:val="20"/>
                <w:szCs w:val="20"/>
              </w:rPr>
              <w:t>0.829</w:t>
            </w:r>
          </w:p>
        </w:tc>
        <w:tc>
          <w:tcPr>
            <w:tcW w:w="1206" w:type="dxa"/>
            <w:tcBorders>
              <w:top w:val="nil"/>
              <w:left w:val="nil"/>
              <w:bottom w:val="single" w:sz="4" w:space="0" w:color="auto"/>
              <w:right w:val="single" w:sz="4" w:space="0" w:color="auto"/>
            </w:tcBorders>
            <w:vAlign w:val="center"/>
            <w:hideMark/>
          </w:tcPr>
          <w:p w14:paraId="247C275E" w14:textId="77777777" w:rsidR="00CA15E3" w:rsidRPr="00CA15E3" w:rsidRDefault="00CA15E3" w:rsidP="00CA15E3">
            <w:pPr>
              <w:widowControl/>
              <w:autoSpaceDE/>
              <w:autoSpaceDN/>
              <w:jc w:val="right"/>
              <w:rPr>
                <w:color w:val="000000"/>
                <w:sz w:val="20"/>
                <w:szCs w:val="20"/>
              </w:rPr>
            </w:pPr>
            <w:r>
              <w:rPr>
                <w:color w:val="000000"/>
                <w:sz w:val="20"/>
                <w:szCs w:val="20"/>
              </w:rPr>
              <w:t>0.816</w:t>
            </w:r>
          </w:p>
        </w:tc>
        <w:tc>
          <w:tcPr>
            <w:tcW w:w="1128" w:type="dxa"/>
            <w:tcBorders>
              <w:top w:val="nil"/>
              <w:left w:val="nil"/>
              <w:bottom w:val="single" w:sz="4" w:space="0" w:color="auto"/>
              <w:right w:val="single" w:sz="4" w:space="0" w:color="auto"/>
            </w:tcBorders>
            <w:vAlign w:val="center"/>
            <w:hideMark/>
          </w:tcPr>
          <w:p w14:paraId="49FF1990" w14:textId="77777777" w:rsidR="00CA15E3" w:rsidRPr="00CA15E3" w:rsidRDefault="00CA15E3" w:rsidP="00CA15E3">
            <w:pPr>
              <w:widowControl/>
              <w:autoSpaceDE/>
              <w:autoSpaceDN/>
              <w:jc w:val="right"/>
              <w:rPr>
                <w:color w:val="000000"/>
                <w:sz w:val="20"/>
                <w:szCs w:val="20"/>
              </w:rPr>
            </w:pPr>
            <w:r>
              <w:rPr>
                <w:color w:val="000000"/>
                <w:sz w:val="20"/>
                <w:szCs w:val="20"/>
              </w:rPr>
              <w:t>0.820</w:t>
            </w:r>
          </w:p>
        </w:tc>
        <w:tc>
          <w:tcPr>
            <w:tcW w:w="1128" w:type="dxa"/>
            <w:tcBorders>
              <w:top w:val="nil"/>
              <w:left w:val="nil"/>
              <w:bottom w:val="single" w:sz="4" w:space="0" w:color="auto"/>
              <w:right w:val="single" w:sz="4" w:space="0" w:color="auto"/>
            </w:tcBorders>
            <w:vAlign w:val="center"/>
            <w:hideMark/>
          </w:tcPr>
          <w:p w14:paraId="5A84900A" w14:textId="77777777" w:rsidR="00CA15E3" w:rsidRPr="00CA15E3" w:rsidRDefault="00CA15E3" w:rsidP="00CA15E3">
            <w:pPr>
              <w:widowControl/>
              <w:autoSpaceDE/>
              <w:autoSpaceDN/>
              <w:jc w:val="right"/>
              <w:rPr>
                <w:color w:val="000000"/>
                <w:sz w:val="20"/>
                <w:szCs w:val="20"/>
              </w:rPr>
            </w:pPr>
            <w:r>
              <w:rPr>
                <w:color w:val="000000"/>
                <w:sz w:val="20"/>
                <w:szCs w:val="20"/>
              </w:rPr>
              <w:t>0.880</w:t>
            </w:r>
          </w:p>
        </w:tc>
        <w:tc>
          <w:tcPr>
            <w:tcW w:w="1016" w:type="dxa"/>
            <w:tcBorders>
              <w:top w:val="nil"/>
              <w:left w:val="nil"/>
              <w:bottom w:val="single" w:sz="4" w:space="0" w:color="auto"/>
              <w:right w:val="single" w:sz="4" w:space="0" w:color="auto"/>
            </w:tcBorders>
            <w:vAlign w:val="center"/>
            <w:hideMark/>
          </w:tcPr>
          <w:p w14:paraId="2A96AA99" w14:textId="77777777" w:rsidR="00CA15E3" w:rsidRPr="00CA15E3" w:rsidRDefault="00CA15E3" w:rsidP="00CA15E3">
            <w:pPr>
              <w:widowControl/>
              <w:autoSpaceDE/>
              <w:autoSpaceDN/>
              <w:jc w:val="right"/>
              <w:rPr>
                <w:color w:val="000000"/>
                <w:sz w:val="20"/>
                <w:szCs w:val="20"/>
              </w:rPr>
            </w:pPr>
            <w:r>
              <w:rPr>
                <w:color w:val="000000"/>
                <w:sz w:val="20"/>
                <w:szCs w:val="20"/>
              </w:rPr>
              <w:t>0.648</w:t>
            </w:r>
          </w:p>
        </w:tc>
        <w:tc>
          <w:tcPr>
            <w:tcW w:w="666" w:type="dxa"/>
            <w:tcBorders>
              <w:top w:val="nil"/>
              <w:left w:val="nil"/>
              <w:bottom w:val="single" w:sz="4" w:space="0" w:color="auto"/>
              <w:right w:val="single" w:sz="4" w:space="0" w:color="auto"/>
            </w:tcBorders>
            <w:vAlign w:val="center"/>
            <w:hideMark/>
          </w:tcPr>
          <w:p w14:paraId="711B76B0" w14:textId="77777777" w:rsidR="00CA15E3" w:rsidRPr="00CA15E3" w:rsidRDefault="00CA15E3" w:rsidP="00CA15E3">
            <w:pPr>
              <w:widowControl/>
              <w:autoSpaceDE/>
              <w:autoSpaceDN/>
              <w:jc w:val="right"/>
              <w:rPr>
                <w:color w:val="000000"/>
                <w:sz w:val="20"/>
                <w:szCs w:val="20"/>
              </w:rPr>
            </w:pPr>
            <w:r>
              <w:rPr>
                <w:color w:val="000000"/>
                <w:sz w:val="20"/>
                <w:szCs w:val="20"/>
              </w:rPr>
              <w:t>2.157</w:t>
            </w:r>
          </w:p>
        </w:tc>
      </w:tr>
      <w:tr w:rsidR="00CA15E3" w:rsidRPr="00CA15E3" w14:paraId="61D1111C"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6BB8C601" w14:textId="77777777" w:rsidR="00CA15E3" w:rsidRPr="00CA15E3" w:rsidRDefault="00CA15E3" w:rsidP="00CA15E3">
            <w:pPr>
              <w:widowControl/>
              <w:autoSpaceDE/>
              <w:autoSpaceDN/>
              <w:rPr>
                <w:b/>
                <w:bCs/>
                <w:color w:val="000000"/>
                <w:sz w:val="20"/>
                <w:szCs w:val="20"/>
              </w:rPr>
            </w:pPr>
            <w:r>
              <w:rPr>
                <w:b/>
                <w:bCs/>
                <w:color w:val="000000"/>
                <w:sz w:val="20"/>
                <w:szCs w:val="20"/>
              </w:rPr>
              <w:t> </w:t>
            </w:r>
          </w:p>
        </w:tc>
        <w:tc>
          <w:tcPr>
            <w:tcW w:w="694" w:type="dxa"/>
            <w:tcBorders>
              <w:top w:val="nil"/>
              <w:left w:val="nil"/>
              <w:bottom w:val="single" w:sz="4" w:space="0" w:color="auto"/>
              <w:right w:val="single" w:sz="4" w:space="0" w:color="auto"/>
            </w:tcBorders>
            <w:vAlign w:val="center"/>
            <w:hideMark/>
          </w:tcPr>
          <w:p w14:paraId="2A90F805" w14:textId="77777777" w:rsidR="00CA15E3" w:rsidRPr="00CA15E3" w:rsidRDefault="00CA15E3" w:rsidP="00CA15E3">
            <w:pPr>
              <w:widowControl/>
              <w:autoSpaceDE/>
              <w:autoSpaceDN/>
              <w:rPr>
                <w:b/>
                <w:bCs/>
                <w:color w:val="000000"/>
                <w:sz w:val="20"/>
                <w:szCs w:val="20"/>
              </w:rPr>
            </w:pPr>
            <w:r>
              <w:rPr>
                <w:b/>
                <w:bCs/>
                <w:color w:val="000000"/>
                <w:sz w:val="20"/>
                <w:szCs w:val="20"/>
              </w:rPr>
              <w:t>CC2</w:t>
            </w:r>
          </w:p>
        </w:tc>
        <w:tc>
          <w:tcPr>
            <w:tcW w:w="1006" w:type="dxa"/>
            <w:tcBorders>
              <w:top w:val="nil"/>
              <w:left w:val="nil"/>
              <w:bottom w:val="single" w:sz="4" w:space="0" w:color="auto"/>
              <w:right w:val="single" w:sz="4" w:space="0" w:color="auto"/>
            </w:tcBorders>
            <w:vAlign w:val="center"/>
            <w:hideMark/>
          </w:tcPr>
          <w:p w14:paraId="1687A1C6" w14:textId="77777777" w:rsidR="00CA15E3" w:rsidRPr="00CA15E3" w:rsidRDefault="00CA15E3" w:rsidP="00CA15E3">
            <w:pPr>
              <w:widowControl/>
              <w:autoSpaceDE/>
              <w:autoSpaceDN/>
              <w:jc w:val="right"/>
              <w:rPr>
                <w:color w:val="000000"/>
                <w:sz w:val="20"/>
                <w:szCs w:val="20"/>
              </w:rPr>
            </w:pPr>
            <w:r>
              <w:rPr>
                <w:color w:val="000000"/>
                <w:sz w:val="20"/>
                <w:szCs w:val="20"/>
              </w:rPr>
              <w:t>0.820</w:t>
            </w:r>
          </w:p>
        </w:tc>
        <w:tc>
          <w:tcPr>
            <w:tcW w:w="1206" w:type="dxa"/>
            <w:tcBorders>
              <w:top w:val="nil"/>
              <w:left w:val="nil"/>
              <w:bottom w:val="single" w:sz="4" w:space="0" w:color="auto"/>
              <w:right w:val="single" w:sz="4" w:space="0" w:color="auto"/>
            </w:tcBorders>
            <w:vAlign w:val="center"/>
            <w:hideMark/>
          </w:tcPr>
          <w:p w14:paraId="6C55E71E"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369060F6"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5BE488F8"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vAlign w:val="center"/>
            <w:hideMark/>
          </w:tcPr>
          <w:p w14:paraId="6967767F"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4139CF43" w14:textId="77777777" w:rsidR="00CA15E3" w:rsidRPr="00CA15E3" w:rsidRDefault="00CA15E3" w:rsidP="00CA15E3">
            <w:pPr>
              <w:widowControl/>
              <w:autoSpaceDE/>
              <w:autoSpaceDN/>
              <w:jc w:val="right"/>
              <w:rPr>
                <w:color w:val="000000"/>
                <w:sz w:val="20"/>
                <w:szCs w:val="20"/>
              </w:rPr>
            </w:pPr>
            <w:r>
              <w:rPr>
                <w:color w:val="000000"/>
                <w:sz w:val="20"/>
                <w:szCs w:val="20"/>
              </w:rPr>
              <w:t>2.086</w:t>
            </w:r>
          </w:p>
        </w:tc>
      </w:tr>
      <w:tr w:rsidR="00CA15E3" w:rsidRPr="00CA15E3" w14:paraId="5DE843A1"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2C8A3BDC" w14:textId="77777777" w:rsidR="00CA15E3" w:rsidRPr="00CA15E3" w:rsidRDefault="00CA15E3" w:rsidP="00CA15E3">
            <w:pPr>
              <w:widowControl/>
              <w:autoSpaceDE/>
              <w:autoSpaceDN/>
              <w:rPr>
                <w:b/>
                <w:bCs/>
                <w:color w:val="000000"/>
                <w:sz w:val="20"/>
                <w:szCs w:val="20"/>
              </w:rPr>
            </w:pPr>
            <w:r>
              <w:rPr>
                <w:b/>
                <w:bCs/>
                <w:color w:val="000000"/>
                <w:sz w:val="20"/>
                <w:szCs w:val="20"/>
              </w:rPr>
              <w:t> </w:t>
            </w:r>
          </w:p>
        </w:tc>
        <w:tc>
          <w:tcPr>
            <w:tcW w:w="694" w:type="dxa"/>
            <w:tcBorders>
              <w:top w:val="nil"/>
              <w:left w:val="nil"/>
              <w:bottom w:val="single" w:sz="4" w:space="0" w:color="auto"/>
              <w:right w:val="single" w:sz="4" w:space="0" w:color="auto"/>
            </w:tcBorders>
            <w:vAlign w:val="center"/>
            <w:hideMark/>
          </w:tcPr>
          <w:p w14:paraId="4E2734D9" w14:textId="77777777" w:rsidR="00CA15E3" w:rsidRPr="00CA15E3" w:rsidRDefault="00CA15E3" w:rsidP="00CA15E3">
            <w:pPr>
              <w:widowControl/>
              <w:autoSpaceDE/>
              <w:autoSpaceDN/>
              <w:rPr>
                <w:b/>
                <w:bCs/>
                <w:color w:val="000000"/>
                <w:sz w:val="20"/>
                <w:szCs w:val="20"/>
              </w:rPr>
            </w:pPr>
            <w:r>
              <w:rPr>
                <w:b/>
                <w:bCs/>
                <w:color w:val="000000"/>
                <w:sz w:val="20"/>
                <w:szCs w:val="20"/>
              </w:rPr>
              <w:t>CC3</w:t>
            </w:r>
          </w:p>
        </w:tc>
        <w:tc>
          <w:tcPr>
            <w:tcW w:w="1006" w:type="dxa"/>
            <w:tcBorders>
              <w:top w:val="nil"/>
              <w:left w:val="nil"/>
              <w:bottom w:val="single" w:sz="4" w:space="0" w:color="auto"/>
              <w:right w:val="single" w:sz="4" w:space="0" w:color="auto"/>
            </w:tcBorders>
            <w:vAlign w:val="center"/>
            <w:hideMark/>
          </w:tcPr>
          <w:p w14:paraId="51233F13" w14:textId="77777777" w:rsidR="00CA15E3" w:rsidRPr="00CA15E3" w:rsidRDefault="00CA15E3" w:rsidP="00CA15E3">
            <w:pPr>
              <w:widowControl/>
              <w:autoSpaceDE/>
              <w:autoSpaceDN/>
              <w:jc w:val="right"/>
              <w:rPr>
                <w:color w:val="000000"/>
                <w:sz w:val="20"/>
                <w:szCs w:val="20"/>
              </w:rPr>
            </w:pPr>
            <w:r>
              <w:rPr>
                <w:color w:val="000000"/>
                <w:sz w:val="20"/>
                <w:szCs w:val="20"/>
              </w:rPr>
              <w:t>0.877</w:t>
            </w:r>
          </w:p>
        </w:tc>
        <w:tc>
          <w:tcPr>
            <w:tcW w:w="1206" w:type="dxa"/>
            <w:tcBorders>
              <w:top w:val="nil"/>
              <w:left w:val="nil"/>
              <w:bottom w:val="single" w:sz="4" w:space="0" w:color="auto"/>
              <w:right w:val="single" w:sz="4" w:space="0" w:color="auto"/>
            </w:tcBorders>
            <w:vAlign w:val="center"/>
            <w:hideMark/>
          </w:tcPr>
          <w:p w14:paraId="5037985D"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7FDD072A"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5D68DF3A"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vAlign w:val="center"/>
            <w:hideMark/>
          </w:tcPr>
          <w:p w14:paraId="1B488F69"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49B272BB" w14:textId="77777777" w:rsidR="00CA15E3" w:rsidRPr="00CA15E3" w:rsidRDefault="00CA15E3" w:rsidP="00CA15E3">
            <w:pPr>
              <w:widowControl/>
              <w:autoSpaceDE/>
              <w:autoSpaceDN/>
              <w:jc w:val="right"/>
              <w:rPr>
                <w:color w:val="000000"/>
                <w:sz w:val="20"/>
                <w:szCs w:val="20"/>
              </w:rPr>
            </w:pPr>
            <w:r>
              <w:rPr>
                <w:color w:val="000000"/>
                <w:sz w:val="20"/>
                <w:szCs w:val="20"/>
              </w:rPr>
              <w:t>2.675</w:t>
            </w:r>
          </w:p>
        </w:tc>
      </w:tr>
      <w:tr w:rsidR="00CA15E3" w:rsidRPr="00CA15E3" w14:paraId="0DF26B60"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32774D35" w14:textId="77777777" w:rsidR="00CA15E3" w:rsidRPr="00CA15E3" w:rsidRDefault="00CA15E3" w:rsidP="00CA15E3">
            <w:pPr>
              <w:widowControl/>
              <w:autoSpaceDE/>
              <w:autoSpaceDN/>
              <w:rPr>
                <w:b/>
                <w:bCs/>
                <w:color w:val="000000"/>
                <w:sz w:val="20"/>
                <w:szCs w:val="20"/>
              </w:rPr>
            </w:pPr>
            <w:r>
              <w:rPr>
                <w:b/>
                <w:bCs/>
                <w:color w:val="000000"/>
                <w:sz w:val="20"/>
                <w:szCs w:val="20"/>
              </w:rPr>
              <w:t> </w:t>
            </w:r>
          </w:p>
        </w:tc>
        <w:tc>
          <w:tcPr>
            <w:tcW w:w="694" w:type="dxa"/>
            <w:tcBorders>
              <w:top w:val="nil"/>
              <w:left w:val="nil"/>
              <w:bottom w:val="single" w:sz="4" w:space="0" w:color="auto"/>
              <w:right w:val="single" w:sz="4" w:space="0" w:color="auto"/>
            </w:tcBorders>
            <w:vAlign w:val="center"/>
            <w:hideMark/>
          </w:tcPr>
          <w:p w14:paraId="25D9BC4D" w14:textId="77777777" w:rsidR="00CA15E3" w:rsidRPr="00CA15E3" w:rsidRDefault="00CA15E3" w:rsidP="00CA15E3">
            <w:pPr>
              <w:widowControl/>
              <w:autoSpaceDE/>
              <w:autoSpaceDN/>
              <w:rPr>
                <w:b/>
                <w:bCs/>
                <w:color w:val="000000"/>
                <w:sz w:val="20"/>
                <w:szCs w:val="20"/>
              </w:rPr>
            </w:pPr>
            <w:r>
              <w:rPr>
                <w:b/>
                <w:bCs/>
                <w:color w:val="000000"/>
                <w:sz w:val="20"/>
                <w:szCs w:val="20"/>
              </w:rPr>
              <w:t>CC4</w:t>
            </w:r>
          </w:p>
        </w:tc>
        <w:tc>
          <w:tcPr>
            <w:tcW w:w="1006" w:type="dxa"/>
            <w:tcBorders>
              <w:top w:val="nil"/>
              <w:left w:val="nil"/>
              <w:bottom w:val="single" w:sz="4" w:space="0" w:color="auto"/>
              <w:right w:val="single" w:sz="4" w:space="0" w:color="auto"/>
            </w:tcBorders>
            <w:vAlign w:val="center"/>
            <w:hideMark/>
          </w:tcPr>
          <w:p w14:paraId="2D19ABD8" w14:textId="77777777" w:rsidR="00CA15E3" w:rsidRPr="00CA15E3" w:rsidRDefault="00CA15E3" w:rsidP="00CA15E3">
            <w:pPr>
              <w:widowControl/>
              <w:autoSpaceDE/>
              <w:autoSpaceDN/>
              <w:jc w:val="right"/>
              <w:rPr>
                <w:color w:val="000000"/>
                <w:sz w:val="20"/>
                <w:szCs w:val="20"/>
              </w:rPr>
            </w:pPr>
            <w:r>
              <w:rPr>
                <w:color w:val="000000"/>
                <w:sz w:val="20"/>
                <w:szCs w:val="20"/>
              </w:rPr>
              <w:t>0.681</w:t>
            </w:r>
          </w:p>
        </w:tc>
        <w:tc>
          <w:tcPr>
            <w:tcW w:w="1206" w:type="dxa"/>
            <w:tcBorders>
              <w:top w:val="nil"/>
              <w:left w:val="nil"/>
              <w:bottom w:val="single" w:sz="4" w:space="0" w:color="auto"/>
              <w:right w:val="single" w:sz="4" w:space="0" w:color="auto"/>
            </w:tcBorders>
            <w:vAlign w:val="center"/>
            <w:hideMark/>
          </w:tcPr>
          <w:p w14:paraId="4CE23717"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1D683AFC"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42AB8FEB"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vAlign w:val="center"/>
            <w:hideMark/>
          </w:tcPr>
          <w:p w14:paraId="4ABCF0F4"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4D749E86" w14:textId="77777777" w:rsidR="00CA15E3" w:rsidRPr="00CA15E3" w:rsidRDefault="00CA15E3" w:rsidP="00CA15E3">
            <w:pPr>
              <w:widowControl/>
              <w:autoSpaceDE/>
              <w:autoSpaceDN/>
              <w:jc w:val="right"/>
              <w:rPr>
                <w:color w:val="000000"/>
                <w:sz w:val="20"/>
                <w:szCs w:val="20"/>
              </w:rPr>
            </w:pPr>
            <w:r>
              <w:rPr>
                <w:color w:val="000000"/>
                <w:sz w:val="20"/>
                <w:szCs w:val="20"/>
              </w:rPr>
              <w:t>1.240</w:t>
            </w:r>
          </w:p>
        </w:tc>
      </w:tr>
      <w:tr w:rsidR="00CA15E3" w:rsidRPr="00CA15E3" w14:paraId="3AF90E7D"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280DFC8C" w14:textId="77777777" w:rsidR="00CA15E3" w:rsidRPr="00CA15E3" w:rsidRDefault="00CA15E3" w:rsidP="00CA15E3">
            <w:pPr>
              <w:widowControl/>
              <w:autoSpaceDE/>
              <w:autoSpaceDN/>
              <w:rPr>
                <w:b/>
                <w:bCs/>
                <w:color w:val="000000"/>
                <w:sz w:val="20"/>
                <w:szCs w:val="20"/>
              </w:rPr>
            </w:pPr>
            <w:r>
              <w:rPr>
                <w:b/>
                <w:bCs/>
                <w:color w:val="000000"/>
                <w:sz w:val="20"/>
                <w:szCs w:val="20"/>
              </w:rPr>
              <w:t>PA</w:t>
            </w:r>
          </w:p>
        </w:tc>
        <w:tc>
          <w:tcPr>
            <w:tcW w:w="694" w:type="dxa"/>
            <w:tcBorders>
              <w:top w:val="nil"/>
              <w:left w:val="nil"/>
              <w:bottom w:val="single" w:sz="4" w:space="0" w:color="auto"/>
              <w:right w:val="single" w:sz="4" w:space="0" w:color="auto"/>
            </w:tcBorders>
            <w:vAlign w:val="center"/>
            <w:hideMark/>
          </w:tcPr>
          <w:p w14:paraId="3B9E42F4" w14:textId="77777777" w:rsidR="00CA15E3" w:rsidRPr="00CA15E3" w:rsidRDefault="00CA15E3" w:rsidP="00CA15E3">
            <w:pPr>
              <w:widowControl/>
              <w:autoSpaceDE/>
              <w:autoSpaceDN/>
              <w:rPr>
                <w:b/>
                <w:bCs/>
                <w:color w:val="000000"/>
                <w:sz w:val="20"/>
                <w:szCs w:val="20"/>
              </w:rPr>
            </w:pPr>
            <w:r>
              <w:rPr>
                <w:b/>
                <w:bCs/>
                <w:color w:val="000000"/>
                <w:sz w:val="20"/>
                <w:szCs w:val="20"/>
              </w:rPr>
              <w:t>PA1</w:t>
            </w:r>
          </w:p>
        </w:tc>
        <w:tc>
          <w:tcPr>
            <w:tcW w:w="1006" w:type="dxa"/>
            <w:tcBorders>
              <w:top w:val="nil"/>
              <w:left w:val="nil"/>
              <w:bottom w:val="single" w:sz="4" w:space="0" w:color="auto"/>
              <w:right w:val="single" w:sz="4" w:space="0" w:color="auto"/>
            </w:tcBorders>
            <w:vAlign w:val="center"/>
            <w:hideMark/>
          </w:tcPr>
          <w:p w14:paraId="417B580B" w14:textId="77777777" w:rsidR="00CA15E3" w:rsidRPr="00CA15E3" w:rsidRDefault="00CA15E3" w:rsidP="00CA15E3">
            <w:pPr>
              <w:widowControl/>
              <w:autoSpaceDE/>
              <w:autoSpaceDN/>
              <w:jc w:val="right"/>
              <w:rPr>
                <w:color w:val="000000"/>
                <w:sz w:val="20"/>
                <w:szCs w:val="20"/>
              </w:rPr>
            </w:pPr>
            <w:r>
              <w:rPr>
                <w:color w:val="000000"/>
                <w:sz w:val="20"/>
                <w:szCs w:val="20"/>
              </w:rPr>
              <w:t>0.819</w:t>
            </w:r>
          </w:p>
        </w:tc>
        <w:tc>
          <w:tcPr>
            <w:tcW w:w="1206" w:type="dxa"/>
            <w:tcBorders>
              <w:top w:val="nil"/>
              <w:left w:val="nil"/>
              <w:bottom w:val="single" w:sz="4" w:space="0" w:color="auto"/>
              <w:right w:val="single" w:sz="4" w:space="0" w:color="auto"/>
            </w:tcBorders>
            <w:vAlign w:val="center"/>
            <w:hideMark/>
          </w:tcPr>
          <w:p w14:paraId="33ED69D3" w14:textId="77777777" w:rsidR="00CA15E3" w:rsidRPr="00CA15E3" w:rsidRDefault="00CA15E3" w:rsidP="00CA15E3">
            <w:pPr>
              <w:widowControl/>
              <w:autoSpaceDE/>
              <w:autoSpaceDN/>
              <w:jc w:val="right"/>
              <w:rPr>
                <w:color w:val="000000"/>
                <w:sz w:val="20"/>
                <w:szCs w:val="20"/>
              </w:rPr>
            </w:pPr>
            <w:r>
              <w:rPr>
                <w:color w:val="000000"/>
                <w:sz w:val="20"/>
                <w:szCs w:val="20"/>
              </w:rPr>
              <w:t>0.881</w:t>
            </w:r>
          </w:p>
        </w:tc>
        <w:tc>
          <w:tcPr>
            <w:tcW w:w="1128" w:type="dxa"/>
            <w:tcBorders>
              <w:top w:val="nil"/>
              <w:left w:val="nil"/>
              <w:bottom w:val="single" w:sz="4" w:space="0" w:color="auto"/>
              <w:right w:val="single" w:sz="4" w:space="0" w:color="auto"/>
            </w:tcBorders>
            <w:vAlign w:val="center"/>
            <w:hideMark/>
          </w:tcPr>
          <w:p w14:paraId="36019699" w14:textId="77777777" w:rsidR="00CA15E3" w:rsidRPr="00CA15E3" w:rsidRDefault="00CA15E3" w:rsidP="00CA15E3">
            <w:pPr>
              <w:widowControl/>
              <w:autoSpaceDE/>
              <w:autoSpaceDN/>
              <w:jc w:val="right"/>
              <w:rPr>
                <w:color w:val="000000"/>
                <w:sz w:val="20"/>
                <w:szCs w:val="20"/>
              </w:rPr>
            </w:pPr>
            <w:r>
              <w:rPr>
                <w:color w:val="000000"/>
                <w:sz w:val="20"/>
                <w:szCs w:val="20"/>
              </w:rPr>
              <w:t>0.881</w:t>
            </w:r>
          </w:p>
        </w:tc>
        <w:tc>
          <w:tcPr>
            <w:tcW w:w="1128" w:type="dxa"/>
            <w:tcBorders>
              <w:top w:val="nil"/>
              <w:left w:val="nil"/>
              <w:bottom w:val="single" w:sz="4" w:space="0" w:color="auto"/>
              <w:right w:val="single" w:sz="4" w:space="0" w:color="auto"/>
            </w:tcBorders>
            <w:vAlign w:val="center"/>
            <w:hideMark/>
          </w:tcPr>
          <w:p w14:paraId="75FB4857" w14:textId="77777777" w:rsidR="00CA15E3" w:rsidRPr="00CA15E3" w:rsidRDefault="00CA15E3" w:rsidP="00CA15E3">
            <w:pPr>
              <w:widowControl/>
              <w:autoSpaceDE/>
              <w:autoSpaceDN/>
              <w:jc w:val="right"/>
              <w:rPr>
                <w:color w:val="000000"/>
                <w:sz w:val="20"/>
                <w:szCs w:val="20"/>
              </w:rPr>
            </w:pPr>
            <w:r>
              <w:rPr>
                <w:color w:val="000000"/>
                <w:sz w:val="20"/>
                <w:szCs w:val="20"/>
              </w:rPr>
              <w:t>0.918</w:t>
            </w:r>
          </w:p>
        </w:tc>
        <w:tc>
          <w:tcPr>
            <w:tcW w:w="1016" w:type="dxa"/>
            <w:tcBorders>
              <w:top w:val="nil"/>
              <w:left w:val="nil"/>
              <w:bottom w:val="single" w:sz="4" w:space="0" w:color="auto"/>
              <w:right w:val="single" w:sz="4" w:space="0" w:color="auto"/>
            </w:tcBorders>
            <w:vAlign w:val="center"/>
            <w:hideMark/>
          </w:tcPr>
          <w:p w14:paraId="44132CDD" w14:textId="77777777" w:rsidR="00CA15E3" w:rsidRPr="00CA15E3" w:rsidRDefault="00CA15E3" w:rsidP="00CA15E3">
            <w:pPr>
              <w:widowControl/>
              <w:autoSpaceDE/>
              <w:autoSpaceDN/>
              <w:jc w:val="right"/>
              <w:rPr>
                <w:color w:val="000000"/>
                <w:sz w:val="20"/>
                <w:szCs w:val="20"/>
              </w:rPr>
            </w:pPr>
            <w:r>
              <w:rPr>
                <w:color w:val="000000"/>
                <w:sz w:val="20"/>
                <w:szCs w:val="20"/>
              </w:rPr>
              <w:t>0.737</w:t>
            </w:r>
          </w:p>
        </w:tc>
        <w:tc>
          <w:tcPr>
            <w:tcW w:w="666" w:type="dxa"/>
            <w:tcBorders>
              <w:top w:val="nil"/>
              <w:left w:val="nil"/>
              <w:bottom w:val="single" w:sz="4" w:space="0" w:color="auto"/>
              <w:right w:val="single" w:sz="4" w:space="0" w:color="auto"/>
            </w:tcBorders>
            <w:vAlign w:val="center"/>
            <w:hideMark/>
          </w:tcPr>
          <w:p w14:paraId="2EACEC7C" w14:textId="77777777" w:rsidR="00CA15E3" w:rsidRPr="00CA15E3" w:rsidRDefault="00CA15E3" w:rsidP="00CA15E3">
            <w:pPr>
              <w:widowControl/>
              <w:autoSpaceDE/>
              <w:autoSpaceDN/>
              <w:jc w:val="right"/>
              <w:rPr>
                <w:color w:val="000000"/>
                <w:sz w:val="20"/>
                <w:szCs w:val="20"/>
              </w:rPr>
            </w:pPr>
            <w:r>
              <w:rPr>
                <w:color w:val="000000"/>
                <w:sz w:val="20"/>
                <w:szCs w:val="20"/>
              </w:rPr>
              <w:t>1.913</w:t>
            </w:r>
          </w:p>
        </w:tc>
      </w:tr>
      <w:tr w:rsidR="00CA15E3" w:rsidRPr="00CA15E3" w14:paraId="5801D5A5"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7FADA926" w14:textId="77777777" w:rsidR="00CA15E3" w:rsidRPr="00CA15E3" w:rsidRDefault="00CA15E3" w:rsidP="00CA15E3">
            <w:pPr>
              <w:widowControl/>
              <w:autoSpaceDE/>
              <w:autoSpaceDN/>
              <w:rPr>
                <w:b/>
                <w:bCs/>
                <w:color w:val="000000"/>
                <w:sz w:val="20"/>
                <w:szCs w:val="20"/>
              </w:rPr>
            </w:pPr>
            <w:r>
              <w:rPr>
                <w:b/>
                <w:bCs/>
                <w:color w:val="000000"/>
                <w:sz w:val="20"/>
                <w:szCs w:val="20"/>
              </w:rPr>
              <w:t> </w:t>
            </w:r>
          </w:p>
        </w:tc>
        <w:tc>
          <w:tcPr>
            <w:tcW w:w="694" w:type="dxa"/>
            <w:tcBorders>
              <w:top w:val="nil"/>
              <w:left w:val="nil"/>
              <w:bottom w:val="single" w:sz="4" w:space="0" w:color="auto"/>
              <w:right w:val="single" w:sz="4" w:space="0" w:color="auto"/>
            </w:tcBorders>
            <w:vAlign w:val="center"/>
            <w:hideMark/>
          </w:tcPr>
          <w:p w14:paraId="443F0B8B" w14:textId="77777777" w:rsidR="00CA15E3" w:rsidRPr="00CA15E3" w:rsidRDefault="00CA15E3" w:rsidP="00CA15E3">
            <w:pPr>
              <w:widowControl/>
              <w:autoSpaceDE/>
              <w:autoSpaceDN/>
              <w:rPr>
                <w:b/>
                <w:bCs/>
                <w:color w:val="000000"/>
                <w:sz w:val="20"/>
                <w:szCs w:val="20"/>
              </w:rPr>
            </w:pPr>
            <w:r>
              <w:rPr>
                <w:b/>
                <w:bCs/>
                <w:color w:val="000000"/>
                <w:sz w:val="20"/>
                <w:szCs w:val="20"/>
              </w:rPr>
              <w:t>PA2</w:t>
            </w:r>
          </w:p>
        </w:tc>
        <w:tc>
          <w:tcPr>
            <w:tcW w:w="1006" w:type="dxa"/>
            <w:tcBorders>
              <w:top w:val="nil"/>
              <w:left w:val="nil"/>
              <w:bottom w:val="single" w:sz="4" w:space="0" w:color="auto"/>
              <w:right w:val="single" w:sz="4" w:space="0" w:color="auto"/>
            </w:tcBorders>
            <w:vAlign w:val="center"/>
            <w:hideMark/>
          </w:tcPr>
          <w:p w14:paraId="41AAAD56" w14:textId="77777777" w:rsidR="00CA15E3" w:rsidRPr="00CA15E3" w:rsidRDefault="00CA15E3" w:rsidP="00CA15E3">
            <w:pPr>
              <w:widowControl/>
              <w:autoSpaceDE/>
              <w:autoSpaceDN/>
              <w:jc w:val="right"/>
              <w:rPr>
                <w:color w:val="000000"/>
                <w:sz w:val="20"/>
                <w:szCs w:val="20"/>
              </w:rPr>
            </w:pPr>
            <w:r>
              <w:rPr>
                <w:color w:val="000000"/>
                <w:sz w:val="20"/>
                <w:szCs w:val="20"/>
              </w:rPr>
              <w:t>0.875</w:t>
            </w:r>
          </w:p>
        </w:tc>
        <w:tc>
          <w:tcPr>
            <w:tcW w:w="1206" w:type="dxa"/>
            <w:tcBorders>
              <w:top w:val="nil"/>
              <w:left w:val="nil"/>
              <w:bottom w:val="single" w:sz="4" w:space="0" w:color="auto"/>
              <w:right w:val="single" w:sz="4" w:space="0" w:color="auto"/>
            </w:tcBorders>
            <w:vAlign w:val="center"/>
            <w:hideMark/>
          </w:tcPr>
          <w:p w14:paraId="4BC88DEA"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67F92365"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5BCFCE47"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vAlign w:val="center"/>
            <w:hideMark/>
          </w:tcPr>
          <w:p w14:paraId="4E296BE9"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261D95A0" w14:textId="77777777" w:rsidR="00CA15E3" w:rsidRPr="00CA15E3" w:rsidRDefault="00CA15E3" w:rsidP="00CA15E3">
            <w:pPr>
              <w:widowControl/>
              <w:autoSpaceDE/>
              <w:autoSpaceDN/>
              <w:jc w:val="right"/>
              <w:rPr>
                <w:color w:val="000000"/>
                <w:sz w:val="20"/>
                <w:szCs w:val="20"/>
              </w:rPr>
            </w:pPr>
            <w:r>
              <w:rPr>
                <w:color w:val="000000"/>
                <w:sz w:val="20"/>
                <w:szCs w:val="20"/>
              </w:rPr>
              <w:t>2.599</w:t>
            </w:r>
          </w:p>
        </w:tc>
      </w:tr>
      <w:tr w:rsidR="00CA15E3" w:rsidRPr="00CA15E3" w14:paraId="02847A4E"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596DEF76" w14:textId="77777777" w:rsidR="00CA15E3" w:rsidRPr="00CA15E3" w:rsidRDefault="00CA15E3" w:rsidP="00CA15E3">
            <w:pPr>
              <w:widowControl/>
              <w:autoSpaceDE/>
              <w:autoSpaceDN/>
              <w:rPr>
                <w:b/>
                <w:bCs/>
                <w:color w:val="000000"/>
                <w:sz w:val="20"/>
                <w:szCs w:val="20"/>
              </w:rPr>
            </w:pPr>
            <w:r>
              <w:rPr>
                <w:b/>
                <w:bCs/>
                <w:color w:val="000000"/>
                <w:sz w:val="20"/>
                <w:szCs w:val="20"/>
              </w:rPr>
              <w:t> </w:t>
            </w:r>
          </w:p>
        </w:tc>
        <w:tc>
          <w:tcPr>
            <w:tcW w:w="694" w:type="dxa"/>
            <w:tcBorders>
              <w:top w:val="nil"/>
              <w:left w:val="nil"/>
              <w:bottom w:val="single" w:sz="4" w:space="0" w:color="auto"/>
              <w:right w:val="single" w:sz="4" w:space="0" w:color="auto"/>
            </w:tcBorders>
            <w:vAlign w:val="center"/>
            <w:hideMark/>
          </w:tcPr>
          <w:p w14:paraId="69885782" w14:textId="77777777" w:rsidR="00CA15E3" w:rsidRPr="00CA15E3" w:rsidRDefault="00CA15E3" w:rsidP="00CA15E3">
            <w:pPr>
              <w:widowControl/>
              <w:autoSpaceDE/>
              <w:autoSpaceDN/>
              <w:rPr>
                <w:b/>
                <w:bCs/>
                <w:color w:val="000000"/>
                <w:sz w:val="20"/>
                <w:szCs w:val="20"/>
              </w:rPr>
            </w:pPr>
            <w:r>
              <w:rPr>
                <w:b/>
                <w:bCs/>
                <w:color w:val="000000"/>
                <w:sz w:val="20"/>
                <w:szCs w:val="20"/>
              </w:rPr>
              <w:t>PA3</w:t>
            </w:r>
          </w:p>
        </w:tc>
        <w:tc>
          <w:tcPr>
            <w:tcW w:w="1006" w:type="dxa"/>
            <w:tcBorders>
              <w:top w:val="nil"/>
              <w:left w:val="nil"/>
              <w:bottom w:val="single" w:sz="4" w:space="0" w:color="auto"/>
              <w:right w:val="single" w:sz="4" w:space="0" w:color="auto"/>
            </w:tcBorders>
            <w:vAlign w:val="center"/>
            <w:hideMark/>
          </w:tcPr>
          <w:p w14:paraId="2E9207AB" w14:textId="77777777" w:rsidR="00CA15E3" w:rsidRPr="00CA15E3" w:rsidRDefault="00CA15E3" w:rsidP="00CA15E3">
            <w:pPr>
              <w:widowControl/>
              <w:autoSpaceDE/>
              <w:autoSpaceDN/>
              <w:jc w:val="right"/>
              <w:rPr>
                <w:color w:val="000000"/>
                <w:sz w:val="20"/>
                <w:szCs w:val="20"/>
              </w:rPr>
            </w:pPr>
            <w:r>
              <w:rPr>
                <w:color w:val="000000"/>
                <w:sz w:val="20"/>
                <w:szCs w:val="20"/>
              </w:rPr>
              <w:t>0.863</w:t>
            </w:r>
          </w:p>
        </w:tc>
        <w:tc>
          <w:tcPr>
            <w:tcW w:w="1206" w:type="dxa"/>
            <w:tcBorders>
              <w:top w:val="nil"/>
              <w:left w:val="nil"/>
              <w:bottom w:val="single" w:sz="4" w:space="0" w:color="auto"/>
              <w:right w:val="single" w:sz="4" w:space="0" w:color="auto"/>
            </w:tcBorders>
            <w:vAlign w:val="center"/>
            <w:hideMark/>
          </w:tcPr>
          <w:p w14:paraId="333D051C"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46F9E2C8"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7B7DE3CD"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vAlign w:val="center"/>
            <w:hideMark/>
          </w:tcPr>
          <w:p w14:paraId="279924D0"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3926046C" w14:textId="77777777" w:rsidR="00CA15E3" w:rsidRPr="00CA15E3" w:rsidRDefault="00CA15E3" w:rsidP="00CA15E3">
            <w:pPr>
              <w:widowControl/>
              <w:autoSpaceDE/>
              <w:autoSpaceDN/>
              <w:jc w:val="right"/>
              <w:rPr>
                <w:color w:val="000000"/>
                <w:sz w:val="20"/>
                <w:szCs w:val="20"/>
              </w:rPr>
            </w:pPr>
            <w:r>
              <w:rPr>
                <w:color w:val="000000"/>
                <w:sz w:val="20"/>
                <w:szCs w:val="20"/>
              </w:rPr>
              <w:t>2.781</w:t>
            </w:r>
          </w:p>
        </w:tc>
      </w:tr>
      <w:tr w:rsidR="00CA15E3" w:rsidRPr="00CA15E3" w14:paraId="674190C7"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2F54B85C" w14:textId="77777777" w:rsidR="00CA15E3" w:rsidRPr="00CA15E3" w:rsidRDefault="00CA15E3" w:rsidP="00CA15E3">
            <w:pPr>
              <w:widowControl/>
              <w:autoSpaceDE/>
              <w:autoSpaceDN/>
              <w:rPr>
                <w:b/>
                <w:bCs/>
                <w:color w:val="000000"/>
                <w:sz w:val="20"/>
                <w:szCs w:val="20"/>
              </w:rPr>
            </w:pPr>
            <w:r>
              <w:rPr>
                <w:b/>
                <w:bCs/>
                <w:color w:val="000000"/>
                <w:sz w:val="20"/>
                <w:szCs w:val="20"/>
              </w:rPr>
              <w:t> </w:t>
            </w:r>
          </w:p>
        </w:tc>
        <w:tc>
          <w:tcPr>
            <w:tcW w:w="694" w:type="dxa"/>
            <w:tcBorders>
              <w:top w:val="nil"/>
              <w:left w:val="nil"/>
              <w:bottom w:val="single" w:sz="4" w:space="0" w:color="auto"/>
              <w:right w:val="single" w:sz="4" w:space="0" w:color="auto"/>
            </w:tcBorders>
            <w:vAlign w:val="center"/>
            <w:hideMark/>
          </w:tcPr>
          <w:p w14:paraId="603179D7" w14:textId="77777777" w:rsidR="00CA15E3" w:rsidRPr="00CA15E3" w:rsidRDefault="00CA15E3" w:rsidP="00CA15E3">
            <w:pPr>
              <w:widowControl/>
              <w:autoSpaceDE/>
              <w:autoSpaceDN/>
              <w:rPr>
                <w:b/>
                <w:bCs/>
                <w:color w:val="000000"/>
                <w:sz w:val="20"/>
                <w:szCs w:val="20"/>
              </w:rPr>
            </w:pPr>
            <w:r>
              <w:rPr>
                <w:b/>
                <w:bCs/>
                <w:color w:val="000000"/>
                <w:sz w:val="20"/>
                <w:szCs w:val="20"/>
              </w:rPr>
              <w:t>PA4</w:t>
            </w:r>
          </w:p>
        </w:tc>
        <w:tc>
          <w:tcPr>
            <w:tcW w:w="1006" w:type="dxa"/>
            <w:tcBorders>
              <w:top w:val="nil"/>
              <w:left w:val="nil"/>
              <w:bottom w:val="single" w:sz="4" w:space="0" w:color="auto"/>
              <w:right w:val="single" w:sz="4" w:space="0" w:color="auto"/>
            </w:tcBorders>
            <w:vAlign w:val="center"/>
            <w:hideMark/>
          </w:tcPr>
          <w:p w14:paraId="651C0478" w14:textId="77777777" w:rsidR="00CA15E3" w:rsidRPr="00CA15E3" w:rsidRDefault="00CA15E3" w:rsidP="00CA15E3">
            <w:pPr>
              <w:widowControl/>
              <w:autoSpaceDE/>
              <w:autoSpaceDN/>
              <w:jc w:val="right"/>
              <w:rPr>
                <w:color w:val="000000"/>
                <w:sz w:val="20"/>
                <w:szCs w:val="20"/>
              </w:rPr>
            </w:pPr>
            <w:r>
              <w:rPr>
                <w:color w:val="000000"/>
                <w:sz w:val="20"/>
                <w:szCs w:val="20"/>
              </w:rPr>
              <w:t>0.875</w:t>
            </w:r>
          </w:p>
        </w:tc>
        <w:tc>
          <w:tcPr>
            <w:tcW w:w="1206" w:type="dxa"/>
            <w:tcBorders>
              <w:top w:val="nil"/>
              <w:left w:val="nil"/>
              <w:bottom w:val="single" w:sz="4" w:space="0" w:color="auto"/>
              <w:right w:val="single" w:sz="4" w:space="0" w:color="auto"/>
            </w:tcBorders>
            <w:vAlign w:val="center"/>
            <w:hideMark/>
          </w:tcPr>
          <w:p w14:paraId="7EE467DA"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1B71047E"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59C617A2"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vAlign w:val="center"/>
            <w:hideMark/>
          </w:tcPr>
          <w:p w14:paraId="1F859518"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62B57B21" w14:textId="77777777" w:rsidR="00CA15E3" w:rsidRPr="00CA15E3" w:rsidRDefault="00CA15E3" w:rsidP="00CA15E3">
            <w:pPr>
              <w:widowControl/>
              <w:autoSpaceDE/>
              <w:autoSpaceDN/>
              <w:jc w:val="right"/>
              <w:rPr>
                <w:color w:val="000000"/>
                <w:sz w:val="20"/>
                <w:szCs w:val="20"/>
              </w:rPr>
            </w:pPr>
            <w:r>
              <w:rPr>
                <w:color w:val="000000"/>
                <w:sz w:val="20"/>
                <w:szCs w:val="20"/>
              </w:rPr>
              <w:t>2.619</w:t>
            </w:r>
          </w:p>
        </w:tc>
      </w:tr>
      <w:tr w:rsidR="00CA15E3" w:rsidRPr="00CA15E3" w14:paraId="21FE85B1"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595C22CB" w14:textId="77777777" w:rsidR="00CA15E3" w:rsidRPr="00CA15E3" w:rsidRDefault="00CA15E3" w:rsidP="00CA15E3">
            <w:pPr>
              <w:widowControl/>
              <w:autoSpaceDE/>
              <w:autoSpaceDN/>
              <w:rPr>
                <w:b/>
                <w:bCs/>
                <w:color w:val="000000"/>
                <w:sz w:val="20"/>
                <w:szCs w:val="20"/>
              </w:rPr>
            </w:pPr>
            <w:r>
              <w:rPr>
                <w:b/>
                <w:bCs/>
                <w:color w:val="000000"/>
                <w:sz w:val="20"/>
                <w:szCs w:val="20"/>
              </w:rPr>
              <w:t>PI</w:t>
            </w:r>
          </w:p>
        </w:tc>
        <w:tc>
          <w:tcPr>
            <w:tcW w:w="694" w:type="dxa"/>
            <w:tcBorders>
              <w:top w:val="nil"/>
              <w:left w:val="nil"/>
              <w:bottom w:val="single" w:sz="4" w:space="0" w:color="auto"/>
              <w:right w:val="single" w:sz="4" w:space="0" w:color="auto"/>
            </w:tcBorders>
            <w:vAlign w:val="center"/>
            <w:hideMark/>
          </w:tcPr>
          <w:p w14:paraId="3EAFB34B" w14:textId="77777777" w:rsidR="00CA15E3" w:rsidRPr="00CA15E3" w:rsidRDefault="00CA15E3" w:rsidP="00CA15E3">
            <w:pPr>
              <w:widowControl/>
              <w:autoSpaceDE/>
              <w:autoSpaceDN/>
              <w:rPr>
                <w:b/>
                <w:bCs/>
                <w:color w:val="000000"/>
                <w:sz w:val="20"/>
                <w:szCs w:val="20"/>
              </w:rPr>
            </w:pPr>
            <w:r>
              <w:rPr>
                <w:b/>
                <w:bCs/>
                <w:color w:val="000000"/>
                <w:sz w:val="20"/>
                <w:szCs w:val="20"/>
              </w:rPr>
              <w:t>PI1</w:t>
            </w:r>
          </w:p>
        </w:tc>
        <w:tc>
          <w:tcPr>
            <w:tcW w:w="1006" w:type="dxa"/>
            <w:tcBorders>
              <w:top w:val="nil"/>
              <w:left w:val="nil"/>
              <w:bottom w:val="single" w:sz="4" w:space="0" w:color="auto"/>
              <w:right w:val="single" w:sz="4" w:space="0" w:color="auto"/>
            </w:tcBorders>
            <w:vAlign w:val="center"/>
            <w:hideMark/>
          </w:tcPr>
          <w:p w14:paraId="757E0D26" w14:textId="77777777" w:rsidR="00CA15E3" w:rsidRPr="00CA15E3" w:rsidRDefault="00CA15E3" w:rsidP="00CA15E3">
            <w:pPr>
              <w:widowControl/>
              <w:autoSpaceDE/>
              <w:autoSpaceDN/>
              <w:jc w:val="right"/>
              <w:rPr>
                <w:color w:val="000000"/>
                <w:sz w:val="20"/>
                <w:szCs w:val="20"/>
              </w:rPr>
            </w:pPr>
            <w:r>
              <w:rPr>
                <w:color w:val="000000"/>
                <w:sz w:val="20"/>
                <w:szCs w:val="20"/>
              </w:rPr>
              <w:t>0.834</w:t>
            </w:r>
          </w:p>
        </w:tc>
        <w:tc>
          <w:tcPr>
            <w:tcW w:w="1206" w:type="dxa"/>
            <w:tcBorders>
              <w:top w:val="nil"/>
              <w:left w:val="nil"/>
              <w:bottom w:val="single" w:sz="4" w:space="0" w:color="auto"/>
              <w:right w:val="single" w:sz="4" w:space="0" w:color="auto"/>
            </w:tcBorders>
            <w:vAlign w:val="center"/>
            <w:hideMark/>
          </w:tcPr>
          <w:p w14:paraId="7FCB60E3" w14:textId="77777777" w:rsidR="00CA15E3" w:rsidRPr="00CA15E3" w:rsidRDefault="00CA15E3" w:rsidP="00CA15E3">
            <w:pPr>
              <w:widowControl/>
              <w:autoSpaceDE/>
              <w:autoSpaceDN/>
              <w:jc w:val="right"/>
              <w:rPr>
                <w:color w:val="000000"/>
                <w:sz w:val="20"/>
                <w:szCs w:val="20"/>
              </w:rPr>
            </w:pPr>
            <w:r>
              <w:rPr>
                <w:color w:val="000000"/>
                <w:sz w:val="20"/>
                <w:szCs w:val="20"/>
              </w:rPr>
              <w:t>0.871</w:t>
            </w:r>
          </w:p>
        </w:tc>
        <w:tc>
          <w:tcPr>
            <w:tcW w:w="1128" w:type="dxa"/>
            <w:tcBorders>
              <w:top w:val="nil"/>
              <w:left w:val="nil"/>
              <w:bottom w:val="single" w:sz="4" w:space="0" w:color="auto"/>
              <w:right w:val="single" w:sz="4" w:space="0" w:color="auto"/>
            </w:tcBorders>
            <w:vAlign w:val="center"/>
            <w:hideMark/>
          </w:tcPr>
          <w:p w14:paraId="3850EEDC" w14:textId="77777777" w:rsidR="00CA15E3" w:rsidRPr="00CA15E3" w:rsidRDefault="00CA15E3" w:rsidP="00CA15E3">
            <w:pPr>
              <w:widowControl/>
              <w:autoSpaceDE/>
              <w:autoSpaceDN/>
              <w:jc w:val="right"/>
              <w:rPr>
                <w:color w:val="000000"/>
                <w:sz w:val="20"/>
                <w:szCs w:val="20"/>
              </w:rPr>
            </w:pPr>
            <w:r>
              <w:rPr>
                <w:color w:val="000000"/>
                <w:sz w:val="20"/>
                <w:szCs w:val="20"/>
              </w:rPr>
              <w:t>0.873</w:t>
            </w:r>
          </w:p>
        </w:tc>
        <w:tc>
          <w:tcPr>
            <w:tcW w:w="1128" w:type="dxa"/>
            <w:tcBorders>
              <w:top w:val="nil"/>
              <w:left w:val="nil"/>
              <w:bottom w:val="single" w:sz="4" w:space="0" w:color="auto"/>
              <w:right w:val="single" w:sz="4" w:space="0" w:color="auto"/>
            </w:tcBorders>
            <w:vAlign w:val="center"/>
            <w:hideMark/>
          </w:tcPr>
          <w:p w14:paraId="13E83448" w14:textId="77777777" w:rsidR="00CA15E3" w:rsidRPr="00CA15E3" w:rsidRDefault="00CA15E3" w:rsidP="00CA15E3">
            <w:pPr>
              <w:widowControl/>
              <w:autoSpaceDE/>
              <w:autoSpaceDN/>
              <w:jc w:val="right"/>
              <w:rPr>
                <w:color w:val="000000"/>
                <w:sz w:val="20"/>
                <w:szCs w:val="20"/>
              </w:rPr>
            </w:pPr>
            <w:r>
              <w:rPr>
                <w:color w:val="000000"/>
                <w:sz w:val="20"/>
                <w:szCs w:val="20"/>
              </w:rPr>
              <w:t>0.912</w:t>
            </w:r>
          </w:p>
        </w:tc>
        <w:tc>
          <w:tcPr>
            <w:tcW w:w="1016" w:type="dxa"/>
            <w:tcBorders>
              <w:top w:val="nil"/>
              <w:left w:val="nil"/>
              <w:bottom w:val="single" w:sz="4" w:space="0" w:color="auto"/>
              <w:right w:val="single" w:sz="4" w:space="0" w:color="auto"/>
            </w:tcBorders>
            <w:vAlign w:val="center"/>
            <w:hideMark/>
          </w:tcPr>
          <w:p w14:paraId="4E2A7723" w14:textId="77777777" w:rsidR="00CA15E3" w:rsidRPr="00CA15E3" w:rsidRDefault="00CA15E3" w:rsidP="00CA15E3">
            <w:pPr>
              <w:widowControl/>
              <w:autoSpaceDE/>
              <w:autoSpaceDN/>
              <w:jc w:val="right"/>
              <w:rPr>
                <w:color w:val="000000"/>
                <w:sz w:val="20"/>
                <w:szCs w:val="20"/>
              </w:rPr>
            </w:pPr>
            <w:r>
              <w:rPr>
                <w:color w:val="000000"/>
                <w:sz w:val="20"/>
                <w:szCs w:val="20"/>
              </w:rPr>
              <w:t>0.721</w:t>
            </w:r>
          </w:p>
        </w:tc>
        <w:tc>
          <w:tcPr>
            <w:tcW w:w="666" w:type="dxa"/>
            <w:tcBorders>
              <w:top w:val="nil"/>
              <w:left w:val="nil"/>
              <w:bottom w:val="single" w:sz="4" w:space="0" w:color="auto"/>
              <w:right w:val="single" w:sz="4" w:space="0" w:color="auto"/>
            </w:tcBorders>
            <w:vAlign w:val="center"/>
            <w:hideMark/>
          </w:tcPr>
          <w:p w14:paraId="4E295068" w14:textId="77777777" w:rsidR="00CA15E3" w:rsidRPr="00CA15E3" w:rsidRDefault="00CA15E3" w:rsidP="00CA15E3">
            <w:pPr>
              <w:widowControl/>
              <w:autoSpaceDE/>
              <w:autoSpaceDN/>
              <w:jc w:val="right"/>
              <w:rPr>
                <w:color w:val="000000"/>
                <w:sz w:val="20"/>
                <w:szCs w:val="20"/>
              </w:rPr>
            </w:pPr>
            <w:r>
              <w:rPr>
                <w:color w:val="000000"/>
                <w:sz w:val="20"/>
                <w:szCs w:val="20"/>
              </w:rPr>
              <w:t>2.194</w:t>
            </w:r>
          </w:p>
        </w:tc>
      </w:tr>
      <w:tr w:rsidR="00CA15E3" w:rsidRPr="00CA15E3" w14:paraId="5089FC56"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3C5B9DF5" w14:textId="77777777" w:rsidR="00CA15E3" w:rsidRPr="00CA15E3" w:rsidRDefault="00CA15E3" w:rsidP="00CA15E3">
            <w:pPr>
              <w:widowControl/>
              <w:autoSpaceDE/>
              <w:autoSpaceDN/>
              <w:rPr>
                <w:b/>
                <w:bCs/>
                <w:color w:val="000000"/>
                <w:sz w:val="20"/>
                <w:szCs w:val="20"/>
              </w:rPr>
            </w:pPr>
            <w:r>
              <w:rPr>
                <w:b/>
                <w:bCs/>
                <w:color w:val="000000"/>
                <w:sz w:val="20"/>
                <w:szCs w:val="20"/>
              </w:rPr>
              <w:t> </w:t>
            </w:r>
          </w:p>
        </w:tc>
        <w:tc>
          <w:tcPr>
            <w:tcW w:w="694" w:type="dxa"/>
            <w:tcBorders>
              <w:top w:val="nil"/>
              <w:left w:val="nil"/>
              <w:bottom w:val="single" w:sz="4" w:space="0" w:color="auto"/>
              <w:right w:val="single" w:sz="4" w:space="0" w:color="auto"/>
            </w:tcBorders>
            <w:vAlign w:val="center"/>
            <w:hideMark/>
          </w:tcPr>
          <w:p w14:paraId="21C7A4DC" w14:textId="77777777" w:rsidR="00CA15E3" w:rsidRPr="00CA15E3" w:rsidRDefault="00CA15E3" w:rsidP="00CA15E3">
            <w:pPr>
              <w:widowControl/>
              <w:autoSpaceDE/>
              <w:autoSpaceDN/>
              <w:rPr>
                <w:b/>
                <w:bCs/>
                <w:color w:val="000000"/>
                <w:sz w:val="20"/>
                <w:szCs w:val="20"/>
              </w:rPr>
            </w:pPr>
            <w:r>
              <w:rPr>
                <w:b/>
                <w:bCs/>
                <w:color w:val="000000"/>
                <w:sz w:val="20"/>
                <w:szCs w:val="20"/>
              </w:rPr>
              <w:t>PI2</w:t>
            </w:r>
          </w:p>
        </w:tc>
        <w:tc>
          <w:tcPr>
            <w:tcW w:w="1006" w:type="dxa"/>
            <w:tcBorders>
              <w:top w:val="nil"/>
              <w:left w:val="nil"/>
              <w:bottom w:val="single" w:sz="4" w:space="0" w:color="auto"/>
              <w:right w:val="single" w:sz="4" w:space="0" w:color="auto"/>
            </w:tcBorders>
            <w:vAlign w:val="center"/>
            <w:hideMark/>
          </w:tcPr>
          <w:p w14:paraId="030C5222" w14:textId="77777777" w:rsidR="00CA15E3" w:rsidRPr="00CA15E3" w:rsidRDefault="00CA15E3" w:rsidP="00CA15E3">
            <w:pPr>
              <w:widowControl/>
              <w:autoSpaceDE/>
              <w:autoSpaceDN/>
              <w:jc w:val="right"/>
              <w:rPr>
                <w:color w:val="000000"/>
                <w:sz w:val="20"/>
                <w:szCs w:val="20"/>
              </w:rPr>
            </w:pPr>
            <w:r>
              <w:rPr>
                <w:color w:val="000000"/>
                <w:sz w:val="20"/>
                <w:szCs w:val="20"/>
              </w:rPr>
              <w:t>0.803</w:t>
            </w:r>
          </w:p>
        </w:tc>
        <w:tc>
          <w:tcPr>
            <w:tcW w:w="1206" w:type="dxa"/>
            <w:tcBorders>
              <w:top w:val="nil"/>
              <w:left w:val="nil"/>
              <w:bottom w:val="single" w:sz="4" w:space="0" w:color="auto"/>
              <w:right w:val="single" w:sz="4" w:space="0" w:color="auto"/>
            </w:tcBorders>
            <w:vAlign w:val="center"/>
            <w:hideMark/>
          </w:tcPr>
          <w:p w14:paraId="0AB79D66"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411E0AA1"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388A9247"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vAlign w:val="center"/>
            <w:hideMark/>
          </w:tcPr>
          <w:p w14:paraId="371A8982"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101A004B" w14:textId="77777777" w:rsidR="00CA15E3" w:rsidRPr="00CA15E3" w:rsidRDefault="00CA15E3" w:rsidP="00CA15E3">
            <w:pPr>
              <w:widowControl/>
              <w:autoSpaceDE/>
              <w:autoSpaceDN/>
              <w:jc w:val="right"/>
              <w:rPr>
                <w:color w:val="000000"/>
                <w:sz w:val="20"/>
                <w:szCs w:val="20"/>
              </w:rPr>
            </w:pPr>
            <w:r>
              <w:rPr>
                <w:color w:val="000000"/>
                <w:sz w:val="20"/>
                <w:szCs w:val="20"/>
              </w:rPr>
              <w:t>1.711</w:t>
            </w:r>
          </w:p>
        </w:tc>
      </w:tr>
      <w:tr w:rsidR="00CA15E3" w:rsidRPr="00CA15E3" w14:paraId="322E84D9"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58A246D5" w14:textId="77777777" w:rsidR="00CA15E3" w:rsidRPr="00CA15E3" w:rsidRDefault="00CA15E3" w:rsidP="00CA15E3">
            <w:pPr>
              <w:widowControl/>
              <w:autoSpaceDE/>
              <w:autoSpaceDN/>
              <w:rPr>
                <w:b/>
                <w:bCs/>
                <w:color w:val="000000"/>
                <w:sz w:val="20"/>
                <w:szCs w:val="20"/>
              </w:rPr>
            </w:pPr>
            <w:r>
              <w:rPr>
                <w:b/>
                <w:bCs/>
                <w:color w:val="000000"/>
                <w:sz w:val="20"/>
                <w:szCs w:val="20"/>
              </w:rPr>
              <w:t> </w:t>
            </w:r>
          </w:p>
        </w:tc>
        <w:tc>
          <w:tcPr>
            <w:tcW w:w="694" w:type="dxa"/>
            <w:tcBorders>
              <w:top w:val="nil"/>
              <w:left w:val="nil"/>
              <w:bottom w:val="single" w:sz="4" w:space="0" w:color="auto"/>
              <w:right w:val="single" w:sz="4" w:space="0" w:color="auto"/>
            </w:tcBorders>
            <w:vAlign w:val="center"/>
            <w:hideMark/>
          </w:tcPr>
          <w:p w14:paraId="6484402E" w14:textId="77777777" w:rsidR="00CA15E3" w:rsidRPr="00CA15E3" w:rsidRDefault="00CA15E3" w:rsidP="00CA15E3">
            <w:pPr>
              <w:widowControl/>
              <w:autoSpaceDE/>
              <w:autoSpaceDN/>
              <w:rPr>
                <w:b/>
                <w:bCs/>
                <w:color w:val="000000"/>
                <w:sz w:val="20"/>
                <w:szCs w:val="20"/>
              </w:rPr>
            </w:pPr>
            <w:r>
              <w:rPr>
                <w:b/>
                <w:bCs/>
                <w:color w:val="000000"/>
                <w:sz w:val="20"/>
                <w:szCs w:val="20"/>
              </w:rPr>
              <w:t>PI3</w:t>
            </w:r>
          </w:p>
        </w:tc>
        <w:tc>
          <w:tcPr>
            <w:tcW w:w="1006" w:type="dxa"/>
            <w:tcBorders>
              <w:top w:val="nil"/>
              <w:left w:val="nil"/>
              <w:bottom w:val="single" w:sz="4" w:space="0" w:color="auto"/>
              <w:right w:val="single" w:sz="4" w:space="0" w:color="auto"/>
            </w:tcBorders>
            <w:vAlign w:val="center"/>
            <w:hideMark/>
          </w:tcPr>
          <w:p w14:paraId="409F06A4" w14:textId="77777777" w:rsidR="00CA15E3" w:rsidRPr="00CA15E3" w:rsidRDefault="00CA15E3" w:rsidP="00CA15E3">
            <w:pPr>
              <w:widowControl/>
              <w:autoSpaceDE/>
              <w:autoSpaceDN/>
              <w:jc w:val="right"/>
              <w:rPr>
                <w:color w:val="000000"/>
                <w:sz w:val="20"/>
                <w:szCs w:val="20"/>
              </w:rPr>
            </w:pPr>
            <w:r>
              <w:rPr>
                <w:color w:val="000000"/>
                <w:sz w:val="20"/>
                <w:szCs w:val="20"/>
              </w:rPr>
              <w:t>0.890</w:t>
            </w:r>
          </w:p>
        </w:tc>
        <w:tc>
          <w:tcPr>
            <w:tcW w:w="1206" w:type="dxa"/>
            <w:tcBorders>
              <w:top w:val="nil"/>
              <w:left w:val="nil"/>
              <w:bottom w:val="single" w:sz="4" w:space="0" w:color="auto"/>
              <w:right w:val="single" w:sz="4" w:space="0" w:color="auto"/>
            </w:tcBorders>
            <w:vAlign w:val="center"/>
            <w:hideMark/>
          </w:tcPr>
          <w:p w14:paraId="2FCEAAEE"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26802EC6"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1E8F3241"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vAlign w:val="center"/>
            <w:hideMark/>
          </w:tcPr>
          <w:p w14:paraId="7687B6A9"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4F77636F" w14:textId="77777777" w:rsidR="00CA15E3" w:rsidRPr="00CA15E3" w:rsidRDefault="00CA15E3" w:rsidP="00CA15E3">
            <w:pPr>
              <w:widowControl/>
              <w:autoSpaceDE/>
              <w:autoSpaceDN/>
              <w:jc w:val="right"/>
              <w:rPr>
                <w:color w:val="000000"/>
                <w:sz w:val="20"/>
                <w:szCs w:val="20"/>
              </w:rPr>
            </w:pPr>
            <w:r>
              <w:rPr>
                <w:color w:val="000000"/>
                <w:sz w:val="20"/>
                <w:szCs w:val="20"/>
              </w:rPr>
              <w:t>2.861</w:t>
            </w:r>
          </w:p>
        </w:tc>
      </w:tr>
      <w:tr w:rsidR="00CA15E3" w:rsidRPr="00CA15E3" w14:paraId="7E1C0061"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3DAB4569" w14:textId="77777777" w:rsidR="00CA15E3" w:rsidRPr="00CA15E3" w:rsidRDefault="00CA15E3" w:rsidP="00CA15E3">
            <w:pPr>
              <w:widowControl/>
              <w:autoSpaceDE/>
              <w:autoSpaceDN/>
              <w:rPr>
                <w:b/>
                <w:bCs/>
                <w:color w:val="000000"/>
                <w:sz w:val="20"/>
                <w:szCs w:val="20"/>
              </w:rPr>
            </w:pPr>
            <w:r>
              <w:rPr>
                <w:b/>
                <w:bCs/>
                <w:color w:val="000000"/>
                <w:sz w:val="20"/>
                <w:szCs w:val="20"/>
              </w:rPr>
              <w:t> </w:t>
            </w:r>
          </w:p>
        </w:tc>
        <w:tc>
          <w:tcPr>
            <w:tcW w:w="694" w:type="dxa"/>
            <w:tcBorders>
              <w:top w:val="nil"/>
              <w:left w:val="nil"/>
              <w:bottom w:val="single" w:sz="4" w:space="0" w:color="auto"/>
              <w:right w:val="single" w:sz="4" w:space="0" w:color="auto"/>
            </w:tcBorders>
            <w:vAlign w:val="center"/>
            <w:hideMark/>
          </w:tcPr>
          <w:p w14:paraId="6E92990B" w14:textId="77777777" w:rsidR="00CA15E3" w:rsidRPr="00CA15E3" w:rsidRDefault="00CA15E3" w:rsidP="00CA15E3">
            <w:pPr>
              <w:widowControl/>
              <w:autoSpaceDE/>
              <w:autoSpaceDN/>
              <w:rPr>
                <w:b/>
                <w:bCs/>
                <w:color w:val="000000"/>
                <w:sz w:val="20"/>
                <w:szCs w:val="20"/>
              </w:rPr>
            </w:pPr>
            <w:r>
              <w:rPr>
                <w:b/>
                <w:bCs/>
                <w:color w:val="000000"/>
                <w:sz w:val="20"/>
                <w:szCs w:val="20"/>
              </w:rPr>
              <w:t>PI4</w:t>
            </w:r>
          </w:p>
        </w:tc>
        <w:tc>
          <w:tcPr>
            <w:tcW w:w="1006" w:type="dxa"/>
            <w:tcBorders>
              <w:top w:val="nil"/>
              <w:left w:val="nil"/>
              <w:bottom w:val="single" w:sz="4" w:space="0" w:color="auto"/>
              <w:right w:val="single" w:sz="4" w:space="0" w:color="auto"/>
            </w:tcBorders>
            <w:vAlign w:val="center"/>
            <w:hideMark/>
          </w:tcPr>
          <w:p w14:paraId="09063B47" w14:textId="77777777" w:rsidR="00CA15E3" w:rsidRPr="00CA15E3" w:rsidRDefault="00CA15E3" w:rsidP="00CA15E3">
            <w:pPr>
              <w:widowControl/>
              <w:autoSpaceDE/>
              <w:autoSpaceDN/>
              <w:jc w:val="right"/>
              <w:rPr>
                <w:color w:val="000000"/>
                <w:sz w:val="20"/>
                <w:szCs w:val="20"/>
              </w:rPr>
            </w:pPr>
            <w:r>
              <w:rPr>
                <w:color w:val="000000"/>
                <w:sz w:val="20"/>
                <w:szCs w:val="20"/>
              </w:rPr>
              <w:t>0.868</w:t>
            </w:r>
          </w:p>
        </w:tc>
        <w:tc>
          <w:tcPr>
            <w:tcW w:w="1206" w:type="dxa"/>
            <w:tcBorders>
              <w:top w:val="nil"/>
              <w:left w:val="nil"/>
              <w:bottom w:val="single" w:sz="4" w:space="0" w:color="auto"/>
              <w:right w:val="single" w:sz="4" w:space="0" w:color="auto"/>
            </w:tcBorders>
            <w:vAlign w:val="center"/>
            <w:hideMark/>
          </w:tcPr>
          <w:p w14:paraId="4F1CC512"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1DC118CF"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13E18BCD"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vAlign w:val="center"/>
            <w:hideMark/>
          </w:tcPr>
          <w:p w14:paraId="4EBCFFB4"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43AA7A20" w14:textId="77777777" w:rsidR="00CA15E3" w:rsidRPr="00CA15E3" w:rsidRDefault="00CA15E3" w:rsidP="00CA15E3">
            <w:pPr>
              <w:widowControl/>
              <w:autoSpaceDE/>
              <w:autoSpaceDN/>
              <w:jc w:val="right"/>
              <w:rPr>
                <w:color w:val="000000"/>
                <w:sz w:val="20"/>
                <w:szCs w:val="20"/>
              </w:rPr>
            </w:pPr>
            <w:r>
              <w:rPr>
                <w:color w:val="000000"/>
                <w:sz w:val="20"/>
                <w:szCs w:val="20"/>
              </w:rPr>
              <w:t>2.369</w:t>
            </w:r>
          </w:p>
        </w:tc>
      </w:tr>
      <w:tr w:rsidR="00CA15E3" w:rsidRPr="00CA15E3" w14:paraId="0D4D8B48"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13477284" w14:textId="77777777" w:rsidR="00CA15E3" w:rsidRPr="00CA15E3" w:rsidRDefault="00CA15E3" w:rsidP="00CA15E3">
            <w:pPr>
              <w:widowControl/>
              <w:autoSpaceDE/>
              <w:autoSpaceDN/>
              <w:rPr>
                <w:b/>
                <w:bCs/>
                <w:color w:val="000000"/>
                <w:sz w:val="20"/>
                <w:szCs w:val="20"/>
              </w:rPr>
            </w:pPr>
            <w:r>
              <w:rPr>
                <w:b/>
                <w:bCs/>
                <w:color w:val="000000"/>
                <w:sz w:val="20"/>
                <w:szCs w:val="20"/>
              </w:rPr>
              <w:t>PIN</w:t>
            </w:r>
          </w:p>
        </w:tc>
        <w:tc>
          <w:tcPr>
            <w:tcW w:w="694" w:type="dxa"/>
            <w:tcBorders>
              <w:top w:val="nil"/>
              <w:left w:val="nil"/>
              <w:bottom w:val="single" w:sz="4" w:space="0" w:color="auto"/>
              <w:right w:val="single" w:sz="4" w:space="0" w:color="auto"/>
            </w:tcBorders>
            <w:vAlign w:val="center"/>
            <w:hideMark/>
          </w:tcPr>
          <w:p w14:paraId="3700ED5F" w14:textId="77777777" w:rsidR="00CA15E3" w:rsidRPr="00CA15E3" w:rsidRDefault="00CA15E3" w:rsidP="00CA15E3">
            <w:pPr>
              <w:widowControl/>
              <w:autoSpaceDE/>
              <w:autoSpaceDN/>
              <w:rPr>
                <w:b/>
                <w:bCs/>
                <w:color w:val="000000"/>
                <w:sz w:val="20"/>
                <w:szCs w:val="20"/>
              </w:rPr>
            </w:pPr>
            <w:r>
              <w:rPr>
                <w:b/>
                <w:bCs/>
                <w:color w:val="000000"/>
                <w:sz w:val="20"/>
                <w:szCs w:val="20"/>
              </w:rPr>
              <w:t>PIN1</w:t>
            </w:r>
          </w:p>
        </w:tc>
        <w:tc>
          <w:tcPr>
            <w:tcW w:w="1006" w:type="dxa"/>
            <w:tcBorders>
              <w:top w:val="nil"/>
              <w:left w:val="nil"/>
              <w:bottom w:val="single" w:sz="4" w:space="0" w:color="auto"/>
              <w:right w:val="single" w:sz="4" w:space="0" w:color="auto"/>
            </w:tcBorders>
            <w:vAlign w:val="center"/>
            <w:hideMark/>
          </w:tcPr>
          <w:p w14:paraId="399F30ED" w14:textId="77777777" w:rsidR="00CA15E3" w:rsidRPr="00CA15E3" w:rsidRDefault="00CA15E3" w:rsidP="00CA15E3">
            <w:pPr>
              <w:widowControl/>
              <w:autoSpaceDE/>
              <w:autoSpaceDN/>
              <w:jc w:val="right"/>
              <w:rPr>
                <w:color w:val="000000"/>
                <w:sz w:val="20"/>
                <w:szCs w:val="20"/>
              </w:rPr>
            </w:pPr>
            <w:r>
              <w:rPr>
                <w:color w:val="000000"/>
                <w:sz w:val="20"/>
                <w:szCs w:val="20"/>
              </w:rPr>
              <w:t>0.845</w:t>
            </w:r>
          </w:p>
        </w:tc>
        <w:tc>
          <w:tcPr>
            <w:tcW w:w="1206" w:type="dxa"/>
            <w:tcBorders>
              <w:top w:val="nil"/>
              <w:left w:val="nil"/>
              <w:bottom w:val="single" w:sz="4" w:space="0" w:color="auto"/>
              <w:right w:val="single" w:sz="4" w:space="0" w:color="auto"/>
            </w:tcBorders>
            <w:vAlign w:val="center"/>
            <w:hideMark/>
          </w:tcPr>
          <w:p w14:paraId="2B24BEA7" w14:textId="77777777" w:rsidR="00CA15E3" w:rsidRPr="00CA15E3" w:rsidRDefault="00CA15E3" w:rsidP="00CA15E3">
            <w:pPr>
              <w:widowControl/>
              <w:autoSpaceDE/>
              <w:autoSpaceDN/>
              <w:jc w:val="right"/>
              <w:rPr>
                <w:color w:val="000000"/>
                <w:sz w:val="20"/>
                <w:szCs w:val="20"/>
              </w:rPr>
            </w:pPr>
            <w:r>
              <w:rPr>
                <w:color w:val="000000"/>
                <w:sz w:val="20"/>
                <w:szCs w:val="20"/>
              </w:rPr>
              <w:t>0.840</w:t>
            </w:r>
          </w:p>
        </w:tc>
        <w:tc>
          <w:tcPr>
            <w:tcW w:w="1128" w:type="dxa"/>
            <w:tcBorders>
              <w:top w:val="nil"/>
              <w:left w:val="nil"/>
              <w:bottom w:val="single" w:sz="4" w:space="0" w:color="auto"/>
              <w:right w:val="single" w:sz="4" w:space="0" w:color="auto"/>
            </w:tcBorders>
            <w:vAlign w:val="center"/>
            <w:hideMark/>
          </w:tcPr>
          <w:p w14:paraId="3BB2DC3E" w14:textId="77777777" w:rsidR="00CA15E3" w:rsidRPr="00CA15E3" w:rsidRDefault="00CA15E3" w:rsidP="00CA15E3">
            <w:pPr>
              <w:widowControl/>
              <w:autoSpaceDE/>
              <w:autoSpaceDN/>
              <w:jc w:val="right"/>
              <w:rPr>
                <w:color w:val="000000"/>
                <w:sz w:val="20"/>
                <w:szCs w:val="20"/>
              </w:rPr>
            </w:pPr>
            <w:r>
              <w:rPr>
                <w:color w:val="000000"/>
                <w:sz w:val="20"/>
                <w:szCs w:val="20"/>
              </w:rPr>
              <w:t>0.874</w:t>
            </w:r>
          </w:p>
        </w:tc>
        <w:tc>
          <w:tcPr>
            <w:tcW w:w="1128" w:type="dxa"/>
            <w:tcBorders>
              <w:top w:val="nil"/>
              <w:left w:val="nil"/>
              <w:bottom w:val="single" w:sz="4" w:space="0" w:color="auto"/>
              <w:right w:val="single" w:sz="4" w:space="0" w:color="auto"/>
            </w:tcBorders>
            <w:vAlign w:val="center"/>
            <w:hideMark/>
          </w:tcPr>
          <w:p w14:paraId="57B80C9D" w14:textId="77777777" w:rsidR="00CA15E3" w:rsidRPr="00CA15E3" w:rsidRDefault="00CA15E3" w:rsidP="00CA15E3">
            <w:pPr>
              <w:widowControl/>
              <w:autoSpaceDE/>
              <w:autoSpaceDN/>
              <w:jc w:val="right"/>
              <w:rPr>
                <w:color w:val="000000"/>
                <w:sz w:val="20"/>
                <w:szCs w:val="20"/>
              </w:rPr>
            </w:pPr>
            <w:r>
              <w:rPr>
                <w:color w:val="000000"/>
                <w:sz w:val="20"/>
                <w:szCs w:val="20"/>
              </w:rPr>
              <w:t>0.889</w:t>
            </w:r>
          </w:p>
        </w:tc>
        <w:tc>
          <w:tcPr>
            <w:tcW w:w="1016" w:type="dxa"/>
            <w:tcBorders>
              <w:top w:val="nil"/>
              <w:left w:val="nil"/>
              <w:bottom w:val="single" w:sz="4" w:space="0" w:color="auto"/>
              <w:right w:val="single" w:sz="4" w:space="0" w:color="auto"/>
            </w:tcBorders>
            <w:vAlign w:val="center"/>
            <w:hideMark/>
          </w:tcPr>
          <w:p w14:paraId="4AC8D7EC" w14:textId="77777777" w:rsidR="00CA15E3" w:rsidRPr="00CA15E3" w:rsidRDefault="00CA15E3" w:rsidP="00CA15E3">
            <w:pPr>
              <w:widowControl/>
              <w:autoSpaceDE/>
              <w:autoSpaceDN/>
              <w:jc w:val="right"/>
              <w:rPr>
                <w:color w:val="000000"/>
                <w:sz w:val="20"/>
                <w:szCs w:val="20"/>
              </w:rPr>
            </w:pPr>
            <w:r>
              <w:rPr>
                <w:color w:val="000000"/>
                <w:sz w:val="20"/>
                <w:szCs w:val="20"/>
              </w:rPr>
              <w:t>0.668</w:t>
            </w:r>
          </w:p>
        </w:tc>
        <w:tc>
          <w:tcPr>
            <w:tcW w:w="666" w:type="dxa"/>
            <w:tcBorders>
              <w:top w:val="nil"/>
              <w:left w:val="nil"/>
              <w:bottom w:val="single" w:sz="4" w:space="0" w:color="auto"/>
              <w:right w:val="single" w:sz="4" w:space="0" w:color="auto"/>
            </w:tcBorders>
            <w:vAlign w:val="center"/>
            <w:hideMark/>
          </w:tcPr>
          <w:p w14:paraId="1610605D" w14:textId="77777777" w:rsidR="00CA15E3" w:rsidRPr="00CA15E3" w:rsidRDefault="00CA15E3" w:rsidP="00CA15E3">
            <w:pPr>
              <w:widowControl/>
              <w:autoSpaceDE/>
              <w:autoSpaceDN/>
              <w:jc w:val="right"/>
              <w:rPr>
                <w:color w:val="000000"/>
                <w:sz w:val="20"/>
                <w:szCs w:val="20"/>
              </w:rPr>
            </w:pPr>
            <w:r>
              <w:rPr>
                <w:color w:val="000000"/>
                <w:sz w:val="20"/>
                <w:szCs w:val="20"/>
              </w:rPr>
              <w:t>1.811</w:t>
            </w:r>
          </w:p>
        </w:tc>
      </w:tr>
      <w:tr w:rsidR="00CA15E3" w:rsidRPr="00CA15E3" w14:paraId="30E98B22"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72E5052C" w14:textId="77777777" w:rsidR="00CA15E3" w:rsidRPr="00CA15E3" w:rsidRDefault="00CA15E3" w:rsidP="00CA15E3">
            <w:pPr>
              <w:widowControl/>
              <w:autoSpaceDE/>
              <w:autoSpaceDN/>
              <w:rPr>
                <w:b/>
                <w:bCs/>
                <w:color w:val="000000"/>
                <w:sz w:val="20"/>
                <w:szCs w:val="20"/>
              </w:rPr>
            </w:pPr>
            <w:r>
              <w:rPr>
                <w:b/>
                <w:bCs/>
                <w:color w:val="000000"/>
                <w:sz w:val="20"/>
                <w:szCs w:val="20"/>
              </w:rPr>
              <w:t> </w:t>
            </w:r>
          </w:p>
        </w:tc>
        <w:tc>
          <w:tcPr>
            <w:tcW w:w="694" w:type="dxa"/>
            <w:tcBorders>
              <w:top w:val="nil"/>
              <w:left w:val="nil"/>
              <w:bottom w:val="single" w:sz="4" w:space="0" w:color="auto"/>
              <w:right w:val="single" w:sz="4" w:space="0" w:color="auto"/>
            </w:tcBorders>
            <w:vAlign w:val="center"/>
            <w:hideMark/>
          </w:tcPr>
          <w:p w14:paraId="570455C7" w14:textId="77777777" w:rsidR="00CA15E3" w:rsidRPr="00CA15E3" w:rsidRDefault="00CA15E3" w:rsidP="00CA15E3">
            <w:pPr>
              <w:widowControl/>
              <w:autoSpaceDE/>
              <w:autoSpaceDN/>
              <w:rPr>
                <w:b/>
                <w:bCs/>
                <w:color w:val="000000"/>
                <w:sz w:val="20"/>
                <w:szCs w:val="20"/>
              </w:rPr>
            </w:pPr>
            <w:r>
              <w:rPr>
                <w:b/>
                <w:bCs/>
                <w:color w:val="000000"/>
                <w:sz w:val="20"/>
                <w:szCs w:val="20"/>
              </w:rPr>
              <w:t>PIN2</w:t>
            </w:r>
          </w:p>
        </w:tc>
        <w:tc>
          <w:tcPr>
            <w:tcW w:w="1006" w:type="dxa"/>
            <w:tcBorders>
              <w:top w:val="nil"/>
              <w:left w:val="nil"/>
              <w:bottom w:val="single" w:sz="4" w:space="0" w:color="auto"/>
              <w:right w:val="single" w:sz="4" w:space="0" w:color="auto"/>
            </w:tcBorders>
            <w:vAlign w:val="center"/>
            <w:hideMark/>
          </w:tcPr>
          <w:p w14:paraId="5C5BA99A" w14:textId="77777777" w:rsidR="00CA15E3" w:rsidRPr="00CA15E3" w:rsidRDefault="00CA15E3" w:rsidP="00CA15E3">
            <w:pPr>
              <w:widowControl/>
              <w:autoSpaceDE/>
              <w:autoSpaceDN/>
              <w:jc w:val="right"/>
              <w:rPr>
                <w:color w:val="000000"/>
                <w:sz w:val="20"/>
                <w:szCs w:val="20"/>
              </w:rPr>
            </w:pPr>
            <w:r>
              <w:rPr>
                <w:color w:val="000000"/>
                <w:sz w:val="20"/>
                <w:szCs w:val="20"/>
              </w:rPr>
              <w:t>0.857</w:t>
            </w:r>
          </w:p>
        </w:tc>
        <w:tc>
          <w:tcPr>
            <w:tcW w:w="1206" w:type="dxa"/>
            <w:tcBorders>
              <w:top w:val="nil"/>
              <w:left w:val="nil"/>
              <w:bottom w:val="single" w:sz="4" w:space="0" w:color="auto"/>
              <w:right w:val="single" w:sz="4" w:space="0" w:color="auto"/>
            </w:tcBorders>
            <w:vAlign w:val="center"/>
            <w:hideMark/>
          </w:tcPr>
          <w:p w14:paraId="438671E1"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17CBA506"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7A869A50"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vAlign w:val="center"/>
            <w:hideMark/>
          </w:tcPr>
          <w:p w14:paraId="18DAE5AD"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20A9E601" w14:textId="77777777" w:rsidR="00CA15E3" w:rsidRPr="00CA15E3" w:rsidRDefault="00CA15E3" w:rsidP="00CA15E3">
            <w:pPr>
              <w:widowControl/>
              <w:autoSpaceDE/>
              <w:autoSpaceDN/>
              <w:jc w:val="right"/>
              <w:rPr>
                <w:color w:val="000000"/>
                <w:sz w:val="20"/>
                <w:szCs w:val="20"/>
              </w:rPr>
            </w:pPr>
            <w:r>
              <w:rPr>
                <w:color w:val="000000"/>
                <w:sz w:val="20"/>
                <w:szCs w:val="20"/>
              </w:rPr>
              <w:t>1.924</w:t>
            </w:r>
          </w:p>
        </w:tc>
      </w:tr>
      <w:tr w:rsidR="00CA15E3" w:rsidRPr="00CA15E3" w14:paraId="559FE493"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0A8B57DE" w14:textId="77777777" w:rsidR="00CA15E3" w:rsidRPr="00CA15E3" w:rsidRDefault="00CA15E3" w:rsidP="00CA15E3">
            <w:pPr>
              <w:widowControl/>
              <w:autoSpaceDE/>
              <w:autoSpaceDN/>
              <w:rPr>
                <w:b/>
                <w:bCs/>
                <w:color w:val="000000"/>
                <w:sz w:val="20"/>
                <w:szCs w:val="20"/>
              </w:rPr>
            </w:pPr>
            <w:r>
              <w:rPr>
                <w:b/>
                <w:bCs/>
                <w:color w:val="000000"/>
                <w:sz w:val="20"/>
                <w:szCs w:val="20"/>
              </w:rPr>
              <w:lastRenderedPageBreak/>
              <w:t> </w:t>
            </w:r>
          </w:p>
        </w:tc>
        <w:tc>
          <w:tcPr>
            <w:tcW w:w="694" w:type="dxa"/>
            <w:tcBorders>
              <w:top w:val="nil"/>
              <w:left w:val="nil"/>
              <w:bottom w:val="single" w:sz="4" w:space="0" w:color="auto"/>
              <w:right w:val="single" w:sz="4" w:space="0" w:color="auto"/>
            </w:tcBorders>
            <w:vAlign w:val="center"/>
            <w:hideMark/>
          </w:tcPr>
          <w:p w14:paraId="1EB6A230" w14:textId="77777777" w:rsidR="00CA15E3" w:rsidRPr="00CA15E3" w:rsidRDefault="00CA15E3" w:rsidP="00CA15E3">
            <w:pPr>
              <w:widowControl/>
              <w:autoSpaceDE/>
              <w:autoSpaceDN/>
              <w:rPr>
                <w:b/>
                <w:bCs/>
                <w:color w:val="000000"/>
                <w:sz w:val="20"/>
                <w:szCs w:val="20"/>
              </w:rPr>
            </w:pPr>
            <w:r>
              <w:rPr>
                <w:b/>
                <w:bCs/>
                <w:color w:val="000000"/>
                <w:sz w:val="20"/>
                <w:szCs w:val="20"/>
              </w:rPr>
              <w:t>PIN3</w:t>
            </w:r>
          </w:p>
        </w:tc>
        <w:tc>
          <w:tcPr>
            <w:tcW w:w="1006" w:type="dxa"/>
            <w:tcBorders>
              <w:top w:val="nil"/>
              <w:left w:val="nil"/>
              <w:bottom w:val="single" w:sz="4" w:space="0" w:color="auto"/>
              <w:right w:val="single" w:sz="4" w:space="0" w:color="auto"/>
            </w:tcBorders>
            <w:vAlign w:val="center"/>
            <w:hideMark/>
          </w:tcPr>
          <w:p w14:paraId="5F78CA4D" w14:textId="77777777" w:rsidR="00CA15E3" w:rsidRPr="00CA15E3" w:rsidRDefault="00CA15E3" w:rsidP="00CA15E3">
            <w:pPr>
              <w:widowControl/>
              <w:autoSpaceDE/>
              <w:autoSpaceDN/>
              <w:jc w:val="right"/>
              <w:rPr>
                <w:color w:val="000000"/>
                <w:sz w:val="20"/>
                <w:szCs w:val="20"/>
              </w:rPr>
            </w:pPr>
            <w:r>
              <w:rPr>
                <w:color w:val="000000"/>
                <w:sz w:val="20"/>
                <w:szCs w:val="20"/>
              </w:rPr>
              <w:t>0.790</w:t>
            </w:r>
          </w:p>
        </w:tc>
        <w:tc>
          <w:tcPr>
            <w:tcW w:w="1206" w:type="dxa"/>
            <w:tcBorders>
              <w:top w:val="nil"/>
              <w:left w:val="nil"/>
              <w:bottom w:val="single" w:sz="4" w:space="0" w:color="auto"/>
              <w:right w:val="single" w:sz="4" w:space="0" w:color="auto"/>
            </w:tcBorders>
            <w:vAlign w:val="center"/>
            <w:hideMark/>
          </w:tcPr>
          <w:p w14:paraId="37F5D506"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6CFA13FB"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50DD64FE"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vAlign w:val="center"/>
            <w:hideMark/>
          </w:tcPr>
          <w:p w14:paraId="587831D3"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161C456B" w14:textId="77777777" w:rsidR="00CA15E3" w:rsidRPr="00CA15E3" w:rsidRDefault="00CA15E3" w:rsidP="00CA15E3">
            <w:pPr>
              <w:widowControl/>
              <w:autoSpaceDE/>
              <w:autoSpaceDN/>
              <w:jc w:val="right"/>
              <w:rPr>
                <w:color w:val="000000"/>
                <w:sz w:val="20"/>
                <w:szCs w:val="20"/>
              </w:rPr>
            </w:pPr>
            <w:r>
              <w:rPr>
                <w:color w:val="000000"/>
                <w:sz w:val="20"/>
                <w:szCs w:val="20"/>
              </w:rPr>
              <w:t>2.269</w:t>
            </w:r>
          </w:p>
        </w:tc>
      </w:tr>
      <w:tr w:rsidR="00CA15E3" w:rsidRPr="00CA15E3" w14:paraId="6CE3CCAA"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7210B8E9" w14:textId="77777777" w:rsidR="00CA15E3" w:rsidRPr="00CA15E3" w:rsidRDefault="00CA15E3" w:rsidP="00CA15E3">
            <w:pPr>
              <w:widowControl/>
              <w:autoSpaceDE/>
              <w:autoSpaceDN/>
              <w:rPr>
                <w:b/>
                <w:bCs/>
                <w:color w:val="000000"/>
                <w:sz w:val="20"/>
                <w:szCs w:val="20"/>
              </w:rPr>
            </w:pPr>
            <w:r>
              <w:rPr>
                <w:b/>
                <w:bCs/>
                <w:color w:val="000000"/>
                <w:sz w:val="20"/>
                <w:szCs w:val="20"/>
              </w:rPr>
              <w:t> </w:t>
            </w:r>
          </w:p>
        </w:tc>
        <w:tc>
          <w:tcPr>
            <w:tcW w:w="694" w:type="dxa"/>
            <w:tcBorders>
              <w:top w:val="nil"/>
              <w:left w:val="nil"/>
              <w:bottom w:val="single" w:sz="4" w:space="0" w:color="auto"/>
              <w:right w:val="single" w:sz="4" w:space="0" w:color="auto"/>
            </w:tcBorders>
            <w:vAlign w:val="center"/>
            <w:hideMark/>
          </w:tcPr>
          <w:p w14:paraId="0692B6DD" w14:textId="77777777" w:rsidR="00CA15E3" w:rsidRPr="00CA15E3" w:rsidRDefault="00CA15E3" w:rsidP="00CA15E3">
            <w:pPr>
              <w:widowControl/>
              <w:autoSpaceDE/>
              <w:autoSpaceDN/>
              <w:rPr>
                <w:b/>
                <w:bCs/>
                <w:color w:val="000000"/>
                <w:sz w:val="20"/>
                <w:szCs w:val="20"/>
              </w:rPr>
            </w:pPr>
            <w:r>
              <w:rPr>
                <w:b/>
                <w:bCs/>
                <w:color w:val="000000"/>
                <w:sz w:val="20"/>
                <w:szCs w:val="20"/>
              </w:rPr>
              <w:t>PIN4</w:t>
            </w:r>
          </w:p>
        </w:tc>
        <w:tc>
          <w:tcPr>
            <w:tcW w:w="1006" w:type="dxa"/>
            <w:tcBorders>
              <w:top w:val="nil"/>
              <w:left w:val="nil"/>
              <w:bottom w:val="single" w:sz="4" w:space="0" w:color="auto"/>
              <w:right w:val="single" w:sz="4" w:space="0" w:color="auto"/>
            </w:tcBorders>
            <w:vAlign w:val="center"/>
            <w:hideMark/>
          </w:tcPr>
          <w:p w14:paraId="457DE545" w14:textId="77777777" w:rsidR="00CA15E3" w:rsidRPr="00CA15E3" w:rsidRDefault="00CA15E3" w:rsidP="00CA15E3">
            <w:pPr>
              <w:widowControl/>
              <w:autoSpaceDE/>
              <w:autoSpaceDN/>
              <w:jc w:val="right"/>
              <w:rPr>
                <w:color w:val="000000"/>
                <w:sz w:val="20"/>
                <w:szCs w:val="20"/>
              </w:rPr>
            </w:pPr>
            <w:r>
              <w:rPr>
                <w:color w:val="000000"/>
                <w:sz w:val="20"/>
                <w:szCs w:val="20"/>
              </w:rPr>
              <w:t>0.776</w:t>
            </w:r>
          </w:p>
        </w:tc>
        <w:tc>
          <w:tcPr>
            <w:tcW w:w="1206" w:type="dxa"/>
            <w:tcBorders>
              <w:top w:val="nil"/>
              <w:left w:val="nil"/>
              <w:bottom w:val="single" w:sz="4" w:space="0" w:color="auto"/>
              <w:right w:val="single" w:sz="4" w:space="0" w:color="auto"/>
            </w:tcBorders>
            <w:vAlign w:val="center"/>
            <w:hideMark/>
          </w:tcPr>
          <w:p w14:paraId="09D16F9F"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42B3DB49"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vAlign w:val="center"/>
            <w:hideMark/>
          </w:tcPr>
          <w:p w14:paraId="08F06606"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vAlign w:val="center"/>
            <w:hideMark/>
          </w:tcPr>
          <w:p w14:paraId="0986BA3E" w14:textId="77777777" w:rsidR="00CA15E3" w:rsidRPr="00CA15E3" w:rsidRDefault="00CA15E3" w:rsidP="00CA15E3">
            <w:pPr>
              <w:widowControl/>
              <w:autoSpaceDE/>
              <w:autoSpaceDN/>
              <w:jc w:val="right"/>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10A389A2" w14:textId="77777777" w:rsidR="00CA15E3" w:rsidRPr="00CA15E3" w:rsidRDefault="00CA15E3" w:rsidP="00CA15E3">
            <w:pPr>
              <w:widowControl/>
              <w:autoSpaceDE/>
              <w:autoSpaceDN/>
              <w:jc w:val="right"/>
              <w:rPr>
                <w:color w:val="000000"/>
                <w:sz w:val="20"/>
                <w:szCs w:val="20"/>
              </w:rPr>
            </w:pPr>
            <w:r>
              <w:rPr>
                <w:color w:val="000000"/>
                <w:sz w:val="20"/>
                <w:szCs w:val="20"/>
              </w:rPr>
              <w:t>2.230</w:t>
            </w:r>
          </w:p>
        </w:tc>
      </w:tr>
      <w:tr w:rsidR="00CA15E3" w:rsidRPr="00CA15E3" w14:paraId="68718D78" w14:textId="77777777" w:rsidTr="00A37502">
        <w:trPr>
          <w:trHeight w:val="300"/>
          <w:jc w:val="center"/>
        </w:trPr>
        <w:tc>
          <w:tcPr>
            <w:tcW w:w="1072" w:type="dxa"/>
            <w:tcBorders>
              <w:top w:val="nil"/>
              <w:left w:val="single" w:sz="4" w:space="0" w:color="auto"/>
              <w:bottom w:val="single" w:sz="4" w:space="0" w:color="auto"/>
              <w:right w:val="single" w:sz="4" w:space="0" w:color="auto"/>
            </w:tcBorders>
            <w:vAlign w:val="center"/>
            <w:hideMark/>
          </w:tcPr>
          <w:p w14:paraId="7A2F742A" w14:textId="77777777" w:rsidR="00CA15E3" w:rsidRPr="00CA15E3" w:rsidRDefault="00CA15E3" w:rsidP="00CA15E3">
            <w:pPr>
              <w:widowControl/>
              <w:autoSpaceDE/>
              <w:autoSpaceDN/>
              <w:rPr>
                <w:b/>
                <w:bCs/>
                <w:color w:val="000000"/>
                <w:sz w:val="20"/>
                <w:szCs w:val="20"/>
              </w:rPr>
            </w:pPr>
            <w:r>
              <w:rPr>
                <w:b/>
                <w:bCs/>
                <w:color w:val="000000"/>
                <w:sz w:val="20"/>
                <w:szCs w:val="20"/>
              </w:rPr>
              <w:t>TB</w:t>
            </w:r>
          </w:p>
        </w:tc>
        <w:tc>
          <w:tcPr>
            <w:tcW w:w="694" w:type="dxa"/>
            <w:tcBorders>
              <w:top w:val="nil"/>
              <w:left w:val="nil"/>
              <w:bottom w:val="single" w:sz="4" w:space="0" w:color="auto"/>
              <w:right w:val="single" w:sz="4" w:space="0" w:color="auto"/>
            </w:tcBorders>
            <w:vAlign w:val="center"/>
            <w:hideMark/>
          </w:tcPr>
          <w:p w14:paraId="09886A5E" w14:textId="77777777" w:rsidR="00CA15E3" w:rsidRPr="00CA15E3" w:rsidRDefault="00CA15E3" w:rsidP="00CA15E3">
            <w:pPr>
              <w:widowControl/>
              <w:autoSpaceDE/>
              <w:autoSpaceDN/>
              <w:rPr>
                <w:b/>
                <w:bCs/>
                <w:color w:val="000000"/>
                <w:sz w:val="20"/>
                <w:szCs w:val="20"/>
              </w:rPr>
            </w:pPr>
            <w:r>
              <w:rPr>
                <w:b/>
                <w:bCs/>
                <w:color w:val="000000"/>
                <w:sz w:val="20"/>
                <w:szCs w:val="20"/>
              </w:rPr>
              <w:t>TB1</w:t>
            </w:r>
          </w:p>
        </w:tc>
        <w:tc>
          <w:tcPr>
            <w:tcW w:w="1006" w:type="dxa"/>
            <w:tcBorders>
              <w:top w:val="nil"/>
              <w:left w:val="nil"/>
              <w:bottom w:val="single" w:sz="4" w:space="0" w:color="auto"/>
              <w:right w:val="single" w:sz="4" w:space="0" w:color="auto"/>
            </w:tcBorders>
            <w:vAlign w:val="center"/>
            <w:hideMark/>
          </w:tcPr>
          <w:p w14:paraId="51655C68" w14:textId="77777777" w:rsidR="00CA15E3" w:rsidRPr="00CA15E3" w:rsidRDefault="00CA15E3" w:rsidP="00CA15E3">
            <w:pPr>
              <w:widowControl/>
              <w:autoSpaceDE/>
              <w:autoSpaceDN/>
              <w:jc w:val="right"/>
              <w:rPr>
                <w:color w:val="000000"/>
                <w:sz w:val="20"/>
                <w:szCs w:val="20"/>
              </w:rPr>
            </w:pPr>
            <w:r>
              <w:rPr>
                <w:color w:val="000000"/>
                <w:sz w:val="20"/>
                <w:szCs w:val="20"/>
              </w:rPr>
              <w:t>0.861</w:t>
            </w:r>
          </w:p>
        </w:tc>
        <w:tc>
          <w:tcPr>
            <w:tcW w:w="1206" w:type="dxa"/>
            <w:tcBorders>
              <w:top w:val="nil"/>
              <w:left w:val="nil"/>
              <w:bottom w:val="single" w:sz="4" w:space="0" w:color="auto"/>
              <w:right w:val="single" w:sz="4" w:space="0" w:color="auto"/>
            </w:tcBorders>
            <w:vAlign w:val="center"/>
            <w:hideMark/>
          </w:tcPr>
          <w:p w14:paraId="3896EDD4" w14:textId="77777777" w:rsidR="00CA15E3" w:rsidRPr="00CA15E3" w:rsidRDefault="00CA15E3" w:rsidP="00CA15E3">
            <w:pPr>
              <w:widowControl/>
              <w:autoSpaceDE/>
              <w:autoSpaceDN/>
              <w:jc w:val="right"/>
              <w:rPr>
                <w:color w:val="000000"/>
                <w:sz w:val="20"/>
                <w:szCs w:val="20"/>
              </w:rPr>
            </w:pPr>
            <w:r>
              <w:rPr>
                <w:color w:val="000000"/>
                <w:sz w:val="20"/>
                <w:szCs w:val="20"/>
              </w:rPr>
              <w:t>0.898</w:t>
            </w:r>
          </w:p>
        </w:tc>
        <w:tc>
          <w:tcPr>
            <w:tcW w:w="1128" w:type="dxa"/>
            <w:tcBorders>
              <w:top w:val="nil"/>
              <w:left w:val="nil"/>
              <w:bottom w:val="single" w:sz="4" w:space="0" w:color="auto"/>
              <w:right w:val="single" w:sz="4" w:space="0" w:color="auto"/>
            </w:tcBorders>
            <w:vAlign w:val="center"/>
            <w:hideMark/>
          </w:tcPr>
          <w:p w14:paraId="112EB503" w14:textId="77777777" w:rsidR="00CA15E3" w:rsidRPr="00CA15E3" w:rsidRDefault="00CA15E3" w:rsidP="00CA15E3">
            <w:pPr>
              <w:widowControl/>
              <w:autoSpaceDE/>
              <w:autoSpaceDN/>
              <w:jc w:val="right"/>
              <w:rPr>
                <w:color w:val="000000"/>
                <w:sz w:val="20"/>
                <w:szCs w:val="20"/>
              </w:rPr>
            </w:pPr>
            <w:r>
              <w:rPr>
                <w:color w:val="000000"/>
                <w:sz w:val="20"/>
                <w:szCs w:val="20"/>
              </w:rPr>
              <w:t>0.904</w:t>
            </w:r>
          </w:p>
        </w:tc>
        <w:tc>
          <w:tcPr>
            <w:tcW w:w="1128" w:type="dxa"/>
            <w:tcBorders>
              <w:top w:val="nil"/>
              <w:left w:val="nil"/>
              <w:bottom w:val="single" w:sz="4" w:space="0" w:color="auto"/>
              <w:right w:val="single" w:sz="4" w:space="0" w:color="auto"/>
            </w:tcBorders>
            <w:vAlign w:val="center"/>
            <w:hideMark/>
          </w:tcPr>
          <w:p w14:paraId="47E2E325" w14:textId="77777777" w:rsidR="00CA15E3" w:rsidRPr="00CA15E3" w:rsidRDefault="00CA15E3" w:rsidP="00CA15E3">
            <w:pPr>
              <w:widowControl/>
              <w:autoSpaceDE/>
              <w:autoSpaceDN/>
              <w:jc w:val="right"/>
              <w:rPr>
                <w:color w:val="000000"/>
                <w:sz w:val="20"/>
                <w:szCs w:val="20"/>
              </w:rPr>
            </w:pPr>
            <w:r>
              <w:rPr>
                <w:color w:val="000000"/>
                <w:sz w:val="20"/>
                <w:szCs w:val="20"/>
              </w:rPr>
              <w:t>0.929</w:t>
            </w:r>
          </w:p>
        </w:tc>
        <w:tc>
          <w:tcPr>
            <w:tcW w:w="1016" w:type="dxa"/>
            <w:tcBorders>
              <w:top w:val="nil"/>
              <w:left w:val="nil"/>
              <w:bottom w:val="single" w:sz="4" w:space="0" w:color="auto"/>
              <w:right w:val="single" w:sz="4" w:space="0" w:color="auto"/>
            </w:tcBorders>
            <w:vAlign w:val="center"/>
            <w:hideMark/>
          </w:tcPr>
          <w:p w14:paraId="6630DEFA" w14:textId="77777777" w:rsidR="00CA15E3" w:rsidRPr="00CA15E3" w:rsidRDefault="00CA15E3" w:rsidP="00CA15E3">
            <w:pPr>
              <w:widowControl/>
              <w:autoSpaceDE/>
              <w:autoSpaceDN/>
              <w:jc w:val="right"/>
              <w:rPr>
                <w:color w:val="000000"/>
                <w:sz w:val="20"/>
                <w:szCs w:val="20"/>
              </w:rPr>
            </w:pPr>
            <w:r>
              <w:rPr>
                <w:color w:val="000000"/>
                <w:sz w:val="20"/>
                <w:szCs w:val="20"/>
              </w:rPr>
              <w:t>0.766</w:t>
            </w:r>
          </w:p>
        </w:tc>
        <w:tc>
          <w:tcPr>
            <w:tcW w:w="666" w:type="dxa"/>
            <w:tcBorders>
              <w:top w:val="nil"/>
              <w:left w:val="nil"/>
              <w:bottom w:val="single" w:sz="4" w:space="0" w:color="auto"/>
              <w:right w:val="single" w:sz="4" w:space="0" w:color="auto"/>
            </w:tcBorders>
            <w:vAlign w:val="center"/>
            <w:hideMark/>
          </w:tcPr>
          <w:p w14:paraId="7BE7032B" w14:textId="77777777" w:rsidR="00CA15E3" w:rsidRPr="00CA15E3" w:rsidRDefault="00CA15E3" w:rsidP="00CA15E3">
            <w:pPr>
              <w:widowControl/>
              <w:autoSpaceDE/>
              <w:autoSpaceDN/>
              <w:jc w:val="right"/>
              <w:rPr>
                <w:color w:val="000000"/>
                <w:sz w:val="20"/>
                <w:szCs w:val="20"/>
              </w:rPr>
            </w:pPr>
            <w:r>
              <w:rPr>
                <w:color w:val="000000"/>
                <w:sz w:val="20"/>
                <w:szCs w:val="20"/>
              </w:rPr>
              <w:t>2.387</w:t>
            </w:r>
          </w:p>
        </w:tc>
      </w:tr>
      <w:tr w:rsidR="00CA15E3" w:rsidRPr="00CA15E3" w14:paraId="694895A8" w14:textId="77777777" w:rsidTr="00A37502">
        <w:trPr>
          <w:trHeight w:val="300"/>
          <w:jc w:val="center"/>
        </w:trPr>
        <w:tc>
          <w:tcPr>
            <w:tcW w:w="1072" w:type="dxa"/>
            <w:tcBorders>
              <w:top w:val="nil"/>
              <w:left w:val="single" w:sz="4" w:space="0" w:color="auto"/>
              <w:bottom w:val="single" w:sz="4" w:space="0" w:color="auto"/>
              <w:right w:val="single" w:sz="4" w:space="0" w:color="auto"/>
            </w:tcBorders>
            <w:noWrap/>
            <w:vAlign w:val="bottom"/>
            <w:hideMark/>
          </w:tcPr>
          <w:p w14:paraId="674D1061" w14:textId="77777777" w:rsidR="00CA15E3" w:rsidRPr="00CA15E3" w:rsidRDefault="00CA15E3" w:rsidP="00CA15E3">
            <w:pPr>
              <w:widowControl/>
              <w:autoSpaceDE/>
              <w:autoSpaceDN/>
              <w:rPr>
                <w:color w:val="000000"/>
                <w:sz w:val="20"/>
                <w:szCs w:val="20"/>
              </w:rPr>
            </w:pPr>
            <w:r>
              <w:rPr>
                <w:color w:val="000000"/>
                <w:sz w:val="20"/>
                <w:szCs w:val="20"/>
              </w:rPr>
              <w:t> </w:t>
            </w:r>
          </w:p>
        </w:tc>
        <w:tc>
          <w:tcPr>
            <w:tcW w:w="694" w:type="dxa"/>
            <w:tcBorders>
              <w:top w:val="nil"/>
              <w:left w:val="nil"/>
              <w:bottom w:val="single" w:sz="4" w:space="0" w:color="auto"/>
              <w:right w:val="single" w:sz="4" w:space="0" w:color="auto"/>
            </w:tcBorders>
            <w:vAlign w:val="center"/>
            <w:hideMark/>
          </w:tcPr>
          <w:p w14:paraId="127A46A3" w14:textId="77777777" w:rsidR="00CA15E3" w:rsidRPr="00CA15E3" w:rsidRDefault="00CA15E3" w:rsidP="00CA15E3">
            <w:pPr>
              <w:widowControl/>
              <w:autoSpaceDE/>
              <w:autoSpaceDN/>
              <w:rPr>
                <w:b/>
                <w:bCs/>
                <w:color w:val="000000"/>
                <w:sz w:val="20"/>
                <w:szCs w:val="20"/>
              </w:rPr>
            </w:pPr>
            <w:r>
              <w:rPr>
                <w:b/>
                <w:bCs/>
                <w:color w:val="000000"/>
                <w:sz w:val="20"/>
                <w:szCs w:val="20"/>
              </w:rPr>
              <w:t>TB2</w:t>
            </w:r>
          </w:p>
        </w:tc>
        <w:tc>
          <w:tcPr>
            <w:tcW w:w="1006" w:type="dxa"/>
            <w:tcBorders>
              <w:top w:val="nil"/>
              <w:left w:val="nil"/>
              <w:bottom w:val="single" w:sz="4" w:space="0" w:color="auto"/>
              <w:right w:val="single" w:sz="4" w:space="0" w:color="auto"/>
            </w:tcBorders>
            <w:vAlign w:val="center"/>
            <w:hideMark/>
          </w:tcPr>
          <w:p w14:paraId="77F4962E" w14:textId="77777777" w:rsidR="00CA15E3" w:rsidRPr="00CA15E3" w:rsidRDefault="00CA15E3" w:rsidP="00CA15E3">
            <w:pPr>
              <w:widowControl/>
              <w:autoSpaceDE/>
              <w:autoSpaceDN/>
              <w:jc w:val="right"/>
              <w:rPr>
                <w:color w:val="000000"/>
                <w:sz w:val="20"/>
                <w:szCs w:val="20"/>
              </w:rPr>
            </w:pPr>
            <w:r>
              <w:rPr>
                <w:color w:val="000000"/>
                <w:sz w:val="20"/>
                <w:szCs w:val="20"/>
              </w:rPr>
              <w:t>0.844</w:t>
            </w:r>
          </w:p>
        </w:tc>
        <w:tc>
          <w:tcPr>
            <w:tcW w:w="1206" w:type="dxa"/>
            <w:tcBorders>
              <w:top w:val="nil"/>
              <w:left w:val="nil"/>
              <w:bottom w:val="single" w:sz="4" w:space="0" w:color="auto"/>
              <w:right w:val="single" w:sz="4" w:space="0" w:color="auto"/>
            </w:tcBorders>
            <w:noWrap/>
            <w:vAlign w:val="bottom"/>
            <w:hideMark/>
          </w:tcPr>
          <w:p w14:paraId="7D326109" w14:textId="77777777" w:rsidR="00CA15E3" w:rsidRPr="00CA15E3" w:rsidRDefault="00CA15E3" w:rsidP="00CA15E3">
            <w:pPr>
              <w:widowControl/>
              <w:autoSpaceDE/>
              <w:autoSpaceDN/>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noWrap/>
            <w:vAlign w:val="bottom"/>
            <w:hideMark/>
          </w:tcPr>
          <w:p w14:paraId="10C1A011" w14:textId="77777777" w:rsidR="00CA15E3" w:rsidRPr="00CA15E3" w:rsidRDefault="00CA15E3" w:rsidP="00CA15E3">
            <w:pPr>
              <w:widowControl/>
              <w:autoSpaceDE/>
              <w:autoSpaceDN/>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noWrap/>
            <w:vAlign w:val="bottom"/>
            <w:hideMark/>
          </w:tcPr>
          <w:p w14:paraId="6F266126" w14:textId="77777777" w:rsidR="00CA15E3" w:rsidRPr="00CA15E3" w:rsidRDefault="00CA15E3" w:rsidP="00CA15E3">
            <w:pPr>
              <w:widowControl/>
              <w:autoSpaceDE/>
              <w:autoSpaceDN/>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noWrap/>
            <w:vAlign w:val="bottom"/>
            <w:hideMark/>
          </w:tcPr>
          <w:p w14:paraId="2E69D8C1" w14:textId="77777777" w:rsidR="00CA15E3" w:rsidRPr="00CA15E3" w:rsidRDefault="00CA15E3" w:rsidP="00CA15E3">
            <w:pPr>
              <w:widowControl/>
              <w:autoSpaceDE/>
              <w:autoSpaceDN/>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2DAD37F6" w14:textId="77777777" w:rsidR="00CA15E3" w:rsidRPr="00CA15E3" w:rsidRDefault="00CA15E3" w:rsidP="00CA15E3">
            <w:pPr>
              <w:widowControl/>
              <w:autoSpaceDE/>
              <w:autoSpaceDN/>
              <w:jc w:val="right"/>
              <w:rPr>
                <w:color w:val="000000"/>
                <w:sz w:val="20"/>
                <w:szCs w:val="20"/>
              </w:rPr>
            </w:pPr>
            <w:r>
              <w:rPr>
                <w:color w:val="000000"/>
                <w:sz w:val="20"/>
                <w:szCs w:val="20"/>
              </w:rPr>
              <w:t>2.157</w:t>
            </w:r>
          </w:p>
        </w:tc>
      </w:tr>
      <w:tr w:rsidR="00CA15E3" w:rsidRPr="00CA15E3" w14:paraId="7F547F6B" w14:textId="77777777" w:rsidTr="00A37502">
        <w:trPr>
          <w:trHeight w:val="300"/>
          <w:jc w:val="center"/>
        </w:trPr>
        <w:tc>
          <w:tcPr>
            <w:tcW w:w="1072" w:type="dxa"/>
            <w:tcBorders>
              <w:top w:val="nil"/>
              <w:left w:val="single" w:sz="4" w:space="0" w:color="auto"/>
              <w:bottom w:val="single" w:sz="4" w:space="0" w:color="auto"/>
              <w:right w:val="single" w:sz="4" w:space="0" w:color="auto"/>
            </w:tcBorders>
            <w:noWrap/>
            <w:vAlign w:val="bottom"/>
            <w:hideMark/>
          </w:tcPr>
          <w:p w14:paraId="20A23E33" w14:textId="77777777" w:rsidR="00CA15E3" w:rsidRPr="00CA15E3" w:rsidRDefault="00CA15E3" w:rsidP="00CA15E3">
            <w:pPr>
              <w:widowControl/>
              <w:autoSpaceDE/>
              <w:autoSpaceDN/>
              <w:rPr>
                <w:color w:val="000000"/>
                <w:sz w:val="20"/>
                <w:szCs w:val="20"/>
              </w:rPr>
            </w:pPr>
            <w:r>
              <w:rPr>
                <w:color w:val="000000"/>
                <w:sz w:val="20"/>
                <w:szCs w:val="20"/>
              </w:rPr>
              <w:t> </w:t>
            </w:r>
          </w:p>
        </w:tc>
        <w:tc>
          <w:tcPr>
            <w:tcW w:w="694" w:type="dxa"/>
            <w:tcBorders>
              <w:top w:val="nil"/>
              <w:left w:val="nil"/>
              <w:bottom w:val="single" w:sz="4" w:space="0" w:color="auto"/>
              <w:right w:val="single" w:sz="4" w:space="0" w:color="auto"/>
            </w:tcBorders>
            <w:vAlign w:val="center"/>
            <w:hideMark/>
          </w:tcPr>
          <w:p w14:paraId="0B390126" w14:textId="77777777" w:rsidR="00CA15E3" w:rsidRPr="00CA15E3" w:rsidRDefault="00CA15E3" w:rsidP="00CA15E3">
            <w:pPr>
              <w:widowControl/>
              <w:autoSpaceDE/>
              <w:autoSpaceDN/>
              <w:rPr>
                <w:b/>
                <w:bCs/>
                <w:color w:val="000000"/>
                <w:sz w:val="20"/>
                <w:szCs w:val="20"/>
              </w:rPr>
            </w:pPr>
            <w:r>
              <w:rPr>
                <w:b/>
                <w:bCs/>
                <w:color w:val="000000"/>
                <w:sz w:val="20"/>
                <w:szCs w:val="20"/>
              </w:rPr>
              <w:t>TB3</w:t>
            </w:r>
          </w:p>
        </w:tc>
        <w:tc>
          <w:tcPr>
            <w:tcW w:w="1006" w:type="dxa"/>
            <w:tcBorders>
              <w:top w:val="nil"/>
              <w:left w:val="nil"/>
              <w:bottom w:val="single" w:sz="4" w:space="0" w:color="auto"/>
              <w:right w:val="single" w:sz="4" w:space="0" w:color="auto"/>
            </w:tcBorders>
            <w:vAlign w:val="center"/>
            <w:hideMark/>
          </w:tcPr>
          <w:p w14:paraId="24EDC162" w14:textId="77777777" w:rsidR="00CA15E3" w:rsidRPr="00CA15E3" w:rsidRDefault="00CA15E3" w:rsidP="00CA15E3">
            <w:pPr>
              <w:widowControl/>
              <w:autoSpaceDE/>
              <w:autoSpaceDN/>
              <w:jc w:val="right"/>
              <w:rPr>
                <w:color w:val="000000"/>
                <w:sz w:val="20"/>
                <w:szCs w:val="20"/>
              </w:rPr>
            </w:pPr>
            <w:r>
              <w:rPr>
                <w:color w:val="000000"/>
                <w:sz w:val="20"/>
                <w:szCs w:val="20"/>
              </w:rPr>
              <w:t>0.892</w:t>
            </w:r>
          </w:p>
        </w:tc>
        <w:tc>
          <w:tcPr>
            <w:tcW w:w="1206" w:type="dxa"/>
            <w:tcBorders>
              <w:top w:val="nil"/>
              <w:left w:val="nil"/>
              <w:bottom w:val="single" w:sz="4" w:space="0" w:color="auto"/>
              <w:right w:val="single" w:sz="4" w:space="0" w:color="auto"/>
            </w:tcBorders>
            <w:noWrap/>
            <w:vAlign w:val="bottom"/>
            <w:hideMark/>
          </w:tcPr>
          <w:p w14:paraId="50209761" w14:textId="77777777" w:rsidR="00CA15E3" w:rsidRPr="00CA15E3" w:rsidRDefault="00CA15E3" w:rsidP="00CA15E3">
            <w:pPr>
              <w:widowControl/>
              <w:autoSpaceDE/>
              <w:autoSpaceDN/>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noWrap/>
            <w:vAlign w:val="bottom"/>
            <w:hideMark/>
          </w:tcPr>
          <w:p w14:paraId="0D5C48B8" w14:textId="77777777" w:rsidR="00CA15E3" w:rsidRPr="00CA15E3" w:rsidRDefault="00CA15E3" w:rsidP="00CA15E3">
            <w:pPr>
              <w:widowControl/>
              <w:autoSpaceDE/>
              <w:autoSpaceDN/>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noWrap/>
            <w:vAlign w:val="bottom"/>
            <w:hideMark/>
          </w:tcPr>
          <w:p w14:paraId="285E8493" w14:textId="77777777" w:rsidR="00CA15E3" w:rsidRPr="00CA15E3" w:rsidRDefault="00CA15E3" w:rsidP="00CA15E3">
            <w:pPr>
              <w:widowControl/>
              <w:autoSpaceDE/>
              <w:autoSpaceDN/>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noWrap/>
            <w:vAlign w:val="bottom"/>
            <w:hideMark/>
          </w:tcPr>
          <w:p w14:paraId="4D10CB0D" w14:textId="77777777" w:rsidR="00CA15E3" w:rsidRPr="00CA15E3" w:rsidRDefault="00CA15E3" w:rsidP="00CA15E3">
            <w:pPr>
              <w:widowControl/>
              <w:autoSpaceDE/>
              <w:autoSpaceDN/>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184A8EC9" w14:textId="77777777" w:rsidR="00CA15E3" w:rsidRPr="00CA15E3" w:rsidRDefault="00CA15E3" w:rsidP="00CA15E3">
            <w:pPr>
              <w:widowControl/>
              <w:autoSpaceDE/>
              <w:autoSpaceDN/>
              <w:jc w:val="right"/>
              <w:rPr>
                <w:color w:val="000000"/>
                <w:sz w:val="20"/>
                <w:szCs w:val="20"/>
              </w:rPr>
            </w:pPr>
            <w:r>
              <w:rPr>
                <w:color w:val="000000"/>
                <w:sz w:val="20"/>
                <w:szCs w:val="20"/>
              </w:rPr>
              <w:t>2.829</w:t>
            </w:r>
          </w:p>
        </w:tc>
      </w:tr>
      <w:tr w:rsidR="00CA15E3" w:rsidRPr="00CA15E3" w14:paraId="78D02C29" w14:textId="77777777" w:rsidTr="00A37502">
        <w:trPr>
          <w:trHeight w:val="300"/>
          <w:jc w:val="center"/>
        </w:trPr>
        <w:tc>
          <w:tcPr>
            <w:tcW w:w="1072" w:type="dxa"/>
            <w:tcBorders>
              <w:top w:val="nil"/>
              <w:left w:val="single" w:sz="4" w:space="0" w:color="auto"/>
              <w:bottom w:val="single" w:sz="4" w:space="0" w:color="auto"/>
              <w:right w:val="single" w:sz="4" w:space="0" w:color="auto"/>
            </w:tcBorders>
            <w:noWrap/>
            <w:vAlign w:val="bottom"/>
            <w:hideMark/>
          </w:tcPr>
          <w:p w14:paraId="67A93A3C" w14:textId="77777777" w:rsidR="00CA15E3" w:rsidRPr="00CA15E3" w:rsidRDefault="00CA15E3" w:rsidP="00CA15E3">
            <w:pPr>
              <w:widowControl/>
              <w:autoSpaceDE/>
              <w:autoSpaceDN/>
              <w:rPr>
                <w:color w:val="000000"/>
                <w:sz w:val="20"/>
                <w:szCs w:val="20"/>
              </w:rPr>
            </w:pPr>
            <w:r>
              <w:rPr>
                <w:color w:val="000000"/>
                <w:sz w:val="20"/>
                <w:szCs w:val="20"/>
              </w:rPr>
              <w:t> </w:t>
            </w:r>
          </w:p>
        </w:tc>
        <w:tc>
          <w:tcPr>
            <w:tcW w:w="694" w:type="dxa"/>
            <w:tcBorders>
              <w:top w:val="nil"/>
              <w:left w:val="nil"/>
              <w:bottom w:val="single" w:sz="4" w:space="0" w:color="auto"/>
              <w:right w:val="single" w:sz="4" w:space="0" w:color="auto"/>
            </w:tcBorders>
            <w:vAlign w:val="center"/>
            <w:hideMark/>
          </w:tcPr>
          <w:p w14:paraId="622BEE21" w14:textId="77777777" w:rsidR="00CA15E3" w:rsidRPr="00CA15E3" w:rsidRDefault="00CA15E3" w:rsidP="00CA15E3">
            <w:pPr>
              <w:widowControl/>
              <w:autoSpaceDE/>
              <w:autoSpaceDN/>
              <w:rPr>
                <w:b/>
                <w:bCs/>
                <w:color w:val="000000"/>
                <w:sz w:val="20"/>
                <w:szCs w:val="20"/>
              </w:rPr>
            </w:pPr>
            <w:r>
              <w:rPr>
                <w:b/>
                <w:bCs/>
                <w:color w:val="000000"/>
                <w:sz w:val="20"/>
                <w:szCs w:val="20"/>
              </w:rPr>
              <w:t>TB4</w:t>
            </w:r>
          </w:p>
        </w:tc>
        <w:tc>
          <w:tcPr>
            <w:tcW w:w="1006" w:type="dxa"/>
            <w:tcBorders>
              <w:top w:val="nil"/>
              <w:left w:val="nil"/>
              <w:bottom w:val="single" w:sz="4" w:space="0" w:color="auto"/>
              <w:right w:val="single" w:sz="4" w:space="0" w:color="auto"/>
            </w:tcBorders>
            <w:vAlign w:val="center"/>
            <w:hideMark/>
          </w:tcPr>
          <w:p w14:paraId="4A5B5C20" w14:textId="77777777" w:rsidR="00CA15E3" w:rsidRPr="00CA15E3" w:rsidRDefault="00CA15E3" w:rsidP="00CA15E3">
            <w:pPr>
              <w:widowControl/>
              <w:autoSpaceDE/>
              <w:autoSpaceDN/>
              <w:jc w:val="right"/>
              <w:rPr>
                <w:color w:val="000000"/>
                <w:sz w:val="20"/>
                <w:szCs w:val="20"/>
              </w:rPr>
            </w:pPr>
            <w:r>
              <w:rPr>
                <w:color w:val="000000"/>
                <w:sz w:val="20"/>
                <w:szCs w:val="20"/>
              </w:rPr>
              <w:t>0.903</w:t>
            </w:r>
          </w:p>
        </w:tc>
        <w:tc>
          <w:tcPr>
            <w:tcW w:w="1206" w:type="dxa"/>
            <w:tcBorders>
              <w:top w:val="nil"/>
              <w:left w:val="nil"/>
              <w:bottom w:val="single" w:sz="4" w:space="0" w:color="auto"/>
              <w:right w:val="single" w:sz="4" w:space="0" w:color="auto"/>
            </w:tcBorders>
            <w:noWrap/>
            <w:vAlign w:val="bottom"/>
            <w:hideMark/>
          </w:tcPr>
          <w:p w14:paraId="2DEA264C" w14:textId="77777777" w:rsidR="00CA15E3" w:rsidRPr="00CA15E3" w:rsidRDefault="00CA15E3" w:rsidP="00CA15E3">
            <w:pPr>
              <w:widowControl/>
              <w:autoSpaceDE/>
              <w:autoSpaceDN/>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noWrap/>
            <w:vAlign w:val="bottom"/>
            <w:hideMark/>
          </w:tcPr>
          <w:p w14:paraId="0ACBEFF4" w14:textId="77777777" w:rsidR="00CA15E3" w:rsidRPr="00CA15E3" w:rsidRDefault="00CA15E3" w:rsidP="00CA15E3">
            <w:pPr>
              <w:widowControl/>
              <w:autoSpaceDE/>
              <w:autoSpaceDN/>
              <w:rPr>
                <w:color w:val="000000"/>
                <w:sz w:val="20"/>
                <w:szCs w:val="20"/>
              </w:rPr>
            </w:pPr>
            <w:r>
              <w:rPr>
                <w:color w:val="000000"/>
                <w:sz w:val="20"/>
                <w:szCs w:val="20"/>
              </w:rPr>
              <w:t> </w:t>
            </w:r>
          </w:p>
        </w:tc>
        <w:tc>
          <w:tcPr>
            <w:tcW w:w="1128" w:type="dxa"/>
            <w:tcBorders>
              <w:top w:val="nil"/>
              <w:left w:val="nil"/>
              <w:bottom w:val="single" w:sz="4" w:space="0" w:color="auto"/>
              <w:right w:val="single" w:sz="4" w:space="0" w:color="auto"/>
            </w:tcBorders>
            <w:noWrap/>
            <w:vAlign w:val="bottom"/>
            <w:hideMark/>
          </w:tcPr>
          <w:p w14:paraId="4CC11BE9" w14:textId="77777777" w:rsidR="00CA15E3" w:rsidRPr="00CA15E3" w:rsidRDefault="00CA15E3" w:rsidP="00CA15E3">
            <w:pPr>
              <w:widowControl/>
              <w:autoSpaceDE/>
              <w:autoSpaceDN/>
              <w:rPr>
                <w:color w:val="000000"/>
                <w:sz w:val="20"/>
                <w:szCs w:val="20"/>
              </w:rPr>
            </w:pPr>
            <w:r>
              <w:rPr>
                <w:color w:val="000000"/>
                <w:sz w:val="20"/>
                <w:szCs w:val="20"/>
              </w:rPr>
              <w:t> </w:t>
            </w:r>
          </w:p>
        </w:tc>
        <w:tc>
          <w:tcPr>
            <w:tcW w:w="1016" w:type="dxa"/>
            <w:tcBorders>
              <w:top w:val="nil"/>
              <w:left w:val="nil"/>
              <w:bottom w:val="single" w:sz="4" w:space="0" w:color="auto"/>
              <w:right w:val="single" w:sz="4" w:space="0" w:color="auto"/>
            </w:tcBorders>
            <w:noWrap/>
            <w:vAlign w:val="bottom"/>
            <w:hideMark/>
          </w:tcPr>
          <w:p w14:paraId="2758A34C" w14:textId="77777777" w:rsidR="00CA15E3" w:rsidRPr="00CA15E3" w:rsidRDefault="00CA15E3" w:rsidP="00CA15E3">
            <w:pPr>
              <w:widowControl/>
              <w:autoSpaceDE/>
              <w:autoSpaceDN/>
              <w:rPr>
                <w:color w:val="000000"/>
                <w:sz w:val="20"/>
                <w:szCs w:val="20"/>
              </w:rPr>
            </w:pPr>
            <w:r>
              <w:rPr>
                <w:color w:val="000000"/>
                <w:sz w:val="20"/>
                <w:szCs w:val="20"/>
              </w:rPr>
              <w:t> </w:t>
            </w:r>
          </w:p>
        </w:tc>
        <w:tc>
          <w:tcPr>
            <w:tcW w:w="666" w:type="dxa"/>
            <w:tcBorders>
              <w:top w:val="nil"/>
              <w:left w:val="nil"/>
              <w:bottom w:val="single" w:sz="4" w:space="0" w:color="auto"/>
              <w:right w:val="single" w:sz="4" w:space="0" w:color="auto"/>
            </w:tcBorders>
            <w:vAlign w:val="center"/>
            <w:hideMark/>
          </w:tcPr>
          <w:p w14:paraId="0E7D526F" w14:textId="77777777" w:rsidR="00CA15E3" w:rsidRPr="00CA15E3" w:rsidRDefault="00CA15E3" w:rsidP="00CA15E3">
            <w:pPr>
              <w:widowControl/>
              <w:autoSpaceDE/>
              <w:autoSpaceDN/>
              <w:jc w:val="right"/>
              <w:rPr>
                <w:color w:val="000000"/>
                <w:sz w:val="20"/>
                <w:szCs w:val="20"/>
              </w:rPr>
            </w:pPr>
            <w:r>
              <w:rPr>
                <w:color w:val="000000"/>
                <w:sz w:val="20"/>
                <w:szCs w:val="20"/>
              </w:rPr>
              <w:t>2.966</w:t>
            </w:r>
          </w:p>
        </w:tc>
      </w:tr>
    </w:tbl>
    <w:p w14:paraId="653B17CE" w14:textId="77777777" w:rsidR="002D6281" w:rsidRDefault="002D6281" w:rsidP="002D6281"/>
    <w:p w14:paraId="270D1DDE" w14:textId="77777777" w:rsidR="002D6281" w:rsidRDefault="002D6281" w:rsidP="004B394D">
      <w:pPr>
        <w:spacing w:after="120" w:line="480" w:lineRule="auto"/>
        <w:ind w:firstLine="720"/>
        <w:contextualSpacing/>
        <w:jc w:val="both"/>
      </w:pPr>
      <w:r>
        <w:t xml:space="preserve">Table 3 presents the assessment of discriminant validity using the Heterotrait–Monotrait ratio (HTMT), following the recommended threshold of 0.90 for conceptually similar constructs. The HTMT values range from 0.531 to 0.860, all of which are below the conservative cut-off value of 0.90, thereby confirming adequate discriminant validity among the constructs </w:t>
      </w:r>
      <w:sdt>
        <w:sdtPr>
          <w:rPr>
            <w:color w:val="000000"/>
          </w:rPr>
          <w:tag w:val="MENDELEY_CITATION_v3_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"/>
          <w:id w:val="1954132022"/>
          <w:placeholder>
            <w:docPart w:val="DefaultPlaceholder_-1854013440"/>
          </w:placeholder>
        </w:sdtPr>
        <w:sdtContent>
          <w:r>
            <w:rPr>
              <w:color w:val="000000"/>
            </w:rPr>
            <w:t>(Ab Hamid et al., 2017)</w:t>
          </w:r>
        </w:sdtContent>
      </w:sdt>
      <w:r>
        <w:t>. Specifically, the highest HTMT value is observed between Professional Agency (PA) and Professional Identity (PI) (HTMT = 0.860), which is expected given the conceptual proximity of these constructs within teacher cognition and agency frameworks. Similarly, the relationship between Teacher Beliefs (TB) and Professional Identity (PI) shows a relatively high HTMT value (0.839), reflecting their theoretical interdependence. However, both values remain within acceptable limits, indicating that the constructs are empirically distinct despite their conceptual relatedness. Lower HTMT values are observed between Pedagogical Innovation (PIN) and other constructs, such as PIN–TB (0.531) and PIN–PI (0.594), suggesting clearer differentiation between pedagogical practices and underlying cognitive or identity-related constructs. Additionally, the HTMT values involving Communicative Competence (CC) are all below 0.75, further supporting the distinctiveness of outcome variables from antecedent constructs. Overall, the HTMT results provide strong evidence of discriminant validity, confirming that all constructs in the model are sufficiently distinct and capturing different theoretical dimensions. This supports the robustness of the measurement model and justifies proceeding with structural model evaluation.</w:t>
      </w:r>
    </w:p>
    <w:p w14:paraId="3D3F93EF" w14:textId="77777777" w:rsidR="004B394D" w:rsidRPr="004B394D" w:rsidRDefault="002D6281" w:rsidP="004B394D">
      <w:pPr>
        <w:rPr>
          <w:b/>
          <w:bCs/>
        </w:rPr>
      </w:pPr>
      <w:r>
        <w:rPr>
          <w:b/>
          <w:bCs/>
        </w:rPr>
        <w:t xml:space="preserve">Table 3 </w:t>
      </w:r>
    </w:p>
    <w:p w14:paraId="4B1AF9D6" w14:textId="77777777" w:rsidR="00CA15E3" w:rsidRPr="004B394D" w:rsidRDefault="002D6281" w:rsidP="004B394D">
      <w:pPr>
        <w:rPr>
          <w:i/>
          <w:iCs/>
        </w:rPr>
      </w:pPr>
      <w:r>
        <w:rPr>
          <w:i/>
          <w:iCs/>
        </w:rPr>
        <w:t>Discriminant Validity-HTMT Results</w:t>
      </w:r>
    </w:p>
    <w:tbl>
      <w:tblPr>
        <w:tblW w:w="8712" w:type="dxa"/>
        <w:tblLook w:val="04A0" w:firstRow="1" w:lastRow="0" w:firstColumn="1" w:lastColumn="0" w:noHBand="0" w:noVBand="1"/>
      </w:tblPr>
      <w:tblGrid>
        <w:gridCol w:w="1452"/>
        <w:gridCol w:w="1452"/>
        <w:gridCol w:w="1452"/>
        <w:gridCol w:w="1452"/>
        <w:gridCol w:w="1452"/>
        <w:gridCol w:w="1452"/>
      </w:tblGrid>
      <w:tr w:rsidR="002D6281" w:rsidRPr="002D6281" w14:paraId="2F2348CF" w14:textId="77777777" w:rsidTr="00A37502">
        <w:trPr>
          <w:trHeight w:val="322"/>
        </w:trPr>
        <w:tc>
          <w:tcPr>
            <w:tcW w:w="1452" w:type="dxa"/>
            <w:tcBorders>
              <w:top w:val="single" w:sz="4" w:space="0" w:color="auto"/>
              <w:left w:val="single" w:sz="4" w:space="0" w:color="auto"/>
              <w:bottom w:val="single" w:sz="4" w:space="0" w:color="auto"/>
              <w:right w:val="single" w:sz="4" w:space="0" w:color="auto"/>
            </w:tcBorders>
            <w:vAlign w:val="center"/>
            <w:hideMark/>
          </w:tcPr>
          <w:p w14:paraId="64EF618E" w14:textId="77777777" w:rsidR="002D6281" w:rsidRPr="002D6281" w:rsidRDefault="002D6281" w:rsidP="00A37502">
            <w:pPr>
              <w:widowControl/>
              <w:autoSpaceDE/>
              <w:autoSpaceDN/>
              <w:jc w:val="center"/>
              <w:rPr>
                <w:b/>
                <w:bCs/>
                <w:color w:val="000000"/>
                <w:sz w:val="22"/>
              </w:rPr>
            </w:pPr>
          </w:p>
        </w:tc>
        <w:tc>
          <w:tcPr>
            <w:tcW w:w="1452" w:type="dxa"/>
            <w:tcBorders>
              <w:top w:val="single" w:sz="4" w:space="0" w:color="auto"/>
              <w:left w:val="nil"/>
              <w:bottom w:val="single" w:sz="4" w:space="0" w:color="auto"/>
              <w:right w:val="single" w:sz="4" w:space="0" w:color="auto"/>
            </w:tcBorders>
            <w:vAlign w:val="center"/>
            <w:hideMark/>
          </w:tcPr>
          <w:p w14:paraId="4E7E641E" w14:textId="77777777" w:rsidR="002D6281" w:rsidRPr="002D6281" w:rsidRDefault="002D6281" w:rsidP="00A37502">
            <w:pPr>
              <w:widowControl/>
              <w:autoSpaceDE/>
              <w:autoSpaceDN/>
              <w:jc w:val="center"/>
              <w:rPr>
                <w:b/>
                <w:bCs/>
                <w:color w:val="000000"/>
                <w:sz w:val="22"/>
              </w:rPr>
            </w:pPr>
            <w:r>
              <w:rPr>
                <w:b/>
                <w:bCs/>
                <w:color w:val="000000"/>
                <w:sz w:val="22"/>
              </w:rPr>
              <w:t>CC</w:t>
            </w:r>
          </w:p>
        </w:tc>
        <w:tc>
          <w:tcPr>
            <w:tcW w:w="1452" w:type="dxa"/>
            <w:tcBorders>
              <w:top w:val="single" w:sz="4" w:space="0" w:color="auto"/>
              <w:left w:val="nil"/>
              <w:bottom w:val="single" w:sz="4" w:space="0" w:color="auto"/>
              <w:right w:val="single" w:sz="4" w:space="0" w:color="auto"/>
            </w:tcBorders>
            <w:vAlign w:val="center"/>
            <w:hideMark/>
          </w:tcPr>
          <w:p w14:paraId="61D3C370" w14:textId="77777777" w:rsidR="002D6281" w:rsidRPr="002D6281" w:rsidRDefault="002D6281" w:rsidP="00A37502">
            <w:pPr>
              <w:widowControl/>
              <w:autoSpaceDE/>
              <w:autoSpaceDN/>
              <w:jc w:val="center"/>
              <w:rPr>
                <w:b/>
                <w:bCs/>
                <w:color w:val="000000"/>
                <w:sz w:val="22"/>
              </w:rPr>
            </w:pPr>
            <w:r>
              <w:rPr>
                <w:b/>
                <w:bCs/>
                <w:color w:val="000000"/>
                <w:sz w:val="22"/>
              </w:rPr>
              <w:t>PA</w:t>
            </w:r>
          </w:p>
        </w:tc>
        <w:tc>
          <w:tcPr>
            <w:tcW w:w="1452" w:type="dxa"/>
            <w:tcBorders>
              <w:top w:val="single" w:sz="4" w:space="0" w:color="auto"/>
              <w:left w:val="nil"/>
              <w:bottom w:val="single" w:sz="4" w:space="0" w:color="auto"/>
              <w:right w:val="single" w:sz="4" w:space="0" w:color="auto"/>
            </w:tcBorders>
            <w:vAlign w:val="center"/>
            <w:hideMark/>
          </w:tcPr>
          <w:p w14:paraId="13FD9926" w14:textId="77777777" w:rsidR="002D6281" w:rsidRPr="002D6281" w:rsidRDefault="002D6281" w:rsidP="00A37502">
            <w:pPr>
              <w:widowControl/>
              <w:autoSpaceDE/>
              <w:autoSpaceDN/>
              <w:jc w:val="center"/>
              <w:rPr>
                <w:b/>
                <w:bCs/>
                <w:color w:val="000000"/>
                <w:sz w:val="22"/>
              </w:rPr>
            </w:pPr>
            <w:r>
              <w:rPr>
                <w:b/>
                <w:bCs/>
                <w:color w:val="000000"/>
                <w:sz w:val="22"/>
              </w:rPr>
              <w:t>PI</w:t>
            </w:r>
          </w:p>
        </w:tc>
        <w:tc>
          <w:tcPr>
            <w:tcW w:w="1452" w:type="dxa"/>
            <w:tcBorders>
              <w:top w:val="single" w:sz="4" w:space="0" w:color="auto"/>
              <w:left w:val="nil"/>
              <w:bottom w:val="single" w:sz="4" w:space="0" w:color="auto"/>
              <w:right w:val="single" w:sz="4" w:space="0" w:color="auto"/>
            </w:tcBorders>
            <w:vAlign w:val="center"/>
            <w:hideMark/>
          </w:tcPr>
          <w:p w14:paraId="02E90B25" w14:textId="77777777" w:rsidR="002D6281" w:rsidRPr="002D6281" w:rsidRDefault="002D6281" w:rsidP="00A37502">
            <w:pPr>
              <w:widowControl/>
              <w:autoSpaceDE/>
              <w:autoSpaceDN/>
              <w:jc w:val="center"/>
              <w:rPr>
                <w:b/>
                <w:bCs/>
                <w:color w:val="000000"/>
                <w:sz w:val="22"/>
              </w:rPr>
            </w:pPr>
            <w:r>
              <w:rPr>
                <w:b/>
                <w:bCs/>
                <w:color w:val="000000"/>
                <w:sz w:val="22"/>
              </w:rPr>
              <w:t>PIN</w:t>
            </w:r>
          </w:p>
        </w:tc>
        <w:tc>
          <w:tcPr>
            <w:tcW w:w="1452" w:type="dxa"/>
            <w:tcBorders>
              <w:top w:val="single" w:sz="4" w:space="0" w:color="auto"/>
              <w:left w:val="nil"/>
              <w:bottom w:val="single" w:sz="4" w:space="0" w:color="auto"/>
              <w:right w:val="single" w:sz="4" w:space="0" w:color="auto"/>
            </w:tcBorders>
            <w:vAlign w:val="center"/>
            <w:hideMark/>
          </w:tcPr>
          <w:p w14:paraId="415D30BB" w14:textId="77777777" w:rsidR="002D6281" w:rsidRPr="002D6281" w:rsidRDefault="002D6281" w:rsidP="00A37502">
            <w:pPr>
              <w:widowControl/>
              <w:autoSpaceDE/>
              <w:autoSpaceDN/>
              <w:jc w:val="center"/>
              <w:rPr>
                <w:b/>
                <w:bCs/>
                <w:color w:val="000000"/>
                <w:sz w:val="22"/>
              </w:rPr>
            </w:pPr>
            <w:r>
              <w:rPr>
                <w:b/>
                <w:bCs/>
                <w:color w:val="000000"/>
                <w:sz w:val="22"/>
              </w:rPr>
              <w:t>TB</w:t>
            </w:r>
          </w:p>
        </w:tc>
      </w:tr>
      <w:tr w:rsidR="002D6281" w:rsidRPr="002D6281" w14:paraId="6ED21B5E" w14:textId="77777777" w:rsidTr="00A37502">
        <w:trPr>
          <w:trHeight w:val="322"/>
        </w:trPr>
        <w:tc>
          <w:tcPr>
            <w:tcW w:w="1452" w:type="dxa"/>
            <w:tcBorders>
              <w:top w:val="nil"/>
              <w:left w:val="single" w:sz="4" w:space="0" w:color="auto"/>
              <w:bottom w:val="single" w:sz="4" w:space="0" w:color="auto"/>
              <w:right w:val="single" w:sz="4" w:space="0" w:color="auto"/>
            </w:tcBorders>
            <w:vAlign w:val="center"/>
            <w:hideMark/>
          </w:tcPr>
          <w:p w14:paraId="77ACF3A1" w14:textId="77777777" w:rsidR="002D6281" w:rsidRPr="002D6281" w:rsidRDefault="002D6281" w:rsidP="00A37502">
            <w:pPr>
              <w:widowControl/>
              <w:autoSpaceDE/>
              <w:autoSpaceDN/>
              <w:jc w:val="center"/>
              <w:rPr>
                <w:b/>
                <w:bCs/>
                <w:color w:val="000000"/>
                <w:sz w:val="22"/>
              </w:rPr>
            </w:pPr>
            <w:r>
              <w:rPr>
                <w:b/>
                <w:bCs/>
                <w:color w:val="000000"/>
                <w:sz w:val="22"/>
              </w:rPr>
              <w:t>CC</w:t>
            </w:r>
          </w:p>
        </w:tc>
        <w:tc>
          <w:tcPr>
            <w:tcW w:w="1452" w:type="dxa"/>
            <w:tcBorders>
              <w:top w:val="nil"/>
              <w:left w:val="nil"/>
              <w:bottom w:val="single" w:sz="4" w:space="0" w:color="auto"/>
              <w:right w:val="single" w:sz="4" w:space="0" w:color="auto"/>
            </w:tcBorders>
            <w:vAlign w:val="center"/>
            <w:hideMark/>
          </w:tcPr>
          <w:p w14:paraId="410B5DCD" w14:textId="77777777" w:rsidR="002D6281" w:rsidRPr="002D6281" w:rsidRDefault="002D6281" w:rsidP="00A37502">
            <w:pPr>
              <w:widowControl/>
              <w:autoSpaceDE/>
              <w:autoSpaceDN/>
              <w:jc w:val="center"/>
              <w:rPr>
                <w:color w:val="000000"/>
                <w:sz w:val="22"/>
              </w:rPr>
            </w:pPr>
          </w:p>
        </w:tc>
        <w:tc>
          <w:tcPr>
            <w:tcW w:w="1452" w:type="dxa"/>
            <w:tcBorders>
              <w:top w:val="nil"/>
              <w:left w:val="nil"/>
              <w:bottom w:val="single" w:sz="4" w:space="0" w:color="auto"/>
              <w:right w:val="single" w:sz="4" w:space="0" w:color="auto"/>
            </w:tcBorders>
            <w:vAlign w:val="center"/>
            <w:hideMark/>
          </w:tcPr>
          <w:p w14:paraId="6C1A541E" w14:textId="77777777" w:rsidR="002D6281" w:rsidRPr="002D6281" w:rsidRDefault="002D6281" w:rsidP="00A37502">
            <w:pPr>
              <w:widowControl/>
              <w:autoSpaceDE/>
              <w:autoSpaceDN/>
              <w:jc w:val="center"/>
              <w:rPr>
                <w:color w:val="000000"/>
                <w:sz w:val="22"/>
              </w:rPr>
            </w:pPr>
          </w:p>
        </w:tc>
        <w:tc>
          <w:tcPr>
            <w:tcW w:w="1452" w:type="dxa"/>
            <w:tcBorders>
              <w:top w:val="nil"/>
              <w:left w:val="nil"/>
              <w:bottom w:val="single" w:sz="4" w:space="0" w:color="auto"/>
              <w:right w:val="single" w:sz="4" w:space="0" w:color="auto"/>
            </w:tcBorders>
            <w:vAlign w:val="center"/>
            <w:hideMark/>
          </w:tcPr>
          <w:p w14:paraId="4919EA26" w14:textId="77777777" w:rsidR="002D6281" w:rsidRPr="002D6281" w:rsidRDefault="002D6281" w:rsidP="00A37502">
            <w:pPr>
              <w:widowControl/>
              <w:autoSpaceDE/>
              <w:autoSpaceDN/>
              <w:jc w:val="center"/>
              <w:rPr>
                <w:color w:val="000000"/>
                <w:sz w:val="22"/>
              </w:rPr>
            </w:pPr>
          </w:p>
        </w:tc>
        <w:tc>
          <w:tcPr>
            <w:tcW w:w="1452" w:type="dxa"/>
            <w:tcBorders>
              <w:top w:val="nil"/>
              <w:left w:val="nil"/>
              <w:bottom w:val="single" w:sz="4" w:space="0" w:color="auto"/>
              <w:right w:val="single" w:sz="4" w:space="0" w:color="auto"/>
            </w:tcBorders>
            <w:vAlign w:val="center"/>
            <w:hideMark/>
          </w:tcPr>
          <w:p w14:paraId="02389956" w14:textId="77777777" w:rsidR="002D6281" w:rsidRPr="002D6281" w:rsidRDefault="002D6281" w:rsidP="00A37502">
            <w:pPr>
              <w:widowControl/>
              <w:autoSpaceDE/>
              <w:autoSpaceDN/>
              <w:jc w:val="center"/>
              <w:rPr>
                <w:color w:val="000000"/>
                <w:sz w:val="22"/>
              </w:rPr>
            </w:pPr>
          </w:p>
        </w:tc>
        <w:tc>
          <w:tcPr>
            <w:tcW w:w="1452" w:type="dxa"/>
            <w:tcBorders>
              <w:top w:val="nil"/>
              <w:left w:val="nil"/>
              <w:bottom w:val="single" w:sz="4" w:space="0" w:color="auto"/>
              <w:right w:val="single" w:sz="4" w:space="0" w:color="auto"/>
            </w:tcBorders>
            <w:vAlign w:val="center"/>
            <w:hideMark/>
          </w:tcPr>
          <w:p w14:paraId="505F3070" w14:textId="77777777" w:rsidR="002D6281" w:rsidRPr="002D6281" w:rsidRDefault="002D6281" w:rsidP="00A37502">
            <w:pPr>
              <w:widowControl/>
              <w:autoSpaceDE/>
              <w:autoSpaceDN/>
              <w:jc w:val="center"/>
              <w:rPr>
                <w:color w:val="000000"/>
                <w:sz w:val="22"/>
              </w:rPr>
            </w:pPr>
          </w:p>
        </w:tc>
      </w:tr>
      <w:tr w:rsidR="002D6281" w:rsidRPr="002D6281" w14:paraId="112C2CA0" w14:textId="77777777" w:rsidTr="00A37502">
        <w:trPr>
          <w:trHeight w:val="322"/>
        </w:trPr>
        <w:tc>
          <w:tcPr>
            <w:tcW w:w="1452" w:type="dxa"/>
            <w:tcBorders>
              <w:top w:val="nil"/>
              <w:left w:val="single" w:sz="4" w:space="0" w:color="auto"/>
              <w:bottom w:val="single" w:sz="4" w:space="0" w:color="auto"/>
              <w:right w:val="single" w:sz="4" w:space="0" w:color="auto"/>
            </w:tcBorders>
            <w:vAlign w:val="center"/>
            <w:hideMark/>
          </w:tcPr>
          <w:p w14:paraId="0D70DE76" w14:textId="77777777" w:rsidR="002D6281" w:rsidRPr="002D6281" w:rsidRDefault="002D6281" w:rsidP="00A37502">
            <w:pPr>
              <w:widowControl/>
              <w:autoSpaceDE/>
              <w:autoSpaceDN/>
              <w:jc w:val="center"/>
              <w:rPr>
                <w:b/>
                <w:bCs/>
                <w:color w:val="000000"/>
                <w:sz w:val="22"/>
              </w:rPr>
            </w:pPr>
            <w:r>
              <w:rPr>
                <w:b/>
                <w:bCs/>
                <w:color w:val="000000"/>
                <w:sz w:val="22"/>
              </w:rPr>
              <w:t>PA</w:t>
            </w:r>
          </w:p>
        </w:tc>
        <w:tc>
          <w:tcPr>
            <w:tcW w:w="1452" w:type="dxa"/>
            <w:tcBorders>
              <w:top w:val="nil"/>
              <w:left w:val="nil"/>
              <w:bottom w:val="single" w:sz="4" w:space="0" w:color="auto"/>
              <w:right w:val="single" w:sz="4" w:space="0" w:color="auto"/>
            </w:tcBorders>
            <w:vAlign w:val="center"/>
            <w:hideMark/>
          </w:tcPr>
          <w:p w14:paraId="3E130B57" w14:textId="77777777" w:rsidR="002D6281" w:rsidRPr="002D6281" w:rsidRDefault="002D6281" w:rsidP="00A37502">
            <w:pPr>
              <w:widowControl/>
              <w:autoSpaceDE/>
              <w:autoSpaceDN/>
              <w:jc w:val="center"/>
              <w:rPr>
                <w:color w:val="000000"/>
                <w:sz w:val="22"/>
              </w:rPr>
            </w:pPr>
            <w:r>
              <w:rPr>
                <w:color w:val="000000"/>
                <w:sz w:val="22"/>
              </w:rPr>
              <w:t>0.743</w:t>
            </w:r>
          </w:p>
        </w:tc>
        <w:tc>
          <w:tcPr>
            <w:tcW w:w="1452" w:type="dxa"/>
            <w:tcBorders>
              <w:top w:val="nil"/>
              <w:left w:val="nil"/>
              <w:bottom w:val="single" w:sz="4" w:space="0" w:color="auto"/>
              <w:right w:val="single" w:sz="4" w:space="0" w:color="auto"/>
            </w:tcBorders>
            <w:vAlign w:val="center"/>
            <w:hideMark/>
          </w:tcPr>
          <w:p w14:paraId="7BA6E477" w14:textId="77777777" w:rsidR="002D6281" w:rsidRPr="002D6281" w:rsidRDefault="002D6281" w:rsidP="00A37502">
            <w:pPr>
              <w:widowControl/>
              <w:autoSpaceDE/>
              <w:autoSpaceDN/>
              <w:jc w:val="center"/>
              <w:rPr>
                <w:color w:val="000000"/>
                <w:sz w:val="22"/>
              </w:rPr>
            </w:pPr>
          </w:p>
        </w:tc>
        <w:tc>
          <w:tcPr>
            <w:tcW w:w="1452" w:type="dxa"/>
            <w:tcBorders>
              <w:top w:val="nil"/>
              <w:left w:val="nil"/>
              <w:bottom w:val="single" w:sz="4" w:space="0" w:color="auto"/>
              <w:right w:val="single" w:sz="4" w:space="0" w:color="auto"/>
            </w:tcBorders>
            <w:vAlign w:val="center"/>
            <w:hideMark/>
          </w:tcPr>
          <w:p w14:paraId="4C979D98" w14:textId="77777777" w:rsidR="002D6281" w:rsidRPr="002D6281" w:rsidRDefault="002D6281" w:rsidP="00A37502">
            <w:pPr>
              <w:widowControl/>
              <w:autoSpaceDE/>
              <w:autoSpaceDN/>
              <w:jc w:val="center"/>
              <w:rPr>
                <w:color w:val="000000"/>
                <w:sz w:val="22"/>
              </w:rPr>
            </w:pPr>
          </w:p>
        </w:tc>
        <w:tc>
          <w:tcPr>
            <w:tcW w:w="1452" w:type="dxa"/>
            <w:tcBorders>
              <w:top w:val="nil"/>
              <w:left w:val="nil"/>
              <w:bottom w:val="single" w:sz="4" w:space="0" w:color="auto"/>
              <w:right w:val="single" w:sz="4" w:space="0" w:color="auto"/>
            </w:tcBorders>
            <w:vAlign w:val="center"/>
            <w:hideMark/>
          </w:tcPr>
          <w:p w14:paraId="6F85AD80" w14:textId="77777777" w:rsidR="002D6281" w:rsidRPr="002D6281" w:rsidRDefault="002D6281" w:rsidP="00A37502">
            <w:pPr>
              <w:widowControl/>
              <w:autoSpaceDE/>
              <w:autoSpaceDN/>
              <w:jc w:val="center"/>
              <w:rPr>
                <w:color w:val="000000"/>
                <w:sz w:val="22"/>
              </w:rPr>
            </w:pPr>
          </w:p>
        </w:tc>
        <w:tc>
          <w:tcPr>
            <w:tcW w:w="1452" w:type="dxa"/>
            <w:tcBorders>
              <w:top w:val="nil"/>
              <w:left w:val="nil"/>
              <w:bottom w:val="single" w:sz="4" w:space="0" w:color="auto"/>
              <w:right w:val="single" w:sz="4" w:space="0" w:color="auto"/>
            </w:tcBorders>
            <w:vAlign w:val="center"/>
            <w:hideMark/>
          </w:tcPr>
          <w:p w14:paraId="765E0D2B" w14:textId="77777777" w:rsidR="002D6281" w:rsidRPr="002D6281" w:rsidRDefault="002D6281" w:rsidP="00A37502">
            <w:pPr>
              <w:widowControl/>
              <w:autoSpaceDE/>
              <w:autoSpaceDN/>
              <w:jc w:val="center"/>
              <w:rPr>
                <w:color w:val="000000"/>
                <w:sz w:val="22"/>
              </w:rPr>
            </w:pPr>
          </w:p>
        </w:tc>
      </w:tr>
      <w:tr w:rsidR="002D6281" w:rsidRPr="002D6281" w14:paraId="1CD3C407" w14:textId="77777777" w:rsidTr="00A37502">
        <w:trPr>
          <w:trHeight w:val="322"/>
        </w:trPr>
        <w:tc>
          <w:tcPr>
            <w:tcW w:w="1452" w:type="dxa"/>
            <w:tcBorders>
              <w:top w:val="nil"/>
              <w:left w:val="single" w:sz="4" w:space="0" w:color="auto"/>
              <w:bottom w:val="single" w:sz="4" w:space="0" w:color="auto"/>
              <w:right w:val="single" w:sz="4" w:space="0" w:color="auto"/>
            </w:tcBorders>
            <w:vAlign w:val="center"/>
            <w:hideMark/>
          </w:tcPr>
          <w:p w14:paraId="66B8AF4B" w14:textId="77777777" w:rsidR="002D6281" w:rsidRPr="002D6281" w:rsidRDefault="002D6281" w:rsidP="00A37502">
            <w:pPr>
              <w:widowControl/>
              <w:autoSpaceDE/>
              <w:autoSpaceDN/>
              <w:jc w:val="center"/>
              <w:rPr>
                <w:b/>
                <w:bCs/>
                <w:color w:val="000000"/>
                <w:sz w:val="22"/>
              </w:rPr>
            </w:pPr>
            <w:r>
              <w:rPr>
                <w:b/>
                <w:bCs/>
                <w:color w:val="000000"/>
                <w:sz w:val="22"/>
              </w:rPr>
              <w:t>PI</w:t>
            </w:r>
          </w:p>
        </w:tc>
        <w:tc>
          <w:tcPr>
            <w:tcW w:w="1452" w:type="dxa"/>
            <w:tcBorders>
              <w:top w:val="nil"/>
              <w:left w:val="nil"/>
              <w:bottom w:val="single" w:sz="4" w:space="0" w:color="auto"/>
              <w:right w:val="single" w:sz="4" w:space="0" w:color="auto"/>
            </w:tcBorders>
            <w:vAlign w:val="center"/>
            <w:hideMark/>
          </w:tcPr>
          <w:p w14:paraId="5629C0CA" w14:textId="77777777" w:rsidR="002D6281" w:rsidRPr="002D6281" w:rsidRDefault="002D6281" w:rsidP="00A37502">
            <w:pPr>
              <w:widowControl/>
              <w:autoSpaceDE/>
              <w:autoSpaceDN/>
              <w:jc w:val="center"/>
              <w:rPr>
                <w:color w:val="000000"/>
                <w:sz w:val="22"/>
              </w:rPr>
            </w:pPr>
            <w:r>
              <w:rPr>
                <w:color w:val="000000"/>
                <w:sz w:val="22"/>
              </w:rPr>
              <w:t>0.699</w:t>
            </w:r>
          </w:p>
        </w:tc>
        <w:tc>
          <w:tcPr>
            <w:tcW w:w="1452" w:type="dxa"/>
            <w:tcBorders>
              <w:top w:val="nil"/>
              <w:left w:val="nil"/>
              <w:bottom w:val="single" w:sz="4" w:space="0" w:color="auto"/>
              <w:right w:val="single" w:sz="4" w:space="0" w:color="auto"/>
            </w:tcBorders>
            <w:vAlign w:val="center"/>
            <w:hideMark/>
          </w:tcPr>
          <w:p w14:paraId="1AD5D87B" w14:textId="77777777" w:rsidR="002D6281" w:rsidRPr="002D6281" w:rsidRDefault="002D6281" w:rsidP="00A37502">
            <w:pPr>
              <w:widowControl/>
              <w:autoSpaceDE/>
              <w:autoSpaceDN/>
              <w:jc w:val="center"/>
              <w:rPr>
                <w:color w:val="000000"/>
                <w:sz w:val="22"/>
              </w:rPr>
            </w:pPr>
            <w:r>
              <w:rPr>
                <w:color w:val="000000"/>
                <w:sz w:val="22"/>
              </w:rPr>
              <w:t>0.860</w:t>
            </w:r>
          </w:p>
        </w:tc>
        <w:tc>
          <w:tcPr>
            <w:tcW w:w="1452" w:type="dxa"/>
            <w:tcBorders>
              <w:top w:val="nil"/>
              <w:left w:val="nil"/>
              <w:bottom w:val="single" w:sz="4" w:space="0" w:color="auto"/>
              <w:right w:val="single" w:sz="4" w:space="0" w:color="auto"/>
            </w:tcBorders>
            <w:vAlign w:val="center"/>
            <w:hideMark/>
          </w:tcPr>
          <w:p w14:paraId="18DEAB05" w14:textId="77777777" w:rsidR="002D6281" w:rsidRPr="002D6281" w:rsidRDefault="002D6281" w:rsidP="00A37502">
            <w:pPr>
              <w:widowControl/>
              <w:autoSpaceDE/>
              <w:autoSpaceDN/>
              <w:jc w:val="center"/>
              <w:rPr>
                <w:color w:val="000000"/>
                <w:sz w:val="22"/>
              </w:rPr>
            </w:pPr>
          </w:p>
        </w:tc>
        <w:tc>
          <w:tcPr>
            <w:tcW w:w="1452" w:type="dxa"/>
            <w:tcBorders>
              <w:top w:val="nil"/>
              <w:left w:val="nil"/>
              <w:bottom w:val="single" w:sz="4" w:space="0" w:color="auto"/>
              <w:right w:val="single" w:sz="4" w:space="0" w:color="auto"/>
            </w:tcBorders>
            <w:vAlign w:val="center"/>
            <w:hideMark/>
          </w:tcPr>
          <w:p w14:paraId="3153AB78" w14:textId="77777777" w:rsidR="002D6281" w:rsidRPr="002D6281" w:rsidRDefault="002D6281" w:rsidP="00A37502">
            <w:pPr>
              <w:widowControl/>
              <w:autoSpaceDE/>
              <w:autoSpaceDN/>
              <w:jc w:val="center"/>
              <w:rPr>
                <w:color w:val="000000"/>
                <w:sz w:val="22"/>
              </w:rPr>
            </w:pPr>
          </w:p>
        </w:tc>
        <w:tc>
          <w:tcPr>
            <w:tcW w:w="1452" w:type="dxa"/>
            <w:tcBorders>
              <w:top w:val="nil"/>
              <w:left w:val="nil"/>
              <w:bottom w:val="single" w:sz="4" w:space="0" w:color="auto"/>
              <w:right w:val="single" w:sz="4" w:space="0" w:color="auto"/>
            </w:tcBorders>
            <w:vAlign w:val="center"/>
            <w:hideMark/>
          </w:tcPr>
          <w:p w14:paraId="71E5ED76" w14:textId="77777777" w:rsidR="002D6281" w:rsidRPr="002D6281" w:rsidRDefault="002D6281" w:rsidP="00A37502">
            <w:pPr>
              <w:widowControl/>
              <w:autoSpaceDE/>
              <w:autoSpaceDN/>
              <w:jc w:val="center"/>
              <w:rPr>
                <w:color w:val="000000"/>
                <w:sz w:val="22"/>
              </w:rPr>
            </w:pPr>
          </w:p>
        </w:tc>
      </w:tr>
      <w:tr w:rsidR="002D6281" w:rsidRPr="002D6281" w14:paraId="17579971" w14:textId="77777777" w:rsidTr="00A37502">
        <w:trPr>
          <w:trHeight w:val="322"/>
        </w:trPr>
        <w:tc>
          <w:tcPr>
            <w:tcW w:w="1452" w:type="dxa"/>
            <w:tcBorders>
              <w:top w:val="nil"/>
              <w:left w:val="single" w:sz="4" w:space="0" w:color="auto"/>
              <w:bottom w:val="single" w:sz="4" w:space="0" w:color="auto"/>
              <w:right w:val="single" w:sz="4" w:space="0" w:color="auto"/>
            </w:tcBorders>
            <w:vAlign w:val="center"/>
            <w:hideMark/>
          </w:tcPr>
          <w:p w14:paraId="0313F346" w14:textId="77777777" w:rsidR="002D6281" w:rsidRPr="002D6281" w:rsidRDefault="002D6281" w:rsidP="00A37502">
            <w:pPr>
              <w:widowControl/>
              <w:autoSpaceDE/>
              <w:autoSpaceDN/>
              <w:jc w:val="center"/>
              <w:rPr>
                <w:b/>
                <w:bCs/>
                <w:color w:val="000000"/>
                <w:sz w:val="22"/>
              </w:rPr>
            </w:pPr>
            <w:r>
              <w:rPr>
                <w:b/>
                <w:bCs/>
                <w:color w:val="000000"/>
                <w:sz w:val="22"/>
              </w:rPr>
              <w:t>PIN</w:t>
            </w:r>
          </w:p>
        </w:tc>
        <w:tc>
          <w:tcPr>
            <w:tcW w:w="1452" w:type="dxa"/>
            <w:tcBorders>
              <w:top w:val="nil"/>
              <w:left w:val="nil"/>
              <w:bottom w:val="single" w:sz="4" w:space="0" w:color="auto"/>
              <w:right w:val="single" w:sz="4" w:space="0" w:color="auto"/>
            </w:tcBorders>
            <w:vAlign w:val="center"/>
            <w:hideMark/>
          </w:tcPr>
          <w:p w14:paraId="2F6876C8" w14:textId="77777777" w:rsidR="002D6281" w:rsidRPr="002D6281" w:rsidRDefault="002D6281" w:rsidP="00A37502">
            <w:pPr>
              <w:widowControl/>
              <w:autoSpaceDE/>
              <w:autoSpaceDN/>
              <w:jc w:val="center"/>
              <w:rPr>
                <w:color w:val="000000"/>
                <w:sz w:val="22"/>
              </w:rPr>
            </w:pPr>
            <w:r>
              <w:rPr>
                <w:color w:val="000000"/>
                <w:sz w:val="22"/>
              </w:rPr>
              <w:t>0.631</w:t>
            </w:r>
          </w:p>
        </w:tc>
        <w:tc>
          <w:tcPr>
            <w:tcW w:w="1452" w:type="dxa"/>
            <w:tcBorders>
              <w:top w:val="nil"/>
              <w:left w:val="nil"/>
              <w:bottom w:val="single" w:sz="4" w:space="0" w:color="auto"/>
              <w:right w:val="single" w:sz="4" w:space="0" w:color="auto"/>
            </w:tcBorders>
            <w:vAlign w:val="center"/>
            <w:hideMark/>
          </w:tcPr>
          <w:p w14:paraId="55A1B2E5" w14:textId="77777777" w:rsidR="002D6281" w:rsidRPr="002D6281" w:rsidRDefault="002D6281" w:rsidP="00A37502">
            <w:pPr>
              <w:widowControl/>
              <w:autoSpaceDE/>
              <w:autoSpaceDN/>
              <w:jc w:val="center"/>
              <w:rPr>
                <w:color w:val="000000"/>
                <w:sz w:val="22"/>
              </w:rPr>
            </w:pPr>
            <w:r>
              <w:rPr>
                <w:color w:val="000000"/>
                <w:sz w:val="22"/>
              </w:rPr>
              <w:t>0.747</w:t>
            </w:r>
          </w:p>
        </w:tc>
        <w:tc>
          <w:tcPr>
            <w:tcW w:w="1452" w:type="dxa"/>
            <w:tcBorders>
              <w:top w:val="nil"/>
              <w:left w:val="nil"/>
              <w:bottom w:val="single" w:sz="4" w:space="0" w:color="auto"/>
              <w:right w:val="single" w:sz="4" w:space="0" w:color="auto"/>
            </w:tcBorders>
            <w:vAlign w:val="center"/>
            <w:hideMark/>
          </w:tcPr>
          <w:p w14:paraId="3758DCAD" w14:textId="77777777" w:rsidR="002D6281" w:rsidRPr="002D6281" w:rsidRDefault="002D6281" w:rsidP="00A37502">
            <w:pPr>
              <w:widowControl/>
              <w:autoSpaceDE/>
              <w:autoSpaceDN/>
              <w:jc w:val="center"/>
              <w:rPr>
                <w:color w:val="000000"/>
                <w:sz w:val="22"/>
              </w:rPr>
            </w:pPr>
            <w:r>
              <w:rPr>
                <w:color w:val="000000"/>
                <w:sz w:val="22"/>
              </w:rPr>
              <w:t>0.594</w:t>
            </w:r>
          </w:p>
        </w:tc>
        <w:tc>
          <w:tcPr>
            <w:tcW w:w="1452" w:type="dxa"/>
            <w:tcBorders>
              <w:top w:val="nil"/>
              <w:left w:val="nil"/>
              <w:bottom w:val="single" w:sz="4" w:space="0" w:color="auto"/>
              <w:right w:val="single" w:sz="4" w:space="0" w:color="auto"/>
            </w:tcBorders>
            <w:vAlign w:val="center"/>
            <w:hideMark/>
          </w:tcPr>
          <w:p w14:paraId="67169863" w14:textId="77777777" w:rsidR="002D6281" w:rsidRPr="002D6281" w:rsidRDefault="002D6281" w:rsidP="00A37502">
            <w:pPr>
              <w:widowControl/>
              <w:autoSpaceDE/>
              <w:autoSpaceDN/>
              <w:jc w:val="center"/>
              <w:rPr>
                <w:color w:val="000000"/>
                <w:sz w:val="22"/>
              </w:rPr>
            </w:pPr>
          </w:p>
        </w:tc>
        <w:tc>
          <w:tcPr>
            <w:tcW w:w="1452" w:type="dxa"/>
            <w:tcBorders>
              <w:top w:val="nil"/>
              <w:left w:val="nil"/>
              <w:bottom w:val="single" w:sz="4" w:space="0" w:color="auto"/>
              <w:right w:val="single" w:sz="4" w:space="0" w:color="auto"/>
            </w:tcBorders>
            <w:vAlign w:val="center"/>
            <w:hideMark/>
          </w:tcPr>
          <w:p w14:paraId="68E0E900" w14:textId="77777777" w:rsidR="002D6281" w:rsidRPr="002D6281" w:rsidRDefault="002D6281" w:rsidP="00A37502">
            <w:pPr>
              <w:widowControl/>
              <w:autoSpaceDE/>
              <w:autoSpaceDN/>
              <w:jc w:val="center"/>
              <w:rPr>
                <w:color w:val="000000"/>
                <w:sz w:val="22"/>
              </w:rPr>
            </w:pPr>
          </w:p>
        </w:tc>
      </w:tr>
      <w:tr w:rsidR="002D6281" w:rsidRPr="002D6281" w14:paraId="73EFCD2E" w14:textId="77777777" w:rsidTr="00A37502">
        <w:trPr>
          <w:trHeight w:val="322"/>
        </w:trPr>
        <w:tc>
          <w:tcPr>
            <w:tcW w:w="1452" w:type="dxa"/>
            <w:tcBorders>
              <w:top w:val="nil"/>
              <w:left w:val="single" w:sz="4" w:space="0" w:color="auto"/>
              <w:bottom w:val="single" w:sz="4" w:space="0" w:color="auto"/>
              <w:right w:val="single" w:sz="4" w:space="0" w:color="auto"/>
            </w:tcBorders>
            <w:vAlign w:val="center"/>
            <w:hideMark/>
          </w:tcPr>
          <w:p w14:paraId="16A641DF" w14:textId="77777777" w:rsidR="002D6281" w:rsidRPr="002D6281" w:rsidRDefault="002D6281" w:rsidP="00A37502">
            <w:pPr>
              <w:widowControl/>
              <w:autoSpaceDE/>
              <w:autoSpaceDN/>
              <w:jc w:val="center"/>
              <w:rPr>
                <w:b/>
                <w:bCs/>
                <w:color w:val="000000"/>
                <w:sz w:val="22"/>
              </w:rPr>
            </w:pPr>
            <w:r>
              <w:rPr>
                <w:b/>
                <w:bCs/>
                <w:color w:val="000000"/>
                <w:sz w:val="22"/>
              </w:rPr>
              <w:t>TB</w:t>
            </w:r>
          </w:p>
        </w:tc>
        <w:tc>
          <w:tcPr>
            <w:tcW w:w="1452" w:type="dxa"/>
            <w:tcBorders>
              <w:top w:val="nil"/>
              <w:left w:val="nil"/>
              <w:bottom w:val="single" w:sz="4" w:space="0" w:color="auto"/>
              <w:right w:val="single" w:sz="4" w:space="0" w:color="auto"/>
            </w:tcBorders>
            <w:vAlign w:val="center"/>
            <w:hideMark/>
          </w:tcPr>
          <w:p w14:paraId="0339B5DF" w14:textId="77777777" w:rsidR="002D6281" w:rsidRPr="002D6281" w:rsidRDefault="002D6281" w:rsidP="00A37502">
            <w:pPr>
              <w:widowControl/>
              <w:autoSpaceDE/>
              <w:autoSpaceDN/>
              <w:jc w:val="center"/>
              <w:rPr>
                <w:color w:val="000000"/>
                <w:sz w:val="22"/>
              </w:rPr>
            </w:pPr>
            <w:r>
              <w:rPr>
                <w:color w:val="000000"/>
                <w:sz w:val="22"/>
              </w:rPr>
              <w:t>0.737</w:t>
            </w:r>
          </w:p>
        </w:tc>
        <w:tc>
          <w:tcPr>
            <w:tcW w:w="1452" w:type="dxa"/>
            <w:tcBorders>
              <w:top w:val="nil"/>
              <w:left w:val="nil"/>
              <w:bottom w:val="single" w:sz="4" w:space="0" w:color="auto"/>
              <w:right w:val="single" w:sz="4" w:space="0" w:color="auto"/>
            </w:tcBorders>
            <w:vAlign w:val="center"/>
            <w:hideMark/>
          </w:tcPr>
          <w:p w14:paraId="5802E5C8" w14:textId="77777777" w:rsidR="002D6281" w:rsidRPr="002D6281" w:rsidRDefault="002D6281" w:rsidP="00A37502">
            <w:pPr>
              <w:widowControl/>
              <w:autoSpaceDE/>
              <w:autoSpaceDN/>
              <w:jc w:val="center"/>
              <w:rPr>
                <w:color w:val="000000"/>
                <w:sz w:val="22"/>
              </w:rPr>
            </w:pPr>
            <w:r>
              <w:rPr>
                <w:color w:val="000000"/>
                <w:sz w:val="22"/>
              </w:rPr>
              <w:t>0.777</w:t>
            </w:r>
          </w:p>
        </w:tc>
        <w:tc>
          <w:tcPr>
            <w:tcW w:w="1452" w:type="dxa"/>
            <w:tcBorders>
              <w:top w:val="nil"/>
              <w:left w:val="nil"/>
              <w:bottom w:val="single" w:sz="4" w:space="0" w:color="auto"/>
              <w:right w:val="single" w:sz="4" w:space="0" w:color="auto"/>
            </w:tcBorders>
            <w:vAlign w:val="center"/>
            <w:hideMark/>
          </w:tcPr>
          <w:p w14:paraId="0236053A" w14:textId="77777777" w:rsidR="002D6281" w:rsidRPr="002D6281" w:rsidRDefault="002D6281" w:rsidP="00A37502">
            <w:pPr>
              <w:widowControl/>
              <w:autoSpaceDE/>
              <w:autoSpaceDN/>
              <w:jc w:val="center"/>
              <w:rPr>
                <w:color w:val="000000"/>
                <w:sz w:val="22"/>
              </w:rPr>
            </w:pPr>
            <w:r>
              <w:rPr>
                <w:color w:val="000000"/>
                <w:sz w:val="22"/>
              </w:rPr>
              <w:t>0.839</w:t>
            </w:r>
          </w:p>
        </w:tc>
        <w:tc>
          <w:tcPr>
            <w:tcW w:w="1452" w:type="dxa"/>
            <w:tcBorders>
              <w:top w:val="nil"/>
              <w:left w:val="nil"/>
              <w:bottom w:val="single" w:sz="4" w:space="0" w:color="auto"/>
              <w:right w:val="single" w:sz="4" w:space="0" w:color="auto"/>
            </w:tcBorders>
            <w:vAlign w:val="center"/>
            <w:hideMark/>
          </w:tcPr>
          <w:p w14:paraId="6D7324D6" w14:textId="77777777" w:rsidR="002D6281" w:rsidRPr="002D6281" w:rsidRDefault="002D6281" w:rsidP="00A37502">
            <w:pPr>
              <w:widowControl/>
              <w:autoSpaceDE/>
              <w:autoSpaceDN/>
              <w:jc w:val="center"/>
              <w:rPr>
                <w:color w:val="000000"/>
                <w:sz w:val="22"/>
              </w:rPr>
            </w:pPr>
            <w:r>
              <w:rPr>
                <w:color w:val="000000"/>
                <w:sz w:val="22"/>
              </w:rPr>
              <w:t>0.531</w:t>
            </w:r>
          </w:p>
        </w:tc>
        <w:tc>
          <w:tcPr>
            <w:tcW w:w="1452" w:type="dxa"/>
            <w:tcBorders>
              <w:top w:val="nil"/>
              <w:left w:val="nil"/>
              <w:bottom w:val="single" w:sz="4" w:space="0" w:color="auto"/>
              <w:right w:val="single" w:sz="4" w:space="0" w:color="auto"/>
            </w:tcBorders>
            <w:vAlign w:val="center"/>
            <w:hideMark/>
          </w:tcPr>
          <w:p w14:paraId="75590A5F" w14:textId="77777777" w:rsidR="002D6281" w:rsidRPr="002D6281" w:rsidRDefault="002D6281" w:rsidP="00A37502">
            <w:pPr>
              <w:widowControl/>
              <w:autoSpaceDE/>
              <w:autoSpaceDN/>
              <w:jc w:val="center"/>
              <w:rPr>
                <w:color w:val="000000"/>
                <w:sz w:val="22"/>
              </w:rPr>
            </w:pPr>
          </w:p>
        </w:tc>
      </w:tr>
    </w:tbl>
    <w:p w14:paraId="519F427D" w14:textId="77777777" w:rsidR="00CA15E3" w:rsidRPr="00882F07" w:rsidRDefault="00CA15E3" w:rsidP="00882F07"/>
    <w:p w14:paraId="65C69B16" w14:textId="77777777" w:rsidR="00882F07" w:rsidRPr="004B394D" w:rsidRDefault="00882F07" w:rsidP="00882F07">
      <w:pPr>
        <w:rPr>
          <w:b/>
          <w:bCs/>
          <w:i/>
          <w:iCs/>
        </w:rPr>
      </w:pPr>
      <w:r>
        <w:rPr>
          <w:b/>
          <w:bCs/>
          <w:i/>
          <w:iCs/>
        </w:rPr>
        <w:t>5.2 Structural Model Assessment</w:t>
      </w:r>
    </w:p>
    <w:p w14:paraId="0F38877E" w14:textId="77777777" w:rsidR="00CA15E3" w:rsidRPr="002D6281" w:rsidRDefault="002D6281" w:rsidP="004B394D">
      <w:pPr>
        <w:spacing w:after="120" w:line="480" w:lineRule="auto"/>
        <w:ind w:firstLine="720"/>
        <w:contextualSpacing/>
        <w:jc w:val="both"/>
      </w:pPr>
      <w:r>
        <w:t xml:space="preserve">Table 4 presents the results of the structural model analysis, including path coefficients, t-values, p-values, and confidence intervals obtained through bootstrapping procedures. Overall, the findings provide strong empirical support for most of the hypothesized relationships, highlighting the critical role of teacher cognition and agency in driving pedagogical innovation and communicative outcomes. First, Teacher Beliefs (TB) exhibit a strong and statistically significant positive effect on Professional Identity (PI) (β = 0.753, t = 11.094, p &lt; 0.001), supporting H1. This indicates that teachers who hold strong beliefs in communicative and industry-oriented language teaching are more likely to reconstruct their professional identity toward facilitative and experiential roles. Similarly, TB also has a significant positive effect on Professional Agency (PA) (β = 0.292, t = 3.382, p = 0.001), supporting H2, suggesting that teacher beliefs contribute directly to their capacity to act and make pedagogical decisions. Second, Professional Identity (PI) significantly influences Professional Agency (PA) (β = 0.539, t = 6.451, p &lt; 0.001), supporting H3. This finding highlights that identity reconstruction plays a key role in enabling teachers to exercise agency and adapt their teaching practices. However, the direct relationship between Professional Identity and Pedagogical Innovation (PIN) is not statistically significant (β = 0.092, t = 0.963, p = 0.336), leading to the rejection of H4. This suggests that identity alone may not be sufficient to drive innovation unless it is translated into action through agency. In contrast, Professional Agency (PA) demonstrates a strong and significant positive effect on Pedagogical Innovation (PIN) (β = 0.603, t = 6.657, p &lt; 0.001), supporting H5. This finding confirms that agency is a critical mechanism through which teachers implement innovative practices such as experiential </w:t>
      </w:r>
      <w:r>
        <w:lastRenderedPageBreak/>
        <w:t>learning and technology integration. Finally, Pedagogical Innovation (PIN) significantly influences Communicative Competence (CC) (β = 0.564, t = 7.786, p &lt; 0.001), supporting H6, indicating that innovative teaching approaches substantially enhance students’ ability to communicate effectively in tourism contexts. Overall, the results suggest a sequential mechanism in which teacher beliefs shape identity and agency, while professional agency plays a central role in driving pedagogical innovation, which ultimately leads to improved communicative competence. The non-significant relationship between professional identity and pedagogical innovation further emphasizes the importance of agency as a mediating factor in translating cognitive and identity-related constructs into practical teaching outcomes.</w:t>
      </w:r>
    </w:p>
    <w:p w14:paraId="06B2A0DA" w14:textId="77777777" w:rsidR="004B394D" w:rsidRDefault="002D6281" w:rsidP="00882F07">
      <w:r>
        <w:rPr>
          <w:b/>
          <w:bCs/>
        </w:rPr>
        <w:t>Table 4</w:t>
      </w:r>
      <w:r>
        <w:t xml:space="preserve"> </w:t>
      </w:r>
    </w:p>
    <w:p w14:paraId="0DD187E4" w14:textId="77777777" w:rsidR="002D6281" w:rsidRPr="004B394D" w:rsidRDefault="002D6281" w:rsidP="00882F07">
      <w:pPr>
        <w:rPr>
          <w:i/>
          <w:iCs/>
        </w:rPr>
      </w:pPr>
      <w:r>
        <w:rPr>
          <w:i/>
          <w:iCs/>
        </w:rPr>
        <w:t>Structural Model Results</w:t>
      </w: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1156"/>
        <w:gridCol w:w="910"/>
        <w:gridCol w:w="826"/>
        <w:gridCol w:w="985"/>
        <w:gridCol w:w="1272"/>
        <w:gridCol w:w="805"/>
        <w:gridCol w:w="748"/>
        <w:gridCol w:w="841"/>
        <w:gridCol w:w="1250"/>
      </w:tblGrid>
      <w:tr w:rsidR="00CA15E3" w:rsidRPr="00CA15E3" w14:paraId="2D4DD81B" w14:textId="77777777" w:rsidTr="00CA15E3">
        <w:trPr>
          <w:trHeight w:val="1440"/>
        </w:trPr>
        <w:tc>
          <w:tcPr>
            <w:tcW w:w="421" w:type="dxa"/>
            <w:noWrap/>
            <w:vAlign w:val="center"/>
            <w:hideMark/>
          </w:tcPr>
          <w:p w14:paraId="3A56EE40" w14:textId="77777777" w:rsidR="00CA15E3" w:rsidRPr="00CA15E3" w:rsidRDefault="00CA15E3" w:rsidP="00CA15E3">
            <w:pPr>
              <w:widowControl/>
              <w:autoSpaceDE/>
              <w:autoSpaceDN/>
              <w:rPr>
                <w:b/>
                <w:bCs/>
                <w:color w:val="000000"/>
                <w:sz w:val="18"/>
                <w:szCs w:val="18"/>
              </w:rPr>
            </w:pPr>
            <w:r>
              <w:rPr>
                <w:b/>
                <w:bCs/>
                <w:color w:val="000000"/>
                <w:sz w:val="18"/>
                <w:szCs w:val="18"/>
              </w:rPr>
              <w:t>Hypothesis</w:t>
            </w:r>
          </w:p>
        </w:tc>
        <w:tc>
          <w:tcPr>
            <w:tcW w:w="1546" w:type="dxa"/>
            <w:vAlign w:val="center"/>
            <w:hideMark/>
          </w:tcPr>
          <w:p w14:paraId="33FEDE79" w14:textId="77777777" w:rsidR="00CA15E3" w:rsidRPr="00CA15E3" w:rsidRDefault="00CA15E3" w:rsidP="00CA15E3">
            <w:pPr>
              <w:widowControl/>
              <w:autoSpaceDE/>
              <w:autoSpaceDN/>
              <w:rPr>
                <w:b/>
                <w:bCs/>
                <w:color w:val="000000"/>
                <w:sz w:val="18"/>
                <w:szCs w:val="18"/>
              </w:rPr>
            </w:pPr>
            <w:r>
              <w:rPr>
                <w:b/>
                <w:bCs/>
                <w:color w:val="000000"/>
                <w:sz w:val="18"/>
                <w:szCs w:val="18"/>
              </w:rPr>
              <w:t>Path</w:t>
            </w:r>
          </w:p>
        </w:tc>
        <w:tc>
          <w:tcPr>
            <w:tcW w:w="939" w:type="dxa"/>
            <w:vAlign w:val="center"/>
            <w:hideMark/>
          </w:tcPr>
          <w:p w14:paraId="53A99DE6" w14:textId="77777777" w:rsidR="00CA15E3" w:rsidRPr="00CA15E3" w:rsidRDefault="00CA15E3" w:rsidP="00CA15E3">
            <w:pPr>
              <w:widowControl/>
              <w:autoSpaceDE/>
              <w:autoSpaceDN/>
              <w:jc w:val="right"/>
              <w:rPr>
                <w:b/>
                <w:bCs/>
                <w:color w:val="000000"/>
                <w:sz w:val="18"/>
                <w:szCs w:val="18"/>
              </w:rPr>
            </w:pPr>
            <w:r>
              <w:rPr>
                <w:b/>
                <w:bCs/>
                <w:color w:val="000000"/>
                <w:sz w:val="18"/>
                <w:szCs w:val="18"/>
              </w:rPr>
              <w:t>Original sample (O)</w:t>
            </w:r>
          </w:p>
        </w:tc>
        <w:tc>
          <w:tcPr>
            <w:tcW w:w="853" w:type="dxa"/>
            <w:vAlign w:val="center"/>
            <w:hideMark/>
          </w:tcPr>
          <w:p w14:paraId="2D1B6782" w14:textId="77777777" w:rsidR="00CA15E3" w:rsidRPr="00CA15E3" w:rsidRDefault="00CA15E3" w:rsidP="00CA15E3">
            <w:pPr>
              <w:widowControl/>
              <w:autoSpaceDE/>
              <w:autoSpaceDN/>
              <w:jc w:val="right"/>
              <w:rPr>
                <w:b/>
                <w:bCs/>
                <w:color w:val="000000"/>
                <w:sz w:val="18"/>
                <w:szCs w:val="18"/>
              </w:rPr>
            </w:pPr>
            <w:r>
              <w:rPr>
                <w:b/>
                <w:bCs/>
                <w:color w:val="000000"/>
                <w:sz w:val="18"/>
                <w:szCs w:val="18"/>
              </w:rPr>
              <w:t>Sample mean (M)</w:t>
            </w:r>
          </w:p>
        </w:tc>
        <w:tc>
          <w:tcPr>
            <w:tcW w:w="1017" w:type="dxa"/>
            <w:vAlign w:val="center"/>
            <w:hideMark/>
          </w:tcPr>
          <w:p w14:paraId="0F5EAFBC" w14:textId="77777777" w:rsidR="00CA15E3" w:rsidRPr="00CA15E3" w:rsidRDefault="00CA15E3" w:rsidP="00CA15E3">
            <w:pPr>
              <w:widowControl/>
              <w:autoSpaceDE/>
              <w:autoSpaceDN/>
              <w:jc w:val="right"/>
              <w:rPr>
                <w:b/>
                <w:bCs/>
                <w:color w:val="000000"/>
                <w:sz w:val="18"/>
                <w:szCs w:val="18"/>
              </w:rPr>
            </w:pPr>
            <w:r>
              <w:rPr>
                <w:b/>
                <w:bCs/>
                <w:color w:val="000000"/>
                <w:sz w:val="18"/>
                <w:szCs w:val="18"/>
              </w:rPr>
              <w:t>Standard deviation (STDEV)</w:t>
            </w:r>
          </w:p>
        </w:tc>
        <w:tc>
          <w:tcPr>
            <w:tcW w:w="1316" w:type="dxa"/>
            <w:vAlign w:val="center"/>
            <w:hideMark/>
          </w:tcPr>
          <w:p w14:paraId="3E887A0B" w14:textId="77777777" w:rsidR="00CA15E3" w:rsidRPr="00CA15E3" w:rsidRDefault="00CA15E3" w:rsidP="00CA15E3">
            <w:pPr>
              <w:widowControl/>
              <w:autoSpaceDE/>
              <w:autoSpaceDN/>
              <w:jc w:val="right"/>
              <w:rPr>
                <w:b/>
                <w:bCs/>
                <w:color w:val="000000"/>
                <w:sz w:val="18"/>
                <w:szCs w:val="18"/>
              </w:rPr>
            </w:pPr>
            <w:r>
              <w:rPr>
                <w:b/>
                <w:bCs/>
                <w:color w:val="000000"/>
                <w:sz w:val="18"/>
                <w:szCs w:val="18"/>
              </w:rPr>
              <w:t>T statistics (|O/STDEV|)</w:t>
            </w:r>
          </w:p>
        </w:tc>
        <w:tc>
          <w:tcPr>
            <w:tcW w:w="877" w:type="dxa"/>
            <w:vAlign w:val="center"/>
            <w:hideMark/>
          </w:tcPr>
          <w:p w14:paraId="14BEBB0F" w14:textId="77777777" w:rsidR="00CA15E3" w:rsidRPr="00CA15E3" w:rsidRDefault="00CA15E3" w:rsidP="00CA15E3">
            <w:pPr>
              <w:widowControl/>
              <w:autoSpaceDE/>
              <w:autoSpaceDN/>
              <w:jc w:val="right"/>
              <w:rPr>
                <w:b/>
                <w:bCs/>
                <w:color w:val="000000"/>
                <w:sz w:val="18"/>
                <w:szCs w:val="18"/>
              </w:rPr>
            </w:pPr>
            <w:r>
              <w:rPr>
                <w:b/>
                <w:bCs/>
                <w:color w:val="000000"/>
                <w:sz w:val="18"/>
                <w:szCs w:val="18"/>
              </w:rPr>
              <w:t>P values</w:t>
            </w:r>
          </w:p>
        </w:tc>
        <w:tc>
          <w:tcPr>
            <w:tcW w:w="773" w:type="dxa"/>
            <w:vAlign w:val="center"/>
            <w:hideMark/>
          </w:tcPr>
          <w:p w14:paraId="741AF7BA" w14:textId="77777777" w:rsidR="00CA15E3" w:rsidRPr="00CA15E3" w:rsidRDefault="00CA15E3" w:rsidP="00CA15E3">
            <w:pPr>
              <w:widowControl/>
              <w:autoSpaceDE/>
              <w:autoSpaceDN/>
              <w:jc w:val="right"/>
              <w:rPr>
                <w:b/>
                <w:bCs/>
                <w:color w:val="000000"/>
                <w:sz w:val="18"/>
                <w:szCs w:val="18"/>
              </w:rPr>
            </w:pPr>
            <w:r>
              <w:rPr>
                <w:b/>
                <w:bCs/>
                <w:color w:val="000000"/>
                <w:sz w:val="18"/>
                <w:szCs w:val="18"/>
              </w:rPr>
              <w:t>2.50%</w:t>
            </w:r>
          </w:p>
        </w:tc>
        <w:tc>
          <w:tcPr>
            <w:tcW w:w="868" w:type="dxa"/>
            <w:vAlign w:val="center"/>
            <w:hideMark/>
          </w:tcPr>
          <w:p w14:paraId="499E8D23" w14:textId="77777777" w:rsidR="00CA15E3" w:rsidRPr="00CA15E3" w:rsidRDefault="00CA15E3" w:rsidP="00CA15E3">
            <w:pPr>
              <w:widowControl/>
              <w:autoSpaceDE/>
              <w:autoSpaceDN/>
              <w:jc w:val="right"/>
              <w:rPr>
                <w:b/>
                <w:bCs/>
                <w:color w:val="000000"/>
                <w:sz w:val="18"/>
                <w:szCs w:val="18"/>
              </w:rPr>
            </w:pPr>
            <w:r>
              <w:rPr>
                <w:b/>
                <w:bCs/>
                <w:color w:val="000000"/>
                <w:sz w:val="18"/>
                <w:szCs w:val="18"/>
              </w:rPr>
              <w:t>97.50%</w:t>
            </w:r>
          </w:p>
        </w:tc>
        <w:tc>
          <w:tcPr>
            <w:tcW w:w="1250" w:type="dxa"/>
            <w:vAlign w:val="center"/>
            <w:hideMark/>
          </w:tcPr>
          <w:p w14:paraId="62994736" w14:textId="77777777" w:rsidR="00CA15E3" w:rsidRPr="00CA15E3" w:rsidRDefault="00CA15E3" w:rsidP="00CA15E3">
            <w:pPr>
              <w:widowControl/>
              <w:autoSpaceDE/>
              <w:autoSpaceDN/>
              <w:jc w:val="right"/>
              <w:rPr>
                <w:b/>
                <w:bCs/>
                <w:color w:val="000000"/>
                <w:sz w:val="18"/>
                <w:szCs w:val="18"/>
              </w:rPr>
            </w:pPr>
            <w:r>
              <w:rPr>
                <w:b/>
                <w:bCs/>
                <w:color w:val="000000"/>
                <w:sz w:val="18"/>
                <w:szCs w:val="18"/>
              </w:rPr>
              <w:t>Remark</w:t>
            </w:r>
          </w:p>
        </w:tc>
      </w:tr>
      <w:tr w:rsidR="00CA15E3" w:rsidRPr="00CA15E3" w14:paraId="77A4E554" w14:textId="77777777" w:rsidTr="00CA15E3">
        <w:trPr>
          <w:trHeight w:val="315"/>
        </w:trPr>
        <w:tc>
          <w:tcPr>
            <w:tcW w:w="421" w:type="dxa"/>
            <w:noWrap/>
            <w:vAlign w:val="bottom"/>
            <w:hideMark/>
          </w:tcPr>
          <w:p w14:paraId="1E685675" w14:textId="77777777" w:rsidR="00CA15E3" w:rsidRPr="00CA15E3" w:rsidRDefault="00CA15E3" w:rsidP="00CA15E3">
            <w:pPr>
              <w:widowControl/>
              <w:autoSpaceDE/>
              <w:autoSpaceDN/>
              <w:rPr>
                <w:color w:val="000000"/>
                <w:sz w:val="18"/>
                <w:szCs w:val="18"/>
              </w:rPr>
            </w:pPr>
            <w:r>
              <w:rPr>
                <w:color w:val="000000"/>
                <w:sz w:val="18"/>
                <w:szCs w:val="18"/>
              </w:rPr>
              <w:t>H1</w:t>
            </w:r>
          </w:p>
        </w:tc>
        <w:tc>
          <w:tcPr>
            <w:tcW w:w="1546" w:type="dxa"/>
            <w:vAlign w:val="center"/>
            <w:hideMark/>
          </w:tcPr>
          <w:p w14:paraId="23C98765" w14:textId="77777777" w:rsidR="00CA15E3" w:rsidRPr="00CA15E3" w:rsidRDefault="00CA15E3" w:rsidP="00CA15E3">
            <w:pPr>
              <w:widowControl/>
              <w:autoSpaceDE/>
              <w:autoSpaceDN/>
              <w:rPr>
                <w:b/>
                <w:bCs/>
                <w:color w:val="000000"/>
                <w:sz w:val="18"/>
                <w:szCs w:val="18"/>
              </w:rPr>
            </w:pPr>
            <w:r>
              <w:rPr>
                <w:b/>
                <w:bCs/>
                <w:color w:val="000000"/>
                <w:sz w:val="18"/>
                <w:szCs w:val="18"/>
              </w:rPr>
              <w:t>TB -&gt; PI</w:t>
            </w:r>
          </w:p>
        </w:tc>
        <w:tc>
          <w:tcPr>
            <w:tcW w:w="939" w:type="dxa"/>
            <w:vAlign w:val="center"/>
            <w:hideMark/>
          </w:tcPr>
          <w:p w14:paraId="055BECB6" w14:textId="77777777" w:rsidR="00CA15E3" w:rsidRPr="00CA15E3" w:rsidRDefault="00CA15E3" w:rsidP="00CA15E3">
            <w:pPr>
              <w:widowControl/>
              <w:autoSpaceDE/>
              <w:autoSpaceDN/>
              <w:jc w:val="right"/>
              <w:rPr>
                <w:color w:val="000000"/>
                <w:sz w:val="18"/>
                <w:szCs w:val="18"/>
              </w:rPr>
            </w:pPr>
            <w:r>
              <w:rPr>
                <w:color w:val="000000"/>
                <w:sz w:val="18"/>
                <w:szCs w:val="18"/>
              </w:rPr>
              <w:t>0.753</w:t>
            </w:r>
          </w:p>
        </w:tc>
        <w:tc>
          <w:tcPr>
            <w:tcW w:w="853" w:type="dxa"/>
            <w:vAlign w:val="center"/>
            <w:hideMark/>
          </w:tcPr>
          <w:p w14:paraId="3294AC61" w14:textId="77777777" w:rsidR="00CA15E3" w:rsidRPr="00CA15E3" w:rsidRDefault="00CA15E3" w:rsidP="00CA15E3">
            <w:pPr>
              <w:widowControl/>
              <w:autoSpaceDE/>
              <w:autoSpaceDN/>
              <w:jc w:val="right"/>
              <w:rPr>
                <w:color w:val="000000"/>
                <w:sz w:val="18"/>
                <w:szCs w:val="18"/>
              </w:rPr>
            </w:pPr>
            <w:r>
              <w:rPr>
                <w:color w:val="000000"/>
                <w:sz w:val="18"/>
                <w:szCs w:val="18"/>
              </w:rPr>
              <w:t>0.746</w:t>
            </w:r>
          </w:p>
        </w:tc>
        <w:tc>
          <w:tcPr>
            <w:tcW w:w="1017" w:type="dxa"/>
            <w:vAlign w:val="center"/>
            <w:hideMark/>
          </w:tcPr>
          <w:p w14:paraId="0CA5C9CD" w14:textId="77777777" w:rsidR="00CA15E3" w:rsidRPr="00CA15E3" w:rsidRDefault="00CA15E3" w:rsidP="00CA15E3">
            <w:pPr>
              <w:widowControl/>
              <w:autoSpaceDE/>
              <w:autoSpaceDN/>
              <w:jc w:val="right"/>
              <w:rPr>
                <w:color w:val="000000"/>
                <w:sz w:val="18"/>
                <w:szCs w:val="18"/>
              </w:rPr>
            </w:pPr>
            <w:r>
              <w:rPr>
                <w:color w:val="000000"/>
                <w:sz w:val="18"/>
                <w:szCs w:val="18"/>
              </w:rPr>
              <w:t>0.068</w:t>
            </w:r>
          </w:p>
        </w:tc>
        <w:tc>
          <w:tcPr>
            <w:tcW w:w="1316" w:type="dxa"/>
            <w:vAlign w:val="center"/>
            <w:hideMark/>
          </w:tcPr>
          <w:p w14:paraId="4F3B78AA" w14:textId="77777777" w:rsidR="00CA15E3" w:rsidRPr="00CA15E3" w:rsidRDefault="00CA15E3" w:rsidP="00CA15E3">
            <w:pPr>
              <w:widowControl/>
              <w:autoSpaceDE/>
              <w:autoSpaceDN/>
              <w:jc w:val="right"/>
              <w:rPr>
                <w:color w:val="000000"/>
                <w:sz w:val="18"/>
                <w:szCs w:val="18"/>
              </w:rPr>
            </w:pPr>
            <w:r>
              <w:rPr>
                <w:color w:val="000000"/>
                <w:sz w:val="18"/>
                <w:szCs w:val="18"/>
              </w:rPr>
              <w:t>11.094</w:t>
            </w:r>
          </w:p>
        </w:tc>
        <w:tc>
          <w:tcPr>
            <w:tcW w:w="877" w:type="dxa"/>
            <w:vAlign w:val="center"/>
            <w:hideMark/>
          </w:tcPr>
          <w:p w14:paraId="3790FEA1" w14:textId="77777777" w:rsidR="00CA15E3" w:rsidRPr="00CA15E3" w:rsidRDefault="00CA15E3" w:rsidP="00CA15E3">
            <w:pPr>
              <w:widowControl/>
              <w:autoSpaceDE/>
              <w:autoSpaceDN/>
              <w:jc w:val="right"/>
              <w:rPr>
                <w:color w:val="000000"/>
                <w:sz w:val="18"/>
                <w:szCs w:val="18"/>
              </w:rPr>
            </w:pPr>
            <w:r>
              <w:rPr>
                <w:color w:val="000000"/>
                <w:sz w:val="18"/>
                <w:szCs w:val="18"/>
              </w:rPr>
              <w:t>0.000</w:t>
            </w:r>
          </w:p>
        </w:tc>
        <w:tc>
          <w:tcPr>
            <w:tcW w:w="773" w:type="dxa"/>
            <w:vAlign w:val="center"/>
            <w:hideMark/>
          </w:tcPr>
          <w:p w14:paraId="50853D68" w14:textId="77777777" w:rsidR="00CA15E3" w:rsidRPr="00CA15E3" w:rsidRDefault="00CA15E3" w:rsidP="00CA15E3">
            <w:pPr>
              <w:widowControl/>
              <w:autoSpaceDE/>
              <w:autoSpaceDN/>
              <w:jc w:val="right"/>
              <w:rPr>
                <w:color w:val="000000"/>
                <w:sz w:val="18"/>
                <w:szCs w:val="18"/>
              </w:rPr>
            </w:pPr>
            <w:r>
              <w:rPr>
                <w:color w:val="000000"/>
                <w:sz w:val="18"/>
                <w:szCs w:val="18"/>
              </w:rPr>
              <w:t>0.592</w:t>
            </w:r>
          </w:p>
        </w:tc>
        <w:tc>
          <w:tcPr>
            <w:tcW w:w="868" w:type="dxa"/>
            <w:vAlign w:val="center"/>
            <w:hideMark/>
          </w:tcPr>
          <w:p w14:paraId="22918D3C" w14:textId="77777777" w:rsidR="00CA15E3" w:rsidRPr="00CA15E3" w:rsidRDefault="00CA15E3" w:rsidP="00CA15E3">
            <w:pPr>
              <w:widowControl/>
              <w:autoSpaceDE/>
              <w:autoSpaceDN/>
              <w:jc w:val="right"/>
              <w:rPr>
                <w:color w:val="000000"/>
                <w:sz w:val="18"/>
                <w:szCs w:val="18"/>
              </w:rPr>
            </w:pPr>
            <w:r>
              <w:rPr>
                <w:color w:val="000000"/>
                <w:sz w:val="18"/>
                <w:szCs w:val="18"/>
              </w:rPr>
              <w:t>0.857</w:t>
            </w:r>
          </w:p>
        </w:tc>
        <w:tc>
          <w:tcPr>
            <w:tcW w:w="1250" w:type="dxa"/>
            <w:noWrap/>
            <w:vAlign w:val="bottom"/>
            <w:hideMark/>
          </w:tcPr>
          <w:p w14:paraId="44E3F117" w14:textId="77777777" w:rsidR="00CA15E3" w:rsidRPr="00CA15E3" w:rsidRDefault="00CA15E3" w:rsidP="00CA15E3">
            <w:pPr>
              <w:widowControl/>
              <w:autoSpaceDE/>
              <w:autoSpaceDN/>
              <w:rPr>
                <w:color w:val="000000"/>
                <w:sz w:val="18"/>
                <w:szCs w:val="18"/>
              </w:rPr>
            </w:pPr>
            <w:r>
              <w:rPr>
                <w:color w:val="000000"/>
                <w:sz w:val="18"/>
                <w:szCs w:val="18"/>
              </w:rPr>
              <w:t>Supported</w:t>
            </w:r>
          </w:p>
        </w:tc>
      </w:tr>
      <w:tr w:rsidR="00CA15E3" w:rsidRPr="00CA15E3" w14:paraId="6DD3C2F9" w14:textId="77777777" w:rsidTr="00CA15E3">
        <w:trPr>
          <w:trHeight w:val="300"/>
        </w:trPr>
        <w:tc>
          <w:tcPr>
            <w:tcW w:w="421" w:type="dxa"/>
            <w:noWrap/>
            <w:vAlign w:val="bottom"/>
            <w:hideMark/>
          </w:tcPr>
          <w:p w14:paraId="0BFECFE3" w14:textId="77777777" w:rsidR="00CA15E3" w:rsidRPr="00CA15E3" w:rsidRDefault="00CA15E3" w:rsidP="00CA15E3">
            <w:pPr>
              <w:widowControl/>
              <w:autoSpaceDE/>
              <w:autoSpaceDN/>
              <w:rPr>
                <w:color w:val="000000"/>
                <w:sz w:val="18"/>
                <w:szCs w:val="18"/>
              </w:rPr>
            </w:pPr>
            <w:r>
              <w:rPr>
                <w:color w:val="000000"/>
                <w:sz w:val="18"/>
                <w:szCs w:val="18"/>
              </w:rPr>
              <w:t>H2</w:t>
            </w:r>
          </w:p>
        </w:tc>
        <w:tc>
          <w:tcPr>
            <w:tcW w:w="1546" w:type="dxa"/>
            <w:vAlign w:val="center"/>
            <w:hideMark/>
          </w:tcPr>
          <w:p w14:paraId="497A016B" w14:textId="77777777" w:rsidR="00CA15E3" w:rsidRPr="00CA15E3" w:rsidRDefault="00CA15E3" w:rsidP="00CA15E3">
            <w:pPr>
              <w:widowControl/>
              <w:autoSpaceDE/>
              <w:autoSpaceDN/>
              <w:rPr>
                <w:b/>
                <w:bCs/>
                <w:color w:val="000000"/>
                <w:sz w:val="18"/>
                <w:szCs w:val="18"/>
              </w:rPr>
            </w:pPr>
            <w:r>
              <w:rPr>
                <w:b/>
                <w:bCs/>
                <w:color w:val="000000"/>
                <w:sz w:val="18"/>
                <w:szCs w:val="18"/>
              </w:rPr>
              <w:t>TB -&gt; PA</w:t>
            </w:r>
          </w:p>
        </w:tc>
        <w:tc>
          <w:tcPr>
            <w:tcW w:w="939" w:type="dxa"/>
            <w:vAlign w:val="center"/>
            <w:hideMark/>
          </w:tcPr>
          <w:p w14:paraId="68954A6C" w14:textId="77777777" w:rsidR="00CA15E3" w:rsidRPr="00CA15E3" w:rsidRDefault="00CA15E3" w:rsidP="00CA15E3">
            <w:pPr>
              <w:widowControl/>
              <w:autoSpaceDE/>
              <w:autoSpaceDN/>
              <w:jc w:val="right"/>
              <w:rPr>
                <w:color w:val="000000"/>
                <w:sz w:val="18"/>
                <w:szCs w:val="18"/>
              </w:rPr>
            </w:pPr>
            <w:r>
              <w:rPr>
                <w:color w:val="000000"/>
                <w:sz w:val="18"/>
                <w:szCs w:val="18"/>
              </w:rPr>
              <w:t>0.292</w:t>
            </w:r>
          </w:p>
        </w:tc>
        <w:tc>
          <w:tcPr>
            <w:tcW w:w="853" w:type="dxa"/>
            <w:vAlign w:val="center"/>
            <w:hideMark/>
          </w:tcPr>
          <w:p w14:paraId="4255084C" w14:textId="77777777" w:rsidR="00CA15E3" w:rsidRPr="00CA15E3" w:rsidRDefault="00CA15E3" w:rsidP="00CA15E3">
            <w:pPr>
              <w:widowControl/>
              <w:autoSpaceDE/>
              <w:autoSpaceDN/>
              <w:jc w:val="right"/>
              <w:rPr>
                <w:color w:val="000000"/>
                <w:sz w:val="18"/>
                <w:szCs w:val="18"/>
              </w:rPr>
            </w:pPr>
            <w:r>
              <w:rPr>
                <w:color w:val="000000"/>
                <w:sz w:val="18"/>
                <w:szCs w:val="18"/>
              </w:rPr>
              <w:t>0.285</w:t>
            </w:r>
          </w:p>
        </w:tc>
        <w:tc>
          <w:tcPr>
            <w:tcW w:w="1017" w:type="dxa"/>
            <w:vAlign w:val="center"/>
            <w:hideMark/>
          </w:tcPr>
          <w:p w14:paraId="532C1723" w14:textId="77777777" w:rsidR="00CA15E3" w:rsidRPr="00CA15E3" w:rsidRDefault="00CA15E3" w:rsidP="00CA15E3">
            <w:pPr>
              <w:widowControl/>
              <w:autoSpaceDE/>
              <w:autoSpaceDN/>
              <w:jc w:val="right"/>
              <w:rPr>
                <w:color w:val="000000"/>
                <w:sz w:val="18"/>
                <w:szCs w:val="18"/>
              </w:rPr>
            </w:pPr>
            <w:r>
              <w:rPr>
                <w:color w:val="000000"/>
                <w:sz w:val="18"/>
                <w:szCs w:val="18"/>
              </w:rPr>
              <w:t>0.086</w:t>
            </w:r>
          </w:p>
        </w:tc>
        <w:tc>
          <w:tcPr>
            <w:tcW w:w="1316" w:type="dxa"/>
            <w:vAlign w:val="center"/>
            <w:hideMark/>
          </w:tcPr>
          <w:p w14:paraId="5D807726" w14:textId="77777777" w:rsidR="00CA15E3" w:rsidRPr="00CA15E3" w:rsidRDefault="00CA15E3" w:rsidP="00CA15E3">
            <w:pPr>
              <w:widowControl/>
              <w:autoSpaceDE/>
              <w:autoSpaceDN/>
              <w:jc w:val="right"/>
              <w:rPr>
                <w:color w:val="000000"/>
                <w:sz w:val="18"/>
                <w:szCs w:val="18"/>
              </w:rPr>
            </w:pPr>
            <w:r>
              <w:rPr>
                <w:color w:val="000000"/>
                <w:sz w:val="18"/>
                <w:szCs w:val="18"/>
              </w:rPr>
              <w:t>3.382</w:t>
            </w:r>
          </w:p>
        </w:tc>
        <w:tc>
          <w:tcPr>
            <w:tcW w:w="877" w:type="dxa"/>
            <w:vAlign w:val="center"/>
            <w:hideMark/>
          </w:tcPr>
          <w:p w14:paraId="2467DA0D" w14:textId="77777777" w:rsidR="00CA15E3" w:rsidRPr="00CA15E3" w:rsidRDefault="00CA15E3" w:rsidP="00CA15E3">
            <w:pPr>
              <w:widowControl/>
              <w:autoSpaceDE/>
              <w:autoSpaceDN/>
              <w:jc w:val="right"/>
              <w:rPr>
                <w:color w:val="000000"/>
                <w:sz w:val="18"/>
                <w:szCs w:val="18"/>
              </w:rPr>
            </w:pPr>
            <w:r>
              <w:rPr>
                <w:color w:val="000000"/>
                <w:sz w:val="18"/>
                <w:szCs w:val="18"/>
              </w:rPr>
              <w:t>0.001</w:t>
            </w:r>
          </w:p>
        </w:tc>
        <w:tc>
          <w:tcPr>
            <w:tcW w:w="773" w:type="dxa"/>
            <w:vAlign w:val="center"/>
            <w:hideMark/>
          </w:tcPr>
          <w:p w14:paraId="3F24F81E" w14:textId="77777777" w:rsidR="00CA15E3" w:rsidRPr="00CA15E3" w:rsidRDefault="00CA15E3" w:rsidP="00CA15E3">
            <w:pPr>
              <w:widowControl/>
              <w:autoSpaceDE/>
              <w:autoSpaceDN/>
              <w:jc w:val="right"/>
              <w:rPr>
                <w:color w:val="000000"/>
                <w:sz w:val="18"/>
                <w:szCs w:val="18"/>
              </w:rPr>
            </w:pPr>
            <w:r>
              <w:rPr>
                <w:color w:val="000000"/>
                <w:sz w:val="18"/>
                <w:szCs w:val="18"/>
              </w:rPr>
              <w:t>0.115</w:t>
            </w:r>
          </w:p>
        </w:tc>
        <w:tc>
          <w:tcPr>
            <w:tcW w:w="868" w:type="dxa"/>
            <w:vAlign w:val="center"/>
            <w:hideMark/>
          </w:tcPr>
          <w:p w14:paraId="084F771C" w14:textId="77777777" w:rsidR="00CA15E3" w:rsidRPr="00CA15E3" w:rsidRDefault="00CA15E3" w:rsidP="00CA15E3">
            <w:pPr>
              <w:widowControl/>
              <w:autoSpaceDE/>
              <w:autoSpaceDN/>
              <w:jc w:val="right"/>
              <w:rPr>
                <w:color w:val="000000"/>
                <w:sz w:val="18"/>
                <w:szCs w:val="18"/>
              </w:rPr>
            </w:pPr>
            <w:r>
              <w:rPr>
                <w:color w:val="000000"/>
                <w:sz w:val="18"/>
                <w:szCs w:val="18"/>
              </w:rPr>
              <w:t>0.456</w:t>
            </w:r>
          </w:p>
        </w:tc>
        <w:tc>
          <w:tcPr>
            <w:tcW w:w="1250" w:type="dxa"/>
            <w:noWrap/>
            <w:vAlign w:val="bottom"/>
            <w:hideMark/>
          </w:tcPr>
          <w:p w14:paraId="6B992956" w14:textId="77777777" w:rsidR="00CA15E3" w:rsidRPr="00CA15E3" w:rsidRDefault="00CA15E3" w:rsidP="00CA15E3">
            <w:pPr>
              <w:widowControl/>
              <w:autoSpaceDE/>
              <w:autoSpaceDN/>
              <w:rPr>
                <w:color w:val="000000"/>
                <w:sz w:val="18"/>
                <w:szCs w:val="18"/>
              </w:rPr>
            </w:pPr>
            <w:r>
              <w:rPr>
                <w:color w:val="000000"/>
                <w:sz w:val="18"/>
                <w:szCs w:val="18"/>
              </w:rPr>
              <w:t>Supported</w:t>
            </w:r>
          </w:p>
        </w:tc>
      </w:tr>
      <w:tr w:rsidR="00CA15E3" w:rsidRPr="00CA15E3" w14:paraId="38716628" w14:textId="77777777" w:rsidTr="00CA15E3">
        <w:trPr>
          <w:trHeight w:val="315"/>
        </w:trPr>
        <w:tc>
          <w:tcPr>
            <w:tcW w:w="421" w:type="dxa"/>
            <w:noWrap/>
            <w:vAlign w:val="bottom"/>
            <w:hideMark/>
          </w:tcPr>
          <w:p w14:paraId="6FEBB8AD" w14:textId="77777777" w:rsidR="00CA15E3" w:rsidRPr="00CA15E3" w:rsidRDefault="00CA15E3" w:rsidP="00CA15E3">
            <w:pPr>
              <w:widowControl/>
              <w:autoSpaceDE/>
              <w:autoSpaceDN/>
              <w:rPr>
                <w:color w:val="000000"/>
                <w:sz w:val="18"/>
                <w:szCs w:val="18"/>
              </w:rPr>
            </w:pPr>
            <w:r>
              <w:rPr>
                <w:color w:val="000000"/>
                <w:sz w:val="18"/>
                <w:szCs w:val="18"/>
              </w:rPr>
              <w:t>H3</w:t>
            </w:r>
          </w:p>
        </w:tc>
        <w:tc>
          <w:tcPr>
            <w:tcW w:w="1546" w:type="dxa"/>
            <w:vAlign w:val="center"/>
            <w:hideMark/>
          </w:tcPr>
          <w:p w14:paraId="4118A62E" w14:textId="77777777" w:rsidR="00CA15E3" w:rsidRPr="00CA15E3" w:rsidRDefault="00CA15E3" w:rsidP="00CA15E3">
            <w:pPr>
              <w:widowControl/>
              <w:autoSpaceDE/>
              <w:autoSpaceDN/>
              <w:rPr>
                <w:b/>
                <w:bCs/>
                <w:color w:val="000000"/>
                <w:sz w:val="18"/>
                <w:szCs w:val="18"/>
              </w:rPr>
            </w:pPr>
            <w:r>
              <w:rPr>
                <w:b/>
                <w:bCs/>
                <w:color w:val="000000"/>
                <w:sz w:val="18"/>
                <w:szCs w:val="18"/>
              </w:rPr>
              <w:t>PI -&gt; PA</w:t>
            </w:r>
          </w:p>
        </w:tc>
        <w:tc>
          <w:tcPr>
            <w:tcW w:w="939" w:type="dxa"/>
            <w:vAlign w:val="center"/>
            <w:hideMark/>
          </w:tcPr>
          <w:p w14:paraId="69AC0AC0" w14:textId="77777777" w:rsidR="00CA15E3" w:rsidRPr="00CA15E3" w:rsidRDefault="00CA15E3" w:rsidP="00CA15E3">
            <w:pPr>
              <w:widowControl/>
              <w:autoSpaceDE/>
              <w:autoSpaceDN/>
              <w:jc w:val="right"/>
              <w:rPr>
                <w:color w:val="000000"/>
                <w:sz w:val="18"/>
                <w:szCs w:val="18"/>
              </w:rPr>
            </w:pPr>
            <w:r>
              <w:rPr>
                <w:color w:val="000000"/>
                <w:sz w:val="18"/>
                <w:szCs w:val="18"/>
              </w:rPr>
              <w:t>0.539</w:t>
            </w:r>
          </w:p>
        </w:tc>
        <w:tc>
          <w:tcPr>
            <w:tcW w:w="853" w:type="dxa"/>
            <w:vAlign w:val="center"/>
            <w:hideMark/>
          </w:tcPr>
          <w:p w14:paraId="08255201" w14:textId="77777777" w:rsidR="00CA15E3" w:rsidRPr="00CA15E3" w:rsidRDefault="00CA15E3" w:rsidP="00CA15E3">
            <w:pPr>
              <w:widowControl/>
              <w:autoSpaceDE/>
              <w:autoSpaceDN/>
              <w:jc w:val="right"/>
              <w:rPr>
                <w:color w:val="000000"/>
                <w:sz w:val="18"/>
                <w:szCs w:val="18"/>
              </w:rPr>
            </w:pPr>
            <w:r>
              <w:rPr>
                <w:color w:val="000000"/>
                <w:sz w:val="18"/>
                <w:szCs w:val="18"/>
              </w:rPr>
              <w:t>0.543</w:t>
            </w:r>
          </w:p>
        </w:tc>
        <w:tc>
          <w:tcPr>
            <w:tcW w:w="1017" w:type="dxa"/>
            <w:vAlign w:val="center"/>
            <w:hideMark/>
          </w:tcPr>
          <w:p w14:paraId="1AC79335" w14:textId="77777777" w:rsidR="00CA15E3" w:rsidRPr="00CA15E3" w:rsidRDefault="00CA15E3" w:rsidP="00CA15E3">
            <w:pPr>
              <w:widowControl/>
              <w:autoSpaceDE/>
              <w:autoSpaceDN/>
              <w:jc w:val="right"/>
              <w:rPr>
                <w:color w:val="000000"/>
                <w:sz w:val="18"/>
                <w:szCs w:val="18"/>
              </w:rPr>
            </w:pPr>
            <w:r>
              <w:rPr>
                <w:color w:val="000000"/>
                <w:sz w:val="18"/>
                <w:szCs w:val="18"/>
              </w:rPr>
              <w:t>0.083</w:t>
            </w:r>
          </w:p>
        </w:tc>
        <w:tc>
          <w:tcPr>
            <w:tcW w:w="1316" w:type="dxa"/>
            <w:vAlign w:val="center"/>
            <w:hideMark/>
          </w:tcPr>
          <w:p w14:paraId="75671D7C" w14:textId="77777777" w:rsidR="00CA15E3" w:rsidRPr="00CA15E3" w:rsidRDefault="00CA15E3" w:rsidP="00CA15E3">
            <w:pPr>
              <w:widowControl/>
              <w:autoSpaceDE/>
              <w:autoSpaceDN/>
              <w:jc w:val="right"/>
              <w:rPr>
                <w:color w:val="000000"/>
                <w:sz w:val="18"/>
                <w:szCs w:val="18"/>
              </w:rPr>
            </w:pPr>
            <w:r>
              <w:rPr>
                <w:color w:val="000000"/>
                <w:sz w:val="18"/>
                <w:szCs w:val="18"/>
              </w:rPr>
              <w:t>6.451</w:t>
            </w:r>
          </w:p>
        </w:tc>
        <w:tc>
          <w:tcPr>
            <w:tcW w:w="877" w:type="dxa"/>
            <w:vAlign w:val="center"/>
            <w:hideMark/>
          </w:tcPr>
          <w:p w14:paraId="0FE317F5" w14:textId="77777777" w:rsidR="00CA15E3" w:rsidRPr="00CA15E3" w:rsidRDefault="00CA15E3" w:rsidP="00CA15E3">
            <w:pPr>
              <w:widowControl/>
              <w:autoSpaceDE/>
              <w:autoSpaceDN/>
              <w:jc w:val="right"/>
              <w:rPr>
                <w:color w:val="000000"/>
                <w:sz w:val="18"/>
                <w:szCs w:val="18"/>
              </w:rPr>
            </w:pPr>
            <w:r>
              <w:rPr>
                <w:color w:val="000000"/>
                <w:sz w:val="18"/>
                <w:szCs w:val="18"/>
              </w:rPr>
              <w:t>0.000</w:t>
            </w:r>
          </w:p>
        </w:tc>
        <w:tc>
          <w:tcPr>
            <w:tcW w:w="773" w:type="dxa"/>
            <w:vAlign w:val="center"/>
            <w:hideMark/>
          </w:tcPr>
          <w:p w14:paraId="161AD9DD" w14:textId="77777777" w:rsidR="00CA15E3" w:rsidRPr="00CA15E3" w:rsidRDefault="00CA15E3" w:rsidP="00CA15E3">
            <w:pPr>
              <w:widowControl/>
              <w:autoSpaceDE/>
              <w:autoSpaceDN/>
              <w:jc w:val="right"/>
              <w:rPr>
                <w:color w:val="000000"/>
                <w:sz w:val="18"/>
                <w:szCs w:val="18"/>
              </w:rPr>
            </w:pPr>
            <w:r>
              <w:rPr>
                <w:color w:val="000000"/>
                <w:sz w:val="18"/>
                <w:szCs w:val="18"/>
              </w:rPr>
              <w:t>0.374</w:t>
            </w:r>
          </w:p>
        </w:tc>
        <w:tc>
          <w:tcPr>
            <w:tcW w:w="868" w:type="dxa"/>
            <w:vAlign w:val="center"/>
            <w:hideMark/>
          </w:tcPr>
          <w:p w14:paraId="1F24AE2E" w14:textId="77777777" w:rsidR="00CA15E3" w:rsidRPr="00CA15E3" w:rsidRDefault="00CA15E3" w:rsidP="00CA15E3">
            <w:pPr>
              <w:widowControl/>
              <w:autoSpaceDE/>
              <w:autoSpaceDN/>
              <w:jc w:val="right"/>
              <w:rPr>
                <w:color w:val="000000"/>
                <w:sz w:val="18"/>
                <w:szCs w:val="18"/>
              </w:rPr>
            </w:pPr>
            <w:r>
              <w:rPr>
                <w:color w:val="000000"/>
                <w:sz w:val="18"/>
                <w:szCs w:val="18"/>
              </w:rPr>
              <w:t>0.708</w:t>
            </w:r>
          </w:p>
        </w:tc>
        <w:tc>
          <w:tcPr>
            <w:tcW w:w="1250" w:type="dxa"/>
            <w:noWrap/>
            <w:vAlign w:val="bottom"/>
            <w:hideMark/>
          </w:tcPr>
          <w:p w14:paraId="5D3AEBB5" w14:textId="77777777" w:rsidR="00CA15E3" w:rsidRPr="00CA15E3" w:rsidRDefault="00CA15E3" w:rsidP="00CA15E3">
            <w:pPr>
              <w:widowControl/>
              <w:autoSpaceDE/>
              <w:autoSpaceDN/>
              <w:rPr>
                <w:color w:val="000000"/>
                <w:sz w:val="18"/>
                <w:szCs w:val="18"/>
              </w:rPr>
            </w:pPr>
            <w:r>
              <w:rPr>
                <w:color w:val="000000"/>
                <w:sz w:val="18"/>
                <w:szCs w:val="18"/>
              </w:rPr>
              <w:t>Supported</w:t>
            </w:r>
          </w:p>
        </w:tc>
      </w:tr>
      <w:tr w:rsidR="00CA15E3" w:rsidRPr="00CA15E3" w14:paraId="786DC3DA" w14:textId="77777777" w:rsidTr="00CA15E3">
        <w:trPr>
          <w:trHeight w:val="315"/>
        </w:trPr>
        <w:tc>
          <w:tcPr>
            <w:tcW w:w="421" w:type="dxa"/>
            <w:noWrap/>
            <w:vAlign w:val="bottom"/>
            <w:hideMark/>
          </w:tcPr>
          <w:p w14:paraId="7168D97B" w14:textId="77777777" w:rsidR="00CA15E3" w:rsidRPr="00CA15E3" w:rsidRDefault="00CA15E3" w:rsidP="00CA15E3">
            <w:pPr>
              <w:widowControl/>
              <w:autoSpaceDE/>
              <w:autoSpaceDN/>
              <w:rPr>
                <w:color w:val="000000"/>
                <w:sz w:val="18"/>
                <w:szCs w:val="18"/>
              </w:rPr>
            </w:pPr>
            <w:r>
              <w:rPr>
                <w:color w:val="000000"/>
                <w:sz w:val="18"/>
                <w:szCs w:val="18"/>
              </w:rPr>
              <w:t>H4</w:t>
            </w:r>
          </w:p>
        </w:tc>
        <w:tc>
          <w:tcPr>
            <w:tcW w:w="1546" w:type="dxa"/>
            <w:vAlign w:val="center"/>
            <w:hideMark/>
          </w:tcPr>
          <w:p w14:paraId="5E6C326D" w14:textId="77777777" w:rsidR="00CA15E3" w:rsidRPr="00CA15E3" w:rsidRDefault="00CA15E3" w:rsidP="00CA15E3">
            <w:pPr>
              <w:widowControl/>
              <w:autoSpaceDE/>
              <w:autoSpaceDN/>
              <w:rPr>
                <w:b/>
                <w:bCs/>
                <w:color w:val="000000"/>
                <w:sz w:val="18"/>
                <w:szCs w:val="18"/>
              </w:rPr>
            </w:pPr>
            <w:r>
              <w:rPr>
                <w:b/>
                <w:bCs/>
                <w:color w:val="000000"/>
                <w:sz w:val="18"/>
                <w:szCs w:val="18"/>
              </w:rPr>
              <w:t>PI -&gt; PIN</w:t>
            </w:r>
          </w:p>
        </w:tc>
        <w:tc>
          <w:tcPr>
            <w:tcW w:w="939" w:type="dxa"/>
            <w:vAlign w:val="center"/>
            <w:hideMark/>
          </w:tcPr>
          <w:p w14:paraId="77D76B6B" w14:textId="77777777" w:rsidR="00CA15E3" w:rsidRPr="00CA15E3" w:rsidRDefault="00CA15E3" w:rsidP="00CA15E3">
            <w:pPr>
              <w:widowControl/>
              <w:autoSpaceDE/>
              <w:autoSpaceDN/>
              <w:jc w:val="right"/>
              <w:rPr>
                <w:color w:val="000000"/>
                <w:sz w:val="18"/>
                <w:szCs w:val="18"/>
              </w:rPr>
            </w:pPr>
            <w:r>
              <w:rPr>
                <w:color w:val="000000"/>
                <w:sz w:val="18"/>
                <w:szCs w:val="18"/>
              </w:rPr>
              <w:t>0.092</w:t>
            </w:r>
          </w:p>
        </w:tc>
        <w:tc>
          <w:tcPr>
            <w:tcW w:w="853" w:type="dxa"/>
            <w:vAlign w:val="center"/>
            <w:hideMark/>
          </w:tcPr>
          <w:p w14:paraId="1E40D053" w14:textId="77777777" w:rsidR="00CA15E3" w:rsidRPr="00CA15E3" w:rsidRDefault="00CA15E3" w:rsidP="00CA15E3">
            <w:pPr>
              <w:widowControl/>
              <w:autoSpaceDE/>
              <w:autoSpaceDN/>
              <w:jc w:val="right"/>
              <w:rPr>
                <w:color w:val="000000"/>
                <w:sz w:val="18"/>
                <w:szCs w:val="18"/>
              </w:rPr>
            </w:pPr>
            <w:r>
              <w:rPr>
                <w:color w:val="000000"/>
                <w:sz w:val="18"/>
                <w:szCs w:val="18"/>
              </w:rPr>
              <w:t>0.091</w:t>
            </w:r>
          </w:p>
        </w:tc>
        <w:tc>
          <w:tcPr>
            <w:tcW w:w="1017" w:type="dxa"/>
            <w:vAlign w:val="center"/>
            <w:hideMark/>
          </w:tcPr>
          <w:p w14:paraId="3784BBB9" w14:textId="77777777" w:rsidR="00CA15E3" w:rsidRPr="00CA15E3" w:rsidRDefault="00CA15E3" w:rsidP="00CA15E3">
            <w:pPr>
              <w:widowControl/>
              <w:autoSpaceDE/>
              <w:autoSpaceDN/>
              <w:jc w:val="right"/>
              <w:rPr>
                <w:color w:val="000000"/>
                <w:sz w:val="18"/>
                <w:szCs w:val="18"/>
              </w:rPr>
            </w:pPr>
            <w:r>
              <w:rPr>
                <w:color w:val="000000"/>
                <w:sz w:val="18"/>
                <w:szCs w:val="18"/>
              </w:rPr>
              <w:t>0.096</w:t>
            </w:r>
          </w:p>
        </w:tc>
        <w:tc>
          <w:tcPr>
            <w:tcW w:w="1316" w:type="dxa"/>
            <w:vAlign w:val="center"/>
            <w:hideMark/>
          </w:tcPr>
          <w:p w14:paraId="7A226B31" w14:textId="77777777" w:rsidR="00CA15E3" w:rsidRPr="00CA15E3" w:rsidRDefault="00CA15E3" w:rsidP="00CA15E3">
            <w:pPr>
              <w:widowControl/>
              <w:autoSpaceDE/>
              <w:autoSpaceDN/>
              <w:jc w:val="right"/>
              <w:rPr>
                <w:color w:val="000000"/>
                <w:sz w:val="18"/>
                <w:szCs w:val="18"/>
              </w:rPr>
            </w:pPr>
            <w:r>
              <w:rPr>
                <w:color w:val="000000"/>
                <w:sz w:val="18"/>
                <w:szCs w:val="18"/>
              </w:rPr>
              <w:t>0.963</w:t>
            </w:r>
          </w:p>
        </w:tc>
        <w:tc>
          <w:tcPr>
            <w:tcW w:w="877" w:type="dxa"/>
            <w:vAlign w:val="center"/>
            <w:hideMark/>
          </w:tcPr>
          <w:p w14:paraId="15771F7B" w14:textId="77777777" w:rsidR="00CA15E3" w:rsidRPr="00CA15E3" w:rsidRDefault="00CA15E3" w:rsidP="00CA15E3">
            <w:pPr>
              <w:widowControl/>
              <w:autoSpaceDE/>
              <w:autoSpaceDN/>
              <w:jc w:val="right"/>
              <w:rPr>
                <w:color w:val="000000"/>
                <w:sz w:val="18"/>
                <w:szCs w:val="18"/>
              </w:rPr>
            </w:pPr>
            <w:r>
              <w:rPr>
                <w:color w:val="000000"/>
                <w:sz w:val="18"/>
                <w:szCs w:val="18"/>
              </w:rPr>
              <w:t>0.336</w:t>
            </w:r>
          </w:p>
        </w:tc>
        <w:tc>
          <w:tcPr>
            <w:tcW w:w="773" w:type="dxa"/>
            <w:vAlign w:val="center"/>
            <w:hideMark/>
          </w:tcPr>
          <w:p w14:paraId="15FF5BB9" w14:textId="77777777" w:rsidR="00CA15E3" w:rsidRPr="00CA15E3" w:rsidRDefault="00CA15E3" w:rsidP="00CA15E3">
            <w:pPr>
              <w:widowControl/>
              <w:autoSpaceDE/>
              <w:autoSpaceDN/>
              <w:jc w:val="right"/>
              <w:rPr>
                <w:color w:val="000000"/>
                <w:sz w:val="18"/>
                <w:szCs w:val="18"/>
              </w:rPr>
            </w:pPr>
            <w:r>
              <w:rPr>
                <w:color w:val="000000"/>
                <w:sz w:val="18"/>
                <w:szCs w:val="18"/>
              </w:rPr>
              <w:t>-0.095</w:t>
            </w:r>
          </w:p>
        </w:tc>
        <w:tc>
          <w:tcPr>
            <w:tcW w:w="868" w:type="dxa"/>
            <w:vAlign w:val="center"/>
            <w:hideMark/>
          </w:tcPr>
          <w:p w14:paraId="006E77DE" w14:textId="77777777" w:rsidR="00CA15E3" w:rsidRPr="00CA15E3" w:rsidRDefault="00CA15E3" w:rsidP="00CA15E3">
            <w:pPr>
              <w:widowControl/>
              <w:autoSpaceDE/>
              <w:autoSpaceDN/>
              <w:jc w:val="right"/>
              <w:rPr>
                <w:color w:val="000000"/>
                <w:sz w:val="18"/>
                <w:szCs w:val="18"/>
              </w:rPr>
            </w:pPr>
            <w:r>
              <w:rPr>
                <w:color w:val="000000"/>
                <w:sz w:val="18"/>
                <w:szCs w:val="18"/>
              </w:rPr>
              <w:t>0.278</w:t>
            </w:r>
          </w:p>
        </w:tc>
        <w:tc>
          <w:tcPr>
            <w:tcW w:w="1250" w:type="dxa"/>
            <w:noWrap/>
            <w:vAlign w:val="bottom"/>
            <w:hideMark/>
          </w:tcPr>
          <w:p w14:paraId="28F920D8" w14:textId="77777777" w:rsidR="00CA15E3" w:rsidRPr="00CA15E3" w:rsidRDefault="00CA15E3" w:rsidP="00CA15E3">
            <w:pPr>
              <w:widowControl/>
              <w:autoSpaceDE/>
              <w:autoSpaceDN/>
              <w:rPr>
                <w:color w:val="000000"/>
                <w:sz w:val="18"/>
                <w:szCs w:val="18"/>
              </w:rPr>
            </w:pPr>
            <w:r>
              <w:rPr>
                <w:color w:val="000000"/>
                <w:sz w:val="18"/>
                <w:szCs w:val="18"/>
              </w:rPr>
              <w:t>Unsupported</w:t>
            </w:r>
          </w:p>
        </w:tc>
      </w:tr>
      <w:tr w:rsidR="00CA15E3" w:rsidRPr="00CA15E3" w14:paraId="009D9D50" w14:textId="77777777" w:rsidTr="00CA15E3">
        <w:trPr>
          <w:trHeight w:val="300"/>
        </w:trPr>
        <w:tc>
          <w:tcPr>
            <w:tcW w:w="421" w:type="dxa"/>
            <w:noWrap/>
            <w:vAlign w:val="bottom"/>
            <w:hideMark/>
          </w:tcPr>
          <w:p w14:paraId="25FF6F2E" w14:textId="77777777" w:rsidR="00CA15E3" w:rsidRPr="00CA15E3" w:rsidRDefault="00CA15E3" w:rsidP="00CA15E3">
            <w:pPr>
              <w:widowControl/>
              <w:autoSpaceDE/>
              <w:autoSpaceDN/>
              <w:rPr>
                <w:color w:val="000000"/>
                <w:sz w:val="18"/>
                <w:szCs w:val="18"/>
              </w:rPr>
            </w:pPr>
            <w:r>
              <w:rPr>
                <w:color w:val="000000"/>
                <w:sz w:val="18"/>
                <w:szCs w:val="18"/>
              </w:rPr>
              <w:t>H5</w:t>
            </w:r>
          </w:p>
        </w:tc>
        <w:tc>
          <w:tcPr>
            <w:tcW w:w="1546" w:type="dxa"/>
            <w:vAlign w:val="center"/>
            <w:hideMark/>
          </w:tcPr>
          <w:p w14:paraId="53590603" w14:textId="77777777" w:rsidR="00CA15E3" w:rsidRPr="00CA15E3" w:rsidRDefault="00CA15E3" w:rsidP="00CA15E3">
            <w:pPr>
              <w:widowControl/>
              <w:autoSpaceDE/>
              <w:autoSpaceDN/>
              <w:rPr>
                <w:b/>
                <w:bCs/>
                <w:color w:val="000000"/>
                <w:sz w:val="18"/>
                <w:szCs w:val="18"/>
              </w:rPr>
            </w:pPr>
            <w:r>
              <w:rPr>
                <w:b/>
                <w:bCs/>
                <w:color w:val="000000"/>
                <w:sz w:val="18"/>
                <w:szCs w:val="18"/>
              </w:rPr>
              <w:t>PA -&gt; PIN</w:t>
            </w:r>
          </w:p>
        </w:tc>
        <w:tc>
          <w:tcPr>
            <w:tcW w:w="939" w:type="dxa"/>
            <w:vAlign w:val="center"/>
            <w:hideMark/>
          </w:tcPr>
          <w:p w14:paraId="194873D0" w14:textId="77777777" w:rsidR="00CA15E3" w:rsidRPr="00CA15E3" w:rsidRDefault="00CA15E3" w:rsidP="00CA15E3">
            <w:pPr>
              <w:widowControl/>
              <w:autoSpaceDE/>
              <w:autoSpaceDN/>
              <w:jc w:val="right"/>
              <w:rPr>
                <w:color w:val="000000"/>
                <w:sz w:val="18"/>
                <w:szCs w:val="18"/>
              </w:rPr>
            </w:pPr>
            <w:r>
              <w:rPr>
                <w:color w:val="000000"/>
                <w:sz w:val="18"/>
                <w:szCs w:val="18"/>
              </w:rPr>
              <w:t>0.603</w:t>
            </w:r>
          </w:p>
        </w:tc>
        <w:tc>
          <w:tcPr>
            <w:tcW w:w="853" w:type="dxa"/>
            <w:vAlign w:val="center"/>
            <w:hideMark/>
          </w:tcPr>
          <w:p w14:paraId="0B8FBA6C" w14:textId="77777777" w:rsidR="00CA15E3" w:rsidRPr="00CA15E3" w:rsidRDefault="00CA15E3" w:rsidP="00CA15E3">
            <w:pPr>
              <w:widowControl/>
              <w:autoSpaceDE/>
              <w:autoSpaceDN/>
              <w:jc w:val="right"/>
              <w:rPr>
                <w:color w:val="000000"/>
                <w:sz w:val="18"/>
                <w:szCs w:val="18"/>
              </w:rPr>
            </w:pPr>
            <w:r>
              <w:rPr>
                <w:color w:val="000000"/>
                <w:sz w:val="18"/>
                <w:szCs w:val="18"/>
              </w:rPr>
              <w:t>0.602</w:t>
            </w:r>
          </w:p>
        </w:tc>
        <w:tc>
          <w:tcPr>
            <w:tcW w:w="1017" w:type="dxa"/>
            <w:vAlign w:val="center"/>
            <w:hideMark/>
          </w:tcPr>
          <w:p w14:paraId="23EF7C21" w14:textId="77777777" w:rsidR="00CA15E3" w:rsidRPr="00CA15E3" w:rsidRDefault="00CA15E3" w:rsidP="00CA15E3">
            <w:pPr>
              <w:widowControl/>
              <w:autoSpaceDE/>
              <w:autoSpaceDN/>
              <w:jc w:val="right"/>
              <w:rPr>
                <w:color w:val="000000"/>
                <w:sz w:val="18"/>
                <w:szCs w:val="18"/>
              </w:rPr>
            </w:pPr>
            <w:r>
              <w:rPr>
                <w:color w:val="000000"/>
                <w:sz w:val="18"/>
                <w:szCs w:val="18"/>
              </w:rPr>
              <w:t>0.091</w:t>
            </w:r>
          </w:p>
        </w:tc>
        <w:tc>
          <w:tcPr>
            <w:tcW w:w="1316" w:type="dxa"/>
            <w:vAlign w:val="center"/>
            <w:hideMark/>
          </w:tcPr>
          <w:p w14:paraId="3579CEFD" w14:textId="77777777" w:rsidR="00CA15E3" w:rsidRPr="00CA15E3" w:rsidRDefault="00CA15E3" w:rsidP="00CA15E3">
            <w:pPr>
              <w:widowControl/>
              <w:autoSpaceDE/>
              <w:autoSpaceDN/>
              <w:jc w:val="right"/>
              <w:rPr>
                <w:color w:val="000000"/>
                <w:sz w:val="18"/>
                <w:szCs w:val="18"/>
              </w:rPr>
            </w:pPr>
            <w:r>
              <w:rPr>
                <w:color w:val="000000"/>
                <w:sz w:val="18"/>
                <w:szCs w:val="18"/>
              </w:rPr>
              <w:t>6.657</w:t>
            </w:r>
          </w:p>
        </w:tc>
        <w:tc>
          <w:tcPr>
            <w:tcW w:w="877" w:type="dxa"/>
            <w:vAlign w:val="center"/>
            <w:hideMark/>
          </w:tcPr>
          <w:p w14:paraId="1D0680F3" w14:textId="77777777" w:rsidR="00CA15E3" w:rsidRPr="00CA15E3" w:rsidRDefault="00CA15E3" w:rsidP="00CA15E3">
            <w:pPr>
              <w:widowControl/>
              <w:autoSpaceDE/>
              <w:autoSpaceDN/>
              <w:jc w:val="right"/>
              <w:rPr>
                <w:color w:val="000000"/>
                <w:sz w:val="18"/>
                <w:szCs w:val="18"/>
              </w:rPr>
            </w:pPr>
            <w:r>
              <w:rPr>
                <w:color w:val="000000"/>
                <w:sz w:val="18"/>
                <w:szCs w:val="18"/>
              </w:rPr>
              <w:t>0.000</w:t>
            </w:r>
          </w:p>
        </w:tc>
        <w:tc>
          <w:tcPr>
            <w:tcW w:w="773" w:type="dxa"/>
            <w:vAlign w:val="center"/>
            <w:hideMark/>
          </w:tcPr>
          <w:p w14:paraId="1D8DB73B" w14:textId="77777777" w:rsidR="00CA15E3" w:rsidRPr="00CA15E3" w:rsidRDefault="00CA15E3" w:rsidP="00CA15E3">
            <w:pPr>
              <w:widowControl/>
              <w:autoSpaceDE/>
              <w:autoSpaceDN/>
              <w:jc w:val="right"/>
              <w:rPr>
                <w:color w:val="000000"/>
                <w:sz w:val="18"/>
                <w:szCs w:val="18"/>
              </w:rPr>
            </w:pPr>
            <w:r>
              <w:rPr>
                <w:color w:val="000000"/>
                <w:sz w:val="18"/>
                <w:szCs w:val="18"/>
              </w:rPr>
              <w:t>0.419</w:t>
            </w:r>
          </w:p>
        </w:tc>
        <w:tc>
          <w:tcPr>
            <w:tcW w:w="868" w:type="dxa"/>
            <w:vAlign w:val="center"/>
            <w:hideMark/>
          </w:tcPr>
          <w:p w14:paraId="60BB1AD0" w14:textId="77777777" w:rsidR="00CA15E3" w:rsidRPr="00CA15E3" w:rsidRDefault="00CA15E3" w:rsidP="00CA15E3">
            <w:pPr>
              <w:widowControl/>
              <w:autoSpaceDE/>
              <w:autoSpaceDN/>
              <w:jc w:val="right"/>
              <w:rPr>
                <w:color w:val="000000"/>
                <w:sz w:val="18"/>
                <w:szCs w:val="18"/>
              </w:rPr>
            </w:pPr>
            <w:r>
              <w:rPr>
                <w:color w:val="000000"/>
                <w:sz w:val="18"/>
                <w:szCs w:val="18"/>
              </w:rPr>
              <w:t>0.776</w:t>
            </w:r>
          </w:p>
        </w:tc>
        <w:tc>
          <w:tcPr>
            <w:tcW w:w="1250" w:type="dxa"/>
            <w:noWrap/>
            <w:vAlign w:val="bottom"/>
            <w:hideMark/>
          </w:tcPr>
          <w:p w14:paraId="0500893D" w14:textId="77777777" w:rsidR="00CA15E3" w:rsidRPr="00CA15E3" w:rsidRDefault="00CA15E3" w:rsidP="00CA15E3">
            <w:pPr>
              <w:widowControl/>
              <w:autoSpaceDE/>
              <w:autoSpaceDN/>
              <w:rPr>
                <w:color w:val="000000"/>
                <w:sz w:val="18"/>
                <w:szCs w:val="18"/>
              </w:rPr>
            </w:pPr>
            <w:r>
              <w:rPr>
                <w:color w:val="000000"/>
                <w:sz w:val="18"/>
                <w:szCs w:val="18"/>
              </w:rPr>
              <w:t>Supported</w:t>
            </w:r>
          </w:p>
        </w:tc>
      </w:tr>
      <w:tr w:rsidR="00CA15E3" w:rsidRPr="00CA15E3" w14:paraId="245EAA34" w14:textId="77777777" w:rsidTr="00CA15E3">
        <w:trPr>
          <w:trHeight w:val="300"/>
        </w:trPr>
        <w:tc>
          <w:tcPr>
            <w:tcW w:w="421" w:type="dxa"/>
            <w:noWrap/>
            <w:vAlign w:val="bottom"/>
            <w:hideMark/>
          </w:tcPr>
          <w:p w14:paraId="39A8C9B9" w14:textId="77777777" w:rsidR="00CA15E3" w:rsidRPr="00CA15E3" w:rsidRDefault="00CA15E3" w:rsidP="00CA15E3">
            <w:pPr>
              <w:widowControl/>
              <w:autoSpaceDE/>
              <w:autoSpaceDN/>
              <w:rPr>
                <w:color w:val="000000"/>
                <w:sz w:val="18"/>
                <w:szCs w:val="18"/>
              </w:rPr>
            </w:pPr>
            <w:r>
              <w:rPr>
                <w:color w:val="000000"/>
                <w:sz w:val="18"/>
                <w:szCs w:val="18"/>
              </w:rPr>
              <w:t>H6</w:t>
            </w:r>
          </w:p>
        </w:tc>
        <w:tc>
          <w:tcPr>
            <w:tcW w:w="1546" w:type="dxa"/>
            <w:vAlign w:val="center"/>
            <w:hideMark/>
          </w:tcPr>
          <w:p w14:paraId="1B4F98E0" w14:textId="77777777" w:rsidR="00CA15E3" w:rsidRPr="00CA15E3" w:rsidRDefault="00CA15E3" w:rsidP="00CA15E3">
            <w:pPr>
              <w:widowControl/>
              <w:autoSpaceDE/>
              <w:autoSpaceDN/>
              <w:rPr>
                <w:b/>
                <w:bCs/>
                <w:color w:val="000000"/>
                <w:sz w:val="18"/>
                <w:szCs w:val="18"/>
              </w:rPr>
            </w:pPr>
            <w:r>
              <w:rPr>
                <w:b/>
                <w:bCs/>
                <w:color w:val="000000"/>
                <w:sz w:val="18"/>
                <w:szCs w:val="18"/>
              </w:rPr>
              <w:t>PIN -&gt; CC</w:t>
            </w:r>
          </w:p>
        </w:tc>
        <w:tc>
          <w:tcPr>
            <w:tcW w:w="939" w:type="dxa"/>
            <w:vAlign w:val="center"/>
            <w:hideMark/>
          </w:tcPr>
          <w:p w14:paraId="57A88012" w14:textId="77777777" w:rsidR="00CA15E3" w:rsidRPr="00CA15E3" w:rsidRDefault="00CA15E3" w:rsidP="00CA15E3">
            <w:pPr>
              <w:widowControl/>
              <w:autoSpaceDE/>
              <w:autoSpaceDN/>
              <w:jc w:val="right"/>
              <w:rPr>
                <w:color w:val="000000"/>
                <w:sz w:val="18"/>
                <w:szCs w:val="18"/>
              </w:rPr>
            </w:pPr>
            <w:r>
              <w:rPr>
                <w:color w:val="000000"/>
                <w:sz w:val="18"/>
                <w:szCs w:val="18"/>
              </w:rPr>
              <w:t>0.564</w:t>
            </w:r>
          </w:p>
        </w:tc>
        <w:tc>
          <w:tcPr>
            <w:tcW w:w="853" w:type="dxa"/>
            <w:vAlign w:val="center"/>
            <w:hideMark/>
          </w:tcPr>
          <w:p w14:paraId="7646234E" w14:textId="77777777" w:rsidR="00CA15E3" w:rsidRPr="00CA15E3" w:rsidRDefault="00CA15E3" w:rsidP="00CA15E3">
            <w:pPr>
              <w:widowControl/>
              <w:autoSpaceDE/>
              <w:autoSpaceDN/>
              <w:jc w:val="right"/>
              <w:rPr>
                <w:color w:val="000000"/>
                <w:sz w:val="18"/>
                <w:szCs w:val="18"/>
              </w:rPr>
            </w:pPr>
            <w:r>
              <w:rPr>
                <w:color w:val="000000"/>
                <w:sz w:val="18"/>
                <w:szCs w:val="18"/>
              </w:rPr>
              <w:t>0.568</w:t>
            </w:r>
          </w:p>
        </w:tc>
        <w:tc>
          <w:tcPr>
            <w:tcW w:w="1017" w:type="dxa"/>
            <w:vAlign w:val="center"/>
            <w:hideMark/>
          </w:tcPr>
          <w:p w14:paraId="7BC54F55" w14:textId="77777777" w:rsidR="00CA15E3" w:rsidRPr="00CA15E3" w:rsidRDefault="00CA15E3" w:rsidP="00CA15E3">
            <w:pPr>
              <w:widowControl/>
              <w:autoSpaceDE/>
              <w:autoSpaceDN/>
              <w:jc w:val="right"/>
              <w:rPr>
                <w:color w:val="000000"/>
                <w:sz w:val="18"/>
                <w:szCs w:val="18"/>
              </w:rPr>
            </w:pPr>
            <w:r>
              <w:rPr>
                <w:color w:val="000000"/>
                <w:sz w:val="18"/>
                <w:szCs w:val="18"/>
              </w:rPr>
              <w:t>0.072</w:t>
            </w:r>
          </w:p>
        </w:tc>
        <w:tc>
          <w:tcPr>
            <w:tcW w:w="1316" w:type="dxa"/>
            <w:vAlign w:val="center"/>
            <w:hideMark/>
          </w:tcPr>
          <w:p w14:paraId="5B817493" w14:textId="77777777" w:rsidR="00CA15E3" w:rsidRPr="00CA15E3" w:rsidRDefault="00CA15E3" w:rsidP="00CA15E3">
            <w:pPr>
              <w:widowControl/>
              <w:autoSpaceDE/>
              <w:autoSpaceDN/>
              <w:jc w:val="right"/>
              <w:rPr>
                <w:color w:val="000000"/>
                <w:sz w:val="18"/>
                <w:szCs w:val="18"/>
              </w:rPr>
            </w:pPr>
            <w:r>
              <w:rPr>
                <w:color w:val="000000"/>
                <w:sz w:val="18"/>
                <w:szCs w:val="18"/>
              </w:rPr>
              <w:t>7.786</w:t>
            </w:r>
          </w:p>
        </w:tc>
        <w:tc>
          <w:tcPr>
            <w:tcW w:w="877" w:type="dxa"/>
            <w:vAlign w:val="center"/>
            <w:hideMark/>
          </w:tcPr>
          <w:p w14:paraId="10621F9F" w14:textId="77777777" w:rsidR="00CA15E3" w:rsidRPr="00CA15E3" w:rsidRDefault="00CA15E3" w:rsidP="00CA15E3">
            <w:pPr>
              <w:widowControl/>
              <w:autoSpaceDE/>
              <w:autoSpaceDN/>
              <w:jc w:val="right"/>
              <w:rPr>
                <w:color w:val="000000"/>
                <w:sz w:val="18"/>
                <w:szCs w:val="18"/>
              </w:rPr>
            </w:pPr>
            <w:r>
              <w:rPr>
                <w:color w:val="000000"/>
                <w:sz w:val="18"/>
                <w:szCs w:val="18"/>
              </w:rPr>
              <w:t>0.000</w:t>
            </w:r>
          </w:p>
        </w:tc>
        <w:tc>
          <w:tcPr>
            <w:tcW w:w="773" w:type="dxa"/>
            <w:vAlign w:val="center"/>
            <w:hideMark/>
          </w:tcPr>
          <w:p w14:paraId="1F63BFAD" w14:textId="77777777" w:rsidR="00CA15E3" w:rsidRPr="00CA15E3" w:rsidRDefault="00CA15E3" w:rsidP="00CA15E3">
            <w:pPr>
              <w:widowControl/>
              <w:autoSpaceDE/>
              <w:autoSpaceDN/>
              <w:jc w:val="right"/>
              <w:rPr>
                <w:color w:val="000000"/>
                <w:sz w:val="18"/>
                <w:szCs w:val="18"/>
              </w:rPr>
            </w:pPr>
            <w:r>
              <w:rPr>
                <w:color w:val="000000"/>
                <w:sz w:val="18"/>
                <w:szCs w:val="18"/>
              </w:rPr>
              <w:t>0.414</w:t>
            </w:r>
          </w:p>
        </w:tc>
        <w:tc>
          <w:tcPr>
            <w:tcW w:w="868" w:type="dxa"/>
            <w:vAlign w:val="center"/>
            <w:hideMark/>
          </w:tcPr>
          <w:p w14:paraId="50BD0A11" w14:textId="77777777" w:rsidR="00CA15E3" w:rsidRPr="00CA15E3" w:rsidRDefault="00CA15E3" w:rsidP="00CA15E3">
            <w:pPr>
              <w:widowControl/>
              <w:autoSpaceDE/>
              <w:autoSpaceDN/>
              <w:jc w:val="right"/>
              <w:rPr>
                <w:color w:val="000000"/>
                <w:sz w:val="18"/>
                <w:szCs w:val="18"/>
              </w:rPr>
            </w:pPr>
            <w:r>
              <w:rPr>
                <w:color w:val="000000"/>
                <w:sz w:val="18"/>
                <w:szCs w:val="18"/>
              </w:rPr>
              <w:t>0.697</w:t>
            </w:r>
          </w:p>
        </w:tc>
        <w:tc>
          <w:tcPr>
            <w:tcW w:w="1250" w:type="dxa"/>
            <w:noWrap/>
            <w:vAlign w:val="bottom"/>
            <w:hideMark/>
          </w:tcPr>
          <w:p w14:paraId="7F380D2E" w14:textId="77777777" w:rsidR="00CA15E3" w:rsidRPr="00CA15E3" w:rsidRDefault="00CA15E3" w:rsidP="00CA15E3">
            <w:pPr>
              <w:widowControl/>
              <w:autoSpaceDE/>
              <w:autoSpaceDN/>
              <w:rPr>
                <w:color w:val="000000"/>
                <w:sz w:val="18"/>
                <w:szCs w:val="18"/>
              </w:rPr>
            </w:pPr>
            <w:r>
              <w:rPr>
                <w:color w:val="000000"/>
                <w:sz w:val="18"/>
                <w:szCs w:val="18"/>
              </w:rPr>
              <w:t>Supported</w:t>
            </w:r>
          </w:p>
        </w:tc>
      </w:tr>
    </w:tbl>
    <w:p w14:paraId="5EB4568B" w14:textId="77777777" w:rsidR="00CA15E3" w:rsidRDefault="00CA15E3" w:rsidP="00882F07">
      <w:pPr>
        <w:rPr>
          <w:b/>
          <w:bCs/>
        </w:rPr>
      </w:pPr>
    </w:p>
    <w:p w14:paraId="4769018A" w14:textId="77777777" w:rsidR="004B394D" w:rsidRPr="004B394D" w:rsidRDefault="004B394D" w:rsidP="00882F07">
      <w:pPr>
        <w:rPr>
          <w:b/>
          <w:bCs/>
        </w:rPr>
      </w:pPr>
      <w:r>
        <w:rPr>
          <w:b/>
          <w:bCs/>
        </w:rPr>
        <w:t>Figure 2</w:t>
      </w:r>
    </w:p>
    <w:p w14:paraId="226CEC51" w14:textId="77777777" w:rsidR="00CA15E3" w:rsidRPr="004B394D" w:rsidRDefault="004B394D" w:rsidP="00882F07">
      <w:pPr>
        <w:rPr>
          <w:b/>
          <w:bCs/>
          <w:i/>
          <w:iCs/>
        </w:rPr>
      </w:pPr>
      <w:r>
        <w:rPr>
          <w:i/>
          <w:iCs/>
        </w:rPr>
        <w:t>Structural Model Assessment</w:t>
      </w:r>
    </w:p>
    <w:p w14:paraId="47B2A974" w14:textId="77777777" w:rsidR="00882F07" w:rsidRDefault="00C27F98" w:rsidP="00882F07">
      <w:r>
        <w:rPr>
          <w:noProof/>
        </w:rPr>
        <w:drawing>
          <wp:inline distT="0" distB="0" distL="0" distR="0" wp14:anchorId="19FF5ECC" wp14:editId="421E90C3">
            <wp:extent cx="5724525" cy="2590800"/>
            <wp:effectExtent l="0" t="0" r="9525" b="0"/>
            <wp:docPr id="5544718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2590800"/>
                    </a:xfrm>
                    <a:prstGeom prst="rect">
                      <a:avLst/>
                    </a:prstGeom>
                    <a:noFill/>
                    <a:ln>
                      <a:noFill/>
                    </a:ln>
                  </pic:spPr>
                </pic:pic>
              </a:graphicData>
            </a:graphic>
          </wp:inline>
        </w:drawing>
      </w:r>
    </w:p>
    <w:p w14:paraId="2C1BB2AA" w14:textId="77777777" w:rsidR="00C27F98" w:rsidRDefault="00C27F98" w:rsidP="002D6281">
      <w:pPr>
        <w:jc w:val="center"/>
      </w:pPr>
    </w:p>
    <w:p w14:paraId="3DA1F056" w14:textId="77777777" w:rsidR="004B394D" w:rsidRDefault="002D6281" w:rsidP="004B394D">
      <w:pPr>
        <w:spacing w:after="120" w:line="480" w:lineRule="auto"/>
        <w:ind w:firstLine="720"/>
        <w:contextualSpacing/>
        <w:jc w:val="both"/>
      </w:pPr>
      <w:r>
        <w:t xml:space="preserve">Tables 5, 6, and 7 present the results of the structural model evaluation, including explanatory power (R²), predictive relevance (Q²), effect sizes (f²), and out-of-sample predictive performance using PLS-Predict </w:t>
      </w:r>
      <w:sdt>
        <w:sdtPr>
          <w:rPr>
            <w:color w:val="000000"/>
          </w:rPr>
          <w:tag w:val="MENDELEY_CITATION_v3_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"/>
          <w:id w:val="-13849943"/>
          <w:placeholder>
            <w:docPart w:val="DefaultPlaceholder_-1854013440"/>
          </w:placeholder>
        </w:sdtPr>
        <w:sdtContent>
          <w:r>
            <w:rPr>
              <w:color w:val="000000"/>
            </w:rPr>
            <w:t>(Shmueli et al., 2019)</w:t>
          </w:r>
        </w:sdtContent>
      </w:sdt>
      <w:r>
        <w:t xml:space="preserve">. Collectively, these results provide robust evidence of the model’s explanatory and predictive capabilities. As shown in Table 5, the coefficient of determination (R²) indicates that the model demonstrates moderate to substantial explanatory power across all endogenous constructs. Specifically, Professional Agency (PA) exhibits the highest explanatory power (R² = 0.612), followed by Professional Identity (PI) (R² = 0.567), Pedagogical Innovation (PIN) (R² = 0.457), and Communicative Competence (CC) (R² = 0.318). These values suggest that the model explains a considerable proportion of variance, particularly for PA and PI, which are central mediating constructs. Furthermore, predictive relevance (Q²) values, calculated using the blindfolding procedure, are all greater than zero (CC = 0.189, PA = 0.432, PI = 0.390, PIN = 0.280), confirming that the model has satisfactory predictive relevance for all endogenous constructs </w:t>
      </w:r>
      <w:sdt>
        <w:sdtPr>
          <w:rPr>
            <w:color w:val="000000"/>
          </w:rPr>
          <w:tag w:val="MENDELEY_CITATION_v3_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"/>
          <w:id w:val="375430633"/>
          <w:placeholder>
            <w:docPart w:val="DefaultPlaceholder_-1854013440"/>
          </w:placeholder>
        </w:sdtPr>
        <w:sdtContent>
          <w:r>
            <w:rPr>
              <w:color w:val="000000"/>
            </w:rPr>
            <w:t>(Giovanis et al., 2021; Kock, 2015)</w:t>
          </w:r>
        </w:sdtContent>
      </w:sdt>
      <w:r>
        <w:t>.</w:t>
      </w:r>
    </w:p>
    <w:p w14:paraId="088DDF26" w14:textId="77777777" w:rsidR="004B394D" w:rsidRPr="004B394D" w:rsidRDefault="002D6281" w:rsidP="00882F07">
      <w:pPr>
        <w:rPr>
          <w:b/>
          <w:bCs/>
        </w:rPr>
      </w:pPr>
      <w:r>
        <w:rPr>
          <w:b/>
          <w:bCs/>
        </w:rPr>
        <w:t xml:space="preserve">Table 5 </w:t>
      </w:r>
    </w:p>
    <w:p w14:paraId="45B6685B" w14:textId="77777777" w:rsidR="00C27F98" w:rsidRPr="004B394D" w:rsidRDefault="002D6281" w:rsidP="00882F07">
      <w:pPr>
        <w:rPr>
          <w:i/>
          <w:iCs/>
        </w:rPr>
      </w:pPr>
      <w:r>
        <w:rPr>
          <w:i/>
          <w:iCs/>
          <w:sz w:val="22"/>
        </w:rPr>
        <w:t>R-square and Q² (=1-SSE/SSO)</w:t>
      </w:r>
    </w:p>
    <w:tbl>
      <w:tblPr>
        <w:tblW w:w="6720" w:type="dxa"/>
        <w:tblLook w:val="04A0" w:firstRow="1" w:lastRow="0" w:firstColumn="1" w:lastColumn="0" w:noHBand="0" w:noVBand="1"/>
      </w:tblPr>
      <w:tblGrid>
        <w:gridCol w:w="881"/>
        <w:gridCol w:w="936"/>
        <w:gridCol w:w="1023"/>
        <w:gridCol w:w="880"/>
        <w:gridCol w:w="888"/>
        <w:gridCol w:w="954"/>
        <w:gridCol w:w="1158"/>
      </w:tblGrid>
      <w:tr w:rsidR="00CA15E3" w:rsidRPr="00CA15E3" w14:paraId="320645C9" w14:textId="77777777" w:rsidTr="00CA15E3">
        <w:trPr>
          <w:trHeight w:val="615"/>
        </w:trPr>
        <w:tc>
          <w:tcPr>
            <w:tcW w:w="960" w:type="dxa"/>
            <w:tcBorders>
              <w:top w:val="single" w:sz="8" w:space="0" w:color="000000"/>
              <w:left w:val="single" w:sz="8" w:space="0" w:color="000000"/>
              <w:bottom w:val="single" w:sz="8" w:space="0" w:color="000000"/>
              <w:right w:val="single" w:sz="8" w:space="0" w:color="000000"/>
            </w:tcBorders>
            <w:vAlign w:val="center"/>
            <w:hideMark/>
          </w:tcPr>
          <w:p w14:paraId="01CE43B4" w14:textId="77777777" w:rsidR="00CA15E3" w:rsidRPr="00CA15E3" w:rsidRDefault="00CA15E3" w:rsidP="00CA15E3">
            <w:pPr>
              <w:widowControl/>
              <w:autoSpaceDE/>
              <w:autoSpaceDN/>
              <w:rPr>
                <w:b/>
                <w:bCs/>
                <w:sz w:val="22"/>
              </w:rPr>
            </w:pPr>
            <w:r>
              <w:rPr>
                <w:b/>
                <w:bCs/>
                <w:sz w:val="22"/>
              </w:rPr>
              <w:t> </w:t>
            </w:r>
          </w:p>
        </w:tc>
        <w:tc>
          <w:tcPr>
            <w:tcW w:w="960" w:type="dxa"/>
            <w:tcBorders>
              <w:top w:val="single" w:sz="8" w:space="0" w:color="000000"/>
              <w:left w:val="nil"/>
              <w:bottom w:val="single" w:sz="8" w:space="0" w:color="000000"/>
              <w:right w:val="single" w:sz="8" w:space="0" w:color="000000"/>
            </w:tcBorders>
            <w:vAlign w:val="center"/>
            <w:hideMark/>
          </w:tcPr>
          <w:p w14:paraId="6107FF4B" w14:textId="77777777" w:rsidR="00CA15E3" w:rsidRPr="00CA15E3" w:rsidRDefault="00CA15E3" w:rsidP="00CA15E3">
            <w:pPr>
              <w:widowControl/>
              <w:autoSpaceDE/>
              <w:autoSpaceDN/>
              <w:jc w:val="right"/>
              <w:rPr>
                <w:b/>
                <w:bCs/>
                <w:sz w:val="22"/>
              </w:rPr>
            </w:pPr>
            <w:r>
              <w:rPr>
                <w:b/>
                <w:bCs/>
                <w:sz w:val="22"/>
              </w:rPr>
              <w:t>R-square</w:t>
            </w:r>
          </w:p>
        </w:tc>
        <w:tc>
          <w:tcPr>
            <w:tcW w:w="960" w:type="dxa"/>
            <w:tcBorders>
              <w:top w:val="single" w:sz="8" w:space="0" w:color="000000"/>
              <w:left w:val="nil"/>
              <w:bottom w:val="single" w:sz="8" w:space="0" w:color="000000"/>
              <w:right w:val="single" w:sz="8" w:space="0" w:color="000000"/>
            </w:tcBorders>
            <w:vAlign w:val="center"/>
            <w:hideMark/>
          </w:tcPr>
          <w:p w14:paraId="0AD9D537" w14:textId="77777777" w:rsidR="00CA15E3" w:rsidRPr="00CA15E3" w:rsidRDefault="00CA15E3" w:rsidP="00CA15E3">
            <w:pPr>
              <w:widowControl/>
              <w:autoSpaceDE/>
              <w:autoSpaceDN/>
              <w:jc w:val="right"/>
              <w:rPr>
                <w:b/>
                <w:bCs/>
                <w:sz w:val="22"/>
              </w:rPr>
            </w:pPr>
            <w:r>
              <w:rPr>
                <w:b/>
                <w:bCs/>
                <w:sz w:val="22"/>
              </w:rPr>
              <w:t>R-square adjusted</w:t>
            </w:r>
          </w:p>
        </w:tc>
        <w:tc>
          <w:tcPr>
            <w:tcW w:w="960" w:type="dxa"/>
            <w:tcBorders>
              <w:top w:val="single" w:sz="8" w:space="0" w:color="000000"/>
              <w:left w:val="nil"/>
              <w:bottom w:val="single" w:sz="8" w:space="0" w:color="000000"/>
              <w:right w:val="single" w:sz="8" w:space="0" w:color="000000"/>
            </w:tcBorders>
            <w:vAlign w:val="center"/>
            <w:hideMark/>
          </w:tcPr>
          <w:p w14:paraId="61D557D9" w14:textId="77777777" w:rsidR="00CA15E3" w:rsidRPr="00CA15E3" w:rsidRDefault="00CA15E3" w:rsidP="00CA15E3">
            <w:pPr>
              <w:widowControl/>
              <w:autoSpaceDE/>
              <w:autoSpaceDN/>
              <w:rPr>
                <w:b/>
                <w:bCs/>
                <w:sz w:val="22"/>
              </w:rPr>
            </w:pPr>
            <w:r>
              <w:rPr>
                <w:b/>
                <w:bCs/>
                <w:sz w:val="22"/>
              </w:rPr>
              <w:t> </w:t>
            </w:r>
          </w:p>
        </w:tc>
        <w:tc>
          <w:tcPr>
            <w:tcW w:w="960" w:type="dxa"/>
            <w:tcBorders>
              <w:top w:val="single" w:sz="8" w:space="0" w:color="000000"/>
              <w:left w:val="nil"/>
              <w:bottom w:val="single" w:sz="8" w:space="0" w:color="000000"/>
              <w:right w:val="single" w:sz="8" w:space="0" w:color="000000"/>
            </w:tcBorders>
            <w:vAlign w:val="center"/>
            <w:hideMark/>
          </w:tcPr>
          <w:p w14:paraId="50981ADD" w14:textId="77777777" w:rsidR="00CA15E3" w:rsidRPr="00CA15E3" w:rsidRDefault="00CA15E3" w:rsidP="00CA15E3">
            <w:pPr>
              <w:widowControl/>
              <w:autoSpaceDE/>
              <w:autoSpaceDN/>
              <w:jc w:val="right"/>
              <w:rPr>
                <w:b/>
                <w:bCs/>
                <w:sz w:val="22"/>
              </w:rPr>
            </w:pPr>
            <w:r>
              <w:rPr>
                <w:b/>
                <w:bCs/>
                <w:sz w:val="22"/>
              </w:rPr>
              <w:t>SSO</w:t>
            </w:r>
          </w:p>
        </w:tc>
        <w:tc>
          <w:tcPr>
            <w:tcW w:w="960" w:type="dxa"/>
            <w:tcBorders>
              <w:top w:val="single" w:sz="8" w:space="0" w:color="000000"/>
              <w:left w:val="nil"/>
              <w:bottom w:val="single" w:sz="8" w:space="0" w:color="000000"/>
              <w:right w:val="single" w:sz="8" w:space="0" w:color="000000"/>
            </w:tcBorders>
            <w:vAlign w:val="center"/>
            <w:hideMark/>
          </w:tcPr>
          <w:p w14:paraId="764B73DD" w14:textId="77777777" w:rsidR="00CA15E3" w:rsidRPr="00CA15E3" w:rsidRDefault="00CA15E3" w:rsidP="00CA15E3">
            <w:pPr>
              <w:widowControl/>
              <w:autoSpaceDE/>
              <w:autoSpaceDN/>
              <w:jc w:val="right"/>
              <w:rPr>
                <w:b/>
                <w:bCs/>
                <w:sz w:val="22"/>
              </w:rPr>
            </w:pPr>
            <w:r>
              <w:rPr>
                <w:b/>
                <w:bCs/>
                <w:sz w:val="22"/>
              </w:rPr>
              <w:t>SSE</w:t>
            </w:r>
          </w:p>
        </w:tc>
        <w:tc>
          <w:tcPr>
            <w:tcW w:w="960" w:type="dxa"/>
            <w:tcBorders>
              <w:top w:val="single" w:sz="8" w:space="0" w:color="000000"/>
              <w:left w:val="nil"/>
              <w:bottom w:val="single" w:sz="8" w:space="0" w:color="000000"/>
              <w:right w:val="single" w:sz="8" w:space="0" w:color="000000"/>
            </w:tcBorders>
            <w:vAlign w:val="center"/>
            <w:hideMark/>
          </w:tcPr>
          <w:p w14:paraId="47A8CE7C" w14:textId="77777777" w:rsidR="00CA15E3" w:rsidRPr="00CA15E3" w:rsidRDefault="00CA15E3" w:rsidP="00CA15E3">
            <w:pPr>
              <w:widowControl/>
              <w:autoSpaceDE/>
              <w:autoSpaceDN/>
              <w:jc w:val="right"/>
              <w:rPr>
                <w:b/>
                <w:bCs/>
                <w:sz w:val="22"/>
              </w:rPr>
            </w:pPr>
            <w:r>
              <w:rPr>
                <w:b/>
                <w:bCs/>
                <w:sz w:val="22"/>
              </w:rPr>
              <w:t>Q² (=1-SSE/SSO)</w:t>
            </w:r>
          </w:p>
        </w:tc>
      </w:tr>
      <w:tr w:rsidR="00CA15E3" w:rsidRPr="00CA15E3" w14:paraId="426164C3" w14:textId="77777777" w:rsidTr="00CA15E3">
        <w:trPr>
          <w:trHeight w:val="315"/>
        </w:trPr>
        <w:tc>
          <w:tcPr>
            <w:tcW w:w="960" w:type="dxa"/>
            <w:tcBorders>
              <w:top w:val="nil"/>
              <w:left w:val="single" w:sz="8" w:space="0" w:color="000000"/>
              <w:bottom w:val="single" w:sz="8" w:space="0" w:color="000000"/>
              <w:right w:val="single" w:sz="8" w:space="0" w:color="000000"/>
            </w:tcBorders>
            <w:vAlign w:val="center"/>
            <w:hideMark/>
          </w:tcPr>
          <w:p w14:paraId="35B00896" w14:textId="77777777" w:rsidR="00CA15E3" w:rsidRPr="00CA15E3" w:rsidRDefault="00CA15E3" w:rsidP="00CA15E3">
            <w:pPr>
              <w:widowControl/>
              <w:autoSpaceDE/>
              <w:autoSpaceDN/>
              <w:rPr>
                <w:b/>
                <w:bCs/>
                <w:sz w:val="22"/>
              </w:rPr>
            </w:pPr>
            <w:r>
              <w:rPr>
                <w:b/>
                <w:bCs/>
                <w:sz w:val="22"/>
              </w:rPr>
              <w:t>CC</w:t>
            </w:r>
          </w:p>
        </w:tc>
        <w:tc>
          <w:tcPr>
            <w:tcW w:w="960" w:type="dxa"/>
            <w:tcBorders>
              <w:top w:val="nil"/>
              <w:left w:val="nil"/>
              <w:bottom w:val="single" w:sz="8" w:space="0" w:color="000000"/>
              <w:right w:val="single" w:sz="8" w:space="0" w:color="000000"/>
            </w:tcBorders>
            <w:vAlign w:val="center"/>
            <w:hideMark/>
          </w:tcPr>
          <w:p w14:paraId="3D4630CB" w14:textId="77777777" w:rsidR="00CA15E3" w:rsidRPr="00CA15E3" w:rsidRDefault="00CA15E3" w:rsidP="00CA15E3">
            <w:pPr>
              <w:widowControl/>
              <w:autoSpaceDE/>
              <w:autoSpaceDN/>
              <w:jc w:val="right"/>
              <w:rPr>
                <w:sz w:val="22"/>
              </w:rPr>
            </w:pPr>
            <w:r>
              <w:rPr>
                <w:sz w:val="22"/>
              </w:rPr>
              <w:t>0.318</w:t>
            </w:r>
          </w:p>
        </w:tc>
        <w:tc>
          <w:tcPr>
            <w:tcW w:w="960" w:type="dxa"/>
            <w:tcBorders>
              <w:top w:val="nil"/>
              <w:left w:val="nil"/>
              <w:bottom w:val="single" w:sz="8" w:space="0" w:color="000000"/>
              <w:right w:val="single" w:sz="8" w:space="0" w:color="000000"/>
            </w:tcBorders>
            <w:vAlign w:val="center"/>
            <w:hideMark/>
          </w:tcPr>
          <w:p w14:paraId="48CAAE77" w14:textId="77777777" w:rsidR="00CA15E3" w:rsidRPr="00CA15E3" w:rsidRDefault="00CA15E3" w:rsidP="00CA15E3">
            <w:pPr>
              <w:widowControl/>
              <w:autoSpaceDE/>
              <w:autoSpaceDN/>
              <w:jc w:val="right"/>
              <w:rPr>
                <w:sz w:val="22"/>
              </w:rPr>
            </w:pPr>
            <w:r>
              <w:rPr>
                <w:sz w:val="22"/>
              </w:rPr>
              <w:t>0.312</w:t>
            </w:r>
          </w:p>
        </w:tc>
        <w:tc>
          <w:tcPr>
            <w:tcW w:w="960" w:type="dxa"/>
            <w:tcBorders>
              <w:top w:val="nil"/>
              <w:left w:val="nil"/>
              <w:bottom w:val="single" w:sz="8" w:space="0" w:color="000000"/>
              <w:right w:val="single" w:sz="8" w:space="0" w:color="000000"/>
            </w:tcBorders>
            <w:vAlign w:val="center"/>
            <w:hideMark/>
          </w:tcPr>
          <w:p w14:paraId="2293F974" w14:textId="77777777" w:rsidR="00CA15E3" w:rsidRPr="00CA15E3" w:rsidRDefault="00CA15E3" w:rsidP="00CA15E3">
            <w:pPr>
              <w:widowControl/>
              <w:autoSpaceDE/>
              <w:autoSpaceDN/>
              <w:rPr>
                <w:b/>
                <w:bCs/>
                <w:sz w:val="22"/>
              </w:rPr>
            </w:pPr>
            <w:r>
              <w:rPr>
                <w:b/>
                <w:bCs/>
                <w:sz w:val="22"/>
              </w:rPr>
              <w:t>CC</w:t>
            </w:r>
          </w:p>
        </w:tc>
        <w:tc>
          <w:tcPr>
            <w:tcW w:w="960" w:type="dxa"/>
            <w:tcBorders>
              <w:top w:val="nil"/>
              <w:left w:val="nil"/>
              <w:bottom w:val="single" w:sz="8" w:space="0" w:color="000000"/>
              <w:right w:val="single" w:sz="8" w:space="0" w:color="000000"/>
            </w:tcBorders>
            <w:vAlign w:val="center"/>
            <w:hideMark/>
          </w:tcPr>
          <w:p w14:paraId="21D59209" w14:textId="77777777" w:rsidR="00CA15E3" w:rsidRPr="00CA15E3" w:rsidRDefault="00CA15E3" w:rsidP="00CA15E3">
            <w:pPr>
              <w:widowControl/>
              <w:autoSpaceDE/>
              <w:autoSpaceDN/>
              <w:jc w:val="right"/>
              <w:rPr>
                <w:sz w:val="22"/>
              </w:rPr>
            </w:pPr>
            <w:r>
              <w:rPr>
                <w:sz w:val="22"/>
              </w:rPr>
              <w:t>456</w:t>
            </w:r>
          </w:p>
        </w:tc>
        <w:tc>
          <w:tcPr>
            <w:tcW w:w="960" w:type="dxa"/>
            <w:tcBorders>
              <w:top w:val="nil"/>
              <w:left w:val="nil"/>
              <w:bottom w:val="single" w:sz="8" w:space="0" w:color="000000"/>
              <w:right w:val="single" w:sz="8" w:space="0" w:color="000000"/>
            </w:tcBorders>
            <w:vAlign w:val="center"/>
            <w:hideMark/>
          </w:tcPr>
          <w:p w14:paraId="19503445" w14:textId="77777777" w:rsidR="00CA15E3" w:rsidRPr="00CA15E3" w:rsidRDefault="00CA15E3" w:rsidP="00CA15E3">
            <w:pPr>
              <w:widowControl/>
              <w:autoSpaceDE/>
              <w:autoSpaceDN/>
              <w:jc w:val="right"/>
              <w:rPr>
                <w:sz w:val="22"/>
              </w:rPr>
            </w:pPr>
            <w:r>
              <w:rPr>
                <w:sz w:val="22"/>
              </w:rPr>
              <w:t>369.903</w:t>
            </w:r>
          </w:p>
        </w:tc>
        <w:tc>
          <w:tcPr>
            <w:tcW w:w="960" w:type="dxa"/>
            <w:tcBorders>
              <w:top w:val="nil"/>
              <w:left w:val="nil"/>
              <w:bottom w:val="single" w:sz="8" w:space="0" w:color="000000"/>
              <w:right w:val="single" w:sz="8" w:space="0" w:color="000000"/>
            </w:tcBorders>
            <w:vAlign w:val="center"/>
            <w:hideMark/>
          </w:tcPr>
          <w:p w14:paraId="34F1FC1B" w14:textId="77777777" w:rsidR="00CA15E3" w:rsidRPr="00CA15E3" w:rsidRDefault="00CA15E3" w:rsidP="00CA15E3">
            <w:pPr>
              <w:widowControl/>
              <w:autoSpaceDE/>
              <w:autoSpaceDN/>
              <w:jc w:val="right"/>
              <w:rPr>
                <w:sz w:val="22"/>
              </w:rPr>
            </w:pPr>
            <w:r>
              <w:rPr>
                <w:sz w:val="22"/>
              </w:rPr>
              <w:t>0.189</w:t>
            </w:r>
          </w:p>
        </w:tc>
      </w:tr>
      <w:tr w:rsidR="00CA15E3" w:rsidRPr="00CA15E3" w14:paraId="26CF38E0" w14:textId="77777777" w:rsidTr="00CA15E3">
        <w:trPr>
          <w:trHeight w:val="315"/>
        </w:trPr>
        <w:tc>
          <w:tcPr>
            <w:tcW w:w="960" w:type="dxa"/>
            <w:tcBorders>
              <w:top w:val="nil"/>
              <w:left w:val="single" w:sz="8" w:space="0" w:color="000000"/>
              <w:bottom w:val="single" w:sz="8" w:space="0" w:color="000000"/>
              <w:right w:val="single" w:sz="8" w:space="0" w:color="000000"/>
            </w:tcBorders>
            <w:vAlign w:val="center"/>
            <w:hideMark/>
          </w:tcPr>
          <w:p w14:paraId="2D635539" w14:textId="77777777" w:rsidR="00CA15E3" w:rsidRPr="00CA15E3" w:rsidRDefault="00CA15E3" w:rsidP="00CA15E3">
            <w:pPr>
              <w:widowControl/>
              <w:autoSpaceDE/>
              <w:autoSpaceDN/>
              <w:rPr>
                <w:b/>
                <w:bCs/>
                <w:sz w:val="22"/>
              </w:rPr>
            </w:pPr>
            <w:r>
              <w:rPr>
                <w:b/>
                <w:bCs/>
                <w:sz w:val="22"/>
              </w:rPr>
              <w:t>PA</w:t>
            </w:r>
          </w:p>
        </w:tc>
        <w:tc>
          <w:tcPr>
            <w:tcW w:w="960" w:type="dxa"/>
            <w:tcBorders>
              <w:top w:val="nil"/>
              <w:left w:val="nil"/>
              <w:bottom w:val="single" w:sz="8" w:space="0" w:color="000000"/>
              <w:right w:val="single" w:sz="8" w:space="0" w:color="000000"/>
            </w:tcBorders>
            <w:vAlign w:val="center"/>
            <w:hideMark/>
          </w:tcPr>
          <w:p w14:paraId="56C93104" w14:textId="77777777" w:rsidR="00CA15E3" w:rsidRPr="00CA15E3" w:rsidRDefault="00CA15E3" w:rsidP="00CA15E3">
            <w:pPr>
              <w:widowControl/>
              <w:autoSpaceDE/>
              <w:autoSpaceDN/>
              <w:jc w:val="right"/>
              <w:rPr>
                <w:sz w:val="22"/>
              </w:rPr>
            </w:pPr>
            <w:r>
              <w:rPr>
                <w:sz w:val="22"/>
              </w:rPr>
              <w:t>0.612</w:t>
            </w:r>
          </w:p>
        </w:tc>
        <w:tc>
          <w:tcPr>
            <w:tcW w:w="960" w:type="dxa"/>
            <w:tcBorders>
              <w:top w:val="nil"/>
              <w:left w:val="nil"/>
              <w:bottom w:val="single" w:sz="8" w:space="0" w:color="000000"/>
              <w:right w:val="single" w:sz="8" w:space="0" w:color="000000"/>
            </w:tcBorders>
            <w:vAlign w:val="center"/>
            <w:hideMark/>
          </w:tcPr>
          <w:p w14:paraId="7F6A40F7" w14:textId="77777777" w:rsidR="00CA15E3" w:rsidRPr="00CA15E3" w:rsidRDefault="00CA15E3" w:rsidP="00CA15E3">
            <w:pPr>
              <w:widowControl/>
              <w:autoSpaceDE/>
              <w:autoSpaceDN/>
              <w:jc w:val="right"/>
              <w:rPr>
                <w:sz w:val="22"/>
              </w:rPr>
            </w:pPr>
            <w:r>
              <w:rPr>
                <w:sz w:val="22"/>
              </w:rPr>
              <w:t>0.605</w:t>
            </w:r>
          </w:p>
        </w:tc>
        <w:tc>
          <w:tcPr>
            <w:tcW w:w="960" w:type="dxa"/>
            <w:tcBorders>
              <w:top w:val="nil"/>
              <w:left w:val="nil"/>
              <w:bottom w:val="single" w:sz="8" w:space="0" w:color="000000"/>
              <w:right w:val="single" w:sz="8" w:space="0" w:color="000000"/>
            </w:tcBorders>
            <w:vAlign w:val="center"/>
            <w:hideMark/>
          </w:tcPr>
          <w:p w14:paraId="2A4B2DC1" w14:textId="77777777" w:rsidR="00CA15E3" w:rsidRPr="00CA15E3" w:rsidRDefault="00CA15E3" w:rsidP="00CA15E3">
            <w:pPr>
              <w:widowControl/>
              <w:autoSpaceDE/>
              <w:autoSpaceDN/>
              <w:rPr>
                <w:b/>
                <w:bCs/>
                <w:sz w:val="22"/>
              </w:rPr>
            </w:pPr>
            <w:r>
              <w:rPr>
                <w:b/>
                <w:bCs/>
                <w:sz w:val="22"/>
              </w:rPr>
              <w:t>PA</w:t>
            </w:r>
          </w:p>
        </w:tc>
        <w:tc>
          <w:tcPr>
            <w:tcW w:w="960" w:type="dxa"/>
            <w:tcBorders>
              <w:top w:val="nil"/>
              <w:left w:val="nil"/>
              <w:bottom w:val="single" w:sz="8" w:space="0" w:color="000000"/>
              <w:right w:val="single" w:sz="8" w:space="0" w:color="000000"/>
            </w:tcBorders>
            <w:vAlign w:val="center"/>
            <w:hideMark/>
          </w:tcPr>
          <w:p w14:paraId="21271FDB" w14:textId="77777777" w:rsidR="00CA15E3" w:rsidRPr="00CA15E3" w:rsidRDefault="00CA15E3" w:rsidP="00CA15E3">
            <w:pPr>
              <w:widowControl/>
              <w:autoSpaceDE/>
              <w:autoSpaceDN/>
              <w:jc w:val="right"/>
              <w:rPr>
                <w:sz w:val="22"/>
              </w:rPr>
            </w:pPr>
            <w:r>
              <w:rPr>
                <w:sz w:val="22"/>
              </w:rPr>
              <w:t>456</w:t>
            </w:r>
          </w:p>
        </w:tc>
        <w:tc>
          <w:tcPr>
            <w:tcW w:w="960" w:type="dxa"/>
            <w:tcBorders>
              <w:top w:val="nil"/>
              <w:left w:val="nil"/>
              <w:bottom w:val="single" w:sz="8" w:space="0" w:color="000000"/>
              <w:right w:val="single" w:sz="8" w:space="0" w:color="000000"/>
            </w:tcBorders>
            <w:vAlign w:val="center"/>
            <w:hideMark/>
          </w:tcPr>
          <w:p w14:paraId="74FDC6C2" w14:textId="77777777" w:rsidR="00CA15E3" w:rsidRPr="00CA15E3" w:rsidRDefault="00CA15E3" w:rsidP="00CA15E3">
            <w:pPr>
              <w:widowControl/>
              <w:autoSpaceDE/>
              <w:autoSpaceDN/>
              <w:jc w:val="right"/>
              <w:rPr>
                <w:sz w:val="22"/>
              </w:rPr>
            </w:pPr>
            <w:r>
              <w:rPr>
                <w:sz w:val="22"/>
              </w:rPr>
              <w:t>259.171</w:t>
            </w:r>
          </w:p>
        </w:tc>
        <w:tc>
          <w:tcPr>
            <w:tcW w:w="960" w:type="dxa"/>
            <w:tcBorders>
              <w:top w:val="nil"/>
              <w:left w:val="nil"/>
              <w:bottom w:val="single" w:sz="8" w:space="0" w:color="000000"/>
              <w:right w:val="single" w:sz="8" w:space="0" w:color="000000"/>
            </w:tcBorders>
            <w:vAlign w:val="center"/>
            <w:hideMark/>
          </w:tcPr>
          <w:p w14:paraId="46BEF524" w14:textId="77777777" w:rsidR="00CA15E3" w:rsidRPr="00CA15E3" w:rsidRDefault="00CA15E3" w:rsidP="00CA15E3">
            <w:pPr>
              <w:widowControl/>
              <w:autoSpaceDE/>
              <w:autoSpaceDN/>
              <w:jc w:val="right"/>
              <w:rPr>
                <w:sz w:val="22"/>
              </w:rPr>
            </w:pPr>
            <w:r>
              <w:rPr>
                <w:sz w:val="22"/>
              </w:rPr>
              <w:t>0.432</w:t>
            </w:r>
          </w:p>
        </w:tc>
      </w:tr>
      <w:tr w:rsidR="00CA15E3" w:rsidRPr="00CA15E3" w14:paraId="3EEB8146" w14:textId="77777777" w:rsidTr="00CA15E3">
        <w:trPr>
          <w:trHeight w:val="315"/>
        </w:trPr>
        <w:tc>
          <w:tcPr>
            <w:tcW w:w="960" w:type="dxa"/>
            <w:tcBorders>
              <w:top w:val="nil"/>
              <w:left w:val="single" w:sz="8" w:space="0" w:color="000000"/>
              <w:bottom w:val="single" w:sz="8" w:space="0" w:color="000000"/>
              <w:right w:val="single" w:sz="8" w:space="0" w:color="000000"/>
            </w:tcBorders>
            <w:vAlign w:val="center"/>
            <w:hideMark/>
          </w:tcPr>
          <w:p w14:paraId="76C5B832" w14:textId="77777777" w:rsidR="00CA15E3" w:rsidRPr="00CA15E3" w:rsidRDefault="00CA15E3" w:rsidP="00CA15E3">
            <w:pPr>
              <w:widowControl/>
              <w:autoSpaceDE/>
              <w:autoSpaceDN/>
              <w:rPr>
                <w:b/>
                <w:bCs/>
                <w:sz w:val="22"/>
              </w:rPr>
            </w:pPr>
            <w:r>
              <w:rPr>
                <w:b/>
                <w:bCs/>
                <w:sz w:val="22"/>
              </w:rPr>
              <w:t>PI</w:t>
            </w:r>
          </w:p>
        </w:tc>
        <w:tc>
          <w:tcPr>
            <w:tcW w:w="960" w:type="dxa"/>
            <w:tcBorders>
              <w:top w:val="nil"/>
              <w:left w:val="nil"/>
              <w:bottom w:val="single" w:sz="8" w:space="0" w:color="000000"/>
              <w:right w:val="single" w:sz="8" w:space="0" w:color="000000"/>
            </w:tcBorders>
            <w:vAlign w:val="center"/>
            <w:hideMark/>
          </w:tcPr>
          <w:p w14:paraId="1A3859AA" w14:textId="77777777" w:rsidR="00CA15E3" w:rsidRPr="00CA15E3" w:rsidRDefault="00CA15E3" w:rsidP="00CA15E3">
            <w:pPr>
              <w:widowControl/>
              <w:autoSpaceDE/>
              <w:autoSpaceDN/>
              <w:jc w:val="right"/>
              <w:rPr>
                <w:sz w:val="22"/>
              </w:rPr>
            </w:pPr>
            <w:r>
              <w:rPr>
                <w:sz w:val="22"/>
              </w:rPr>
              <w:t>0.567</w:t>
            </w:r>
          </w:p>
        </w:tc>
        <w:tc>
          <w:tcPr>
            <w:tcW w:w="960" w:type="dxa"/>
            <w:tcBorders>
              <w:top w:val="nil"/>
              <w:left w:val="nil"/>
              <w:bottom w:val="single" w:sz="8" w:space="0" w:color="000000"/>
              <w:right w:val="single" w:sz="8" w:space="0" w:color="000000"/>
            </w:tcBorders>
            <w:vAlign w:val="center"/>
            <w:hideMark/>
          </w:tcPr>
          <w:p w14:paraId="7ED4A034" w14:textId="77777777" w:rsidR="00CA15E3" w:rsidRPr="00CA15E3" w:rsidRDefault="00CA15E3" w:rsidP="00CA15E3">
            <w:pPr>
              <w:widowControl/>
              <w:autoSpaceDE/>
              <w:autoSpaceDN/>
              <w:jc w:val="right"/>
              <w:rPr>
                <w:sz w:val="22"/>
              </w:rPr>
            </w:pPr>
            <w:r>
              <w:rPr>
                <w:sz w:val="22"/>
              </w:rPr>
              <w:t>0.563</w:t>
            </w:r>
          </w:p>
        </w:tc>
        <w:tc>
          <w:tcPr>
            <w:tcW w:w="960" w:type="dxa"/>
            <w:tcBorders>
              <w:top w:val="nil"/>
              <w:left w:val="nil"/>
              <w:bottom w:val="single" w:sz="8" w:space="0" w:color="000000"/>
              <w:right w:val="single" w:sz="8" w:space="0" w:color="000000"/>
            </w:tcBorders>
            <w:vAlign w:val="center"/>
            <w:hideMark/>
          </w:tcPr>
          <w:p w14:paraId="3E12D5BD" w14:textId="77777777" w:rsidR="00CA15E3" w:rsidRPr="00CA15E3" w:rsidRDefault="00CA15E3" w:rsidP="00CA15E3">
            <w:pPr>
              <w:widowControl/>
              <w:autoSpaceDE/>
              <w:autoSpaceDN/>
              <w:rPr>
                <w:b/>
                <w:bCs/>
                <w:sz w:val="22"/>
              </w:rPr>
            </w:pPr>
            <w:r>
              <w:rPr>
                <w:b/>
                <w:bCs/>
                <w:sz w:val="22"/>
              </w:rPr>
              <w:t>PI</w:t>
            </w:r>
          </w:p>
        </w:tc>
        <w:tc>
          <w:tcPr>
            <w:tcW w:w="960" w:type="dxa"/>
            <w:tcBorders>
              <w:top w:val="nil"/>
              <w:left w:val="nil"/>
              <w:bottom w:val="single" w:sz="8" w:space="0" w:color="000000"/>
              <w:right w:val="single" w:sz="8" w:space="0" w:color="000000"/>
            </w:tcBorders>
            <w:vAlign w:val="center"/>
            <w:hideMark/>
          </w:tcPr>
          <w:p w14:paraId="739E8E65" w14:textId="77777777" w:rsidR="00CA15E3" w:rsidRPr="00CA15E3" w:rsidRDefault="00CA15E3" w:rsidP="00CA15E3">
            <w:pPr>
              <w:widowControl/>
              <w:autoSpaceDE/>
              <w:autoSpaceDN/>
              <w:jc w:val="right"/>
              <w:rPr>
                <w:sz w:val="22"/>
              </w:rPr>
            </w:pPr>
            <w:r>
              <w:rPr>
                <w:sz w:val="22"/>
              </w:rPr>
              <w:t>456</w:t>
            </w:r>
          </w:p>
        </w:tc>
        <w:tc>
          <w:tcPr>
            <w:tcW w:w="960" w:type="dxa"/>
            <w:tcBorders>
              <w:top w:val="nil"/>
              <w:left w:val="nil"/>
              <w:bottom w:val="single" w:sz="8" w:space="0" w:color="000000"/>
              <w:right w:val="single" w:sz="8" w:space="0" w:color="000000"/>
            </w:tcBorders>
            <w:vAlign w:val="center"/>
            <w:hideMark/>
          </w:tcPr>
          <w:p w14:paraId="24C9B79F" w14:textId="77777777" w:rsidR="00CA15E3" w:rsidRPr="00CA15E3" w:rsidRDefault="00CA15E3" w:rsidP="00CA15E3">
            <w:pPr>
              <w:widowControl/>
              <w:autoSpaceDE/>
              <w:autoSpaceDN/>
              <w:jc w:val="right"/>
              <w:rPr>
                <w:sz w:val="22"/>
              </w:rPr>
            </w:pPr>
            <w:r>
              <w:rPr>
                <w:sz w:val="22"/>
              </w:rPr>
              <w:t>278.080</w:t>
            </w:r>
          </w:p>
        </w:tc>
        <w:tc>
          <w:tcPr>
            <w:tcW w:w="960" w:type="dxa"/>
            <w:tcBorders>
              <w:top w:val="nil"/>
              <w:left w:val="nil"/>
              <w:bottom w:val="single" w:sz="8" w:space="0" w:color="000000"/>
              <w:right w:val="single" w:sz="8" w:space="0" w:color="000000"/>
            </w:tcBorders>
            <w:vAlign w:val="center"/>
            <w:hideMark/>
          </w:tcPr>
          <w:p w14:paraId="69961D36" w14:textId="77777777" w:rsidR="00CA15E3" w:rsidRPr="00CA15E3" w:rsidRDefault="00CA15E3" w:rsidP="00CA15E3">
            <w:pPr>
              <w:widowControl/>
              <w:autoSpaceDE/>
              <w:autoSpaceDN/>
              <w:jc w:val="right"/>
              <w:rPr>
                <w:sz w:val="22"/>
              </w:rPr>
            </w:pPr>
            <w:r>
              <w:rPr>
                <w:sz w:val="22"/>
              </w:rPr>
              <w:t>0.390</w:t>
            </w:r>
          </w:p>
        </w:tc>
      </w:tr>
      <w:tr w:rsidR="00CA15E3" w:rsidRPr="00CA15E3" w14:paraId="1CC906FB" w14:textId="77777777" w:rsidTr="00CA15E3">
        <w:trPr>
          <w:trHeight w:val="315"/>
        </w:trPr>
        <w:tc>
          <w:tcPr>
            <w:tcW w:w="960" w:type="dxa"/>
            <w:tcBorders>
              <w:top w:val="nil"/>
              <w:left w:val="single" w:sz="8" w:space="0" w:color="000000"/>
              <w:bottom w:val="single" w:sz="8" w:space="0" w:color="000000"/>
              <w:right w:val="single" w:sz="8" w:space="0" w:color="000000"/>
            </w:tcBorders>
            <w:vAlign w:val="center"/>
            <w:hideMark/>
          </w:tcPr>
          <w:p w14:paraId="6BCB4068" w14:textId="77777777" w:rsidR="00CA15E3" w:rsidRPr="00CA15E3" w:rsidRDefault="00CA15E3" w:rsidP="00CA15E3">
            <w:pPr>
              <w:widowControl/>
              <w:autoSpaceDE/>
              <w:autoSpaceDN/>
              <w:rPr>
                <w:b/>
                <w:bCs/>
                <w:sz w:val="22"/>
              </w:rPr>
            </w:pPr>
            <w:r>
              <w:rPr>
                <w:b/>
                <w:bCs/>
                <w:sz w:val="22"/>
              </w:rPr>
              <w:t>PIN</w:t>
            </w:r>
          </w:p>
        </w:tc>
        <w:tc>
          <w:tcPr>
            <w:tcW w:w="960" w:type="dxa"/>
            <w:tcBorders>
              <w:top w:val="nil"/>
              <w:left w:val="nil"/>
              <w:bottom w:val="single" w:sz="8" w:space="0" w:color="000000"/>
              <w:right w:val="single" w:sz="8" w:space="0" w:color="000000"/>
            </w:tcBorders>
            <w:vAlign w:val="center"/>
            <w:hideMark/>
          </w:tcPr>
          <w:p w14:paraId="6F72B7C9" w14:textId="77777777" w:rsidR="00CA15E3" w:rsidRPr="00CA15E3" w:rsidRDefault="00CA15E3" w:rsidP="00CA15E3">
            <w:pPr>
              <w:widowControl/>
              <w:autoSpaceDE/>
              <w:autoSpaceDN/>
              <w:jc w:val="right"/>
              <w:rPr>
                <w:sz w:val="22"/>
              </w:rPr>
            </w:pPr>
            <w:r>
              <w:rPr>
                <w:sz w:val="22"/>
              </w:rPr>
              <w:t>0.457</w:t>
            </w:r>
          </w:p>
        </w:tc>
        <w:tc>
          <w:tcPr>
            <w:tcW w:w="960" w:type="dxa"/>
            <w:tcBorders>
              <w:top w:val="nil"/>
              <w:left w:val="nil"/>
              <w:bottom w:val="single" w:sz="8" w:space="0" w:color="000000"/>
              <w:right w:val="single" w:sz="8" w:space="0" w:color="000000"/>
            </w:tcBorders>
            <w:vAlign w:val="center"/>
            <w:hideMark/>
          </w:tcPr>
          <w:p w14:paraId="1F018A57" w14:textId="77777777" w:rsidR="00CA15E3" w:rsidRPr="00CA15E3" w:rsidRDefault="00CA15E3" w:rsidP="00CA15E3">
            <w:pPr>
              <w:widowControl/>
              <w:autoSpaceDE/>
              <w:autoSpaceDN/>
              <w:jc w:val="right"/>
              <w:rPr>
                <w:sz w:val="22"/>
              </w:rPr>
            </w:pPr>
            <w:r>
              <w:rPr>
                <w:sz w:val="22"/>
              </w:rPr>
              <w:t>0.447</w:t>
            </w:r>
          </w:p>
        </w:tc>
        <w:tc>
          <w:tcPr>
            <w:tcW w:w="960" w:type="dxa"/>
            <w:tcBorders>
              <w:top w:val="nil"/>
              <w:left w:val="nil"/>
              <w:bottom w:val="single" w:sz="8" w:space="0" w:color="000000"/>
              <w:right w:val="single" w:sz="8" w:space="0" w:color="000000"/>
            </w:tcBorders>
            <w:vAlign w:val="center"/>
            <w:hideMark/>
          </w:tcPr>
          <w:p w14:paraId="1924E9E0" w14:textId="77777777" w:rsidR="00CA15E3" w:rsidRPr="00CA15E3" w:rsidRDefault="00CA15E3" w:rsidP="00CA15E3">
            <w:pPr>
              <w:widowControl/>
              <w:autoSpaceDE/>
              <w:autoSpaceDN/>
              <w:rPr>
                <w:b/>
                <w:bCs/>
                <w:sz w:val="22"/>
              </w:rPr>
            </w:pPr>
            <w:r>
              <w:rPr>
                <w:b/>
                <w:bCs/>
                <w:sz w:val="22"/>
              </w:rPr>
              <w:t>PIN</w:t>
            </w:r>
          </w:p>
        </w:tc>
        <w:tc>
          <w:tcPr>
            <w:tcW w:w="960" w:type="dxa"/>
            <w:tcBorders>
              <w:top w:val="nil"/>
              <w:left w:val="nil"/>
              <w:bottom w:val="single" w:sz="8" w:space="0" w:color="000000"/>
              <w:right w:val="single" w:sz="8" w:space="0" w:color="000000"/>
            </w:tcBorders>
            <w:vAlign w:val="center"/>
            <w:hideMark/>
          </w:tcPr>
          <w:p w14:paraId="382CE7AE" w14:textId="77777777" w:rsidR="00CA15E3" w:rsidRPr="00CA15E3" w:rsidRDefault="00CA15E3" w:rsidP="00CA15E3">
            <w:pPr>
              <w:widowControl/>
              <w:autoSpaceDE/>
              <w:autoSpaceDN/>
              <w:jc w:val="right"/>
              <w:rPr>
                <w:sz w:val="22"/>
              </w:rPr>
            </w:pPr>
            <w:r>
              <w:rPr>
                <w:sz w:val="22"/>
              </w:rPr>
              <w:t>456</w:t>
            </w:r>
          </w:p>
        </w:tc>
        <w:tc>
          <w:tcPr>
            <w:tcW w:w="960" w:type="dxa"/>
            <w:tcBorders>
              <w:top w:val="nil"/>
              <w:left w:val="nil"/>
              <w:bottom w:val="single" w:sz="8" w:space="0" w:color="000000"/>
              <w:right w:val="single" w:sz="8" w:space="0" w:color="000000"/>
            </w:tcBorders>
            <w:vAlign w:val="center"/>
            <w:hideMark/>
          </w:tcPr>
          <w:p w14:paraId="2DC0C59E" w14:textId="77777777" w:rsidR="00CA15E3" w:rsidRPr="00CA15E3" w:rsidRDefault="00CA15E3" w:rsidP="00CA15E3">
            <w:pPr>
              <w:widowControl/>
              <w:autoSpaceDE/>
              <w:autoSpaceDN/>
              <w:jc w:val="right"/>
              <w:rPr>
                <w:sz w:val="22"/>
              </w:rPr>
            </w:pPr>
            <w:r>
              <w:rPr>
                <w:sz w:val="22"/>
              </w:rPr>
              <w:t>328.213</w:t>
            </w:r>
          </w:p>
        </w:tc>
        <w:tc>
          <w:tcPr>
            <w:tcW w:w="960" w:type="dxa"/>
            <w:tcBorders>
              <w:top w:val="nil"/>
              <w:left w:val="nil"/>
              <w:bottom w:val="single" w:sz="8" w:space="0" w:color="000000"/>
              <w:right w:val="single" w:sz="8" w:space="0" w:color="000000"/>
            </w:tcBorders>
            <w:vAlign w:val="center"/>
            <w:hideMark/>
          </w:tcPr>
          <w:p w14:paraId="576A1C35" w14:textId="77777777" w:rsidR="00CA15E3" w:rsidRPr="00CA15E3" w:rsidRDefault="00CA15E3" w:rsidP="00CA15E3">
            <w:pPr>
              <w:widowControl/>
              <w:autoSpaceDE/>
              <w:autoSpaceDN/>
              <w:jc w:val="right"/>
              <w:rPr>
                <w:sz w:val="22"/>
              </w:rPr>
            </w:pPr>
            <w:r>
              <w:rPr>
                <w:sz w:val="22"/>
              </w:rPr>
              <w:t>0.280</w:t>
            </w:r>
          </w:p>
        </w:tc>
      </w:tr>
    </w:tbl>
    <w:p w14:paraId="671D89F9" w14:textId="77777777" w:rsidR="00CA15E3" w:rsidRDefault="00CA15E3" w:rsidP="00882F07"/>
    <w:p w14:paraId="7342F789" w14:textId="77777777" w:rsidR="002D6281" w:rsidRDefault="002D6281" w:rsidP="004B394D">
      <w:pPr>
        <w:spacing w:after="120" w:line="480" w:lineRule="auto"/>
        <w:ind w:firstLine="720"/>
        <w:contextualSpacing/>
        <w:jc w:val="both"/>
      </w:pPr>
      <w:r>
        <w:t xml:space="preserve">Table 6 reports the effect sizes (f²) to assess the relative impact of exogenous constructs on endogenous variables. The results indicate that Teacher Beliefs (TB) have a very large effect on Professional Identity (PI) (f² = 1.310), highlighting the dominant role of beliefs in shaping identity reconstruction. Additionally, Professional Identity has a moderate effect on Professional Agency (PA) (f² = 0.323), while Professional Agency demonstrates a substantial </w:t>
      </w:r>
      <w:r>
        <w:lastRenderedPageBreak/>
        <w:t>effect on Pedagogical Innovation (PIN) (f² = 0.285). Pedagogical Innovation also shows a strong effect on Communicative Competence (CC) (f² = 0.465), confirming its critical role in enhancing student outcomes. In contrast, the effect of Professional Identity on Pedagogical Innovation is negligible (f² = 0.007), further supporting the non-significant path observed in the structural model and reinforcing the importance of agency as the key driver of innovation.</w:t>
      </w:r>
    </w:p>
    <w:p w14:paraId="6B1F3A0E" w14:textId="77777777" w:rsidR="004B394D" w:rsidRPr="004B394D" w:rsidRDefault="002D6281" w:rsidP="00882F07">
      <w:pPr>
        <w:rPr>
          <w:b/>
          <w:bCs/>
        </w:rPr>
      </w:pPr>
      <w:r>
        <w:rPr>
          <w:b/>
          <w:bCs/>
        </w:rPr>
        <w:t>Table 6</w:t>
      </w:r>
    </w:p>
    <w:p w14:paraId="28030B85" w14:textId="77777777" w:rsidR="00CA15E3" w:rsidRPr="004B394D" w:rsidRDefault="002D6281" w:rsidP="00882F07">
      <w:pPr>
        <w:rPr>
          <w:i/>
          <w:iCs/>
        </w:rPr>
      </w:pPr>
      <w:r>
        <w:rPr>
          <w:i/>
          <w:iCs/>
        </w:rPr>
        <w:t>Effect size</w:t>
      </w:r>
    </w:p>
    <w:tbl>
      <w:tblPr>
        <w:tblW w:w="5760" w:type="dxa"/>
        <w:tblLook w:val="04A0" w:firstRow="1" w:lastRow="0" w:firstColumn="1" w:lastColumn="0" w:noHBand="0" w:noVBand="1"/>
      </w:tblPr>
      <w:tblGrid>
        <w:gridCol w:w="960"/>
        <w:gridCol w:w="960"/>
        <w:gridCol w:w="960"/>
        <w:gridCol w:w="960"/>
        <w:gridCol w:w="960"/>
        <w:gridCol w:w="960"/>
      </w:tblGrid>
      <w:tr w:rsidR="00CA15E3" w:rsidRPr="00CA15E3" w14:paraId="44ACE93C" w14:textId="77777777" w:rsidTr="00CA15E3">
        <w:trPr>
          <w:trHeight w:val="315"/>
        </w:trPr>
        <w:tc>
          <w:tcPr>
            <w:tcW w:w="960" w:type="dxa"/>
            <w:tcBorders>
              <w:top w:val="single" w:sz="8" w:space="0" w:color="000000"/>
              <w:left w:val="single" w:sz="8" w:space="0" w:color="000000"/>
              <w:bottom w:val="single" w:sz="8" w:space="0" w:color="000000"/>
              <w:right w:val="single" w:sz="8" w:space="0" w:color="000000"/>
            </w:tcBorders>
            <w:vAlign w:val="center"/>
            <w:hideMark/>
          </w:tcPr>
          <w:p w14:paraId="17DDBE77" w14:textId="77777777" w:rsidR="00CA15E3" w:rsidRPr="00CA15E3" w:rsidRDefault="00CA15E3" w:rsidP="00CA15E3">
            <w:pPr>
              <w:widowControl/>
              <w:autoSpaceDE/>
              <w:autoSpaceDN/>
              <w:rPr>
                <w:b/>
                <w:bCs/>
                <w:sz w:val="22"/>
              </w:rPr>
            </w:pPr>
            <w:r>
              <w:rPr>
                <w:b/>
                <w:bCs/>
                <w:sz w:val="22"/>
              </w:rPr>
              <w:t> </w:t>
            </w:r>
          </w:p>
        </w:tc>
        <w:tc>
          <w:tcPr>
            <w:tcW w:w="960" w:type="dxa"/>
            <w:tcBorders>
              <w:top w:val="single" w:sz="8" w:space="0" w:color="000000"/>
              <w:left w:val="nil"/>
              <w:bottom w:val="single" w:sz="8" w:space="0" w:color="000000"/>
              <w:right w:val="single" w:sz="8" w:space="0" w:color="000000"/>
            </w:tcBorders>
            <w:vAlign w:val="center"/>
            <w:hideMark/>
          </w:tcPr>
          <w:p w14:paraId="30E0AA35" w14:textId="77777777" w:rsidR="00CA15E3" w:rsidRPr="00CA15E3" w:rsidRDefault="00CA15E3" w:rsidP="00CA15E3">
            <w:pPr>
              <w:widowControl/>
              <w:autoSpaceDE/>
              <w:autoSpaceDN/>
              <w:jc w:val="right"/>
              <w:rPr>
                <w:b/>
                <w:bCs/>
                <w:sz w:val="22"/>
              </w:rPr>
            </w:pPr>
            <w:r>
              <w:rPr>
                <w:b/>
                <w:bCs/>
                <w:sz w:val="22"/>
              </w:rPr>
              <w:t>CC</w:t>
            </w:r>
          </w:p>
        </w:tc>
        <w:tc>
          <w:tcPr>
            <w:tcW w:w="960" w:type="dxa"/>
            <w:tcBorders>
              <w:top w:val="single" w:sz="8" w:space="0" w:color="000000"/>
              <w:left w:val="nil"/>
              <w:bottom w:val="single" w:sz="8" w:space="0" w:color="000000"/>
              <w:right w:val="single" w:sz="8" w:space="0" w:color="000000"/>
            </w:tcBorders>
            <w:vAlign w:val="center"/>
            <w:hideMark/>
          </w:tcPr>
          <w:p w14:paraId="35EE77F7" w14:textId="77777777" w:rsidR="00CA15E3" w:rsidRPr="00CA15E3" w:rsidRDefault="00CA15E3" w:rsidP="00CA15E3">
            <w:pPr>
              <w:widowControl/>
              <w:autoSpaceDE/>
              <w:autoSpaceDN/>
              <w:jc w:val="right"/>
              <w:rPr>
                <w:b/>
                <w:bCs/>
                <w:sz w:val="22"/>
              </w:rPr>
            </w:pPr>
            <w:r>
              <w:rPr>
                <w:b/>
                <w:bCs/>
                <w:sz w:val="22"/>
              </w:rPr>
              <w:t>PA</w:t>
            </w:r>
          </w:p>
        </w:tc>
        <w:tc>
          <w:tcPr>
            <w:tcW w:w="960" w:type="dxa"/>
            <w:tcBorders>
              <w:top w:val="single" w:sz="8" w:space="0" w:color="000000"/>
              <w:left w:val="nil"/>
              <w:bottom w:val="single" w:sz="8" w:space="0" w:color="000000"/>
              <w:right w:val="single" w:sz="8" w:space="0" w:color="000000"/>
            </w:tcBorders>
            <w:vAlign w:val="center"/>
            <w:hideMark/>
          </w:tcPr>
          <w:p w14:paraId="187D07DD" w14:textId="77777777" w:rsidR="00CA15E3" w:rsidRPr="00CA15E3" w:rsidRDefault="00CA15E3" w:rsidP="00CA15E3">
            <w:pPr>
              <w:widowControl/>
              <w:autoSpaceDE/>
              <w:autoSpaceDN/>
              <w:jc w:val="right"/>
              <w:rPr>
                <w:b/>
                <w:bCs/>
                <w:sz w:val="22"/>
              </w:rPr>
            </w:pPr>
            <w:r>
              <w:rPr>
                <w:b/>
                <w:bCs/>
                <w:sz w:val="22"/>
              </w:rPr>
              <w:t>PI</w:t>
            </w:r>
          </w:p>
        </w:tc>
        <w:tc>
          <w:tcPr>
            <w:tcW w:w="960" w:type="dxa"/>
            <w:tcBorders>
              <w:top w:val="single" w:sz="8" w:space="0" w:color="000000"/>
              <w:left w:val="nil"/>
              <w:bottom w:val="single" w:sz="8" w:space="0" w:color="000000"/>
              <w:right w:val="single" w:sz="8" w:space="0" w:color="000000"/>
            </w:tcBorders>
            <w:vAlign w:val="center"/>
            <w:hideMark/>
          </w:tcPr>
          <w:p w14:paraId="0FA3678E" w14:textId="77777777" w:rsidR="00CA15E3" w:rsidRPr="00CA15E3" w:rsidRDefault="00CA15E3" w:rsidP="00CA15E3">
            <w:pPr>
              <w:widowControl/>
              <w:autoSpaceDE/>
              <w:autoSpaceDN/>
              <w:jc w:val="right"/>
              <w:rPr>
                <w:b/>
                <w:bCs/>
                <w:sz w:val="22"/>
              </w:rPr>
            </w:pPr>
            <w:r>
              <w:rPr>
                <w:b/>
                <w:bCs/>
                <w:sz w:val="22"/>
              </w:rPr>
              <w:t>PIN</w:t>
            </w:r>
          </w:p>
        </w:tc>
        <w:tc>
          <w:tcPr>
            <w:tcW w:w="960" w:type="dxa"/>
            <w:tcBorders>
              <w:top w:val="single" w:sz="8" w:space="0" w:color="000000"/>
              <w:left w:val="nil"/>
              <w:bottom w:val="single" w:sz="8" w:space="0" w:color="000000"/>
              <w:right w:val="single" w:sz="8" w:space="0" w:color="000000"/>
            </w:tcBorders>
            <w:vAlign w:val="center"/>
            <w:hideMark/>
          </w:tcPr>
          <w:p w14:paraId="0AC863E4" w14:textId="77777777" w:rsidR="00CA15E3" w:rsidRPr="00CA15E3" w:rsidRDefault="00CA15E3" w:rsidP="00CA15E3">
            <w:pPr>
              <w:widowControl/>
              <w:autoSpaceDE/>
              <w:autoSpaceDN/>
              <w:jc w:val="right"/>
              <w:rPr>
                <w:b/>
                <w:bCs/>
                <w:sz w:val="22"/>
              </w:rPr>
            </w:pPr>
            <w:r>
              <w:rPr>
                <w:b/>
                <w:bCs/>
                <w:sz w:val="22"/>
              </w:rPr>
              <w:t>TB</w:t>
            </w:r>
          </w:p>
        </w:tc>
      </w:tr>
      <w:tr w:rsidR="00CA15E3" w:rsidRPr="00CA15E3" w14:paraId="753A6C59" w14:textId="77777777" w:rsidTr="00CA15E3">
        <w:trPr>
          <w:trHeight w:val="315"/>
        </w:trPr>
        <w:tc>
          <w:tcPr>
            <w:tcW w:w="960" w:type="dxa"/>
            <w:tcBorders>
              <w:top w:val="nil"/>
              <w:left w:val="single" w:sz="8" w:space="0" w:color="000000"/>
              <w:bottom w:val="single" w:sz="8" w:space="0" w:color="000000"/>
              <w:right w:val="single" w:sz="8" w:space="0" w:color="000000"/>
            </w:tcBorders>
            <w:vAlign w:val="center"/>
            <w:hideMark/>
          </w:tcPr>
          <w:p w14:paraId="387C809C" w14:textId="77777777" w:rsidR="00CA15E3" w:rsidRPr="00CA15E3" w:rsidRDefault="00CA15E3" w:rsidP="00CA15E3">
            <w:pPr>
              <w:widowControl/>
              <w:autoSpaceDE/>
              <w:autoSpaceDN/>
              <w:rPr>
                <w:b/>
                <w:bCs/>
                <w:sz w:val="22"/>
              </w:rPr>
            </w:pPr>
            <w:r>
              <w:rPr>
                <w:b/>
                <w:bCs/>
                <w:sz w:val="22"/>
              </w:rPr>
              <w:t>CC</w:t>
            </w:r>
          </w:p>
        </w:tc>
        <w:tc>
          <w:tcPr>
            <w:tcW w:w="960" w:type="dxa"/>
            <w:tcBorders>
              <w:top w:val="nil"/>
              <w:left w:val="nil"/>
              <w:bottom w:val="single" w:sz="8" w:space="0" w:color="000000"/>
              <w:right w:val="single" w:sz="8" w:space="0" w:color="000000"/>
            </w:tcBorders>
            <w:vAlign w:val="center"/>
            <w:hideMark/>
          </w:tcPr>
          <w:p w14:paraId="1B5EA409" w14:textId="77777777" w:rsidR="00CA15E3" w:rsidRPr="00CA15E3" w:rsidRDefault="00CA15E3" w:rsidP="00CA15E3">
            <w:pPr>
              <w:widowControl/>
              <w:autoSpaceDE/>
              <w:autoSpaceDN/>
              <w:jc w:val="right"/>
              <w:rPr>
                <w:sz w:val="22"/>
              </w:rPr>
            </w:pPr>
            <w:r>
              <w:rPr>
                <w:sz w:val="22"/>
              </w:rPr>
              <w:t> </w:t>
            </w:r>
          </w:p>
        </w:tc>
        <w:tc>
          <w:tcPr>
            <w:tcW w:w="960" w:type="dxa"/>
            <w:tcBorders>
              <w:top w:val="nil"/>
              <w:left w:val="nil"/>
              <w:bottom w:val="single" w:sz="8" w:space="0" w:color="000000"/>
              <w:right w:val="single" w:sz="8" w:space="0" w:color="000000"/>
            </w:tcBorders>
            <w:vAlign w:val="center"/>
            <w:hideMark/>
          </w:tcPr>
          <w:p w14:paraId="18C7AC10" w14:textId="77777777" w:rsidR="00CA15E3" w:rsidRPr="00CA15E3" w:rsidRDefault="00CA15E3" w:rsidP="00CA15E3">
            <w:pPr>
              <w:widowControl/>
              <w:autoSpaceDE/>
              <w:autoSpaceDN/>
              <w:jc w:val="right"/>
              <w:rPr>
                <w:sz w:val="22"/>
              </w:rPr>
            </w:pPr>
            <w:r>
              <w:rPr>
                <w:sz w:val="22"/>
              </w:rPr>
              <w:t> </w:t>
            </w:r>
          </w:p>
        </w:tc>
        <w:tc>
          <w:tcPr>
            <w:tcW w:w="960" w:type="dxa"/>
            <w:tcBorders>
              <w:top w:val="nil"/>
              <w:left w:val="nil"/>
              <w:bottom w:val="single" w:sz="8" w:space="0" w:color="000000"/>
              <w:right w:val="single" w:sz="8" w:space="0" w:color="000000"/>
            </w:tcBorders>
            <w:vAlign w:val="center"/>
            <w:hideMark/>
          </w:tcPr>
          <w:p w14:paraId="3F209D88" w14:textId="77777777" w:rsidR="00CA15E3" w:rsidRPr="00CA15E3" w:rsidRDefault="00CA15E3" w:rsidP="00CA15E3">
            <w:pPr>
              <w:widowControl/>
              <w:autoSpaceDE/>
              <w:autoSpaceDN/>
              <w:jc w:val="right"/>
              <w:rPr>
                <w:sz w:val="22"/>
              </w:rPr>
            </w:pPr>
            <w:r>
              <w:rPr>
                <w:sz w:val="22"/>
              </w:rPr>
              <w:t> </w:t>
            </w:r>
          </w:p>
        </w:tc>
        <w:tc>
          <w:tcPr>
            <w:tcW w:w="960" w:type="dxa"/>
            <w:tcBorders>
              <w:top w:val="nil"/>
              <w:left w:val="nil"/>
              <w:bottom w:val="single" w:sz="8" w:space="0" w:color="000000"/>
              <w:right w:val="single" w:sz="8" w:space="0" w:color="000000"/>
            </w:tcBorders>
            <w:vAlign w:val="center"/>
            <w:hideMark/>
          </w:tcPr>
          <w:p w14:paraId="61483B54" w14:textId="77777777" w:rsidR="00CA15E3" w:rsidRPr="00CA15E3" w:rsidRDefault="00CA15E3" w:rsidP="00CA15E3">
            <w:pPr>
              <w:widowControl/>
              <w:autoSpaceDE/>
              <w:autoSpaceDN/>
              <w:jc w:val="right"/>
              <w:rPr>
                <w:sz w:val="22"/>
              </w:rPr>
            </w:pPr>
            <w:r>
              <w:rPr>
                <w:sz w:val="22"/>
              </w:rPr>
              <w:t> </w:t>
            </w:r>
          </w:p>
        </w:tc>
        <w:tc>
          <w:tcPr>
            <w:tcW w:w="960" w:type="dxa"/>
            <w:tcBorders>
              <w:top w:val="nil"/>
              <w:left w:val="nil"/>
              <w:bottom w:val="single" w:sz="8" w:space="0" w:color="000000"/>
              <w:right w:val="single" w:sz="8" w:space="0" w:color="000000"/>
            </w:tcBorders>
            <w:vAlign w:val="center"/>
            <w:hideMark/>
          </w:tcPr>
          <w:p w14:paraId="2B18E5F3" w14:textId="77777777" w:rsidR="00CA15E3" w:rsidRPr="00CA15E3" w:rsidRDefault="00CA15E3" w:rsidP="00CA15E3">
            <w:pPr>
              <w:widowControl/>
              <w:autoSpaceDE/>
              <w:autoSpaceDN/>
              <w:jc w:val="right"/>
              <w:rPr>
                <w:sz w:val="22"/>
              </w:rPr>
            </w:pPr>
            <w:r>
              <w:rPr>
                <w:sz w:val="22"/>
              </w:rPr>
              <w:t> </w:t>
            </w:r>
          </w:p>
        </w:tc>
      </w:tr>
      <w:tr w:rsidR="00CA15E3" w:rsidRPr="00CA15E3" w14:paraId="591C45D8" w14:textId="77777777" w:rsidTr="00CA15E3">
        <w:trPr>
          <w:trHeight w:val="315"/>
        </w:trPr>
        <w:tc>
          <w:tcPr>
            <w:tcW w:w="960" w:type="dxa"/>
            <w:tcBorders>
              <w:top w:val="nil"/>
              <w:left w:val="single" w:sz="8" w:space="0" w:color="000000"/>
              <w:bottom w:val="single" w:sz="8" w:space="0" w:color="000000"/>
              <w:right w:val="single" w:sz="8" w:space="0" w:color="000000"/>
            </w:tcBorders>
            <w:vAlign w:val="center"/>
            <w:hideMark/>
          </w:tcPr>
          <w:p w14:paraId="5D5B80B3" w14:textId="77777777" w:rsidR="00CA15E3" w:rsidRPr="00CA15E3" w:rsidRDefault="00CA15E3" w:rsidP="00CA15E3">
            <w:pPr>
              <w:widowControl/>
              <w:autoSpaceDE/>
              <w:autoSpaceDN/>
              <w:rPr>
                <w:b/>
                <w:bCs/>
                <w:sz w:val="22"/>
              </w:rPr>
            </w:pPr>
            <w:r>
              <w:rPr>
                <w:b/>
                <w:bCs/>
                <w:sz w:val="22"/>
              </w:rPr>
              <w:t>PA</w:t>
            </w:r>
          </w:p>
        </w:tc>
        <w:tc>
          <w:tcPr>
            <w:tcW w:w="960" w:type="dxa"/>
            <w:tcBorders>
              <w:top w:val="nil"/>
              <w:left w:val="nil"/>
              <w:bottom w:val="single" w:sz="8" w:space="0" w:color="000000"/>
              <w:right w:val="single" w:sz="8" w:space="0" w:color="000000"/>
            </w:tcBorders>
            <w:vAlign w:val="center"/>
            <w:hideMark/>
          </w:tcPr>
          <w:p w14:paraId="1A65424C" w14:textId="77777777" w:rsidR="00CA15E3" w:rsidRPr="00CA15E3" w:rsidRDefault="00CA15E3" w:rsidP="00CA15E3">
            <w:pPr>
              <w:widowControl/>
              <w:autoSpaceDE/>
              <w:autoSpaceDN/>
              <w:jc w:val="right"/>
              <w:rPr>
                <w:sz w:val="22"/>
              </w:rPr>
            </w:pPr>
            <w:r>
              <w:rPr>
                <w:sz w:val="22"/>
              </w:rPr>
              <w:t> </w:t>
            </w:r>
          </w:p>
        </w:tc>
        <w:tc>
          <w:tcPr>
            <w:tcW w:w="960" w:type="dxa"/>
            <w:tcBorders>
              <w:top w:val="nil"/>
              <w:left w:val="nil"/>
              <w:bottom w:val="single" w:sz="8" w:space="0" w:color="000000"/>
              <w:right w:val="single" w:sz="8" w:space="0" w:color="000000"/>
            </w:tcBorders>
            <w:vAlign w:val="center"/>
            <w:hideMark/>
          </w:tcPr>
          <w:p w14:paraId="39AD2D55" w14:textId="77777777" w:rsidR="00CA15E3" w:rsidRPr="00CA15E3" w:rsidRDefault="00CA15E3" w:rsidP="00CA15E3">
            <w:pPr>
              <w:widowControl/>
              <w:autoSpaceDE/>
              <w:autoSpaceDN/>
              <w:jc w:val="right"/>
              <w:rPr>
                <w:sz w:val="22"/>
              </w:rPr>
            </w:pPr>
            <w:r>
              <w:rPr>
                <w:sz w:val="22"/>
              </w:rPr>
              <w:t> </w:t>
            </w:r>
          </w:p>
        </w:tc>
        <w:tc>
          <w:tcPr>
            <w:tcW w:w="960" w:type="dxa"/>
            <w:tcBorders>
              <w:top w:val="nil"/>
              <w:left w:val="nil"/>
              <w:bottom w:val="single" w:sz="8" w:space="0" w:color="000000"/>
              <w:right w:val="single" w:sz="8" w:space="0" w:color="000000"/>
            </w:tcBorders>
            <w:vAlign w:val="center"/>
            <w:hideMark/>
          </w:tcPr>
          <w:p w14:paraId="43B0F9E9" w14:textId="77777777" w:rsidR="00CA15E3" w:rsidRPr="00CA15E3" w:rsidRDefault="00CA15E3" w:rsidP="00CA15E3">
            <w:pPr>
              <w:widowControl/>
              <w:autoSpaceDE/>
              <w:autoSpaceDN/>
              <w:jc w:val="right"/>
              <w:rPr>
                <w:sz w:val="22"/>
              </w:rPr>
            </w:pPr>
            <w:r>
              <w:rPr>
                <w:sz w:val="22"/>
              </w:rPr>
              <w:t> </w:t>
            </w:r>
          </w:p>
        </w:tc>
        <w:tc>
          <w:tcPr>
            <w:tcW w:w="960" w:type="dxa"/>
            <w:tcBorders>
              <w:top w:val="nil"/>
              <w:left w:val="nil"/>
              <w:bottom w:val="single" w:sz="8" w:space="0" w:color="000000"/>
              <w:right w:val="single" w:sz="8" w:space="0" w:color="000000"/>
            </w:tcBorders>
            <w:vAlign w:val="center"/>
            <w:hideMark/>
          </w:tcPr>
          <w:p w14:paraId="777025ED" w14:textId="77777777" w:rsidR="00CA15E3" w:rsidRPr="00CA15E3" w:rsidRDefault="00CA15E3" w:rsidP="00CA15E3">
            <w:pPr>
              <w:widowControl/>
              <w:autoSpaceDE/>
              <w:autoSpaceDN/>
              <w:jc w:val="right"/>
              <w:rPr>
                <w:sz w:val="22"/>
              </w:rPr>
            </w:pPr>
            <w:r>
              <w:rPr>
                <w:sz w:val="22"/>
              </w:rPr>
              <w:t>0.285</w:t>
            </w:r>
          </w:p>
        </w:tc>
        <w:tc>
          <w:tcPr>
            <w:tcW w:w="960" w:type="dxa"/>
            <w:tcBorders>
              <w:top w:val="nil"/>
              <w:left w:val="nil"/>
              <w:bottom w:val="single" w:sz="8" w:space="0" w:color="000000"/>
              <w:right w:val="single" w:sz="8" w:space="0" w:color="000000"/>
            </w:tcBorders>
            <w:vAlign w:val="center"/>
            <w:hideMark/>
          </w:tcPr>
          <w:p w14:paraId="246BDD7A" w14:textId="77777777" w:rsidR="00CA15E3" w:rsidRPr="00CA15E3" w:rsidRDefault="00CA15E3" w:rsidP="00CA15E3">
            <w:pPr>
              <w:widowControl/>
              <w:autoSpaceDE/>
              <w:autoSpaceDN/>
              <w:jc w:val="right"/>
              <w:rPr>
                <w:sz w:val="22"/>
              </w:rPr>
            </w:pPr>
            <w:r>
              <w:rPr>
                <w:sz w:val="22"/>
              </w:rPr>
              <w:t> </w:t>
            </w:r>
          </w:p>
        </w:tc>
      </w:tr>
      <w:tr w:rsidR="00CA15E3" w:rsidRPr="00CA15E3" w14:paraId="0F583B11" w14:textId="77777777" w:rsidTr="00CA15E3">
        <w:trPr>
          <w:trHeight w:val="315"/>
        </w:trPr>
        <w:tc>
          <w:tcPr>
            <w:tcW w:w="960" w:type="dxa"/>
            <w:tcBorders>
              <w:top w:val="nil"/>
              <w:left w:val="single" w:sz="8" w:space="0" w:color="000000"/>
              <w:bottom w:val="single" w:sz="8" w:space="0" w:color="000000"/>
              <w:right w:val="single" w:sz="8" w:space="0" w:color="000000"/>
            </w:tcBorders>
            <w:vAlign w:val="center"/>
            <w:hideMark/>
          </w:tcPr>
          <w:p w14:paraId="2CB055F9" w14:textId="77777777" w:rsidR="00CA15E3" w:rsidRPr="00CA15E3" w:rsidRDefault="00CA15E3" w:rsidP="00CA15E3">
            <w:pPr>
              <w:widowControl/>
              <w:autoSpaceDE/>
              <w:autoSpaceDN/>
              <w:rPr>
                <w:b/>
                <w:bCs/>
                <w:sz w:val="22"/>
              </w:rPr>
            </w:pPr>
            <w:r>
              <w:rPr>
                <w:b/>
                <w:bCs/>
                <w:sz w:val="22"/>
              </w:rPr>
              <w:t>PI</w:t>
            </w:r>
          </w:p>
        </w:tc>
        <w:tc>
          <w:tcPr>
            <w:tcW w:w="960" w:type="dxa"/>
            <w:tcBorders>
              <w:top w:val="nil"/>
              <w:left w:val="nil"/>
              <w:bottom w:val="single" w:sz="8" w:space="0" w:color="000000"/>
              <w:right w:val="single" w:sz="8" w:space="0" w:color="000000"/>
            </w:tcBorders>
            <w:vAlign w:val="center"/>
            <w:hideMark/>
          </w:tcPr>
          <w:p w14:paraId="03DEF785" w14:textId="77777777" w:rsidR="00CA15E3" w:rsidRPr="00CA15E3" w:rsidRDefault="00CA15E3" w:rsidP="00CA15E3">
            <w:pPr>
              <w:widowControl/>
              <w:autoSpaceDE/>
              <w:autoSpaceDN/>
              <w:jc w:val="right"/>
              <w:rPr>
                <w:sz w:val="22"/>
              </w:rPr>
            </w:pPr>
            <w:r>
              <w:rPr>
                <w:sz w:val="22"/>
              </w:rPr>
              <w:t> </w:t>
            </w:r>
          </w:p>
        </w:tc>
        <w:tc>
          <w:tcPr>
            <w:tcW w:w="960" w:type="dxa"/>
            <w:tcBorders>
              <w:top w:val="nil"/>
              <w:left w:val="nil"/>
              <w:bottom w:val="single" w:sz="8" w:space="0" w:color="000000"/>
              <w:right w:val="single" w:sz="8" w:space="0" w:color="000000"/>
            </w:tcBorders>
            <w:vAlign w:val="center"/>
            <w:hideMark/>
          </w:tcPr>
          <w:p w14:paraId="1BCA566D" w14:textId="77777777" w:rsidR="00CA15E3" w:rsidRPr="00CA15E3" w:rsidRDefault="00CA15E3" w:rsidP="00CA15E3">
            <w:pPr>
              <w:widowControl/>
              <w:autoSpaceDE/>
              <w:autoSpaceDN/>
              <w:jc w:val="right"/>
              <w:rPr>
                <w:sz w:val="22"/>
              </w:rPr>
            </w:pPr>
            <w:r>
              <w:rPr>
                <w:sz w:val="22"/>
              </w:rPr>
              <w:t>0.323</w:t>
            </w:r>
          </w:p>
        </w:tc>
        <w:tc>
          <w:tcPr>
            <w:tcW w:w="960" w:type="dxa"/>
            <w:tcBorders>
              <w:top w:val="nil"/>
              <w:left w:val="nil"/>
              <w:bottom w:val="single" w:sz="8" w:space="0" w:color="000000"/>
              <w:right w:val="single" w:sz="8" w:space="0" w:color="000000"/>
            </w:tcBorders>
            <w:vAlign w:val="center"/>
            <w:hideMark/>
          </w:tcPr>
          <w:p w14:paraId="3C625469" w14:textId="77777777" w:rsidR="00CA15E3" w:rsidRPr="00CA15E3" w:rsidRDefault="00CA15E3" w:rsidP="00CA15E3">
            <w:pPr>
              <w:widowControl/>
              <w:autoSpaceDE/>
              <w:autoSpaceDN/>
              <w:jc w:val="right"/>
              <w:rPr>
                <w:sz w:val="22"/>
              </w:rPr>
            </w:pPr>
            <w:r>
              <w:rPr>
                <w:sz w:val="22"/>
              </w:rPr>
              <w:t> </w:t>
            </w:r>
          </w:p>
        </w:tc>
        <w:tc>
          <w:tcPr>
            <w:tcW w:w="960" w:type="dxa"/>
            <w:tcBorders>
              <w:top w:val="nil"/>
              <w:left w:val="nil"/>
              <w:bottom w:val="single" w:sz="8" w:space="0" w:color="000000"/>
              <w:right w:val="single" w:sz="8" w:space="0" w:color="000000"/>
            </w:tcBorders>
            <w:vAlign w:val="center"/>
            <w:hideMark/>
          </w:tcPr>
          <w:p w14:paraId="234D1E8E" w14:textId="77777777" w:rsidR="00CA15E3" w:rsidRPr="00CA15E3" w:rsidRDefault="00CA15E3" w:rsidP="00CA15E3">
            <w:pPr>
              <w:widowControl/>
              <w:autoSpaceDE/>
              <w:autoSpaceDN/>
              <w:jc w:val="right"/>
              <w:rPr>
                <w:sz w:val="22"/>
              </w:rPr>
            </w:pPr>
            <w:r>
              <w:rPr>
                <w:sz w:val="22"/>
              </w:rPr>
              <w:t>0.007</w:t>
            </w:r>
          </w:p>
        </w:tc>
        <w:tc>
          <w:tcPr>
            <w:tcW w:w="960" w:type="dxa"/>
            <w:tcBorders>
              <w:top w:val="nil"/>
              <w:left w:val="nil"/>
              <w:bottom w:val="single" w:sz="8" w:space="0" w:color="000000"/>
              <w:right w:val="single" w:sz="8" w:space="0" w:color="000000"/>
            </w:tcBorders>
            <w:vAlign w:val="center"/>
            <w:hideMark/>
          </w:tcPr>
          <w:p w14:paraId="609A0254" w14:textId="77777777" w:rsidR="00CA15E3" w:rsidRPr="00CA15E3" w:rsidRDefault="00CA15E3" w:rsidP="00CA15E3">
            <w:pPr>
              <w:widowControl/>
              <w:autoSpaceDE/>
              <w:autoSpaceDN/>
              <w:jc w:val="right"/>
              <w:rPr>
                <w:sz w:val="22"/>
              </w:rPr>
            </w:pPr>
            <w:r>
              <w:rPr>
                <w:sz w:val="22"/>
              </w:rPr>
              <w:t> </w:t>
            </w:r>
          </w:p>
        </w:tc>
      </w:tr>
      <w:tr w:rsidR="00CA15E3" w:rsidRPr="00CA15E3" w14:paraId="74655DB8" w14:textId="77777777" w:rsidTr="00CA15E3">
        <w:trPr>
          <w:trHeight w:val="315"/>
        </w:trPr>
        <w:tc>
          <w:tcPr>
            <w:tcW w:w="960" w:type="dxa"/>
            <w:tcBorders>
              <w:top w:val="nil"/>
              <w:left w:val="single" w:sz="8" w:space="0" w:color="000000"/>
              <w:bottom w:val="single" w:sz="8" w:space="0" w:color="000000"/>
              <w:right w:val="single" w:sz="8" w:space="0" w:color="000000"/>
            </w:tcBorders>
            <w:vAlign w:val="center"/>
            <w:hideMark/>
          </w:tcPr>
          <w:p w14:paraId="46DEB9E4" w14:textId="77777777" w:rsidR="00CA15E3" w:rsidRPr="00CA15E3" w:rsidRDefault="00CA15E3" w:rsidP="00CA15E3">
            <w:pPr>
              <w:widowControl/>
              <w:autoSpaceDE/>
              <w:autoSpaceDN/>
              <w:rPr>
                <w:b/>
                <w:bCs/>
                <w:sz w:val="22"/>
              </w:rPr>
            </w:pPr>
            <w:r>
              <w:rPr>
                <w:b/>
                <w:bCs/>
                <w:sz w:val="22"/>
              </w:rPr>
              <w:t>PIN</w:t>
            </w:r>
          </w:p>
        </w:tc>
        <w:tc>
          <w:tcPr>
            <w:tcW w:w="960" w:type="dxa"/>
            <w:tcBorders>
              <w:top w:val="nil"/>
              <w:left w:val="nil"/>
              <w:bottom w:val="single" w:sz="8" w:space="0" w:color="000000"/>
              <w:right w:val="single" w:sz="8" w:space="0" w:color="000000"/>
            </w:tcBorders>
            <w:vAlign w:val="center"/>
            <w:hideMark/>
          </w:tcPr>
          <w:p w14:paraId="698E3AF0" w14:textId="77777777" w:rsidR="00CA15E3" w:rsidRPr="00CA15E3" w:rsidRDefault="00CA15E3" w:rsidP="00CA15E3">
            <w:pPr>
              <w:widowControl/>
              <w:autoSpaceDE/>
              <w:autoSpaceDN/>
              <w:jc w:val="right"/>
              <w:rPr>
                <w:sz w:val="22"/>
              </w:rPr>
            </w:pPr>
            <w:r>
              <w:rPr>
                <w:sz w:val="22"/>
              </w:rPr>
              <w:t>0.465</w:t>
            </w:r>
          </w:p>
        </w:tc>
        <w:tc>
          <w:tcPr>
            <w:tcW w:w="960" w:type="dxa"/>
            <w:tcBorders>
              <w:top w:val="nil"/>
              <w:left w:val="nil"/>
              <w:bottom w:val="single" w:sz="8" w:space="0" w:color="000000"/>
              <w:right w:val="single" w:sz="8" w:space="0" w:color="000000"/>
            </w:tcBorders>
            <w:vAlign w:val="center"/>
            <w:hideMark/>
          </w:tcPr>
          <w:p w14:paraId="10780499" w14:textId="77777777" w:rsidR="00CA15E3" w:rsidRPr="00CA15E3" w:rsidRDefault="00CA15E3" w:rsidP="00CA15E3">
            <w:pPr>
              <w:widowControl/>
              <w:autoSpaceDE/>
              <w:autoSpaceDN/>
              <w:jc w:val="right"/>
              <w:rPr>
                <w:sz w:val="22"/>
              </w:rPr>
            </w:pPr>
            <w:r>
              <w:rPr>
                <w:sz w:val="22"/>
              </w:rPr>
              <w:t> </w:t>
            </w:r>
          </w:p>
        </w:tc>
        <w:tc>
          <w:tcPr>
            <w:tcW w:w="960" w:type="dxa"/>
            <w:tcBorders>
              <w:top w:val="nil"/>
              <w:left w:val="nil"/>
              <w:bottom w:val="single" w:sz="8" w:space="0" w:color="000000"/>
              <w:right w:val="single" w:sz="8" w:space="0" w:color="000000"/>
            </w:tcBorders>
            <w:vAlign w:val="center"/>
            <w:hideMark/>
          </w:tcPr>
          <w:p w14:paraId="67551B46" w14:textId="77777777" w:rsidR="00CA15E3" w:rsidRPr="00CA15E3" w:rsidRDefault="00CA15E3" w:rsidP="00CA15E3">
            <w:pPr>
              <w:widowControl/>
              <w:autoSpaceDE/>
              <w:autoSpaceDN/>
              <w:jc w:val="right"/>
              <w:rPr>
                <w:sz w:val="22"/>
              </w:rPr>
            </w:pPr>
            <w:r>
              <w:rPr>
                <w:sz w:val="22"/>
              </w:rPr>
              <w:t> </w:t>
            </w:r>
          </w:p>
        </w:tc>
        <w:tc>
          <w:tcPr>
            <w:tcW w:w="960" w:type="dxa"/>
            <w:tcBorders>
              <w:top w:val="nil"/>
              <w:left w:val="nil"/>
              <w:bottom w:val="single" w:sz="8" w:space="0" w:color="000000"/>
              <w:right w:val="single" w:sz="8" w:space="0" w:color="000000"/>
            </w:tcBorders>
            <w:vAlign w:val="center"/>
            <w:hideMark/>
          </w:tcPr>
          <w:p w14:paraId="47044763" w14:textId="77777777" w:rsidR="00CA15E3" w:rsidRPr="00CA15E3" w:rsidRDefault="00CA15E3" w:rsidP="00CA15E3">
            <w:pPr>
              <w:widowControl/>
              <w:autoSpaceDE/>
              <w:autoSpaceDN/>
              <w:jc w:val="right"/>
              <w:rPr>
                <w:sz w:val="22"/>
              </w:rPr>
            </w:pPr>
            <w:r>
              <w:rPr>
                <w:sz w:val="22"/>
              </w:rPr>
              <w:t> </w:t>
            </w:r>
          </w:p>
        </w:tc>
        <w:tc>
          <w:tcPr>
            <w:tcW w:w="960" w:type="dxa"/>
            <w:tcBorders>
              <w:top w:val="nil"/>
              <w:left w:val="nil"/>
              <w:bottom w:val="single" w:sz="8" w:space="0" w:color="000000"/>
              <w:right w:val="single" w:sz="8" w:space="0" w:color="000000"/>
            </w:tcBorders>
            <w:vAlign w:val="center"/>
            <w:hideMark/>
          </w:tcPr>
          <w:p w14:paraId="0A337D94" w14:textId="77777777" w:rsidR="00CA15E3" w:rsidRPr="00CA15E3" w:rsidRDefault="00CA15E3" w:rsidP="00CA15E3">
            <w:pPr>
              <w:widowControl/>
              <w:autoSpaceDE/>
              <w:autoSpaceDN/>
              <w:jc w:val="right"/>
              <w:rPr>
                <w:sz w:val="22"/>
              </w:rPr>
            </w:pPr>
            <w:r>
              <w:rPr>
                <w:sz w:val="22"/>
              </w:rPr>
              <w:t> </w:t>
            </w:r>
          </w:p>
        </w:tc>
      </w:tr>
      <w:tr w:rsidR="00CA15E3" w:rsidRPr="00CA15E3" w14:paraId="088163AF" w14:textId="77777777" w:rsidTr="00CA15E3">
        <w:trPr>
          <w:trHeight w:val="315"/>
        </w:trPr>
        <w:tc>
          <w:tcPr>
            <w:tcW w:w="960" w:type="dxa"/>
            <w:tcBorders>
              <w:top w:val="nil"/>
              <w:left w:val="single" w:sz="8" w:space="0" w:color="000000"/>
              <w:bottom w:val="single" w:sz="8" w:space="0" w:color="000000"/>
              <w:right w:val="single" w:sz="8" w:space="0" w:color="000000"/>
            </w:tcBorders>
            <w:vAlign w:val="center"/>
            <w:hideMark/>
          </w:tcPr>
          <w:p w14:paraId="6FC95C91" w14:textId="77777777" w:rsidR="00CA15E3" w:rsidRPr="00CA15E3" w:rsidRDefault="00CA15E3" w:rsidP="00CA15E3">
            <w:pPr>
              <w:widowControl/>
              <w:autoSpaceDE/>
              <w:autoSpaceDN/>
              <w:rPr>
                <w:b/>
                <w:bCs/>
                <w:sz w:val="22"/>
              </w:rPr>
            </w:pPr>
            <w:r>
              <w:rPr>
                <w:b/>
                <w:bCs/>
                <w:sz w:val="22"/>
              </w:rPr>
              <w:t>TB</w:t>
            </w:r>
          </w:p>
        </w:tc>
        <w:tc>
          <w:tcPr>
            <w:tcW w:w="960" w:type="dxa"/>
            <w:tcBorders>
              <w:top w:val="nil"/>
              <w:left w:val="nil"/>
              <w:bottom w:val="single" w:sz="8" w:space="0" w:color="000000"/>
              <w:right w:val="single" w:sz="8" w:space="0" w:color="000000"/>
            </w:tcBorders>
            <w:vAlign w:val="center"/>
            <w:hideMark/>
          </w:tcPr>
          <w:p w14:paraId="1AF12947" w14:textId="77777777" w:rsidR="00CA15E3" w:rsidRPr="00CA15E3" w:rsidRDefault="00CA15E3" w:rsidP="00CA15E3">
            <w:pPr>
              <w:widowControl/>
              <w:autoSpaceDE/>
              <w:autoSpaceDN/>
              <w:jc w:val="right"/>
              <w:rPr>
                <w:sz w:val="22"/>
              </w:rPr>
            </w:pPr>
            <w:r>
              <w:rPr>
                <w:sz w:val="22"/>
              </w:rPr>
              <w:t> </w:t>
            </w:r>
          </w:p>
        </w:tc>
        <w:tc>
          <w:tcPr>
            <w:tcW w:w="960" w:type="dxa"/>
            <w:tcBorders>
              <w:top w:val="nil"/>
              <w:left w:val="nil"/>
              <w:bottom w:val="single" w:sz="8" w:space="0" w:color="000000"/>
              <w:right w:val="single" w:sz="8" w:space="0" w:color="000000"/>
            </w:tcBorders>
            <w:vAlign w:val="center"/>
            <w:hideMark/>
          </w:tcPr>
          <w:p w14:paraId="30C95359" w14:textId="77777777" w:rsidR="00CA15E3" w:rsidRPr="00CA15E3" w:rsidRDefault="00CA15E3" w:rsidP="00CA15E3">
            <w:pPr>
              <w:widowControl/>
              <w:autoSpaceDE/>
              <w:autoSpaceDN/>
              <w:jc w:val="right"/>
              <w:rPr>
                <w:sz w:val="22"/>
              </w:rPr>
            </w:pPr>
            <w:r>
              <w:rPr>
                <w:sz w:val="22"/>
              </w:rPr>
              <w:t>0.095</w:t>
            </w:r>
          </w:p>
        </w:tc>
        <w:tc>
          <w:tcPr>
            <w:tcW w:w="960" w:type="dxa"/>
            <w:tcBorders>
              <w:top w:val="nil"/>
              <w:left w:val="nil"/>
              <w:bottom w:val="single" w:sz="8" w:space="0" w:color="000000"/>
              <w:right w:val="single" w:sz="8" w:space="0" w:color="000000"/>
            </w:tcBorders>
            <w:vAlign w:val="center"/>
            <w:hideMark/>
          </w:tcPr>
          <w:p w14:paraId="368F4CE8" w14:textId="77777777" w:rsidR="00CA15E3" w:rsidRPr="00CA15E3" w:rsidRDefault="00CA15E3" w:rsidP="00CA15E3">
            <w:pPr>
              <w:widowControl/>
              <w:autoSpaceDE/>
              <w:autoSpaceDN/>
              <w:jc w:val="right"/>
              <w:rPr>
                <w:sz w:val="22"/>
              </w:rPr>
            </w:pPr>
            <w:r>
              <w:rPr>
                <w:sz w:val="22"/>
              </w:rPr>
              <w:t>1.310</w:t>
            </w:r>
          </w:p>
        </w:tc>
        <w:tc>
          <w:tcPr>
            <w:tcW w:w="960" w:type="dxa"/>
            <w:tcBorders>
              <w:top w:val="nil"/>
              <w:left w:val="nil"/>
              <w:bottom w:val="single" w:sz="8" w:space="0" w:color="000000"/>
              <w:right w:val="single" w:sz="8" w:space="0" w:color="000000"/>
            </w:tcBorders>
            <w:vAlign w:val="center"/>
            <w:hideMark/>
          </w:tcPr>
          <w:p w14:paraId="32863660" w14:textId="77777777" w:rsidR="00CA15E3" w:rsidRPr="00CA15E3" w:rsidRDefault="00CA15E3" w:rsidP="00CA15E3">
            <w:pPr>
              <w:widowControl/>
              <w:autoSpaceDE/>
              <w:autoSpaceDN/>
              <w:jc w:val="right"/>
              <w:rPr>
                <w:sz w:val="22"/>
              </w:rPr>
            </w:pPr>
            <w:r>
              <w:rPr>
                <w:sz w:val="22"/>
              </w:rPr>
              <w:t> </w:t>
            </w:r>
          </w:p>
        </w:tc>
        <w:tc>
          <w:tcPr>
            <w:tcW w:w="960" w:type="dxa"/>
            <w:tcBorders>
              <w:top w:val="nil"/>
              <w:left w:val="nil"/>
              <w:bottom w:val="single" w:sz="8" w:space="0" w:color="000000"/>
              <w:right w:val="single" w:sz="8" w:space="0" w:color="000000"/>
            </w:tcBorders>
            <w:vAlign w:val="center"/>
            <w:hideMark/>
          </w:tcPr>
          <w:p w14:paraId="61E0CF66" w14:textId="77777777" w:rsidR="00CA15E3" w:rsidRPr="00CA15E3" w:rsidRDefault="00CA15E3" w:rsidP="00CA15E3">
            <w:pPr>
              <w:widowControl/>
              <w:autoSpaceDE/>
              <w:autoSpaceDN/>
              <w:jc w:val="right"/>
              <w:rPr>
                <w:sz w:val="22"/>
              </w:rPr>
            </w:pPr>
            <w:r>
              <w:rPr>
                <w:sz w:val="22"/>
              </w:rPr>
              <w:t> </w:t>
            </w:r>
          </w:p>
        </w:tc>
      </w:tr>
    </w:tbl>
    <w:p w14:paraId="66D9EC11" w14:textId="77777777" w:rsidR="002D6281" w:rsidRDefault="002D6281" w:rsidP="002D6281">
      <w:pPr>
        <w:jc w:val="both"/>
      </w:pPr>
    </w:p>
    <w:p w14:paraId="51422A8E" w14:textId="77777777" w:rsidR="002D6281" w:rsidRPr="002D6281" w:rsidRDefault="002D6281" w:rsidP="004B394D">
      <w:pPr>
        <w:spacing w:after="120" w:line="480" w:lineRule="auto"/>
        <w:ind w:firstLine="720"/>
        <w:contextualSpacing/>
        <w:jc w:val="both"/>
      </w:pPr>
      <w:r>
        <w:t>Table 7 presents the results of the PLS-Predict analysis, which evaluates the model’s out-of-sample predictive performance by comparing PLS-SEM predictions with those from a linear regression model (LM) and a naïve benchmark (IA). The Q²predict values are mostly positive across indicators, indicating that the model has predictive relevance at the indicator level. Moreover, for the majority of items, the PLS-SEM model produces lower prediction errors (RMSE and MAE) compared to the benchmark models, suggesting superior predictive performance. Although a few indicators (e.g., PIN4) show slightly weaker predictive accuracy, the overall pattern demonstrates that the model achieves medium to high predictive power.</w:t>
      </w:r>
    </w:p>
    <w:p w14:paraId="72677661" w14:textId="77777777" w:rsidR="00CA15E3" w:rsidRDefault="00CA15E3" w:rsidP="00882F07"/>
    <w:p w14:paraId="06355D8E" w14:textId="77777777" w:rsidR="004B394D" w:rsidRPr="004B394D" w:rsidRDefault="002D6281" w:rsidP="00882F07">
      <w:pPr>
        <w:rPr>
          <w:b/>
          <w:bCs/>
        </w:rPr>
      </w:pPr>
      <w:r>
        <w:rPr>
          <w:b/>
          <w:bCs/>
        </w:rPr>
        <w:t>Table 7</w:t>
      </w:r>
    </w:p>
    <w:p w14:paraId="4852BCDE" w14:textId="77777777" w:rsidR="002D6281" w:rsidRPr="004B394D" w:rsidRDefault="002D6281" w:rsidP="00882F07">
      <w:pPr>
        <w:rPr>
          <w:i/>
          <w:iCs/>
        </w:rPr>
      </w:pPr>
      <w:r>
        <w:rPr>
          <w:i/>
          <w:iCs/>
        </w:rPr>
        <w:t>PLS predicts</w:t>
      </w:r>
    </w:p>
    <w:tbl>
      <w:tblPr>
        <w:tblW w:w="7899" w:type="dxa"/>
        <w:tblLook w:val="04A0" w:firstRow="1" w:lastRow="0" w:firstColumn="1" w:lastColumn="0" w:noHBand="0" w:noVBand="1"/>
      </w:tblPr>
      <w:tblGrid>
        <w:gridCol w:w="661"/>
        <w:gridCol w:w="1043"/>
        <w:gridCol w:w="1328"/>
        <w:gridCol w:w="1216"/>
        <w:gridCol w:w="1216"/>
        <w:gridCol w:w="1105"/>
        <w:gridCol w:w="1117"/>
        <w:gridCol w:w="1005"/>
      </w:tblGrid>
      <w:tr w:rsidR="00CA15E3" w:rsidRPr="00CA15E3" w14:paraId="3934E2DA" w14:textId="77777777" w:rsidTr="00CA15E3">
        <w:trPr>
          <w:trHeight w:val="870"/>
        </w:trPr>
        <w:tc>
          <w:tcPr>
            <w:tcW w:w="519" w:type="dxa"/>
            <w:tcBorders>
              <w:top w:val="single" w:sz="8" w:space="0" w:color="000000"/>
              <w:left w:val="single" w:sz="8" w:space="0" w:color="000000"/>
              <w:bottom w:val="single" w:sz="8" w:space="0" w:color="000000"/>
              <w:right w:val="single" w:sz="8" w:space="0" w:color="000000"/>
            </w:tcBorders>
            <w:vAlign w:val="center"/>
            <w:hideMark/>
          </w:tcPr>
          <w:p w14:paraId="292477E7" w14:textId="77777777" w:rsidR="00CA15E3" w:rsidRPr="00CA15E3" w:rsidRDefault="00CA15E3" w:rsidP="00CA15E3">
            <w:pPr>
              <w:widowControl/>
              <w:autoSpaceDE/>
              <w:autoSpaceDN/>
              <w:rPr>
                <w:b/>
                <w:bCs/>
                <w:color w:val="000000"/>
                <w:sz w:val="20"/>
                <w:szCs w:val="20"/>
              </w:rPr>
            </w:pPr>
            <w:r>
              <w:rPr>
                <w:b/>
                <w:bCs/>
                <w:color w:val="000000"/>
                <w:sz w:val="20"/>
                <w:szCs w:val="20"/>
              </w:rPr>
              <w:t> </w:t>
            </w:r>
          </w:p>
        </w:tc>
        <w:tc>
          <w:tcPr>
            <w:tcW w:w="940" w:type="dxa"/>
            <w:tcBorders>
              <w:top w:val="single" w:sz="8" w:space="0" w:color="000000"/>
              <w:left w:val="nil"/>
              <w:bottom w:val="single" w:sz="8" w:space="0" w:color="000000"/>
              <w:right w:val="single" w:sz="8" w:space="0" w:color="000000"/>
            </w:tcBorders>
            <w:vAlign w:val="center"/>
            <w:hideMark/>
          </w:tcPr>
          <w:p w14:paraId="771897EE" w14:textId="77777777" w:rsidR="00CA15E3" w:rsidRPr="00CA15E3" w:rsidRDefault="00CA15E3" w:rsidP="00CA15E3">
            <w:pPr>
              <w:widowControl/>
              <w:autoSpaceDE/>
              <w:autoSpaceDN/>
              <w:jc w:val="right"/>
              <w:rPr>
                <w:b/>
                <w:bCs/>
                <w:color w:val="000000"/>
                <w:sz w:val="20"/>
                <w:szCs w:val="20"/>
              </w:rPr>
            </w:pPr>
            <w:r>
              <w:rPr>
                <w:b/>
                <w:bCs/>
                <w:color w:val="000000"/>
                <w:sz w:val="20"/>
                <w:szCs w:val="20"/>
              </w:rPr>
              <w:t>Q²predict</w:t>
            </w:r>
          </w:p>
        </w:tc>
        <w:tc>
          <w:tcPr>
            <w:tcW w:w="1253" w:type="dxa"/>
            <w:tcBorders>
              <w:top w:val="single" w:sz="8" w:space="0" w:color="000000"/>
              <w:left w:val="nil"/>
              <w:bottom w:val="single" w:sz="8" w:space="0" w:color="000000"/>
              <w:right w:val="single" w:sz="8" w:space="0" w:color="000000"/>
            </w:tcBorders>
            <w:vAlign w:val="center"/>
            <w:hideMark/>
          </w:tcPr>
          <w:p w14:paraId="05897C73" w14:textId="77777777" w:rsidR="00CA15E3" w:rsidRPr="00CA15E3" w:rsidRDefault="00CA15E3" w:rsidP="00CA15E3">
            <w:pPr>
              <w:widowControl/>
              <w:autoSpaceDE/>
              <w:autoSpaceDN/>
              <w:jc w:val="right"/>
              <w:rPr>
                <w:b/>
                <w:bCs/>
                <w:color w:val="000000"/>
                <w:sz w:val="20"/>
                <w:szCs w:val="20"/>
              </w:rPr>
            </w:pPr>
            <w:r>
              <w:rPr>
                <w:b/>
                <w:bCs/>
                <w:color w:val="000000"/>
                <w:sz w:val="20"/>
                <w:szCs w:val="20"/>
              </w:rPr>
              <w:t>PLS-SEM_RMSE</w:t>
            </w:r>
          </w:p>
        </w:tc>
        <w:tc>
          <w:tcPr>
            <w:tcW w:w="1130" w:type="dxa"/>
            <w:tcBorders>
              <w:top w:val="single" w:sz="8" w:space="0" w:color="000000"/>
              <w:left w:val="nil"/>
              <w:bottom w:val="single" w:sz="8" w:space="0" w:color="000000"/>
              <w:right w:val="single" w:sz="8" w:space="0" w:color="000000"/>
            </w:tcBorders>
            <w:vAlign w:val="center"/>
            <w:hideMark/>
          </w:tcPr>
          <w:p w14:paraId="06780C57" w14:textId="77777777" w:rsidR="00CA15E3" w:rsidRPr="00CA15E3" w:rsidRDefault="00CA15E3" w:rsidP="00CA15E3">
            <w:pPr>
              <w:widowControl/>
              <w:autoSpaceDE/>
              <w:autoSpaceDN/>
              <w:jc w:val="right"/>
              <w:rPr>
                <w:b/>
                <w:bCs/>
                <w:color w:val="000000"/>
                <w:sz w:val="20"/>
                <w:szCs w:val="20"/>
              </w:rPr>
            </w:pPr>
            <w:r>
              <w:rPr>
                <w:b/>
                <w:bCs/>
                <w:color w:val="000000"/>
                <w:sz w:val="20"/>
                <w:szCs w:val="20"/>
              </w:rPr>
              <w:t>PLS-SEM_MAE</w:t>
            </w:r>
          </w:p>
        </w:tc>
        <w:tc>
          <w:tcPr>
            <w:tcW w:w="1130" w:type="dxa"/>
            <w:tcBorders>
              <w:top w:val="single" w:sz="8" w:space="0" w:color="000000"/>
              <w:left w:val="nil"/>
              <w:bottom w:val="single" w:sz="8" w:space="0" w:color="000000"/>
              <w:right w:val="single" w:sz="8" w:space="0" w:color="000000"/>
            </w:tcBorders>
            <w:vAlign w:val="center"/>
            <w:hideMark/>
          </w:tcPr>
          <w:p w14:paraId="467E20CC" w14:textId="77777777" w:rsidR="00CA15E3" w:rsidRPr="00CA15E3" w:rsidRDefault="00CA15E3" w:rsidP="00CA15E3">
            <w:pPr>
              <w:widowControl/>
              <w:autoSpaceDE/>
              <w:autoSpaceDN/>
              <w:jc w:val="right"/>
              <w:rPr>
                <w:b/>
                <w:bCs/>
                <w:color w:val="000000"/>
                <w:sz w:val="20"/>
                <w:szCs w:val="20"/>
              </w:rPr>
            </w:pPr>
            <w:r>
              <w:rPr>
                <w:b/>
                <w:bCs/>
                <w:color w:val="000000"/>
                <w:sz w:val="20"/>
                <w:szCs w:val="20"/>
              </w:rPr>
              <w:t>LM_RMSE</w:t>
            </w:r>
          </w:p>
        </w:tc>
        <w:tc>
          <w:tcPr>
            <w:tcW w:w="1008" w:type="dxa"/>
            <w:tcBorders>
              <w:top w:val="single" w:sz="8" w:space="0" w:color="000000"/>
              <w:left w:val="nil"/>
              <w:bottom w:val="single" w:sz="8" w:space="0" w:color="000000"/>
              <w:right w:val="single" w:sz="8" w:space="0" w:color="000000"/>
            </w:tcBorders>
            <w:vAlign w:val="center"/>
            <w:hideMark/>
          </w:tcPr>
          <w:p w14:paraId="6FBD1EFA" w14:textId="77777777" w:rsidR="00CA15E3" w:rsidRPr="00CA15E3" w:rsidRDefault="00CA15E3" w:rsidP="00CA15E3">
            <w:pPr>
              <w:widowControl/>
              <w:autoSpaceDE/>
              <w:autoSpaceDN/>
              <w:jc w:val="right"/>
              <w:rPr>
                <w:b/>
                <w:bCs/>
                <w:color w:val="000000"/>
                <w:sz w:val="20"/>
                <w:szCs w:val="20"/>
              </w:rPr>
            </w:pPr>
            <w:r>
              <w:rPr>
                <w:b/>
                <w:bCs/>
                <w:color w:val="000000"/>
                <w:sz w:val="20"/>
                <w:szCs w:val="20"/>
              </w:rPr>
              <w:t>LM_MAE</w:t>
            </w:r>
          </w:p>
        </w:tc>
        <w:tc>
          <w:tcPr>
            <w:tcW w:w="1021" w:type="dxa"/>
            <w:tcBorders>
              <w:top w:val="single" w:sz="8" w:space="0" w:color="000000"/>
              <w:left w:val="nil"/>
              <w:bottom w:val="single" w:sz="8" w:space="0" w:color="000000"/>
              <w:right w:val="single" w:sz="8" w:space="0" w:color="000000"/>
            </w:tcBorders>
            <w:vAlign w:val="center"/>
            <w:hideMark/>
          </w:tcPr>
          <w:p w14:paraId="455A5A1A" w14:textId="77777777" w:rsidR="00CA15E3" w:rsidRPr="00CA15E3" w:rsidRDefault="00CA15E3" w:rsidP="00CA15E3">
            <w:pPr>
              <w:widowControl/>
              <w:autoSpaceDE/>
              <w:autoSpaceDN/>
              <w:jc w:val="right"/>
              <w:rPr>
                <w:b/>
                <w:bCs/>
                <w:color w:val="000000"/>
                <w:sz w:val="20"/>
                <w:szCs w:val="20"/>
              </w:rPr>
            </w:pPr>
            <w:r>
              <w:rPr>
                <w:b/>
                <w:bCs/>
                <w:color w:val="000000"/>
                <w:sz w:val="20"/>
                <w:szCs w:val="20"/>
              </w:rPr>
              <w:t>IA_RMSE</w:t>
            </w:r>
          </w:p>
        </w:tc>
        <w:tc>
          <w:tcPr>
            <w:tcW w:w="898" w:type="dxa"/>
            <w:tcBorders>
              <w:top w:val="single" w:sz="8" w:space="0" w:color="000000"/>
              <w:left w:val="nil"/>
              <w:bottom w:val="single" w:sz="8" w:space="0" w:color="000000"/>
              <w:right w:val="single" w:sz="8" w:space="0" w:color="000000"/>
            </w:tcBorders>
            <w:vAlign w:val="center"/>
            <w:hideMark/>
          </w:tcPr>
          <w:p w14:paraId="363F65E5" w14:textId="77777777" w:rsidR="00CA15E3" w:rsidRPr="00CA15E3" w:rsidRDefault="00CA15E3" w:rsidP="00CA15E3">
            <w:pPr>
              <w:widowControl/>
              <w:autoSpaceDE/>
              <w:autoSpaceDN/>
              <w:jc w:val="right"/>
              <w:rPr>
                <w:b/>
                <w:bCs/>
                <w:color w:val="000000"/>
                <w:sz w:val="20"/>
                <w:szCs w:val="20"/>
              </w:rPr>
            </w:pPr>
            <w:r>
              <w:rPr>
                <w:b/>
                <w:bCs/>
                <w:color w:val="000000"/>
                <w:sz w:val="20"/>
                <w:szCs w:val="20"/>
              </w:rPr>
              <w:t>IA_MAE</w:t>
            </w:r>
          </w:p>
        </w:tc>
      </w:tr>
      <w:tr w:rsidR="00CA15E3" w:rsidRPr="00CA15E3" w14:paraId="010C33D9"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3CEF84CF" w14:textId="77777777" w:rsidR="00CA15E3" w:rsidRPr="00CA15E3" w:rsidRDefault="00CA15E3" w:rsidP="00CA15E3">
            <w:pPr>
              <w:widowControl/>
              <w:autoSpaceDE/>
              <w:autoSpaceDN/>
              <w:rPr>
                <w:b/>
                <w:bCs/>
                <w:color w:val="000000"/>
                <w:sz w:val="20"/>
                <w:szCs w:val="20"/>
              </w:rPr>
            </w:pPr>
            <w:r>
              <w:rPr>
                <w:b/>
                <w:bCs/>
                <w:color w:val="000000"/>
                <w:sz w:val="20"/>
                <w:szCs w:val="20"/>
              </w:rPr>
              <w:t>CC1</w:t>
            </w:r>
          </w:p>
        </w:tc>
        <w:tc>
          <w:tcPr>
            <w:tcW w:w="940" w:type="dxa"/>
            <w:tcBorders>
              <w:top w:val="nil"/>
              <w:left w:val="nil"/>
              <w:bottom w:val="single" w:sz="8" w:space="0" w:color="000000"/>
              <w:right w:val="single" w:sz="8" w:space="0" w:color="000000"/>
            </w:tcBorders>
            <w:vAlign w:val="center"/>
            <w:hideMark/>
          </w:tcPr>
          <w:p w14:paraId="4BC6DB34" w14:textId="77777777" w:rsidR="00CA15E3" w:rsidRPr="00CA15E3" w:rsidRDefault="00CA15E3" w:rsidP="00CA15E3">
            <w:pPr>
              <w:widowControl/>
              <w:autoSpaceDE/>
              <w:autoSpaceDN/>
              <w:jc w:val="right"/>
              <w:rPr>
                <w:color w:val="000000"/>
                <w:sz w:val="20"/>
                <w:szCs w:val="20"/>
              </w:rPr>
            </w:pPr>
            <w:r>
              <w:rPr>
                <w:color w:val="000000"/>
                <w:sz w:val="20"/>
                <w:szCs w:val="20"/>
              </w:rPr>
              <w:t>0.157</w:t>
            </w:r>
          </w:p>
        </w:tc>
        <w:tc>
          <w:tcPr>
            <w:tcW w:w="1253" w:type="dxa"/>
            <w:tcBorders>
              <w:top w:val="nil"/>
              <w:left w:val="nil"/>
              <w:bottom w:val="single" w:sz="8" w:space="0" w:color="000000"/>
              <w:right w:val="single" w:sz="8" w:space="0" w:color="000000"/>
            </w:tcBorders>
            <w:vAlign w:val="center"/>
            <w:hideMark/>
          </w:tcPr>
          <w:p w14:paraId="26D44A36" w14:textId="77777777" w:rsidR="00CA15E3" w:rsidRPr="00CA15E3" w:rsidRDefault="00CA15E3" w:rsidP="00CA15E3">
            <w:pPr>
              <w:widowControl/>
              <w:autoSpaceDE/>
              <w:autoSpaceDN/>
              <w:jc w:val="right"/>
              <w:rPr>
                <w:color w:val="000000"/>
                <w:sz w:val="20"/>
                <w:szCs w:val="20"/>
              </w:rPr>
            </w:pPr>
            <w:r>
              <w:rPr>
                <w:color w:val="000000"/>
                <w:sz w:val="20"/>
                <w:szCs w:val="20"/>
              </w:rPr>
              <w:t>1.169</w:t>
            </w:r>
          </w:p>
        </w:tc>
        <w:tc>
          <w:tcPr>
            <w:tcW w:w="1130" w:type="dxa"/>
            <w:tcBorders>
              <w:top w:val="nil"/>
              <w:left w:val="nil"/>
              <w:bottom w:val="single" w:sz="8" w:space="0" w:color="000000"/>
              <w:right w:val="single" w:sz="8" w:space="0" w:color="000000"/>
            </w:tcBorders>
            <w:vAlign w:val="center"/>
            <w:hideMark/>
          </w:tcPr>
          <w:p w14:paraId="392FB7CF" w14:textId="77777777" w:rsidR="00CA15E3" w:rsidRPr="00CA15E3" w:rsidRDefault="00CA15E3" w:rsidP="00CA15E3">
            <w:pPr>
              <w:widowControl/>
              <w:autoSpaceDE/>
              <w:autoSpaceDN/>
              <w:jc w:val="right"/>
              <w:rPr>
                <w:color w:val="000000"/>
                <w:sz w:val="20"/>
                <w:szCs w:val="20"/>
              </w:rPr>
            </w:pPr>
            <w:r>
              <w:rPr>
                <w:color w:val="000000"/>
                <w:sz w:val="20"/>
                <w:szCs w:val="20"/>
              </w:rPr>
              <w:t>0.985</w:t>
            </w:r>
          </w:p>
        </w:tc>
        <w:tc>
          <w:tcPr>
            <w:tcW w:w="1130" w:type="dxa"/>
            <w:tcBorders>
              <w:top w:val="nil"/>
              <w:left w:val="nil"/>
              <w:bottom w:val="single" w:sz="8" w:space="0" w:color="000000"/>
              <w:right w:val="single" w:sz="8" w:space="0" w:color="000000"/>
            </w:tcBorders>
            <w:vAlign w:val="center"/>
            <w:hideMark/>
          </w:tcPr>
          <w:p w14:paraId="76AB50E5" w14:textId="77777777" w:rsidR="00CA15E3" w:rsidRPr="00CA15E3" w:rsidRDefault="00CA15E3" w:rsidP="00CA15E3">
            <w:pPr>
              <w:widowControl/>
              <w:autoSpaceDE/>
              <w:autoSpaceDN/>
              <w:jc w:val="right"/>
              <w:rPr>
                <w:color w:val="000000"/>
                <w:sz w:val="20"/>
                <w:szCs w:val="20"/>
              </w:rPr>
            </w:pPr>
            <w:r>
              <w:rPr>
                <w:color w:val="000000"/>
                <w:sz w:val="20"/>
                <w:szCs w:val="20"/>
              </w:rPr>
              <w:t>1.135</w:t>
            </w:r>
          </w:p>
        </w:tc>
        <w:tc>
          <w:tcPr>
            <w:tcW w:w="1008" w:type="dxa"/>
            <w:tcBorders>
              <w:top w:val="nil"/>
              <w:left w:val="nil"/>
              <w:bottom w:val="single" w:sz="8" w:space="0" w:color="000000"/>
              <w:right w:val="single" w:sz="8" w:space="0" w:color="000000"/>
            </w:tcBorders>
            <w:vAlign w:val="center"/>
            <w:hideMark/>
          </w:tcPr>
          <w:p w14:paraId="254B5316" w14:textId="77777777" w:rsidR="00CA15E3" w:rsidRPr="00CA15E3" w:rsidRDefault="00CA15E3" w:rsidP="00CA15E3">
            <w:pPr>
              <w:widowControl/>
              <w:autoSpaceDE/>
              <w:autoSpaceDN/>
              <w:jc w:val="right"/>
              <w:rPr>
                <w:color w:val="000000"/>
                <w:sz w:val="20"/>
                <w:szCs w:val="20"/>
              </w:rPr>
            </w:pPr>
            <w:r>
              <w:rPr>
                <w:color w:val="000000"/>
                <w:sz w:val="20"/>
                <w:szCs w:val="20"/>
              </w:rPr>
              <w:t>0.926</w:t>
            </w:r>
          </w:p>
        </w:tc>
        <w:tc>
          <w:tcPr>
            <w:tcW w:w="1021" w:type="dxa"/>
            <w:tcBorders>
              <w:top w:val="nil"/>
              <w:left w:val="nil"/>
              <w:bottom w:val="single" w:sz="8" w:space="0" w:color="000000"/>
              <w:right w:val="single" w:sz="8" w:space="0" w:color="000000"/>
            </w:tcBorders>
            <w:vAlign w:val="center"/>
            <w:hideMark/>
          </w:tcPr>
          <w:p w14:paraId="55BF2A10" w14:textId="77777777" w:rsidR="00CA15E3" w:rsidRPr="00CA15E3" w:rsidRDefault="00CA15E3" w:rsidP="00CA15E3">
            <w:pPr>
              <w:widowControl/>
              <w:autoSpaceDE/>
              <w:autoSpaceDN/>
              <w:jc w:val="right"/>
              <w:rPr>
                <w:color w:val="000000"/>
                <w:sz w:val="20"/>
                <w:szCs w:val="20"/>
              </w:rPr>
            </w:pPr>
            <w:r>
              <w:rPr>
                <w:color w:val="000000"/>
                <w:sz w:val="20"/>
                <w:szCs w:val="20"/>
              </w:rPr>
              <w:t>1.273</w:t>
            </w:r>
          </w:p>
        </w:tc>
        <w:tc>
          <w:tcPr>
            <w:tcW w:w="898" w:type="dxa"/>
            <w:tcBorders>
              <w:top w:val="nil"/>
              <w:left w:val="nil"/>
              <w:bottom w:val="single" w:sz="8" w:space="0" w:color="000000"/>
              <w:right w:val="single" w:sz="8" w:space="0" w:color="000000"/>
            </w:tcBorders>
            <w:vAlign w:val="center"/>
            <w:hideMark/>
          </w:tcPr>
          <w:p w14:paraId="21BD950F" w14:textId="77777777" w:rsidR="00CA15E3" w:rsidRPr="00CA15E3" w:rsidRDefault="00CA15E3" w:rsidP="00CA15E3">
            <w:pPr>
              <w:widowControl/>
              <w:autoSpaceDE/>
              <w:autoSpaceDN/>
              <w:jc w:val="right"/>
              <w:rPr>
                <w:color w:val="000000"/>
                <w:sz w:val="20"/>
                <w:szCs w:val="20"/>
              </w:rPr>
            </w:pPr>
            <w:r>
              <w:rPr>
                <w:color w:val="000000"/>
                <w:sz w:val="20"/>
                <w:szCs w:val="20"/>
              </w:rPr>
              <w:t>1.045</w:t>
            </w:r>
          </w:p>
        </w:tc>
      </w:tr>
      <w:tr w:rsidR="00CA15E3" w:rsidRPr="00CA15E3" w14:paraId="29F0E1B5"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4C2DC5AD" w14:textId="77777777" w:rsidR="00CA15E3" w:rsidRPr="00CA15E3" w:rsidRDefault="00CA15E3" w:rsidP="00CA15E3">
            <w:pPr>
              <w:widowControl/>
              <w:autoSpaceDE/>
              <w:autoSpaceDN/>
              <w:rPr>
                <w:b/>
                <w:bCs/>
                <w:color w:val="000000"/>
                <w:sz w:val="20"/>
                <w:szCs w:val="20"/>
              </w:rPr>
            </w:pPr>
            <w:r>
              <w:rPr>
                <w:b/>
                <w:bCs/>
                <w:color w:val="000000"/>
                <w:sz w:val="20"/>
                <w:szCs w:val="20"/>
              </w:rPr>
              <w:t>CC2</w:t>
            </w:r>
          </w:p>
        </w:tc>
        <w:tc>
          <w:tcPr>
            <w:tcW w:w="940" w:type="dxa"/>
            <w:tcBorders>
              <w:top w:val="nil"/>
              <w:left w:val="nil"/>
              <w:bottom w:val="single" w:sz="8" w:space="0" w:color="000000"/>
              <w:right w:val="single" w:sz="8" w:space="0" w:color="000000"/>
            </w:tcBorders>
            <w:vAlign w:val="center"/>
            <w:hideMark/>
          </w:tcPr>
          <w:p w14:paraId="13056062" w14:textId="77777777" w:rsidR="00CA15E3" w:rsidRPr="00CA15E3" w:rsidRDefault="00CA15E3" w:rsidP="00CA15E3">
            <w:pPr>
              <w:widowControl/>
              <w:autoSpaceDE/>
              <w:autoSpaceDN/>
              <w:jc w:val="right"/>
              <w:rPr>
                <w:color w:val="000000"/>
                <w:sz w:val="20"/>
                <w:szCs w:val="20"/>
              </w:rPr>
            </w:pPr>
            <w:r>
              <w:rPr>
                <w:color w:val="000000"/>
                <w:sz w:val="20"/>
                <w:szCs w:val="20"/>
              </w:rPr>
              <w:t>0.217</w:t>
            </w:r>
          </w:p>
        </w:tc>
        <w:tc>
          <w:tcPr>
            <w:tcW w:w="1253" w:type="dxa"/>
            <w:tcBorders>
              <w:top w:val="nil"/>
              <w:left w:val="nil"/>
              <w:bottom w:val="single" w:sz="8" w:space="0" w:color="000000"/>
              <w:right w:val="single" w:sz="8" w:space="0" w:color="000000"/>
            </w:tcBorders>
            <w:vAlign w:val="center"/>
            <w:hideMark/>
          </w:tcPr>
          <w:p w14:paraId="504F4912" w14:textId="77777777" w:rsidR="00CA15E3" w:rsidRPr="00CA15E3" w:rsidRDefault="00CA15E3" w:rsidP="00CA15E3">
            <w:pPr>
              <w:widowControl/>
              <w:autoSpaceDE/>
              <w:autoSpaceDN/>
              <w:jc w:val="right"/>
              <w:rPr>
                <w:color w:val="000000"/>
                <w:sz w:val="20"/>
                <w:szCs w:val="20"/>
              </w:rPr>
            </w:pPr>
            <w:r>
              <w:rPr>
                <w:color w:val="000000"/>
                <w:sz w:val="20"/>
                <w:szCs w:val="20"/>
              </w:rPr>
              <w:t>1.197</w:t>
            </w:r>
          </w:p>
        </w:tc>
        <w:tc>
          <w:tcPr>
            <w:tcW w:w="1130" w:type="dxa"/>
            <w:tcBorders>
              <w:top w:val="nil"/>
              <w:left w:val="nil"/>
              <w:bottom w:val="single" w:sz="8" w:space="0" w:color="000000"/>
              <w:right w:val="single" w:sz="8" w:space="0" w:color="000000"/>
            </w:tcBorders>
            <w:vAlign w:val="center"/>
            <w:hideMark/>
          </w:tcPr>
          <w:p w14:paraId="0CB31D98" w14:textId="77777777" w:rsidR="00CA15E3" w:rsidRPr="00CA15E3" w:rsidRDefault="00CA15E3" w:rsidP="00CA15E3">
            <w:pPr>
              <w:widowControl/>
              <w:autoSpaceDE/>
              <w:autoSpaceDN/>
              <w:jc w:val="right"/>
              <w:rPr>
                <w:color w:val="000000"/>
                <w:sz w:val="20"/>
                <w:szCs w:val="20"/>
              </w:rPr>
            </w:pPr>
            <w:r>
              <w:rPr>
                <w:color w:val="000000"/>
                <w:sz w:val="20"/>
                <w:szCs w:val="20"/>
              </w:rPr>
              <w:t>0.944</w:t>
            </w:r>
          </w:p>
        </w:tc>
        <w:tc>
          <w:tcPr>
            <w:tcW w:w="1130" w:type="dxa"/>
            <w:tcBorders>
              <w:top w:val="nil"/>
              <w:left w:val="nil"/>
              <w:bottom w:val="single" w:sz="8" w:space="0" w:color="000000"/>
              <w:right w:val="single" w:sz="8" w:space="0" w:color="000000"/>
            </w:tcBorders>
            <w:vAlign w:val="center"/>
            <w:hideMark/>
          </w:tcPr>
          <w:p w14:paraId="4E8312D4" w14:textId="77777777" w:rsidR="00CA15E3" w:rsidRPr="00CA15E3" w:rsidRDefault="00CA15E3" w:rsidP="00CA15E3">
            <w:pPr>
              <w:widowControl/>
              <w:autoSpaceDE/>
              <w:autoSpaceDN/>
              <w:jc w:val="right"/>
              <w:rPr>
                <w:color w:val="000000"/>
                <w:sz w:val="20"/>
                <w:szCs w:val="20"/>
              </w:rPr>
            </w:pPr>
            <w:r>
              <w:rPr>
                <w:color w:val="000000"/>
                <w:sz w:val="20"/>
                <w:szCs w:val="20"/>
              </w:rPr>
              <w:t>1.241</w:t>
            </w:r>
          </w:p>
        </w:tc>
        <w:tc>
          <w:tcPr>
            <w:tcW w:w="1008" w:type="dxa"/>
            <w:tcBorders>
              <w:top w:val="nil"/>
              <w:left w:val="nil"/>
              <w:bottom w:val="single" w:sz="8" w:space="0" w:color="000000"/>
              <w:right w:val="single" w:sz="8" w:space="0" w:color="000000"/>
            </w:tcBorders>
            <w:vAlign w:val="center"/>
            <w:hideMark/>
          </w:tcPr>
          <w:p w14:paraId="15763B37" w14:textId="77777777" w:rsidR="00CA15E3" w:rsidRPr="00CA15E3" w:rsidRDefault="00CA15E3" w:rsidP="00CA15E3">
            <w:pPr>
              <w:widowControl/>
              <w:autoSpaceDE/>
              <w:autoSpaceDN/>
              <w:jc w:val="right"/>
              <w:rPr>
                <w:color w:val="000000"/>
                <w:sz w:val="20"/>
                <w:szCs w:val="20"/>
              </w:rPr>
            </w:pPr>
            <w:r>
              <w:rPr>
                <w:color w:val="000000"/>
                <w:sz w:val="20"/>
                <w:szCs w:val="20"/>
              </w:rPr>
              <w:t>0.788</w:t>
            </w:r>
          </w:p>
        </w:tc>
        <w:tc>
          <w:tcPr>
            <w:tcW w:w="1021" w:type="dxa"/>
            <w:tcBorders>
              <w:top w:val="nil"/>
              <w:left w:val="nil"/>
              <w:bottom w:val="single" w:sz="8" w:space="0" w:color="000000"/>
              <w:right w:val="single" w:sz="8" w:space="0" w:color="000000"/>
            </w:tcBorders>
            <w:vAlign w:val="center"/>
            <w:hideMark/>
          </w:tcPr>
          <w:p w14:paraId="73CA6B8B" w14:textId="77777777" w:rsidR="00CA15E3" w:rsidRPr="00CA15E3" w:rsidRDefault="00CA15E3" w:rsidP="00CA15E3">
            <w:pPr>
              <w:widowControl/>
              <w:autoSpaceDE/>
              <w:autoSpaceDN/>
              <w:jc w:val="right"/>
              <w:rPr>
                <w:color w:val="000000"/>
                <w:sz w:val="20"/>
                <w:szCs w:val="20"/>
              </w:rPr>
            </w:pPr>
            <w:r>
              <w:rPr>
                <w:color w:val="000000"/>
                <w:sz w:val="20"/>
                <w:szCs w:val="20"/>
              </w:rPr>
              <w:t>1.353</w:t>
            </w:r>
          </w:p>
        </w:tc>
        <w:tc>
          <w:tcPr>
            <w:tcW w:w="898" w:type="dxa"/>
            <w:tcBorders>
              <w:top w:val="nil"/>
              <w:left w:val="nil"/>
              <w:bottom w:val="single" w:sz="8" w:space="0" w:color="000000"/>
              <w:right w:val="single" w:sz="8" w:space="0" w:color="000000"/>
            </w:tcBorders>
            <w:vAlign w:val="center"/>
            <w:hideMark/>
          </w:tcPr>
          <w:p w14:paraId="378CA709" w14:textId="77777777" w:rsidR="00CA15E3" w:rsidRPr="00CA15E3" w:rsidRDefault="00CA15E3" w:rsidP="00CA15E3">
            <w:pPr>
              <w:widowControl/>
              <w:autoSpaceDE/>
              <w:autoSpaceDN/>
              <w:jc w:val="right"/>
              <w:rPr>
                <w:color w:val="000000"/>
                <w:sz w:val="20"/>
                <w:szCs w:val="20"/>
              </w:rPr>
            </w:pPr>
            <w:r>
              <w:rPr>
                <w:color w:val="000000"/>
                <w:sz w:val="20"/>
                <w:szCs w:val="20"/>
              </w:rPr>
              <w:t>1.031</w:t>
            </w:r>
          </w:p>
        </w:tc>
      </w:tr>
      <w:tr w:rsidR="00CA15E3" w:rsidRPr="00CA15E3" w14:paraId="489E5F93"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190FA3A4" w14:textId="77777777" w:rsidR="00CA15E3" w:rsidRPr="00CA15E3" w:rsidRDefault="00CA15E3" w:rsidP="00CA15E3">
            <w:pPr>
              <w:widowControl/>
              <w:autoSpaceDE/>
              <w:autoSpaceDN/>
              <w:rPr>
                <w:b/>
                <w:bCs/>
                <w:color w:val="000000"/>
                <w:sz w:val="20"/>
                <w:szCs w:val="20"/>
              </w:rPr>
            </w:pPr>
            <w:r>
              <w:rPr>
                <w:b/>
                <w:bCs/>
                <w:color w:val="000000"/>
                <w:sz w:val="20"/>
                <w:szCs w:val="20"/>
              </w:rPr>
              <w:t>CC3</w:t>
            </w:r>
          </w:p>
        </w:tc>
        <w:tc>
          <w:tcPr>
            <w:tcW w:w="940" w:type="dxa"/>
            <w:tcBorders>
              <w:top w:val="nil"/>
              <w:left w:val="nil"/>
              <w:bottom w:val="single" w:sz="8" w:space="0" w:color="000000"/>
              <w:right w:val="single" w:sz="8" w:space="0" w:color="000000"/>
            </w:tcBorders>
            <w:vAlign w:val="center"/>
            <w:hideMark/>
          </w:tcPr>
          <w:p w14:paraId="0805779D" w14:textId="77777777" w:rsidR="00CA15E3" w:rsidRPr="00CA15E3" w:rsidRDefault="00CA15E3" w:rsidP="00CA15E3">
            <w:pPr>
              <w:widowControl/>
              <w:autoSpaceDE/>
              <w:autoSpaceDN/>
              <w:jc w:val="right"/>
              <w:rPr>
                <w:color w:val="000000"/>
                <w:sz w:val="20"/>
                <w:szCs w:val="20"/>
              </w:rPr>
            </w:pPr>
            <w:r>
              <w:rPr>
                <w:color w:val="000000"/>
                <w:sz w:val="20"/>
                <w:szCs w:val="20"/>
              </w:rPr>
              <w:t>0.210</w:t>
            </w:r>
          </w:p>
        </w:tc>
        <w:tc>
          <w:tcPr>
            <w:tcW w:w="1253" w:type="dxa"/>
            <w:tcBorders>
              <w:top w:val="nil"/>
              <w:left w:val="nil"/>
              <w:bottom w:val="single" w:sz="8" w:space="0" w:color="000000"/>
              <w:right w:val="single" w:sz="8" w:space="0" w:color="000000"/>
            </w:tcBorders>
            <w:vAlign w:val="center"/>
            <w:hideMark/>
          </w:tcPr>
          <w:p w14:paraId="54CA7BE1" w14:textId="77777777" w:rsidR="00CA15E3" w:rsidRPr="00CA15E3" w:rsidRDefault="00CA15E3" w:rsidP="00CA15E3">
            <w:pPr>
              <w:widowControl/>
              <w:autoSpaceDE/>
              <w:autoSpaceDN/>
              <w:jc w:val="right"/>
              <w:rPr>
                <w:color w:val="000000"/>
                <w:sz w:val="20"/>
                <w:szCs w:val="20"/>
              </w:rPr>
            </w:pPr>
            <w:r>
              <w:rPr>
                <w:color w:val="000000"/>
                <w:sz w:val="20"/>
                <w:szCs w:val="20"/>
              </w:rPr>
              <w:t>1.199</w:t>
            </w:r>
          </w:p>
        </w:tc>
        <w:tc>
          <w:tcPr>
            <w:tcW w:w="1130" w:type="dxa"/>
            <w:tcBorders>
              <w:top w:val="nil"/>
              <w:left w:val="nil"/>
              <w:bottom w:val="single" w:sz="8" w:space="0" w:color="000000"/>
              <w:right w:val="single" w:sz="8" w:space="0" w:color="000000"/>
            </w:tcBorders>
            <w:vAlign w:val="center"/>
            <w:hideMark/>
          </w:tcPr>
          <w:p w14:paraId="76FF4944" w14:textId="77777777" w:rsidR="00CA15E3" w:rsidRPr="00CA15E3" w:rsidRDefault="00CA15E3" w:rsidP="00CA15E3">
            <w:pPr>
              <w:widowControl/>
              <w:autoSpaceDE/>
              <w:autoSpaceDN/>
              <w:jc w:val="right"/>
              <w:rPr>
                <w:color w:val="000000"/>
                <w:sz w:val="20"/>
                <w:szCs w:val="20"/>
              </w:rPr>
            </w:pPr>
            <w:r>
              <w:rPr>
                <w:color w:val="000000"/>
                <w:sz w:val="20"/>
                <w:szCs w:val="20"/>
              </w:rPr>
              <w:t>0.987</w:t>
            </w:r>
          </w:p>
        </w:tc>
        <w:tc>
          <w:tcPr>
            <w:tcW w:w="1130" w:type="dxa"/>
            <w:tcBorders>
              <w:top w:val="nil"/>
              <w:left w:val="nil"/>
              <w:bottom w:val="single" w:sz="8" w:space="0" w:color="000000"/>
              <w:right w:val="single" w:sz="8" w:space="0" w:color="000000"/>
            </w:tcBorders>
            <w:vAlign w:val="center"/>
            <w:hideMark/>
          </w:tcPr>
          <w:p w14:paraId="3AAAB070" w14:textId="77777777" w:rsidR="00CA15E3" w:rsidRPr="00CA15E3" w:rsidRDefault="00CA15E3" w:rsidP="00CA15E3">
            <w:pPr>
              <w:widowControl/>
              <w:autoSpaceDE/>
              <w:autoSpaceDN/>
              <w:jc w:val="right"/>
              <w:rPr>
                <w:color w:val="000000"/>
                <w:sz w:val="20"/>
                <w:szCs w:val="20"/>
              </w:rPr>
            </w:pPr>
            <w:r>
              <w:rPr>
                <w:color w:val="000000"/>
                <w:sz w:val="20"/>
                <w:szCs w:val="20"/>
              </w:rPr>
              <w:t>1.292</w:t>
            </w:r>
          </w:p>
        </w:tc>
        <w:tc>
          <w:tcPr>
            <w:tcW w:w="1008" w:type="dxa"/>
            <w:tcBorders>
              <w:top w:val="nil"/>
              <w:left w:val="nil"/>
              <w:bottom w:val="single" w:sz="8" w:space="0" w:color="000000"/>
              <w:right w:val="single" w:sz="8" w:space="0" w:color="000000"/>
            </w:tcBorders>
            <w:vAlign w:val="center"/>
            <w:hideMark/>
          </w:tcPr>
          <w:p w14:paraId="413F808B" w14:textId="77777777" w:rsidR="00CA15E3" w:rsidRPr="00CA15E3" w:rsidRDefault="00CA15E3" w:rsidP="00CA15E3">
            <w:pPr>
              <w:widowControl/>
              <w:autoSpaceDE/>
              <w:autoSpaceDN/>
              <w:jc w:val="right"/>
              <w:rPr>
                <w:color w:val="000000"/>
                <w:sz w:val="20"/>
                <w:szCs w:val="20"/>
              </w:rPr>
            </w:pPr>
            <w:r>
              <w:rPr>
                <w:color w:val="000000"/>
                <w:sz w:val="20"/>
                <w:szCs w:val="20"/>
              </w:rPr>
              <w:t>0.889</w:t>
            </w:r>
          </w:p>
        </w:tc>
        <w:tc>
          <w:tcPr>
            <w:tcW w:w="1021" w:type="dxa"/>
            <w:tcBorders>
              <w:top w:val="nil"/>
              <w:left w:val="nil"/>
              <w:bottom w:val="single" w:sz="8" w:space="0" w:color="000000"/>
              <w:right w:val="single" w:sz="8" w:space="0" w:color="000000"/>
            </w:tcBorders>
            <w:vAlign w:val="center"/>
            <w:hideMark/>
          </w:tcPr>
          <w:p w14:paraId="3C3335C1" w14:textId="77777777" w:rsidR="00CA15E3" w:rsidRPr="00CA15E3" w:rsidRDefault="00CA15E3" w:rsidP="00CA15E3">
            <w:pPr>
              <w:widowControl/>
              <w:autoSpaceDE/>
              <w:autoSpaceDN/>
              <w:jc w:val="right"/>
              <w:rPr>
                <w:color w:val="000000"/>
                <w:sz w:val="20"/>
                <w:szCs w:val="20"/>
              </w:rPr>
            </w:pPr>
            <w:r>
              <w:rPr>
                <w:color w:val="000000"/>
                <w:sz w:val="20"/>
                <w:szCs w:val="20"/>
              </w:rPr>
              <w:t>1.349</w:t>
            </w:r>
          </w:p>
        </w:tc>
        <w:tc>
          <w:tcPr>
            <w:tcW w:w="898" w:type="dxa"/>
            <w:tcBorders>
              <w:top w:val="nil"/>
              <w:left w:val="nil"/>
              <w:bottom w:val="single" w:sz="8" w:space="0" w:color="000000"/>
              <w:right w:val="single" w:sz="8" w:space="0" w:color="000000"/>
            </w:tcBorders>
            <w:vAlign w:val="center"/>
            <w:hideMark/>
          </w:tcPr>
          <w:p w14:paraId="13A1FE1D" w14:textId="77777777" w:rsidR="00CA15E3" w:rsidRPr="00CA15E3" w:rsidRDefault="00CA15E3" w:rsidP="00CA15E3">
            <w:pPr>
              <w:widowControl/>
              <w:autoSpaceDE/>
              <w:autoSpaceDN/>
              <w:jc w:val="right"/>
              <w:rPr>
                <w:color w:val="000000"/>
                <w:sz w:val="20"/>
                <w:szCs w:val="20"/>
              </w:rPr>
            </w:pPr>
            <w:r>
              <w:rPr>
                <w:color w:val="000000"/>
                <w:sz w:val="20"/>
                <w:szCs w:val="20"/>
              </w:rPr>
              <w:t>1.113</w:t>
            </w:r>
          </w:p>
        </w:tc>
      </w:tr>
      <w:tr w:rsidR="00CA15E3" w:rsidRPr="00CA15E3" w14:paraId="64FAABA7"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7EC5575A" w14:textId="77777777" w:rsidR="00CA15E3" w:rsidRPr="00CA15E3" w:rsidRDefault="00CA15E3" w:rsidP="00CA15E3">
            <w:pPr>
              <w:widowControl/>
              <w:autoSpaceDE/>
              <w:autoSpaceDN/>
              <w:rPr>
                <w:b/>
                <w:bCs/>
                <w:color w:val="000000"/>
                <w:sz w:val="20"/>
                <w:szCs w:val="20"/>
              </w:rPr>
            </w:pPr>
            <w:r>
              <w:rPr>
                <w:b/>
                <w:bCs/>
                <w:color w:val="000000"/>
                <w:sz w:val="20"/>
                <w:szCs w:val="20"/>
              </w:rPr>
              <w:t>CC4</w:t>
            </w:r>
          </w:p>
        </w:tc>
        <w:tc>
          <w:tcPr>
            <w:tcW w:w="940" w:type="dxa"/>
            <w:tcBorders>
              <w:top w:val="nil"/>
              <w:left w:val="nil"/>
              <w:bottom w:val="single" w:sz="8" w:space="0" w:color="000000"/>
              <w:right w:val="single" w:sz="8" w:space="0" w:color="000000"/>
            </w:tcBorders>
            <w:vAlign w:val="center"/>
            <w:hideMark/>
          </w:tcPr>
          <w:p w14:paraId="73B50670" w14:textId="77777777" w:rsidR="00CA15E3" w:rsidRPr="00CA15E3" w:rsidRDefault="00CA15E3" w:rsidP="00CA15E3">
            <w:pPr>
              <w:widowControl/>
              <w:autoSpaceDE/>
              <w:autoSpaceDN/>
              <w:jc w:val="right"/>
              <w:rPr>
                <w:color w:val="000000"/>
                <w:sz w:val="20"/>
                <w:szCs w:val="20"/>
              </w:rPr>
            </w:pPr>
            <w:r>
              <w:rPr>
                <w:color w:val="000000"/>
                <w:sz w:val="20"/>
                <w:szCs w:val="20"/>
              </w:rPr>
              <w:t>0.064</w:t>
            </w:r>
          </w:p>
        </w:tc>
        <w:tc>
          <w:tcPr>
            <w:tcW w:w="1253" w:type="dxa"/>
            <w:tcBorders>
              <w:top w:val="nil"/>
              <w:left w:val="nil"/>
              <w:bottom w:val="single" w:sz="8" w:space="0" w:color="000000"/>
              <w:right w:val="single" w:sz="8" w:space="0" w:color="000000"/>
            </w:tcBorders>
            <w:vAlign w:val="center"/>
            <w:hideMark/>
          </w:tcPr>
          <w:p w14:paraId="02C4E283" w14:textId="77777777" w:rsidR="00CA15E3" w:rsidRPr="00CA15E3" w:rsidRDefault="00CA15E3" w:rsidP="00CA15E3">
            <w:pPr>
              <w:widowControl/>
              <w:autoSpaceDE/>
              <w:autoSpaceDN/>
              <w:jc w:val="right"/>
              <w:rPr>
                <w:color w:val="000000"/>
                <w:sz w:val="20"/>
                <w:szCs w:val="20"/>
              </w:rPr>
            </w:pPr>
            <w:r>
              <w:rPr>
                <w:color w:val="000000"/>
                <w:sz w:val="20"/>
                <w:szCs w:val="20"/>
              </w:rPr>
              <w:t>1.528</w:t>
            </w:r>
          </w:p>
        </w:tc>
        <w:tc>
          <w:tcPr>
            <w:tcW w:w="1130" w:type="dxa"/>
            <w:tcBorders>
              <w:top w:val="nil"/>
              <w:left w:val="nil"/>
              <w:bottom w:val="single" w:sz="8" w:space="0" w:color="000000"/>
              <w:right w:val="single" w:sz="8" w:space="0" w:color="000000"/>
            </w:tcBorders>
            <w:vAlign w:val="center"/>
            <w:hideMark/>
          </w:tcPr>
          <w:p w14:paraId="56327DC0" w14:textId="77777777" w:rsidR="00CA15E3" w:rsidRPr="00CA15E3" w:rsidRDefault="00CA15E3" w:rsidP="00CA15E3">
            <w:pPr>
              <w:widowControl/>
              <w:autoSpaceDE/>
              <w:autoSpaceDN/>
              <w:jc w:val="right"/>
              <w:rPr>
                <w:color w:val="000000"/>
                <w:sz w:val="20"/>
                <w:szCs w:val="20"/>
              </w:rPr>
            </w:pPr>
            <w:r>
              <w:rPr>
                <w:color w:val="000000"/>
                <w:sz w:val="20"/>
                <w:szCs w:val="20"/>
              </w:rPr>
              <w:t>1.264</w:t>
            </w:r>
          </w:p>
        </w:tc>
        <w:tc>
          <w:tcPr>
            <w:tcW w:w="1130" w:type="dxa"/>
            <w:tcBorders>
              <w:top w:val="nil"/>
              <w:left w:val="nil"/>
              <w:bottom w:val="single" w:sz="8" w:space="0" w:color="000000"/>
              <w:right w:val="single" w:sz="8" w:space="0" w:color="000000"/>
            </w:tcBorders>
            <w:vAlign w:val="center"/>
            <w:hideMark/>
          </w:tcPr>
          <w:p w14:paraId="6A0F1780" w14:textId="77777777" w:rsidR="00CA15E3" w:rsidRPr="00CA15E3" w:rsidRDefault="00CA15E3" w:rsidP="00CA15E3">
            <w:pPr>
              <w:widowControl/>
              <w:autoSpaceDE/>
              <w:autoSpaceDN/>
              <w:jc w:val="right"/>
              <w:rPr>
                <w:color w:val="000000"/>
                <w:sz w:val="20"/>
                <w:szCs w:val="20"/>
              </w:rPr>
            </w:pPr>
            <w:r>
              <w:rPr>
                <w:color w:val="000000"/>
                <w:sz w:val="20"/>
                <w:szCs w:val="20"/>
              </w:rPr>
              <w:t>1.561</w:t>
            </w:r>
          </w:p>
        </w:tc>
        <w:tc>
          <w:tcPr>
            <w:tcW w:w="1008" w:type="dxa"/>
            <w:tcBorders>
              <w:top w:val="nil"/>
              <w:left w:val="nil"/>
              <w:bottom w:val="single" w:sz="8" w:space="0" w:color="000000"/>
              <w:right w:val="single" w:sz="8" w:space="0" w:color="000000"/>
            </w:tcBorders>
            <w:vAlign w:val="center"/>
            <w:hideMark/>
          </w:tcPr>
          <w:p w14:paraId="600577CB" w14:textId="77777777" w:rsidR="00CA15E3" w:rsidRPr="00CA15E3" w:rsidRDefault="00CA15E3" w:rsidP="00CA15E3">
            <w:pPr>
              <w:widowControl/>
              <w:autoSpaceDE/>
              <w:autoSpaceDN/>
              <w:jc w:val="right"/>
              <w:rPr>
                <w:color w:val="000000"/>
                <w:sz w:val="20"/>
                <w:szCs w:val="20"/>
              </w:rPr>
            </w:pPr>
            <w:r>
              <w:rPr>
                <w:color w:val="000000"/>
                <w:sz w:val="20"/>
                <w:szCs w:val="20"/>
              </w:rPr>
              <w:t>1.293</w:t>
            </w:r>
          </w:p>
        </w:tc>
        <w:tc>
          <w:tcPr>
            <w:tcW w:w="1021" w:type="dxa"/>
            <w:tcBorders>
              <w:top w:val="nil"/>
              <w:left w:val="nil"/>
              <w:bottom w:val="single" w:sz="8" w:space="0" w:color="000000"/>
              <w:right w:val="single" w:sz="8" w:space="0" w:color="000000"/>
            </w:tcBorders>
            <w:vAlign w:val="center"/>
            <w:hideMark/>
          </w:tcPr>
          <w:p w14:paraId="4CD18EF9" w14:textId="77777777" w:rsidR="00CA15E3" w:rsidRPr="00CA15E3" w:rsidRDefault="00CA15E3" w:rsidP="00CA15E3">
            <w:pPr>
              <w:widowControl/>
              <w:autoSpaceDE/>
              <w:autoSpaceDN/>
              <w:jc w:val="right"/>
              <w:rPr>
                <w:color w:val="000000"/>
                <w:sz w:val="20"/>
                <w:szCs w:val="20"/>
              </w:rPr>
            </w:pPr>
            <w:r>
              <w:rPr>
                <w:color w:val="000000"/>
                <w:sz w:val="20"/>
                <w:szCs w:val="20"/>
              </w:rPr>
              <w:t>1.580</w:t>
            </w:r>
          </w:p>
        </w:tc>
        <w:tc>
          <w:tcPr>
            <w:tcW w:w="898" w:type="dxa"/>
            <w:tcBorders>
              <w:top w:val="nil"/>
              <w:left w:val="nil"/>
              <w:bottom w:val="single" w:sz="8" w:space="0" w:color="000000"/>
              <w:right w:val="single" w:sz="8" w:space="0" w:color="000000"/>
            </w:tcBorders>
            <w:vAlign w:val="center"/>
            <w:hideMark/>
          </w:tcPr>
          <w:p w14:paraId="1E66B356" w14:textId="77777777" w:rsidR="00CA15E3" w:rsidRPr="00CA15E3" w:rsidRDefault="00CA15E3" w:rsidP="00CA15E3">
            <w:pPr>
              <w:widowControl/>
              <w:autoSpaceDE/>
              <w:autoSpaceDN/>
              <w:jc w:val="right"/>
              <w:rPr>
                <w:color w:val="000000"/>
                <w:sz w:val="20"/>
                <w:szCs w:val="20"/>
              </w:rPr>
            </w:pPr>
            <w:r>
              <w:rPr>
                <w:color w:val="000000"/>
                <w:sz w:val="20"/>
                <w:szCs w:val="20"/>
              </w:rPr>
              <w:t>1.326</w:t>
            </w:r>
          </w:p>
        </w:tc>
      </w:tr>
      <w:tr w:rsidR="00CA15E3" w:rsidRPr="00CA15E3" w14:paraId="5BD1E819"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7F981575" w14:textId="77777777" w:rsidR="00CA15E3" w:rsidRPr="00CA15E3" w:rsidRDefault="00CA15E3" w:rsidP="00CA15E3">
            <w:pPr>
              <w:widowControl/>
              <w:autoSpaceDE/>
              <w:autoSpaceDN/>
              <w:rPr>
                <w:b/>
                <w:bCs/>
                <w:color w:val="000000"/>
                <w:sz w:val="20"/>
                <w:szCs w:val="20"/>
              </w:rPr>
            </w:pPr>
            <w:r>
              <w:rPr>
                <w:b/>
                <w:bCs/>
                <w:color w:val="000000"/>
                <w:sz w:val="20"/>
                <w:szCs w:val="20"/>
              </w:rPr>
              <w:t>PA1</w:t>
            </w:r>
          </w:p>
        </w:tc>
        <w:tc>
          <w:tcPr>
            <w:tcW w:w="940" w:type="dxa"/>
            <w:tcBorders>
              <w:top w:val="nil"/>
              <w:left w:val="nil"/>
              <w:bottom w:val="single" w:sz="8" w:space="0" w:color="000000"/>
              <w:right w:val="single" w:sz="8" w:space="0" w:color="000000"/>
            </w:tcBorders>
            <w:vAlign w:val="center"/>
            <w:hideMark/>
          </w:tcPr>
          <w:p w14:paraId="087C2A02" w14:textId="77777777" w:rsidR="00CA15E3" w:rsidRPr="00CA15E3" w:rsidRDefault="00CA15E3" w:rsidP="00CA15E3">
            <w:pPr>
              <w:widowControl/>
              <w:autoSpaceDE/>
              <w:autoSpaceDN/>
              <w:jc w:val="right"/>
              <w:rPr>
                <w:color w:val="000000"/>
                <w:sz w:val="20"/>
                <w:szCs w:val="20"/>
              </w:rPr>
            </w:pPr>
            <w:r>
              <w:rPr>
                <w:color w:val="000000"/>
                <w:sz w:val="20"/>
                <w:szCs w:val="20"/>
              </w:rPr>
              <w:t>0.487</w:t>
            </w:r>
          </w:p>
        </w:tc>
        <w:tc>
          <w:tcPr>
            <w:tcW w:w="1253" w:type="dxa"/>
            <w:tcBorders>
              <w:top w:val="nil"/>
              <w:left w:val="nil"/>
              <w:bottom w:val="single" w:sz="8" w:space="0" w:color="000000"/>
              <w:right w:val="single" w:sz="8" w:space="0" w:color="000000"/>
            </w:tcBorders>
            <w:vAlign w:val="center"/>
            <w:hideMark/>
          </w:tcPr>
          <w:p w14:paraId="1E6455FC" w14:textId="77777777" w:rsidR="00CA15E3" w:rsidRPr="00CA15E3" w:rsidRDefault="00CA15E3" w:rsidP="00CA15E3">
            <w:pPr>
              <w:widowControl/>
              <w:autoSpaceDE/>
              <w:autoSpaceDN/>
              <w:jc w:val="right"/>
              <w:rPr>
                <w:color w:val="000000"/>
                <w:sz w:val="20"/>
                <w:szCs w:val="20"/>
              </w:rPr>
            </w:pPr>
            <w:r>
              <w:rPr>
                <w:color w:val="000000"/>
                <w:sz w:val="20"/>
                <w:szCs w:val="20"/>
              </w:rPr>
              <w:t>0.934</w:t>
            </w:r>
          </w:p>
        </w:tc>
        <w:tc>
          <w:tcPr>
            <w:tcW w:w="1130" w:type="dxa"/>
            <w:tcBorders>
              <w:top w:val="nil"/>
              <w:left w:val="nil"/>
              <w:bottom w:val="single" w:sz="8" w:space="0" w:color="000000"/>
              <w:right w:val="single" w:sz="8" w:space="0" w:color="000000"/>
            </w:tcBorders>
            <w:vAlign w:val="center"/>
            <w:hideMark/>
          </w:tcPr>
          <w:p w14:paraId="0A43746D" w14:textId="77777777" w:rsidR="00CA15E3" w:rsidRPr="00CA15E3" w:rsidRDefault="00CA15E3" w:rsidP="00CA15E3">
            <w:pPr>
              <w:widowControl/>
              <w:autoSpaceDE/>
              <w:autoSpaceDN/>
              <w:jc w:val="right"/>
              <w:rPr>
                <w:color w:val="000000"/>
                <w:sz w:val="20"/>
                <w:szCs w:val="20"/>
              </w:rPr>
            </w:pPr>
            <w:r>
              <w:rPr>
                <w:color w:val="000000"/>
                <w:sz w:val="20"/>
                <w:szCs w:val="20"/>
              </w:rPr>
              <w:t>0.753</w:t>
            </w:r>
          </w:p>
        </w:tc>
        <w:tc>
          <w:tcPr>
            <w:tcW w:w="1130" w:type="dxa"/>
            <w:tcBorders>
              <w:top w:val="nil"/>
              <w:left w:val="nil"/>
              <w:bottom w:val="single" w:sz="8" w:space="0" w:color="000000"/>
              <w:right w:val="single" w:sz="8" w:space="0" w:color="000000"/>
            </w:tcBorders>
            <w:vAlign w:val="center"/>
            <w:hideMark/>
          </w:tcPr>
          <w:p w14:paraId="58D61ED6" w14:textId="77777777" w:rsidR="00CA15E3" w:rsidRPr="00CA15E3" w:rsidRDefault="00CA15E3" w:rsidP="00CA15E3">
            <w:pPr>
              <w:widowControl/>
              <w:autoSpaceDE/>
              <w:autoSpaceDN/>
              <w:jc w:val="right"/>
              <w:rPr>
                <w:color w:val="000000"/>
                <w:sz w:val="20"/>
                <w:szCs w:val="20"/>
              </w:rPr>
            </w:pPr>
            <w:r>
              <w:rPr>
                <w:color w:val="000000"/>
                <w:sz w:val="20"/>
                <w:szCs w:val="20"/>
              </w:rPr>
              <w:t>0.970</w:t>
            </w:r>
          </w:p>
        </w:tc>
        <w:tc>
          <w:tcPr>
            <w:tcW w:w="1008" w:type="dxa"/>
            <w:tcBorders>
              <w:top w:val="nil"/>
              <w:left w:val="nil"/>
              <w:bottom w:val="single" w:sz="8" w:space="0" w:color="000000"/>
              <w:right w:val="single" w:sz="8" w:space="0" w:color="000000"/>
            </w:tcBorders>
            <w:vAlign w:val="center"/>
            <w:hideMark/>
          </w:tcPr>
          <w:p w14:paraId="2969DC26" w14:textId="77777777" w:rsidR="00CA15E3" w:rsidRPr="00CA15E3" w:rsidRDefault="00CA15E3" w:rsidP="00CA15E3">
            <w:pPr>
              <w:widowControl/>
              <w:autoSpaceDE/>
              <w:autoSpaceDN/>
              <w:jc w:val="right"/>
              <w:rPr>
                <w:color w:val="000000"/>
                <w:sz w:val="20"/>
                <w:szCs w:val="20"/>
              </w:rPr>
            </w:pPr>
            <w:r>
              <w:rPr>
                <w:color w:val="000000"/>
                <w:sz w:val="20"/>
                <w:szCs w:val="20"/>
              </w:rPr>
              <w:t>0.730</w:t>
            </w:r>
          </w:p>
        </w:tc>
        <w:tc>
          <w:tcPr>
            <w:tcW w:w="1021" w:type="dxa"/>
            <w:tcBorders>
              <w:top w:val="nil"/>
              <w:left w:val="nil"/>
              <w:bottom w:val="single" w:sz="8" w:space="0" w:color="000000"/>
              <w:right w:val="single" w:sz="8" w:space="0" w:color="000000"/>
            </w:tcBorders>
            <w:vAlign w:val="center"/>
            <w:hideMark/>
          </w:tcPr>
          <w:p w14:paraId="5D2F6090" w14:textId="77777777" w:rsidR="00CA15E3" w:rsidRPr="00CA15E3" w:rsidRDefault="00CA15E3" w:rsidP="00CA15E3">
            <w:pPr>
              <w:widowControl/>
              <w:autoSpaceDE/>
              <w:autoSpaceDN/>
              <w:jc w:val="right"/>
              <w:rPr>
                <w:color w:val="000000"/>
                <w:sz w:val="20"/>
                <w:szCs w:val="20"/>
              </w:rPr>
            </w:pPr>
            <w:r>
              <w:rPr>
                <w:color w:val="000000"/>
                <w:sz w:val="20"/>
                <w:szCs w:val="20"/>
              </w:rPr>
              <w:t>1.304</w:t>
            </w:r>
          </w:p>
        </w:tc>
        <w:tc>
          <w:tcPr>
            <w:tcW w:w="898" w:type="dxa"/>
            <w:tcBorders>
              <w:top w:val="nil"/>
              <w:left w:val="nil"/>
              <w:bottom w:val="single" w:sz="8" w:space="0" w:color="000000"/>
              <w:right w:val="single" w:sz="8" w:space="0" w:color="000000"/>
            </w:tcBorders>
            <w:vAlign w:val="center"/>
            <w:hideMark/>
          </w:tcPr>
          <w:p w14:paraId="7D986E71" w14:textId="77777777" w:rsidR="00CA15E3" w:rsidRPr="00CA15E3" w:rsidRDefault="00CA15E3" w:rsidP="00CA15E3">
            <w:pPr>
              <w:widowControl/>
              <w:autoSpaceDE/>
              <w:autoSpaceDN/>
              <w:jc w:val="right"/>
              <w:rPr>
                <w:color w:val="000000"/>
                <w:sz w:val="20"/>
                <w:szCs w:val="20"/>
              </w:rPr>
            </w:pPr>
            <w:r>
              <w:rPr>
                <w:color w:val="000000"/>
                <w:sz w:val="20"/>
                <w:szCs w:val="20"/>
              </w:rPr>
              <w:t>0.997</w:t>
            </w:r>
          </w:p>
        </w:tc>
      </w:tr>
      <w:tr w:rsidR="00CA15E3" w:rsidRPr="00CA15E3" w14:paraId="52421D47"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1EC1FB73" w14:textId="77777777" w:rsidR="00CA15E3" w:rsidRPr="00CA15E3" w:rsidRDefault="00CA15E3" w:rsidP="00CA15E3">
            <w:pPr>
              <w:widowControl/>
              <w:autoSpaceDE/>
              <w:autoSpaceDN/>
              <w:rPr>
                <w:b/>
                <w:bCs/>
                <w:color w:val="000000"/>
                <w:sz w:val="20"/>
                <w:szCs w:val="20"/>
              </w:rPr>
            </w:pPr>
            <w:r>
              <w:rPr>
                <w:b/>
                <w:bCs/>
                <w:color w:val="000000"/>
                <w:sz w:val="20"/>
                <w:szCs w:val="20"/>
              </w:rPr>
              <w:t>PA2</w:t>
            </w:r>
          </w:p>
        </w:tc>
        <w:tc>
          <w:tcPr>
            <w:tcW w:w="940" w:type="dxa"/>
            <w:tcBorders>
              <w:top w:val="nil"/>
              <w:left w:val="nil"/>
              <w:bottom w:val="single" w:sz="8" w:space="0" w:color="000000"/>
              <w:right w:val="single" w:sz="8" w:space="0" w:color="000000"/>
            </w:tcBorders>
            <w:vAlign w:val="center"/>
            <w:hideMark/>
          </w:tcPr>
          <w:p w14:paraId="12D821A1" w14:textId="77777777" w:rsidR="00CA15E3" w:rsidRPr="00CA15E3" w:rsidRDefault="00CA15E3" w:rsidP="00CA15E3">
            <w:pPr>
              <w:widowControl/>
              <w:autoSpaceDE/>
              <w:autoSpaceDN/>
              <w:jc w:val="right"/>
              <w:rPr>
                <w:color w:val="000000"/>
                <w:sz w:val="20"/>
                <w:szCs w:val="20"/>
              </w:rPr>
            </w:pPr>
            <w:r>
              <w:rPr>
                <w:color w:val="000000"/>
                <w:sz w:val="20"/>
                <w:szCs w:val="20"/>
              </w:rPr>
              <w:t>0.264</w:t>
            </w:r>
          </w:p>
        </w:tc>
        <w:tc>
          <w:tcPr>
            <w:tcW w:w="1253" w:type="dxa"/>
            <w:tcBorders>
              <w:top w:val="nil"/>
              <w:left w:val="nil"/>
              <w:bottom w:val="single" w:sz="8" w:space="0" w:color="000000"/>
              <w:right w:val="single" w:sz="8" w:space="0" w:color="000000"/>
            </w:tcBorders>
            <w:vAlign w:val="center"/>
            <w:hideMark/>
          </w:tcPr>
          <w:p w14:paraId="088ECF78" w14:textId="77777777" w:rsidR="00CA15E3" w:rsidRPr="00CA15E3" w:rsidRDefault="00CA15E3" w:rsidP="00CA15E3">
            <w:pPr>
              <w:widowControl/>
              <w:autoSpaceDE/>
              <w:autoSpaceDN/>
              <w:jc w:val="right"/>
              <w:rPr>
                <w:color w:val="000000"/>
                <w:sz w:val="20"/>
                <w:szCs w:val="20"/>
              </w:rPr>
            </w:pPr>
            <w:r>
              <w:rPr>
                <w:color w:val="000000"/>
                <w:sz w:val="20"/>
                <w:szCs w:val="20"/>
              </w:rPr>
              <w:t>1.247</w:t>
            </w:r>
          </w:p>
        </w:tc>
        <w:tc>
          <w:tcPr>
            <w:tcW w:w="1130" w:type="dxa"/>
            <w:tcBorders>
              <w:top w:val="nil"/>
              <w:left w:val="nil"/>
              <w:bottom w:val="single" w:sz="8" w:space="0" w:color="000000"/>
              <w:right w:val="single" w:sz="8" w:space="0" w:color="000000"/>
            </w:tcBorders>
            <w:vAlign w:val="center"/>
            <w:hideMark/>
          </w:tcPr>
          <w:p w14:paraId="69B9E7FD" w14:textId="77777777" w:rsidR="00CA15E3" w:rsidRPr="00CA15E3" w:rsidRDefault="00CA15E3" w:rsidP="00CA15E3">
            <w:pPr>
              <w:widowControl/>
              <w:autoSpaceDE/>
              <w:autoSpaceDN/>
              <w:jc w:val="right"/>
              <w:rPr>
                <w:color w:val="000000"/>
                <w:sz w:val="20"/>
                <w:szCs w:val="20"/>
              </w:rPr>
            </w:pPr>
            <w:r>
              <w:rPr>
                <w:color w:val="000000"/>
                <w:sz w:val="20"/>
                <w:szCs w:val="20"/>
              </w:rPr>
              <w:t>1.000</w:t>
            </w:r>
          </w:p>
        </w:tc>
        <w:tc>
          <w:tcPr>
            <w:tcW w:w="1130" w:type="dxa"/>
            <w:tcBorders>
              <w:top w:val="nil"/>
              <w:left w:val="nil"/>
              <w:bottom w:val="single" w:sz="8" w:space="0" w:color="000000"/>
              <w:right w:val="single" w:sz="8" w:space="0" w:color="000000"/>
            </w:tcBorders>
            <w:vAlign w:val="center"/>
            <w:hideMark/>
          </w:tcPr>
          <w:p w14:paraId="1C05B3FF" w14:textId="77777777" w:rsidR="00CA15E3" w:rsidRPr="00CA15E3" w:rsidRDefault="00CA15E3" w:rsidP="00CA15E3">
            <w:pPr>
              <w:widowControl/>
              <w:autoSpaceDE/>
              <w:autoSpaceDN/>
              <w:jc w:val="right"/>
              <w:rPr>
                <w:color w:val="000000"/>
                <w:sz w:val="20"/>
                <w:szCs w:val="20"/>
              </w:rPr>
            </w:pPr>
            <w:r>
              <w:rPr>
                <w:color w:val="000000"/>
                <w:sz w:val="20"/>
                <w:szCs w:val="20"/>
              </w:rPr>
              <w:t>1.267</w:t>
            </w:r>
          </w:p>
        </w:tc>
        <w:tc>
          <w:tcPr>
            <w:tcW w:w="1008" w:type="dxa"/>
            <w:tcBorders>
              <w:top w:val="nil"/>
              <w:left w:val="nil"/>
              <w:bottom w:val="single" w:sz="8" w:space="0" w:color="000000"/>
              <w:right w:val="single" w:sz="8" w:space="0" w:color="000000"/>
            </w:tcBorders>
            <w:vAlign w:val="center"/>
            <w:hideMark/>
          </w:tcPr>
          <w:p w14:paraId="21D7045F" w14:textId="77777777" w:rsidR="00CA15E3" w:rsidRPr="00CA15E3" w:rsidRDefault="00CA15E3" w:rsidP="00CA15E3">
            <w:pPr>
              <w:widowControl/>
              <w:autoSpaceDE/>
              <w:autoSpaceDN/>
              <w:jc w:val="right"/>
              <w:rPr>
                <w:color w:val="000000"/>
                <w:sz w:val="20"/>
                <w:szCs w:val="20"/>
              </w:rPr>
            </w:pPr>
            <w:r>
              <w:rPr>
                <w:color w:val="000000"/>
                <w:sz w:val="20"/>
                <w:szCs w:val="20"/>
              </w:rPr>
              <w:t>1.026</w:t>
            </w:r>
          </w:p>
        </w:tc>
        <w:tc>
          <w:tcPr>
            <w:tcW w:w="1021" w:type="dxa"/>
            <w:tcBorders>
              <w:top w:val="nil"/>
              <w:left w:val="nil"/>
              <w:bottom w:val="single" w:sz="8" w:space="0" w:color="000000"/>
              <w:right w:val="single" w:sz="8" w:space="0" w:color="000000"/>
            </w:tcBorders>
            <w:vAlign w:val="center"/>
            <w:hideMark/>
          </w:tcPr>
          <w:p w14:paraId="50CF75F8" w14:textId="77777777" w:rsidR="00CA15E3" w:rsidRPr="00CA15E3" w:rsidRDefault="00CA15E3" w:rsidP="00CA15E3">
            <w:pPr>
              <w:widowControl/>
              <w:autoSpaceDE/>
              <w:autoSpaceDN/>
              <w:jc w:val="right"/>
              <w:rPr>
                <w:color w:val="000000"/>
                <w:sz w:val="20"/>
                <w:szCs w:val="20"/>
              </w:rPr>
            </w:pPr>
            <w:r>
              <w:rPr>
                <w:color w:val="000000"/>
                <w:sz w:val="20"/>
                <w:szCs w:val="20"/>
              </w:rPr>
              <w:t>1.453</w:t>
            </w:r>
          </w:p>
        </w:tc>
        <w:tc>
          <w:tcPr>
            <w:tcW w:w="898" w:type="dxa"/>
            <w:tcBorders>
              <w:top w:val="nil"/>
              <w:left w:val="nil"/>
              <w:bottom w:val="single" w:sz="8" w:space="0" w:color="000000"/>
              <w:right w:val="single" w:sz="8" w:space="0" w:color="000000"/>
            </w:tcBorders>
            <w:vAlign w:val="center"/>
            <w:hideMark/>
          </w:tcPr>
          <w:p w14:paraId="41ED938B" w14:textId="77777777" w:rsidR="00CA15E3" w:rsidRPr="00CA15E3" w:rsidRDefault="00CA15E3" w:rsidP="00CA15E3">
            <w:pPr>
              <w:widowControl/>
              <w:autoSpaceDE/>
              <w:autoSpaceDN/>
              <w:jc w:val="right"/>
              <w:rPr>
                <w:color w:val="000000"/>
                <w:sz w:val="20"/>
                <w:szCs w:val="20"/>
              </w:rPr>
            </w:pPr>
            <w:r>
              <w:rPr>
                <w:color w:val="000000"/>
                <w:sz w:val="20"/>
                <w:szCs w:val="20"/>
              </w:rPr>
              <w:t>1.186</w:t>
            </w:r>
          </w:p>
        </w:tc>
      </w:tr>
      <w:tr w:rsidR="00CA15E3" w:rsidRPr="00CA15E3" w14:paraId="4E7FFC4F"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4D6A0834" w14:textId="77777777" w:rsidR="00CA15E3" w:rsidRPr="00CA15E3" w:rsidRDefault="00CA15E3" w:rsidP="00CA15E3">
            <w:pPr>
              <w:widowControl/>
              <w:autoSpaceDE/>
              <w:autoSpaceDN/>
              <w:rPr>
                <w:b/>
                <w:bCs/>
                <w:color w:val="000000"/>
                <w:sz w:val="20"/>
                <w:szCs w:val="20"/>
              </w:rPr>
            </w:pPr>
            <w:r>
              <w:rPr>
                <w:b/>
                <w:bCs/>
                <w:color w:val="000000"/>
                <w:sz w:val="20"/>
                <w:szCs w:val="20"/>
              </w:rPr>
              <w:lastRenderedPageBreak/>
              <w:t>PA3</w:t>
            </w:r>
          </w:p>
        </w:tc>
        <w:tc>
          <w:tcPr>
            <w:tcW w:w="940" w:type="dxa"/>
            <w:tcBorders>
              <w:top w:val="nil"/>
              <w:left w:val="nil"/>
              <w:bottom w:val="single" w:sz="8" w:space="0" w:color="000000"/>
              <w:right w:val="single" w:sz="8" w:space="0" w:color="000000"/>
            </w:tcBorders>
            <w:vAlign w:val="center"/>
            <w:hideMark/>
          </w:tcPr>
          <w:p w14:paraId="77C9A3CE" w14:textId="77777777" w:rsidR="00CA15E3" w:rsidRPr="00CA15E3" w:rsidRDefault="00CA15E3" w:rsidP="00CA15E3">
            <w:pPr>
              <w:widowControl/>
              <w:autoSpaceDE/>
              <w:autoSpaceDN/>
              <w:jc w:val="right"/>
              <w:rPr>
                <w:color w:val="000000"/>
                <w:sz w:val="20"/>
                <w:szCs w:val="20"/>
              </w:rPr>
            </w:pPr>
            <w:r>
              <w:rPr>
                <w:color w:val="000000"/>
                <w:sz w:val="20"/>
                <w:szCs w:val="20"/>
              </w:rPr>
              <w:t>0.248</w:t>
            </w:r>
          </w:p>
        </w:tc>
        <w:tc>
          <w:tcPr>
            <w:tcW w:w="1253" w:type="dxa"/>
            <w:tcBorders>
              <w:top w:val="nil"/>
              <w:left w:val="nil"/>
              <w:bottom w:val="single" w:sz="8" w:space="0" w:color="000000"/>
              <w:right w:val="single" w:sz="8" w:space="0" w:color="000000"/>
            </w:tcBorders>
            <w:vAlign w:val="center"/>
            <w:hideMark/>
          </w:tcPr>
          <w:p w14:paraId="0D9E0BC7" w14:textId="77777777" w:rsidR="00CA15E3" w:rsidRPr="00CA15E3" w:rsidRDefault="00CA15E3" w:rsidP="00CA15E3">
            <w:pPr>
              <w:widowControl/>
              <w:autoSpaceDE/>
              <w:autoSpaceDN/>
              <w:jc w:val="right"/>
              <w:rPr>
                <w:color w:val="000000"/>
                <w:sz w:val="20"/>
                <w:szCs w:val="20"/>
              </w:rPr>
            </w:pPr>
            <w:r>
              <w:rPr>
                <w:color w:val="000000"/>
                <w:sz w:val="20"/>
                <w:szCs w:val="20"/>
              </w:rPr>
              <w:t>1.321</w:t>
            </w:r>
          </w:p>
        </w:tc>
        <w:tc>
          <w:tcPr>
            <w:tcW w:w="1130" w:type="dxa"/>
            <w:tcBorders>
              <w:top w:val="nil"/>
              <w:left w:val="nil"/>
              <w:bottom w:val="single" w:sz="8" w:space="0" w:color="000000"/>
              <w:right w:val="single" w:sz="8" w:space="0" w:color="000000"/>
            </w:tcBorders>
            <w:vAlign w:val="center"/>
            <w:hideMark/>
          </w:tcPr>
          <w:p w14:paraId="0336812D" w14:textId="77777777" w:rsidR="00CA15E3" w:rsidRPr="00CA15E3" w:rsidRDefault="00CA15E3" w:rsidP="00CA15E3">
            <w:pPr>
              <w:widowControl/>
              <w:autoSpaceDE/>
              <w:autoSpaceDN/>
              <w:jc w:val="right"/>
              <w:rPr>
                <w:color w:val="000000"/>
                <w:sz w:val="20"/>
                <w:szCs w:val="20"/>
              </w:rPr>
            </w:pPr>
            <w:r>
              <w:rPr>
                <w:color w:val="000000"/>
                <w:sz w:val="20"/>
                <w:szCs w:val="20"/>
              </w:rPr>
              <w:t>1.041</w:t>
            </w:r>
          </w:p>
        </w:tc>
        <w:tc>
          <w:tcPr>
            <w:tcW w:w="1130" w:type="dxa"/>
            <w:tcBorders>
              <w:top w:val="nil"/>
              <w:left w:val="nil"/>
              <w:bottom w:val="single" w:sz="8" w:space="0" w:color="000000"/>
              <w:right w:val="single" w:sz="8" w:space="0" w:color="000000"/>
            </w:tcBorders>
            <w:vAlign w:val="center"/>
            <w:hideMark/>
          </w:tcPr>
          <w:p w14:paraId="5D065172" w14:textId="77777777" w:rsidR="00CA15E3" w:rsidRPr="00CA15E3" w:rsidRDefault="00CA15E3" w:rsidP="00CA15E3">
            <w:pPr>
              <w:widowControl/>
              <w:autoSpaceDE/>
              <w:autoSpaceDN/>
              <w:jc w:val="right"/>
              <w:rPr>
                <w:color w:val="000000"/>
                <w:sz w:val="20"/>
                <w:szCs w:val="20"/>
              </w:rPr>
            </w:pPr>
            <w:r>
              <w:rPr>
                <w:color w:val="000000"/>
                <w:sz w:val="20"/>
                <w:szCs w:val="20"/>
              </w:rPr>
              <w:t>1.356</w:t>
            </w:r>
          </w:p>
        </w:tc>
        <w:tc>
          <w:tcPr>
            <w:tcW w:w="1008" w:type="dxa"/>
            <w:tcBorders>
              <w:top w:val="nil"/>
              <w:left w:val="nil"/>
              <w:bottom w:val="single" w:sz="8" w:space="0" w:color="000000"/>
              <w:right w:val="single" w:sz="8" w:space="0" w:color="000000"/>
            </w:tcBorders>
            <w:vAlign w:val="center"/>
            <w:hideMark/>
          </w:tcPr>
          <w:p w14:paraId="566F61CD" w14:textId="77777777" w:rsidR="00CA15E3" w:rsidRPr="00CA15E3" w:rsidRDefault="00CA15E3" w:rsidP="00CA15E3">
            <w:pPr>
              <w:widowControl/>
              <w:autoSpaceDE/>
              <w:autoSpaceDN/>
              <w:jc w:val="right"/>
              <w:rPr>
                <w:color w:val="000000"/>
                <w:sz w:val="20"/>
                <w:szCs w:val="20"/>
              </w:rPr>
            </w:pPr>
            <w:r>
              <w:rPr>
                <w:color w:val="000000"/>
                <w:sz w:val="20"/>
                <w:szCs w:val="20"/>
              </w:rPr>
              <w:t>1.067</w:t>
            </w:r>
          </w:p>
        </w:tc>
        <w:tc>
          <w:tcPr>
            <w:tcW w:w="1021" w:type="dxa"/>
            <w:tcBorders>
              <w:top w:val="nil"/>
              <w:left w:val="nil"/>
              <w:bottom w:val="single" w:sz="8" w:space="0" w:color="000000"/>
              <w:right w:val="single" w:sz="8" w:space="0" w:color="000000"/>
            </w:tcBorders>
            <w:vAlign w:val="center"/>
            <w:hideMark/>
          </w:tcPr>
          <w:p w14:paraId="0A07C8B9" w14:textId="77777777" w:rsidR="00CA15E3" w:rsidRPr="00CA15E3" w:rsidRDefault="00CA15E3" w:rsidP="00CA15E3">
            <w:pPr>
              <w:widowControl/>
              <w:autoSpaceDE/>
              <w:autoSpaceDN/>
              <w:jc w:val="right"/>
              <w:rPr>
                <w:color w:val="000000"/>
                <w:sz w:val="20"/>
                <w:szCs w:val="20"/>
              </w:rPr>
            </w:pPr>
            <w:r>
              <w:rPr>
                <w:color w:val="000000"/>
                <w:sz w:val="20"/>
                <w:szCs w:val="20"/>
              </w:rPr>
              <w:t>1.524</w:t>
            </w:r>
          </w:p>
        </w:tc>
        <w:tc>
          <w:tcPr>
            <w:tcW w:w="898" w:type="dxa"/>
            <w:tcBorders>
              <w:top w:val="nil"/>
              <w:left w:val="nil"/>
              <w:bottom w:val="single" w:sz="8" w:space="0" w:color="000000"/>
              <w:right w:val="single" w:sz="8" w:space="0" w:color="000000"/>
            </w:tcBorders>
            <w:vAlign w:val="center"/>
            <w:hideMark/>
          </w:tcPr>
          <w:p w14:paraId="67AC0D1D" w14:textId="77777777" w:rsidR="00CA15E3" w:rsidRPr="00CA15E3" w:rsidRDefault="00CA15E3" w:rsidP="00CA15E3">
            <w:pPr>
              <w:widowControl/>
              <w:autoSpaceDE/>
              <w:autoSpaceDN/>
              <w:jc w:val="right"/>
              <w:rPr>
                <w:color w:val="000000"/>
                <w:sz w:val="20"/>
                <w:szCs w:val="20"/>
              </w:rPr>
            </w:pPr>
            <w:r>
              <w:rPr>
                <w:color w:val="000000"/>
                <w:sz w:val="20"/>
                <w:szCs w:val="20"/>
              </w:rPr>
              <w:t>1.242</w:t>
            </w:r>
          </w:p>
        </w:tc>
      </w:tr>
      <w:tr w:rsidR="00CA15E3" w:rsidRPr="00CA15E3" w14:paraId="237FC5FF"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1EFF3652" w14:textId="77777777" w:rsidR="00CA15E3" w:rsidRPr="00CA15E3" w:rsidRDefault="00CA15E3" w:rsidP="00CA15E3">
            <w:pPr>
              <w:widowControl/>
              <w:autoSpaceDE/>
              <w:autoSpaceDN/>
              <w:rPr>
                <w:b/>
                <w:bCs/>
                <w:color w:val="000000"/>
                <w:sz w:val="20"/>
                <w:szCs w:val="20"/>
              </w:rPr>
            </w:pPr>
            <w:r>
              <w:rPr>
                <w:b/>
                <w:bCs/>
                <w:color w:val="000000"/>
                <w:sz w:val="20"/>
                <w:szCs w:val="20"/>
              </w:rPr>
              <w:t>PA4</w:t>
            </w:r>
          </w:p>
        </w:tc>
        <w:tc>
          <w:tcPr>
            <w:tcW w:w="940" w:type="dxa"/>
            <w:tcBorders>
              <w:top w:val="nil"/>
              <w:left w:val="nil"/>
              <w:bottom w:val="single" w:sz="8" w:space="0" w:color="000000"/>
              <w:right w:val="single" w:sz="8" w:space="0" w:color="000000"/>
            </w:tcBorders>
            <w:vAlign w:val="center"/>
            <w:hideMark/>
          </w:tcPr>
          <w:p w14:paraId="3FD3B68A" w14:textId="77777777" w:rsidR="00CA15E3" w:rsidRPr="00CA15E3" w:rsidRDefault="00CA15E3" w:rsidP="00CA15E3">
            <w:pPr>
              <w:widowControl/>
              <w:autoSpaceDE/>
              <w:autoSpaceDN/>
              <w:jc w:val="right"/>
              <w:rPr>
                <w:color w:val="000000"/>
                <w:sz w:val="20"/>
                <w:szCs w:val="20"/>
              </w:rPr>
            </w:pPr>
            <w:r>
              <w:rPr>
                <w:color w:val="000000"/>
                <w:sz w:val="20"/>
                <w:szCs w:val="20"/>
              </w:rPr>
              <w:t>0.347</w:t>
            </w:r>
          </w:p>
        </w:tc>
        <w:tc>
          <w:tcPr>
            <w:tcW w:w="1253" w:type="dxa"/>
            <w:tcBorders>
              <w:top w:val="nil"/>
              <w:left w:val="nil"/>
              <w:bottom w:val="single" w:sz="8" w:space="0" w:color="000000"/>
              <w:right w:val="single" w:sz="8" w:space="0" w:color="000000"/>
            </w:tcBorders>
            <w:vAlign w:val="center"/>
            <w:hideMark/>
          </w:tcPr>
          <w:p w14:paraId="380EA24D" w14:textId="77777777" w:rsidR="00CA15E3" w:rsidRPr="00CA15E3" w:rsidRDefault="00CA15E3" w:rsidP="00CA15E3">
            <w:pPr>
              <w:widowControl/>
              <w:autoSpaceDE/>
              <w:autoSpaceDN/>
              <w:jc w:val="right"/>
              <w:rPr>
                <w:color w:val="000000"/>
                <w:sz w:val="20"/>
                <w:szCs w:val="20"/>
              </w:rPr>
            </w:pPr>
            <w:r>
              <w:rPr>
                <w:color w:val="000000"/>
                <w:sz w:val="20"/>
                <w:szCs w:val="20"/>
              </w:rPr>
              <w:t>1.097</w:t>
            </w:r>
          </w:p>
        </w:tc>
        <w:tc>
          <w:tcPr>
            <w:tcW w:w="1130" w:type="dxa"/>
            <w:tcBorders>
              <w:top w:val="nil"/>
              <w:left w:val="nil"/>
              <w:bottom w:val="single" w:sz="8" w:space="0" w:color="000000"/>
              <w:right w:val="single" w:sz="8" w:space="0" w:color="000000"/>
            </w:tcBorders>
            <w:vAlign w:val="center"/>
            <w:hideMark/>
          </w:tcPr>
          <w:p w14:paraId="24753978" w14:textId="77777777" w:rsidR="00CA15E3" w:rsidRPr="00CA15E3" w:rsidRDefault="00CA15E3" w:rsidP="00CA15E3">
            <w:pPr>
              <w:widowControl/>
              <w:autoSpaceDE/>
              <w:autoSpaceDN/>
              <w:jc w:val="right"/>
              <w:rPr>
                <w:color w:val="000000"/>
                <w:sz w:val="20"/>
                <w:szCs w:val="20"/>
              </w:rPr>
            </w:pPr>
            <w:r>
              <w:rPr>
                <w:color w:val="000000"/>
                <w:sz w:val="20"/>
                <w:szCs w:val="20"/>
              </w:rPr>
              <w:t>0.880</w:t>
            </w:r>
          </w:p>
        </w:tc>
        <w:tc>
          <w:tcPr>
            <w:tcW w:w="1130" w:type="dxa"/>
            <w:tcBorders>
              <w:top w:val="nil"/>
              <w:left w:val="nil"/>
              <w:bottom w:val="single" w:sz="8" w:space="0" w:color="000000"/>
              <w:right w:val="single" w:sz="8" w:space="0" w:color="000000"/>
            </w:tcBorders>
            <w:vAlign w:val="center"/>
            <w:hideMark/>
          </w:tcPr>
          <w:p w14:paraId="402A6DBC" w14:textId="77777777" w:rsidR="00CA15E3" w:rsidRPr="00CA15E3" w:rsidRDefault="00CA15E3" w:rsidP="00CA15E3">
            <w:pPr>
              <w:widowControl/>
              <w:autoSpaceDE/>
              <w:autoSpaceDN/>
              <w:jc w:val="right"/>
              <w:rPr>
                <w:color w:val="000000"/>
                <w:sz w:val="20"/>
                <w:szCs w:val="20"/>
              </w:rPr>
            </w:pPr>
            <w:r>
              <w:rPr>
                <w:color w:val="000000"/>
                <w:sz w:val="20"/>
                <w:szCs w:val="20"/>
              </w:rPr>
              <w:t>1.117</w:t>
            </w:r>
          </w:p>
        </w:tc>
        <w:tc>
          <w:tcPr>
            <w:tcW w:w="1008" w:type="dxa"/>
            <w:tcBorders>
              <w:top w:val="nil"/>
              <w:left w:val="nil"/>
              <w:bottom w:val="single" w:sz="8" w:space="0" w:color="000000"/>
              <w:right w:val="single" w:sz="8" w:space="0" w:color="000000"/>
            </w:tcBorders>
            <w:vAlign w:val="center"/>
            <w:hideMark/>
          </w:tcPr>
          <w:p w14:paraId="36C0A787" w14:textId="77777777" w:rsidR="00CA15E3" w:rsidRPr="00CA15E3" w:rsidRDefault="00CA15E3" w:rsidP="00CA15E3">
            <w:pPr>
              <w:widowControl/>
              <w:autoSpaceDE/>
              <w:autoSpaceDN/>
              <w:jc w:val="right"/>
              <w:rPr>
                <w:color w:val="000000"/>
                <w:sz w:val="20"/>
                <w:szCs w:val="20"/>
              </w:rPr>
            </w:pPr>
            <w:r>
              <w:rPr>
                <w:color w:val="000000"/>
                <w:sz w:val="20"/>
                <w:szCs w:val="20"/>
              </w:rPr>
              <w:t>0.895</w:t>
            </w:r>
          </w:p>
        </w:tc>
        <w:tc>
          <w:tcPr>
            <w:tcW w:w="1021" w:type="dxa"/>
            <w:tcBorders>
              <w:top w:val="nil"/>
              <w:left w:val="nil"/>
              <w:bottom w:val="single" w:sz="8" w:space="0" w:color="000000"/>
              <w:right w:val="single" w:sz="8" w:space="0" w:color="000000"/>
            </w:tcBorders>
            <w:vAlign w:val="center"/>
            <w:hideMark/>
          </w:tcPr>
          <w:p w14:paraId="17E7C4E8" w14:textId="77777777" w:rsidR="00CA15E3" w:rsidRPr="00CA15E3" w:rsidRDefault="00CA15E3" w:rsidP="00CA15E3">
            <w:pPr>
              <w:widowControl/>
              <w:autoSpaceDE/>
              <w:autoSpaceDN/>
              <w:jc w:val="right"/>
              <w:rPr>
                <w:color w:val="000000"/>
                <w:sz w:val="20"/>
                <w:szCs w:val="20"/>
              </w:rPr>
            </w:pPr>
            <w:r>
              <w:rPr>
                <w:color w:val="000000"/>
                <w:sz w:val="20"/>
                <w:szCs w:val="20"/>
              </w:rPr>
              <w:t>1.358</w:t>
            </w:r>
          </w:p>
        </w:tc>
        <w:tc>
          <w:tcPr>
            <w:tcW w:w="898" w:type="dxa"/>
            <w:tcBorders>
              <w:top w:val="nil"/>
              <w:left w:val="nil"/>
              <w:bottom w:val="single" w:sz="8" w:space="0" w:color="000000"/>
              <w:right w:val="single" w:sz="8" w:space="0" w:color="000000"/>
            </w:tcBorders>
            <w:vAlign w:val="center"/>
            <w:hideMark/>
          </w:tcPr>
          <w:p w14:paraId="3179AA1C" w14:textId="77777777" w:rsidR="00CA15E3" w:rsidRPr="00CA15E3" w:rsidRDefault="00CA15E3" w:rsidP="00CA15E3">
            <w:pPr>
              <w:widowControl/>
              <w:autoSpaceDE/>
              <w:autoSpaceDN/>
              <w:jc w:val="right"/>
              <w:rPr>
                <w:color w:val="000000"/>
                <w:sz w:val="20"/>
                <w:szCs w:val="20"/>
              </w:rPr>
            </w:pPr>
            <w:r>
              <w:rPr>
                <w:color w:val="000000"/>
                <w:sz w:val="20"/>
                <w:szCs w:val="20"/>
              </w:rPr>
              <w:t>1.109</w:t>
            </w:r>
          </w:p>
        </w:tc>
      </w:tr>
      <w:tr w:rsidR="00CA15E3" w:rsidRPr="00CA15E3" w14:paraId="50551FF8"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77DB8899" w14:textId="77777777" w:rsidR="00CA15E3" w:rsidRPr="00CA15E3" w:rsidRDefault="00CA15E3" w:rsidP="00CA15E3">
            <w:pPr>
              <w:widowControl/>
              <w:autoSpaceDE/>
              <w:autoSpaceDN/>
              <w:rPr>
                <w:b/>
                <w:bCs/>
                <w:color w:val="000000"/>
                <w:sz w:val="20"/>
                <w:szCs w:val="20"/>
              </w:rPr>
            </w:pPr>
            <w:r>
              <w:rPr>
                <w:b/>
                <w:bCs/>
                <w:color w:val="000000"/>
                <w:sz w:val="20"/>
                <w:szCs w:val="20"/>
              </w:rPr>
              <w:t>PI1</w:t>
            </w:r>
          </w:p>
        </w:tc>
        <w:tc>
          <w:tcPr>
            <w:tcW w:w="940" w:type="dxa"/>
            <w:tcBorders>
              <w:top w:val="nil"/>
              <w:left w:val="nil"/>
              <w:bottom w:val="single" w:sz="8" w:space="0" w:color="000000"/>
              <w:right w:val="single" w:sz="8" w:space="0" w:color="000000"/>
            </w:tcBorders>
            <w:vAlign w:val="center"/>
            <w:hideMark/>
          </w:tcPr>
          <w:p w14:paraId="3C1441EE" w14:textId="77777777" w:rsidR="00CA15E3" w:rsidRPr="00CA15E3" w:rsidRDefault="00CA15E3" w:rsidP="00CA15E3">
            <w:pPr>
              <w:widowControl/>
              <w:autoSpaceDE/>
              <w:autoSpaceDN/>
              <w:jc w:val="right"/>
              <w:rPr>
                <w:color w:val="000000"/>
                <w:sz w:val="20"/>
                <w:szCs w:val="20"/>
              </w:rPr>
            </w:pPr>
            <w:r>
              <w:rPr>
                <w:color w:val="000000"/>
                <w:sz w:val="20"/>
                <w:szCs w:val="20"/>
              </w:rPr>
              <w:t>0.283</w:t>
            </w:r>
          </w:p>
        </w:tc>
        <w:tc>
          <w:tcPr>
            <w:tcW w:w="1253" w:type="dxa"/>
            <w:tcBorders>
              <w:top w:val="nil"/>
              <w:left w:val="nil"/>
              <w:bottom w:val="single" w:sz="8" w:space="0" w:color="000000"/>
              <w:right w:val="single" w:sz="8" w:space="0" w:color="000000"/>
            </w:tcBorders>
            <w:vAlign w:val="center"/>
            <w:hideMark/>
          </w:tcPr>
          <w:p w14:paraId="7032141C" w14:textId="77777777" w:rsidR="00CA15E3" w:rsidRPr="00CA15E3" w:rsidRDefault="00CA15E3" w:rsidP="00CA15E3">
            <w:pPr>
              <w:widowControl/>
              <w:autoSpaceDE/>
              <w:autoSpaceDN/>
              <w:jc w:val="right"/>
              <w:rPr>
                <w:color w:val="000000"/>
                <w:sz w:val="20"/>
                <w:szCs w:val="20"/>
              </w:rPr>
            </w:pPr>
            <w:r>
              <w:rPr>
                <w:color w:val="000000"/>
                <w:sz w:val="20"/>
                <w:szCs w:val="20"/>
              </w:rPr>
              <w:t>1.299</w:t>
            </w:r>
          </w:p>
        </w:tc>
        <w:tc>
          <w:tcPr>
            <w:tcW w:w="1130" w:type="dxa"/>
            <w:tcBorders>
              <w:top w:val="nil"/>
              <w:left w:val="nil"/>
              <w:bottom w:val="single" w:sz="8" w:space="0" w:color="000000"/>
              <w:right w:val="single" w:sz="8" w:space="0" w:color="000000"/>
            </w:tcBorders>
            <w:vAlign w:val="center"/>
            <w:hideMark/>
          </w:tcPr>
          <w:p w14:paraId="4C3A6F68" w14:textId="77777777" w:rsidR="00CA15E3" w:rsidRPr="00CA15E3" w:rsidRDefault="00CA15E3" w:rsidP="00CA15E3">
            <w:pPr>
              <w:widowControl/>
              <w:autoSpaceDE/>
              <w:autoSpaceDN/>
              <w:jc w:val="right"/>
              <w:rPr>
                <w:color w:val="000000"/>
                <w:sz w:val="20"/>
                <w:szCs w:val="20"/>
              </w:rPr>
            </w:pPr>
            <w:r>
              <w:rPr>
                <w:color w:val="000000"/>
                <w:sz w:val="20"/>
                <w:szCs w:val="20"/>
              </w:rPr>
              <w:t>1.001</w:t>
            </w:r>
          </w:p>
        </w:tc>
        <w:tc>
          <w:tcPr>
            <w:tcW w:w="1130" w:type="dxa"/>
            <w:tcBorders>
              <w:top w:val="nil"/>
              <w:left w:val="nil"/>
              <w:bottom w:val="single" w:sz="8" w:space="0" w:color="000000"/>
              <w:right w:val="single" w:sz="8" w:space="0" w:color="000000"/>
            </w:tcBorders>
            <w:vAlign w:val="center"/>
            <w:hideMark/>
          </w:tcPr>
          <w:p w14:paraId="78D0BEB9" w14:textId="77777777" w:rsidR="00CA15E3" w:rsidRPr="00CA15E3" w:rsidRDefault="00CA15E3" w:rsidP="00CA15E3">
            <w:pPr>
              <w:widowControl/>
              <w:autoSpaceDE/>
              <w:autoSpaceDN/>
              <w:jc w:val="right"/>
              <w:rPr>
                <w:color w:val="000000"/>
                <w:sz w:val="20"/>
                <w:szCs w:val="20"/>
              </w:rPr>
            </w:pPr>
            <w:r>
              <w:rPr>
                <w:color w:val="000000"/>
                <w:sz w:val="20"/>
                <w:szCs w:val="20"/>
              </w:rPr>
              <w:t>1.310</w:t>
            </w:r>
          </w:p>
        </w:tc>
        <w:tc>
          <w:tcPr>
            <w:tcW w:w="1008" w:type="dxa"/>
            <w:tcBorders>
              <w:top w:val="nil"/>
              <w:left w:val="nil"/>
              <w:bottom w:val="single" w:sz="8" w:space="0" w:color="000000"/>
              <w:right w:val="single" w:sz="8" w:space="0" w:color="000000"/>
            </w:tcBorders>
            <w:vAlign w:val="center"/>
            <w:hideMark/>
          </w:tcPr>
          <w:p w14:paraId="7B31A628" w14:textId="77777777" w:rsidR="00CA15E3" w:rsidRPr="00CA15E3" w:rsidRDefault="00CA15E3" w:rsidP="00CA15E3">
            <w:pPr>
              <w:widowControl/>
              <w:autoSpaceDE/>
              <w:autoSpaceDN/>
              <w:jc w:val="right"/>
              <w:rPr>
                <w:color w:val="000000"/>
                <w:sz w:val="20"/>
                <w:szCs w:val="20"/>
              </w:rPr>
            </w:pPr>
            <w:r>
              <w:rPr>
                <w:color w:val="000000"/>
                <w:sz w:val="20"/>
                <w:szCs w:val="20"/>
              </w:rPr>
              <w:t>1.005</w:t>
            </w:r>
          </w:p>
        </w:tc>
        <w:tc>
          <w:tcPr>
            <w:tcW w:w="1021" w:type="dxa"/>
            <w:tcBorders>
              <w:top w:val="nil"/>
              <w:left w:val="nil"/>
              <w:bottom w:val="single" w:sz="8" w:space="0" w:color="000000"/>
              <w:right w:val="single" w:sz="8" w:space="0" w:color="000000"/>
            </w:tcBorders>
            <w:vAlign w:val="center"/>
            <w:hideMark/>
          </w:tcPr>
          <w:p w14:paraId="3AC03C8D" w14:textId="77777777" w:rsidR="00CA15E3" w:rsidRPr="00CA15E3" w:rsidRDefault="00CA15E3" w:rsidP="00CA15E3">
            <w:pPr>
              <w:widowControl/>
              <w:autoSpaceDE/>
              <w:autoSpaceDN/>
              <w:jc w:val="right"/>
              <w:rPr>
                <w:color w:val="000000"/>
                <w:sz w:val="20"/>
                <w:szCs w:val="20"/>
              </w:rPr>
            </w:pPr>
            <w:r>
              <w:rPr>
                <w:color w:val="000000"/>
                <w:sz w:val="20"/>
                <w:szCs w:val="20"/>
              </w:rPr>
              <w:t>1.534</w:t>
            </w:r>
          </w:p>
        </w:tc>
        <w:tc>
          <w:tcPr>
            <w:tcW w:w="898" w:type="dxa"/>
            <w:tcBorders>
              <w:top w:val="nil"/>
              <w:left w:val="nil"/>
              <w:bottom w:val="single" w:sz="8" w:space="0" w:color="000000"/>
              <w:right w:val="single" w:sz="8" w:space="0" w:color="000000"/>
            </w:tcBorders>
            <w:vAlign w:val="center"/>
            <w:hideMark/>
          </w:tcPr>
          <w:p w14:paraId="7BDFB5FA" w14:textId="77777777" w:rsidR="00CA15E3" w:rsidRPr="00CA15E3" w:rsidRDefault="00CA15E3" w:rsidP="00CA15E3">
            <w:pPr>
              <w:widowControl/>
              <w:autoSpaceDE/>
              <w:autoSpaceDN/>
              <w:jc w:val="right"/>
              <w:rPr>
                <w:color w:val="000000"/>
                <w:sz w:val="20"/>
                <w:szCs w:val="20"/>
              </w:rPr>
            </w:pPr>
            <w:r>
              <w:rPr>
                <w:color w:val="000000"/>
                <w:sz w:val="20"/>
                <w:szCs w:val="20"/>
              </w:rPr>
              <w:t>1.269</w:t>
            </w:r>
          </w:p>
        </w:tc>
      </w:tr>
      <w:tr w:rsidR="00CA15E3" w:rsidRPr="00CA15E3" w14:paraId="3C6E69CF"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6CB85983" w14:textId="77777777" w:rsidR="00CA15E3" w:rsidRPr="00CA15E3" w:rsidRDefault="00CA15E3" w:rsidP="00CA15E3">
            <w:pPr>
              <w:widowControl/>
              <w:autoSpaceDE/>
              <w:autoSpaceDN/>
              <w:rPr>
                <w:b/>
                <w:bCs/>
                <w:color w:val="000000"/>
                <w:sz w:val="20"/>
                <w:szCs w:val="20"/>
              </w:rPr>
            </w:pPr>
            <w:r>
              <w:rPr>
                <w:b/>
                <w:bCs/>
                <w:color w:val="000000"/>
                <w:sz w:val="20"/>
                <w:szCs w:val="20"/>
              </w:rPr>
              <w:t>PI2</w:t>
            </w:r>
          </w:p>
        </w:tc>
        <w:tc>
          <w:tcPr>
            <w:tcW w:w="940" w:type="dxa"/>
            <w:tcBorders>
              <w:top w:val="nil"/>
              <w:left w:val="nil"/>
              <w:bottom w:val="single" w:sz="8" w:space="0" w:color="000000"/>
              <w:right w:val="single" w:sz="8" w:space="0" w:color="000000"/>
            </w:tcBorders>
            <w:vAlign w:val="center"/>
            <w:hideMark/>
          </w:tcPr>
          <w:p w14:paraId="774EF06C" w14:textId="77777777" w:rsidR="00CA15E3" w:rsidRPr="00CA15E3" w:rsidRDefault="00CA15E3" w:rsidP="00CA15E3">
            <w:pPr>
              <w:widowControl/>
              <w:autoSpaceDE/>
              <w:autoSpaceDN/>
              <w:jc w:val="right"/>
              <w:rPr>
                <w:color w:val="000000"/>
                <w:sz w:val="20"/>
                <w:szCs w:val="20"/>
              </w:rPr>
            </w:pPr>
            <w:r>
              <w:rPr>
                <w:color w:val="000000"/>
                <w:sz w:val="20"/>
                <w:szCs w:val="20"/>
              </w:rPr>
              <w:t>0.546</w:t>
            </w:r>
          </w:p>
        </w:tc>
        <w:tc>
          <w:tcPr>
            <w:tcW w:w="1253" w:type="dxa"/>
            <w:tcBorders>
              <w:top w:val="nil"/>
              <w:left w:val="nil"/>
              <w:bottom w:val="single" w:sz="8" w:space="0" w:color="000000"/>
              <w:right w:val="single" w:sz="8" w:space="0" w:color="000000"/>
            </w:tcBorders>
            <w:vAlign w:val="center"/>
            <w:hideMark/>
          </w:tcPr>
          <w:p w14:paraId="2A6A4690" w14:textId="77777777" w:rsidR="00CA15E3" w:rsidRPr="00CA15E3" w:rsidRDefault="00CA15E3" w:rsidP="00CA15E3">
            <w:pPr>
              <w:widowControl/>
              <w:autoSpaceDE/>
              <w:autoSpaceDN/>
              <w:jc w:val="right"/>
              <w:rPr>
                <w:color w:val="000000"/>
                <w:sz w:val="20"/>
                <w:szCs w:val="20"/>
              </w:rPr>
            </w:pPr>
            <w:r>
              <w:rPr>
                <w:color w:val="000000"/>
                <w:sz w:val="20"/>
                <w:szCs w:val="20"/>
              </w:rPr>
              <w:t>0.881</w:t>
            </w:r>
          </w:p>
        </w:tc>
        <w:tc>
          <w:tcPr>
            <w:tcW w:w="1130" w:type="dxa"/>
            <w:tcBorders>
              <w:top w:val="nil"/>
              <w:left w:val="nil"/>
              <w:bottom w:val="single" w:sz="8" w:space="0" w:color="000000"/>
              <w:right w:val="single" w:sz="8" w:space="0" w:color="000000"/>
            </w:tcBorders>
            <w:vAlign w:val="center"/>
            <w:hideMark/>
          </w:tcPr>
          <w:p w14:paraId="4A21C85F" w14:textId="77777777" w:rsidR="00CA15E3" w:rsidRPr="00CA15E3" w:rsidRDefault="00CA15E3" w:rsidP="00CA15E3">
            <w:pPr>
              <w:widowControl/>
              <w:autoSpaceDE/>
              <w:autoSpaceDN/>
              <w:jc w:val="right"/>
              <w:rPr>
                <w:color w:val="000000"/>
                <w:sz w:val="20"/>
                <w:szCs w:val="20"/>
              </w:rPr>
            </w:pPr>
            <w:r>
              <w:rPr>
                <w:color w:val="000000"/>
                <w:sz w:val="20"/>
                <w:szCs w:val="20"/>
              </w:rPr>
              <w:t>0.662</w:t>
            </w:r>
          </w:p>
        </w:tc>
        <w:tc>
          <w:tcPr>
            <w:tcW w:w="1130" w:type="dxa"/>
            <w:tcBorders>
              <w:top w:val="nil"/>
              <w:left w:val="nil"/>
              <w:bottom w:val="single" w:sz="8" w:space="0" w:color="000000"/>
              <w:right w:val="single" w:sz="8" w:space="0" w:color="000000"/>
            </w:tcBorders>
            <w:vAlign w:val="center"/>
            <w:hideMark/>
          </w:tcPr>
          <w:p w14:paraId="0D10B7FC" w14:textId="77777777" w:rsidR="00CA15E3" w:rsidRPr="00CA15E3" w:rsidRDefault="00CA15E3" w:rsidP="00CA15E3">
            <w:pPr>
              <w:widowControl/>
              <w:autoSpaceDE/>
              <w:autoSpaceDN/>
              <w:jc w:val="right"/>
              <w:rPr>
                <w:color w:val="000000"/>
                <w:sz w:val="20"/>
                <w:szCs w:val="20"/>
              </w:rPr>
            </w:pPr>
            <w:r>
              <w:rPr>
                <w:color w:val="000000"/>
                <w:sz w:val="20"/>
                <w:szCs w:val="20"/>
              </w:rPr>
              <w:t>0.895</w:t>
            </w:r>
          </w:p>
        </w:tc>
        <w:tc>
          <w:tcPr>
            <w:tcW w:w="1008" w:type="dxa"/>
            <w:tcBorders>
              <w:top w:val="nil"/>
              <w:left w:val="nil"/>
              <w:bottom w:val="single" w:sz="8" w:space="0" w:color="000000"/>
              <w:right w:val="single" w:sz="8" w:space="0" w:color="000000"/>
            </w:tcBorders>
            <w:vAlign w:val="center"/>
            <w:hideMark/>
          </w:tcPr>
          <w:p w14:paraId="556EFF5C" w14:textId="77777777" w:rsidR="00CA15E3" w:rsidRPr="00CA15E3" w:rsidRDefault="00CA15E3" w:rsidP="00CA15E3">
            <w:pPr>
              <w:widowControl/>
              <w:autoSpaceDE/>
              <w:autoSpaceDN/>
              <w:jc w:val="right"/>
              <w:rPr>
                <w:color w:val="000000"/>
                <w:sz w:val="20"/>
                <w:szCs w:val="20"/>
              </w:rPr>
            </w:pPr>
            <w:r>
              <w:rPr>
                <w:color w:val="000000"/>
                <w:sz w:val="20"/>
                <w:szCs w:val="20"/>
              </w:rPr>
              <w:t>0.639</w:t>
            </w:r>
          </w:p>
        </w:tc>
        <w:tc>
          <w:tcPr>
            <w:tcW w:w="1021" w:type="dxa"/>
            <w:tcBorders>
              <w:top w:val="nil"/>
              <w:left w:val="nil"/>
              <w:bottom w:val="single" w:sz="8" w:space="0" w:color="000000"/>
              <w:right w:val="single" w:sz="8" w:space="0" w:color="000000"/>
            </w:tcBorders>
            <w:vAlign w:val="center"/>
            <w:hideMark/>
          </w:tcPr>
          <w:p w14:paraId="1E474AD5" w14:textId="77777777" w:rsidR="00CA15E3" w:rsidRPr="00CA15E3" w:rsidRDefault="00CA15E3" w:rsidP="00CA15E3">
            <w:pPr>
              <w:widowControl/>
              <w:autoSpaceDE/>
              <w:autoSpaceDN/>
              <w:jc w:val="right"/>
              <w:rPr>
                <w:color w:val="000000"/>
                <w:sz w:val="20"/>
                <w:szCs w:val="20"/>
              </w:rPr>
            </w:pPr>
            <w:r>
              <w:rPr>
                <w:color w:val="000000"/>
                <w:sz w:val="20"/>
                <w:szCs w:val="20"/>
              </w:rPr>
              <w:t>1.308</w:t>
            </w:r>
          </w:p>
        </w:tc>
        <w:tc>
          <w:tcPr>
            <w:tcW w:w="898" w:type="dxa"/>
            <w:tcBorders>
              <w:top w:val="nil"/>
              <w:left w:val="nil"/>
              <w:bottom w:val="single" w:sz="8" w:space="0" w:color="000000"/>
              <w:right w:val="single" w:sz="8" w:space="0" w:color="000000"/>
            </w:tcBorders>
            <w:vAlign w:val="center"/>
            <w:hideMark/>
          </w:tcPr>
          <w:p w14:paraId="300EA220" w14:textId="77777777" w:rsidR="00CA15E3" w:rsidRPr="00CA15E3" w:rsidRDefault="00CA15E3" w:rsidP="00CA15E3">
            <w:pPr>
              <w:widowControl/>
              <w:autoSpaceDE/>
              <w:autoSpaceDN/>
              <w:jc w:val="right"/>
              <w:rPr>
                <w:color w:val="000000"/>
                <w:sz w:val="20"/>
                <w:szCs w:val="20"/>
              </w:rPr>
            </w:pPr>
            <w:r>
              <w:rPr>
                <w:color w:val="000000"/>
                <w:sz w:val="20"/>
                <w:szCs w:val="20"/>
              </w:rPr>
              <w:t>0.842</w:t>
            </w:r>
          </w:p>
        </w:tc>
      </w:tr>
      <w:tr w:rsidR="00CA15E3" w:rsidRPr="00CA15E3" w14:paraId="62FF4455"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72DE0F46" w14:textId="77777777" w:rsidR="00CA15E3" w:rsidRPr="00CA15E3" w:rsidRDefault="00CA15E3" w:rsidP="00CA15E3">
            <w:pPr>
              <w:widowControl/>
              <w:autoSpaceDE/>
              <w:autoSpaceDN/>
              <w:rPr>
                <w:b/>
                <w:bCs/>
                <w:color w:val="000000"/>
                <w:sz w:val="20"/>
                <w:szCs w:val="20"/>
              </w:rPr>
            </w:pPr>
            <w:r>
              <w:rPr>
                <w:b/>
                <w:bCs/>
                <w:color w:val="000000"/>
                <w:sz w:val="20"/>
                <w:szCs w:val="20"/>
              </w:rPr>
              <w:t>PI3</w:t>
            </w:r>
          </w:p>
        </w:tc>
        <w:tc>
          <w:tcPr>
            <w:tcW w:w="940" w:type="dxa"/>
            <w:tcBorders>
              <w:top w:val="nil"/>
              <w:left w:val="nil"/>
              <w:bottom w:val="single" w:sz="8" w:space="0" w:color="000000"/>
              <w:right w:val="single" w:sz="8" w:space="0" w:color="000000"/>
            </w:tcBorders>
            <w:vAlign w:val="center"/>
            <w:hideMark/>
          </w:tcPr>
          <w:p w14:paraId="4BFCF1E8" w14:textId="77777777" w:rsidR="00CA15E3" w:rsidRPr="00CA15E3" w:rsidRDefault="00CA15E3" w:rsidP="00CA15E3">
            <w:pPr>
              <w:widowControl/>
              <w:autoSpaceDE/>
              <w:autoSpaceDN/>
              <w:jc w:val="right"/>
              <w:rPr>
                <w:color w:val="000000"/>
                <w:sz w:val="20"/>
                <w:szCs w:val="20"/>
              </w:rPr>
            </w:pPr>
            <w:r>
              <w:rPr>
                <w:color w:val="000000"/>
                <w:sz w:val="20"/>
                <w:szCs w:val="20"/>
              </w:rPr>
              <w:t>0.344</w:t>
            </w:r>
          </w:p>
        </w:tc>
        <w:tc>
          <w:tcPr>
            <w:tcW w:w="1253" w:type="dxa"/>
            <w:tcBorders>
              <w:top w:val="nil"/>
              <w:left w:val="nil"/>
              <w:bottom w:val="single" w:sz="8" w:space="0" w:color="000000"/>
              <w:right w:val="single" w:sz="8" w:space="0" w:color="000000"/>
            </w:tcBorders>
            <w:vAlign w:val="center"/>
            <w:hideMark/>
          </w:tcPr>
          <w:p w14:paraId="41D92653" w14:textId="77777777" w:rsidR="00CA15E3" w:rsidRPr="00CA15E3" w:rsidRDefault="00CA15E3" w:rsidP="00CA15E3">
            <w:pPr>
              <w:widowControl/>
              <w:autoSpaceDE/>
              <w:autoSpaceDN/>
              <w:jc w:val="right"/>
              <w:rPr>
                <w:color w:val="000000"/>
                <w:sz w:val="20"/>
                <w:szCs w:val="20"/>
              </w:rPr>
            </w:pPr>
            <w:r>
              <w:rPr>
                <w:color w:val="000000"/>
                <w:sz w:val="20"/>
                <w:szCs w:val="20"/>
              </w:rPr>
              <w:t>1.174</w:t>
            </w:r>
          </w:p>
        </w:tc>
        <w:tc>
          <w:tcPr>
            <w:tcW w:w="1130" w:type="dxa"/>
            <w:tcBorders>
              <w:top w:val="nil"/>
              <w:left w:val="nil"/>
              <w:bottom w:val="single" w:sz="8" w:space="0" w:color="000000"/>
              <w:right w:val="single" w:sz="8" w:space="0" w:color="000000"/>
            </w:tcBorders>
            <w:vAlign w:val="center"/>
            <w:hideMark/>
          </w:tcPr>
          <w:p w14:paraId="42A01E36" w14:textId="77777777" w:rsidR="00CA15E3" w:rsidRPr="00CA15E3" w:rsidRDefault="00CA15E3" w:rsidP="00CA15E3">
            <w:pPr>
              <w:widowControl/>
              <w:autoSpaceDE/>
              <w:autoSpaceDN/>
              <w:jc w:val="right"/>
              <w:rPr>
                <w:color w:val="000000"/>
                <w:sz w:val="20"/>
                <w:szCs w:val="20"/>
              </w:rPr>
            </w:pPr>
            <w:r>
              <w:rPr>
                <w:color w:val="000000"/>
                <w:sz w:val="20"/>
                <w:szCs w:val="20"/>
              </w:rPr>
              <w:t>0.844</w:t>
            </w:r>
          </w:p>
        </w:tc>
        <w:tc>
          <w:tcPr>
            <w:tcW w:w="1130" w:type="dxa"/>
            <w:tcBorders>
              <w:top w:val="nil"/>
              <w:left w:val="nil"/>
              <w:bottom w:val="single" w:sz="8" w:space="0" w:color="000000"/>
              <w:right w:val="single" w:sz="8" w:space="0" w:color="000000"/>
            </w:tcBorders>
            <w:vAlign w:val="center"/>
            <w:hideMark/>
          </w:tcPr>
          <w:p w14:paraId="13B3D237" w14:textId="77777777" w:rsidR="00CA15E3" w:rsidRPr="00CA15E3" w:rsidRDefault="00CA15E3" w:rsidP="00CA15E3">
            <w:pPr>
              <w:widowControl/>
              <w:autoSpaceDE/>
              <w:autoSpaceDN/>
              <w:jc w:val="right"/>
              <w:rPr>
                <w:color w:val="000000"/>
                <w:sz w:val="20"/>
                <w:szCs w:val="20"/>
              </w:rPr>
            </w:pPr>
            <w:r>
              <w:rPr>
                <w:color w:val="000000"/>
                <w:sz w:val="20"/>
                <w:szCs w:val="20"/>
              </w:rPr>
              <w:t>1.195</w:t>
            </w:r>
          </w:p>
        </w:tc>
        <w:tc>
          <w:tcPr>
            <w:tcW w:w="1008" w:type="dxa"/>
            <w:tcBorders>
              <w:top w:val="nil"/>
              <w:left w:val="nil"/>
              <w:bottom w:val="single" w:sz="8" w:space="0" w:color="000000"/>
              <w:right w:val="single" w:sz="8" w:space="0" w:color="000000"/>
            </w:tcBorders>
            <w:vAlign w:val="center"/>
            <w:hideMark/>
          </w:tcPr>
          <w:p w14:paraId="74943E3A" w14:textId="77777777" w:rsidR="00CA15E3" w:rsidRPr="00CA15E3" w:rsidRDefault="00CA15E3" w:rsidP="00CA15E3">
            <w:pPr>
              <w:widowControl/>
              <w:autoSpaceDE/>
              <w:autoSpaceDN/>
              <w:jc w:val="right"/>
              <w:rPr>
                <w:color w:val="000000"/>
                <w:sz w:val="20"/>
                <w:szCs w:val="20"/>
              </w:rPr>
            </w:pPr>
            <w:r>
              <w:rPr>
                <w:color w:val="000000"/>
                <w:sz w:val="20"/>
                <w:szCs w:val="20"/>
              </w:rPr>
              <w:t>0.884</w:t>
            </w:r>
          </w:p>
        </w:tc>
        <w:tc>
          <w:tcPr>
            <w:tcW w:w="1021" w:type="dxa"/>
            <w:tcBorders>
              <w:top w:val="nil"/>
              <w:left w:val="nil"/>
              <w:bottom w:val="single" w:sz="8" w:space="0" w:color="000000"/>
              <w:right w:val="single" w:sz="8" w:space="0" w:color="000000"/>
            </w:tcBorders>
            <w:vAlign w:val="center"/>
            <w:hideMark/>
          </w:tcPr>
          <w:p w14:paraId="76242463" w14:textId="77777777" w:rsidR="00CA15E3" w:rsidRPr="00CA15E3" w:rsidRDefault="00CA15E3" w:rsidP="00CA15E3">
            <w:pPr>
              <w:widowControl/>
              <w:autoSpaceDE/>
              <w:autoSpaceDN/>
              <w:jc w:val="right"/>
              <w:rPr>
                <w:color w:val="000000"/>
                <w:sz w:val="20"/>
                <w:szCs w:val="20"/>
              </w:rPr>
            </w:pPr>
            <w:r>
              <w:rPr>
                <w:color w:val="000000"/>
                <w:sz w:val="20"/>
                <w:szCs w:val="20"/>
              </w:rPr>
              <w:t>1.449</w:t>
            </w:r>
          </w:p>
        </w:tc>
        <w:tc>
          <w:tcPr>
            <w:tcW w:w="898" w:type="dxa"/>
            <w:tcBorders>
              <w:top w:val="nil"/>
              <w:left w:val="nil"/>
              <w:bottom w:val="single" w:sz="8" w:space="0" w:color="000000"/>
              <w:right w:val="single" w:sz="8" w:space="0" w:color="000000"/>
            </w:tcBorders>
            <w:vAlign w:val="center"/>
            <w:hideMark/>
          </w:tcPr>
          <w:p w14:paraId="6394EAC4" w14:textId="77777777" w:rsidR="00CA15E3" w:rsidRPr="00CA15E3" w:rsidRDefault="00CA15E3" w:rsidP="00CA15E3">
            <w:pPr>
              <w:widowControl/>
              <w:autoSpaceDE/>
              <w:autoSpaceDN/>
              <w:jc w:val="right"/>
              <w:rPr>
                <w:color w:val="000000"/>
                <w:sz w:val="20"/>
                <w:szCs w:val="20"/>
              </w:rPr>
            </w:pPr>
            <w:r>
              <w:rPr>
                <w:color w:val="000000"/>
                <w:sz w:val="20"/>
                <w:szCs w:val="20"/>
              </w:rPr>
              <w:t>1.156</w:t>
            </w:r>
          </w:p>
        </w:tc>
      </w:tr>
      <w:tr w:rsidR="00CA15E3" w:rsidRPr="00CA15E3" w14:paraId="2E117C27"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75ED56A1" w14:textId="77777777" w:rsidR="00CA15E3" w:rsidRPr="00CA15E3" w:rsidRDefault="00CA15E3" w:rsidP="00CA15E3">
            <w:pPr>
              <w:widowControl/>
              <w:autoSpaceDE/>
              <w:autoSpaceDN/>
              <w:rPr>
                <w:b/>
                <w:bCs/>
                <w:color w:val="000000"/>
                <w:sz w:val="20"/>
                <w:szCs w:val="20"/>
              </w:rPr>
            </w:pPr>
            <w:r>
              <w:rPr>
                <w:b/>
                <w:bCs/>
                <w:color w:val="000000"/>
                <w:sz w:val="20"/>
                <w:szCs w:val="20"/>
              </w:rPr>
              <w:t>PI4</w:t>
            </w:r>
          </w:p>
        </w:tc>
        <w:tc>
          <w:tcPr>
            <w:tcW w:w="940" w:type="dxa"/>
            <w:tcBorders>
              <w:top w:val="nil"/>
              <w:left w:val="nil"/>
              <w:bottom w:val="single" w:sz="8" w:space="0" w:color="000000"/>
              <w:right w:val="single" w:sz="8" w:space="0" w:color="000000"/>
            </w:tcBorders>
            <w:vAlign w:val="center"/>
            <w:hideMark/>
          </w:tcPr>
          <w:p w14:paraId="2D2151F4" w14:textId="77777777" w:rsidR="00CA15E3" w:rsidRPr="00CA15E3" w:rsidRDefault="00CA15E3" w:rsidP="00CA15E3">
            <w:pPr>
              <w:widowControl/>
              <w:autoSpaceDE/>
              <w:autoSpaceDN/>
              <w:jc w:val="right"/>
              <w:rPr>
                <w:color w:val="000000"/>
                <w:sz w:val="20"/>
                <w:szCs w:val="20"/>
              </w:rPr>
            </w:pPr>
            <w:r>
              <w:rPr>
                <w:color w:val="000000"/>
                <w:sz w:val="20"/>
                <w:szCs w:val="20"/>
              </w:rPr>
              <w:t>0.371</w:t>
            </w:r>
          </w:p>
        </w:tc>
        <w:tc>
          <w:tcPr>
            <w:tcW w:w="1253" w:type="dxa"/>
            <w:tcBorders>
              <w:top w:val="nil"/>
              <w:left w:val="nil"/>
              <w:bottom w:val="single" w:sz="8" w:space="0" w:color="000000"/>
              <w:right w:val="single" w:sz="8" w:space="0" w:color="000000"/>
            </w:tcBorders>
            <w:vAlign w:val="center"/>
            <w:hideMark/>
          </w:tcPr>
          <w:p w14:paraId="7251D408" w14:textId="77777777" w:rsidR="00CA15E3" w:rsidRPr="00CA15E3" w:rsidRDefault="00CA15E3" w:rsidP="00CA15E3">
            <w:pPr>
              <w:widowControl/>
              <w:autoSpaceDE/>
              <w:autoSpaceDN/>
              <w:jc w:val="right"/>
              <w:rPr>
                <w:color w:val="000000"/>
                <w:sz w:val="20"/>
                <w:szCs w:val="20"/>
              </w:rPr>
            </w:pPr>
            <w:r>
              <w:rPr>
                <w:color w:val="000000"/>
                <w:sz w:val="20"/>
                <w:szCs w:val="20"/>
              </w:rPr>
              <w:t>1.187</w:t>
            </w:r>
          </w:p>
        </w:tc>
        <w:tc>
          <w:tcPr>
            <w:tcW w:w="1130" w:type="dxa"/>
            <w:tcBorders>
              <w:top w:val="nil"/>
              <w:left w:val="nil"/>
              <w:bottom w:val="single" w:sz="8" w:space="0" w:color="000000"/>
              <w:right w:val="single" w:sz="8" w:space="0" w:color="000000"/>
            </w:tcBorders>
            <w:vAlign w:val="center"/>
            <w:hideMark/>
          </w:tcPr>
          <w:p w14:paraId="4840214E" w14:textId="77777777" w:rsidR="00CA15E3" w:rsidRPr="00CA15E3" w:rsidRDefault="00CA15E3" w:rsidP="00CA15E3">
            <w:pPr>
              <w:widowControl/>
              <w:autoSpaceDE/>
              <w:autoSpaceDN/>
              <w:jc w:val="right"/>
              <w:rPr>
                <w:color w:val="000000"/>
                <w:sz w:val="20"/>
                <w:szCs w:val="20"/>
              </w:rPr>
            </w:pPr>
            <w:r>
              <w:rPr>
                <w:color w:val="000000"/>
                <w:sz w:val="20"/>
                <w:szCs w:val="20"/>
              </w:rPr>
              <w:t>0.938</w:t>
            </w:r>
          </w:p>
        </w:tc>
        <w:tc>
          <w:tcPr>
            <w:tcW w:w="1130" w:type="dxa"/>
            <w:tcBorders>
              <w:top w:val="nil"/>
              <w:left w:val="nil"/>
              <w:bottom w:val="single" w:sz="8" w:space="0" w:color="000000"/>
              <w:right w:val="single" w:sz="8" w:space="0" w:color="000000"/>
            </w:tcBorders>
            <w:vAlign w:val="center"/>
            <w:hideMark/>
          </w:tcPr>
          <w:p w14:paraId="5F4A847A" w14:textId="77777777" w:rsidR="00CA15E3" w:rsidRPr="00CA15E3" w:rsidRDefault="00CA15E3" w:rsidP="00CA15E3">
            <w:pPr>
              <w:widowControl/>
              <w:autoSpaceDE/>
              <w:autoSpaceDN/>
              <w:jc w:val="right"/>
              <w:rPr>
                <w:color w:val="000000"/>
                <w:sz w:val="20"/>
                <w:szCs w:val="20"/>
              </w:rPr>
            </w:pPr>
            <w:r>
              <w:rPr>
                <w:color w:val="000000"/>
                <w:sz w:val="20"/>
                <w:szCs w:val="20"/>
              </w:rPr>
              <w:t>1.226</w:t>
            </w:r>
          </w:p>
        </w:tc>
        <w:tc>
          <w:tcPr>
            <w:tcW w:w="1008" w:type="dxa"/>
            <w:tcBorders>
              <w:top w:val="nil"/>
              <w:left w:val="nil"/>
              <w:bottom w:val="single" w:sz="8" w:space="0" w:color="000000"/>
              <w:right w:val="single" w:sz="8" w:space="0" w:color="000000"/>
            </w:tcBorders>
            <w:vAlign w:val="center"/>
            <w:hideMark/>
          </w:tcPr>
          <w:p w14:paraId="48C91FAD" w14:textId="77777777" w:rsidR="00CA15E3" w:rsidRPr="00CA15E3" w:rsidRDefault="00CA15E3" w:rsidP="00CA15E3">
            <w:pPr>
              <w:widowControl/>
              <w:autoSpaceDE/>
              <w:autoSpaceDN/>
              <w:jc w:val="right"/>
              <w:rPr>
                <w:color w:val="000000"/>
                <w:sz w:val="20"/>
                <w:szCs w:val="20"/>
              </w:rPr>
            </w:pPr>
            <w:r>
              <w:rPr>
                <w:color w:val="000000"/>
                <w:sz w:val="20"/>
                <w:szCs w:val="20"/>
              </w:rPr>
              <w:t>0.953</w:t>
            </w:r>
          </w:p>
        </w:tc>
        <w:tc>
          <w:tcPr>
            <w:tcW w:w="1021" w:type="dxa"/>
            <w:tcBorders>
              <w:top w:val="nil"/>
              <w:left w:val="nil"/>
              <w:bottom w:val="single" w:sz="8" w:space="0" w:color="000000"/>
              <w:right w:val="single" w:sz="8" w:space="0" w:color="000000"/>
            </w:tcBorders>
            <w:vAlign w:val="center"/>
            <w:hideMark/>
          </w:tcPr>
          <w:p w14:paraId="66D10424" w14:textId="77777777" w:rsidR="00CA15E3" w:rsidRPr="00CA15E3" w:rsidRDefault="00CA15E3" w:rsidP="00CA15E3">
            <w:pPr>
              <w:widowControl/>
              <w:autoSpaceDE/>
              <w:autoSpaceDN/>
              <w:jc w:val="right"/>
              <w:rPr>
                <w:color w:val="000000"/>
                <w:sz w:val="20"/>
                <w:szCs w:val="20"/>
              </w:rPr>
            </w:pPr>
            <w:r>
              <w:rPr>
                <w:color w:val="000000"/>
                <w:sz w:val="20"/>
                <w:szCs w:val="20"/>
              </w:rPr>
              <w:t>1.497</w:t>
            </w:r>
          </w:p>
        </w:tc>
        <w:tc>
          <w:tcPr>
            <w:tcW w:w="898" w:type="dxa"/>
            <w:tcBorders>
              <w:top w:val="nil"/>
              <w:left w:val="nil"/>
              <w:bottom w:val="single" w:sz="8" w:space="0" w:color="000000"/>
              <w:right w:val="single" w:sz="8" w:space="0" w:color="000000"/>
            </w:tcBorders>
            <w:vAlign w:val="center"/>
            <w:hideMark/>
          </w:tcPr>
          <w:p w14:paraId="7B98C02D" w14:textId="77777777" w:rsidR="00CA15E3" w:rsidRPr="00CA15E3" w:rsidRDefault="00CA15E3" w:rsidP="00CA15E3">
            <w:pPr>
              <w:widowControl/>
              <w:autoSpaceDE/>
              <w:autoSpaceDN/>
              <w:jc w:val="right"/>
              <w:rPr>
                <w:color w:val="000000"/>
                <w:sz w:val="20"/>
                <w:szCs w:val="20"/>
              </w:rPr>
            </w:pPr>
            <w:r>
              <w:rPr>
                <w:color w:val="000000"/>
                <w:sz w:val="20"/>
                <w:szCs w:val="20"/>
              </w:rPr>
              <w:t>1.234</w:t>
            </w:r>
          </w:p>
        </w:tc>
      </w:tr>
      <w:tr w:rsidR="00CA15E3" w:rsidRPr="00CA15E3" w14:paraId="61A8AE6A"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6FD4BD1B" w14:textId="77777777" w:rsidR="00CA15E3" w:rsidRPr="00CA15E3" w:rsidRDefault="00CA15E3" w:rsidP="00CA15E3">
            <w:pPr>
              <w:widowControl/>
              <w:autoSpaceDE/>
              <w:autoSpaceDN/>
              <w:rPr>
                <w:b/>
                <w:bCs/>
                <w:color w:val="000000"/>
                <w:sz w:val="20"/>
                <w:szCs w:val="20"/>
              </w:rPr>
            </w:pPr>
            <w:r>
              <w:rPr>
                <w:b/>
                <w:bCs/>
                <w:color w:val="000000"/>
                <w:sz w:val="20"/>
                <w:szCs w:val="20"/>
              </w:rPr>
              <w:t>PIN1</w:t>
            </w:r>
          </w:p>
        </w:tc>
        <w:tc>
          <w:tcPr>
            <w:tcW w:w="940" w:type="dxa"/>
            <w:tcBorders>
              <w:top w:val="nil"/>
              <w:left w:val="nil"/>
              <w:bottom w:val="single" w:sz="8" w:space="0" w:color="000000"/>
              <w:right w:val="single" w:sz="8" w:space="0" w:color="000000"/>
            </w:tcBorders>
            <w:vAlign w:val="center"/>
            <w:hideMark/>
          </w:tcPr>
          <w:p w14:paraId="4F67A5F3" w14:textId="77777777" w:rsidR="00CA15E3" w:rsidRPr="00CA15E3" w:rsidRDefault="00CA15E3" w:rsidP="00CA15E3">
            <w:pPr>
              <w:widowControl/>
              <w:autoSpaceDE/>
              <w:autoSpaceDN/>
              <w:jc w:val="right"/>
              <w:rPr>
                <w:color w:val="000000"/>
                <w:sz w:val="20"/>
                <w:szCs w:val="20"/>
              </w:rPr>
            </w:pPr>
            <w:r>
              <w:rPr>
                <w:color w:val="000000"/>
                <w:sz w:val="20"/>
                <w:szCs w:val="20"/>
              </w:rPr>
              <w:t>0.310</w:t>
            </w:r>
          </w:p>
        </w:tc>
        <w:tc>
          <w:tcPr>
            <w:tcW w:w="1253" w:type="dxa"/>
            <w:tcBorders>
              <w:top w:val="nil"/>
              <w:left w:val="nil"/>
              <w:bottom w:val="single" w:sz="8" w:space="0" w:color="000000"/>
              <w:right w:val="single" w:sz="8" w:space="0" w:color="000000"/>
            </w:tcBorders>
            <w:vAlign w:val="center"/>
            <w:hideMark/>
          </w:tcPr>
          <w:p w14:paraId="56563FE8" w14:textId="77777777" w:rsidR="00CA15E3" w:rsidRPr="00CA15E3" w:rsidRDefault="00CA15E3" w:rsidP="00CA15E3">
            <w:pPr>
              <w:widowControl/>
              <w:autoSpaceDE/>
              <w:autoSpaceDN/>
              <w:jc w:val="right"/>
              <w:rPr>
                <w:color w:val="000000"/>
                <w:sz w:val="20"/>
                <w:szCs w:val="20"/>
              </w:rPr>
            </w:pPr>
            <w:r>
              <w:rPr>
                <w:color w:val="000000"/>
                <w:sz w:val="20"/>
                <w:szCs w:val="20"/>
              </w:rPr>
              <w:t>1.180</w:t>
            </w:r>
          </w:p>
        </w:tc>
        <w:tc>
          <w:tcPr>
            <w:tcW w:w="1130" w:type="dxa"/>
            <w:tcBorders>
              <w:top w:val="nil"/>
              <w:left w:val="nil"/>
              <w:bottom w:val="single" w:sz="8" w:space="0" w:color="000000"/>
              <w:right w:val="single" w:sz="8" w:space="0" w:color="000000"/>
            </w:tcBorders>
            <w:vAlign w:val="center"/>
            <w:hideMark/>
          </w:tcPr>
          <w:p w14:paraId="45DE7EF3" w14:textId="77777777" w:rsidR="00CA15E3" w:rsidRPr="00CA15E3" w:rsidRDefault="00CA15E3" w:rsidP="00CA15E3">
            <w:pPr>
              <w:widowControl/>
              <w:autoSpaceDE/>
              <w:autoSpaceDN/>
              <w:jc w:val="right"/>
              <w:rPr>
                <w:color w:val="000000"/>
                <w:sz w:val="20"/>
                <w:szCs w:val="20"/>
              </w:rPr>
            </w:pPr>
            <w:r>
              <w:rPr>
                <w:color w:val="000000"/>
                <w:sz w:val="20"/>
                <w:szCs w:val="20"/>
              </w:rPr>
              <w:t>0.997</w:t>
            </w:r>
          </w:p>
        </w:tc>
        <w:tc>
          <w:tcPr>
            <w:tcW w:w="1130" w:type="dxa"/>
            <w:tcBorders>
              <w:top w:val="nil"/>
              <w:left w:val="nil"/>
              <w:bottom w:val="single" w:sz="8" w:space="0" w:color="000000"/>
              <w:right w:val="single" w:sz="8" w:space="0" w:color="000000"/>
            </w:tcBorders>
            <w:vAlign w:val="center"/>
            <w:hideMark/>
          </w:tcPr>
          <w:p w14:paraId="03B8F7B0" w14:textId="77777777" w:rsidR="00CA15E3" w:rsidRPr="00CA15E3" w:rsidRDefault="00CA15E3" w:rsidP="00CA15E3">
            <w:pPr>
              <w:widowControl/>
              <w:autoSpaceDE/>
              <w:autoSpaceDN/>
              <w:jc w:val="right"/>
              <w:rPr>
                <w:color w:val="000000"/>
                <w:sz w:val="20"/>
                <w:szCs w:val="20"/>
              </w:rPr>
            </w:pPr>
            <w:r>
              <w:rPr>
                <w:color w:val="000000"/>
                <w:sz w:val="20"/>
                <w:szCs w:val="20"/>
              </w:rPr>
              <w:t>1.185</w:t>
            </w:r>
          </w:p>
        </w:tc>
        <w:tc>
          <w:tcPr>
            <w:tcW w:w="1008" w:type="dxa"/>
            <w:tcBorders>
              <w:top w:val="nil"/>
              <w:left w:val="nil"/>
              <w:bottom w:val="single" w:sz="8" w:space="0" w:color="000000"/>
              <w:right w:val="single" w:sz="8" w:space="0" w:color="000000"/>
            </w:tcBorders>
            <w:vAlign w:val="center"/>
            <w:hideMark/>
          </w:tcPr>
          <w:p w14:paraId="6A02D262" w14:textId="77777777" w:rsidR="00CA15E3" w:rsidRPr="00CA15E3" w:rsidRDefault="00CA15E3" w:rsidP="00CA15E3">
            <w:pPr>
              <w:widowControl/>
              <w:autoSpaceDE/>
              <w:autoSpaceDN/>
              <w:jc w:val="right"/>
              <w:rPr>
                <w:color w:val="000000"/>
                <w:sz w:val="20"/>
                <w:szCs w:val="20"/>
              </w:rPr>
            </w:pPr>
            <w:r>
              <w:rPr>
                <w:color w:val="000000"/>
                <w:sz w:val="20"/>
                <w:szCs w:val="20"/>
              </w:rPr>
              <w:t>0.983</w:t>
            </w:r>
          </w:p>
        </w:tc>
        <w:tc>
          <w:tcPr>
            <w:tcW w:w="1021" w:type="dxa"/>
            <w:tcBorders>
              <w:top w:val="nil"/>
              <w:left w:val="nil"/>
              <w:bottom w:val="single" w:sz="8" w:space="0" w:color="000000"/>
              <w:right w:val="single" w:sz="8" w:space="0" w:color="000000"/>
            </w:tcBorders>
            <w:vAlign w:val="center"/>
            <w:hideMark/>
          </w:tcPr>
          <w:p w14:paraId="094DE354" w14:textId="77777777" w:rsidR="00CA15E3" w:rsidRPr="00CA15E3" w:rsidRDefault="00CA15E3" w:rsidP="00CA15E3">
            <w:pPr>
              <w:widowControl/>
              <w:autoSpaceDE/>
              <w:autoSpaceDN/>
              <w:jc w:val="right"/>
              <w:rPr>
                <w:color w:val="000000"/>
                <w:sz w:val="20"/>
                <w:szCs w:val="20"/>
              </w:rPr>
            </w:pPr>
            <w:r>
              <w:rPr>
                <w:color w:val="000000"/>
                <w:sz w:val="20"/>
                <w:szCs w:val="20"/>
              </w:rPr>
              <w:t>1.421</w:t>
            </w:r>
          </w:p>
        </w:tc>
        <w:tc>
          <w:tcPr>
            <w:tcW w:w="898" w:type="dxa"/>
            <w:tcBorders>
              <w:top w:val="nil"/>
              <w:left w:val="nil"/>
              <w:bottom w:val="single" w:sz="8" w:space="0" w:color="000000"/>
              <w:right w:val="single" w:sz="8" w:space="0" w:color="000000"/>
            </w:tcBorders>
            <w:vAlign w:val="center"/>
            <w:hideMark/>
          </w:tcPr>
          <w:p w14:paraId="0C16CC4F" w14:textId="77777777" w:rsidR="00CA15E3" w:rsidRPr="00CA15E3" w:rsidRDefault="00CA15E3" w:rsidP="00CA15E3">
            <w:pPr>
              <w:widowControl/>
              <w:autoSpaceDE/>
              <w:autoSpaceDN/>
              <w:jc w:val="right"/>
              <w:rPr>
                <w:color w:val="000000"/>
                <w:sz w:val="20"/>
                <w:szCs w:val="20"/>
              </w:rPr>
            </w:pPr>
            <w:r>
              <w:rPr>
                <w:color w:val="000000"/>
                <w:sz w:val="20"/>
                <w:szCs w:val="20"/>
              </w:rPr>
              <w:t>1.132</w:t>
            </w:r>
          </w:p>
        </w:tc>
      </w:tr>
      <w:tr w:rsidR="00CA15E3" w:rsidRPr="00CA15E3" w14:paraId="39E3E450"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1F380FCC" w14:textId="77777777" w:rsidR="00CA15E3" w:rsidRPr="00CA15E3" w:rsidRDefault="00CA15E3" w:rsidP="00CA15E3">
            <w:pPr>
              <w:widowControl/>
              <w:autoSpaceDE/>
              <w:autoSpaceDN/>
              <w:rPr>
                <w:b/>
                <w:bCs/>
                <w:color w:val="000000"/>
                <w:sz w:val="20"/>
                <w:szCs w:val="20"/>
              </w:rPr>
            </w:pPr>
            <w:r>
              <w:rPr>
                <w:b/>
                <w:bCs/>
                <w:color w:val="000000"/>
                <w:sz w:val="20"/>
                <w:szCs w:val="20"/>
              </w:rPr>
              <w:t>PIN2</w:t>
            </w:r>
          </w:p>
        </w:tc>
        <w:tc>
          <w:tcPr>
            <w:tcW w:w="940" w:type="dxa"/>
            <w:tcBorders>
              <w:top w:val="nil"/>
              <w:left w:val="nil"/>
              <w:bottom w:val="single" w:sz="8" w:space="0" w:color="000000"/>
              <w:right w:val="single" w:sz="8" w:space="0" w:color="000000"/>
            </w:tcBorders>
            <w:vAlign w:val="center"/>
            <w:hideMark/>
          </w:tcPr>
          <w:p w14:paraId="44C2BF2E" w14:textId="77777777" w:rsidR="00CA15E3" w:rsidRPr="00CA15E3" w:rsidRDefault="00CA15E3" w:rsidP="00CA15E3">
            <w:pPr>
              <w:widowControl/>
              <w:autoSpaceDE/>
              <w:autoSpaceDN/>
              <w:jc w:val="right"/>
              <w:rPr>
                <w:color w:val="000000"/>
                <w:sz w:val="20"/>
                <w:szCs w:val="20"/>
              </w:rPr>
            </w:pPr>
            <w:r>
              <w:rPr>
                <w:color w:val="000000"/>
                <w:sz w:val="20"/>
                <w:szCs w:val="20"/>
              </w:rPr>
              <w:t>0.232</w:t>
            </w:r>
          </w:p>
        </w:tc>
        <w:tc>
          <w:tcPr>
            <w:tcW w:w="1253" w:type="dxa"/>
            <w:tcBorders>
              <w:top w:val="nil"/>
              <w:left w:val="nil"/>
              <w:bottom w:val="single" w:sz="8" w:space="0" w:color="000000"/>
              <w:right w:val="single" w:sz="8" w:space="0" w:color="000000"/>
            </w:tcBorders>
            <w:vAlign w:val="center"/>
            <w:hideMark/>
          </w:tcPr>
          <w:p w14:paraId="7E2D18C8" w14:textId="77777777" w:rsidR="00CA15E3" w:rsidRPr="00CA15E3" w:rsidRDefault="00CA15E3" w:rsidP="00CA15E3">
            <w:pPr>
              <w:widowControl/>
              <w:autoSpaceDE/>
              <w:autoSpaceDN/>
              <w:jc w:val="right"/>
              <w:rPr>
                <w:color w:val="000000"/>
                <w:sz w:val="20"/>
                <w:szCs w:val="20"/>
              </w:rPr>
            </w:pPr>
            <w:r>
              <w:rPr>
                <w:color w:val="000000"/>
                <w:sz w:val="20"/>
                <w:szCs w:val="20"/>
              </w:rPr>
              <w:t>1.228</w:t>
            </w:r>
          </w:p>
        </w:tc>
        <w:tc>
          <w:tcPr>
            <w:tcW w:w="1130" w:type="dxa"/>
            <w:tcBorders>
              <w:top w:val="nil"/>
              <w:left w:val="nil"/>
              <w:bottom w:val="single" w:sz="8" w:space="0" w:color="000000"/>
              <w:right w:val="single" w:sz="8" w:space="0" w:color="000000"/>
            </w:tcBorders>
            <w:vAlign w:val="center"/>
            <w:hideMark/>
          </w:tcPr>
          <w:p w14:paraId="231C9F07" w14:textId="77777777" w:rsidR="00CA15E3" w:rsidRPr="00CA15E3" w:rsidRDefault="00CA15E3" w:rsidP="00CA15E3">
            <w:pPr>
              <w:widowControl/>
              <w:autoSpaceDE/>
              <w:autoSpaceDN/>
              <w:jc w:val="right"/>
              <w:rPr>
                <w:color w:val="000000"/>
                <w:sz w:val="20"/>
                <w:szCs w:val="20"/>
              </w:rPr>
            </w:pPr>
            <w:r>
              <w:rPr>
                <w:color w:val="000000"/>
                <w:sz w:val="20"/>
                <w:szCs w:val="20"/>
              </w:rPr>
              <w:t>1.003</w:t>
            </w:r>
          </w:p>
        </w:tc>
        <w:tc>
          <w:tcPr>
            <w:tcW w:w="1130" w:type="dxa"/>
            <w:tcBorders>
              <w:top w:val="nil"/>
              <w:left w:val="nil"/>
              <w:bottom w:val="single" w:sz="8" w:space="0" w:color="000000"/>
              <w:right w:val="single" w:sz="8" w:space="0" w:color="000000"/>
            </w:tcBorders>
            <w:vAlign w:val="center"/>
            <w:hideMark/>
          </w:tcPr>
          <w:p w14:paraId="1C0D9873" w14:textId="77777777" w:rsidR="00CA15E3" w:rsidRPr="00CA15E3" w:rsidRDefault="00CA15E3" w:rsidP="00CA15E3">
            <w:pPr>
              <w:widowControl/>
              <w:autoSpaceDE/>
              <w:autoSpaceDN/>
              <w:jc w:val="right"/>
              <w:rPr>
                <w:color w:val="000000"/>
                <w:sz w:val="20"/>
                <w:szCs w:val="20"/>
              </w:rPr>
            </w:pPr>
            <w:r>
              <w:rPr>
                <w:color w:val="000000"/>
                <w:sz w:val="20"/>
                <w:szCs w:val="20"/>
              </w:rPr>
              <w:t>1.246</w:t>
            </w:r>
          </w:p>
        </w:tc>
        <w:tc>
          <w:tcPr>
            <w:tcW w:w="1008" w:type="dxa"/>
            <w:tcBorders>
              <w:top w:val="nil"/>
              <w:left w:val="nil"/>
              <w:bottom w:val="single" w:sz="8" w:space="0" w:color="000000"/>
              <w:right w:val="single" w:sz="8" w:space="0" w:color="000000"/>
            </w:tcBorders>
            <w:vAlign w:val="center"/>
            <w:hideMark/>
          </w:tcPr>
          <w:p w14:paraId="509E4380" w14:textId="77777777" w:rsidR="00CA15E3" w:rsidRPr="00CA15E3" w:rsidRDefault="00CA15E3" w:rsidP="00CA15E3">
            <w:pPr>
              <w:widowControl/>
              <w:autoSpaceDE/>
              <w:autoSpaceDN/>
              <w:jc w:val="right"/>
              <w:rPr>
                <w:color w:val="000000"/>
                <w:sz w:val="20"/>
                <w:szCs w:val="20"/>
              </w:rPr>
            </w:pPr>
            <w:r>
              <w:rPr>
                <w:color w:val="000000"/>
                <w:sz w:val="20"/>
                <w:szCs w:val="20"/>
              </w:rPr>
              <w:t>1.022</w:t>
            </w:r>
          </w:p>
        </w:tc>
        <w:tc>
          <w:tcPr>
            <w:tcW w:w="1021" w:type="dxa"/>
            <w:tcBorders>
              <w:top w:val="nil"/>
              <w:left w:val="nil"/>
              <w:bottom w:val="single" w:sz="8" w:space="0" w:color="000000"/>
              <w:right w:val="single" w:sz="8" w:space="0" w:color="000000"/>
            </w:tcBorders>
            <w:vAlign w:val="center"/>
            <w:hideMark/>
          </w:tcPr>
          <w:p w14:paraId="62906987" w14:textId="77777777" w:rsidR="00CA15E3" w:rsidRPr="00CA15E3" w:rsidRDefault="00CA15E3" w:rsidP="00CA15E3">
            <w:pPr>
              <w:widowControl/>
              <w:autoSpaceDE/>
              <w:autoSpaceDN/>
              <w:jc w:val="right"/>
              <w:rPr>
                <w:color w:val="000000"/>
                <w:sz w:val="20"/>
                <w:szCs w:val="20"/>
              </w:rPr>
            </w:pPr>
            <w:r>
              <w:rPr>
                <w:color w:val="000000"/>
                <w:sz w:val="20"/>
                <w:szCs w:val="20"/>
              </w:rPr>
              <w:t>1.402</w:t>
            </w:r>
          </w:p>
        </w:tc>
        <w:tc>
          <w:tcPr>
            <w:tcW w:w="898" w:type="dxa"/>
            <w:tcBorders>
              <w:top w:val="nil"/>
              <w:left w:val="nil"/>
              <w:bottom w:val="single" w:sz="8" w:space="0" w:color="000000"/>
              <w:right w:val="single" w:sz="8" w:space="0" w:color="000000"/>
            </w:tcBorders>
            <w:vAlign w:val="center"/>
            <w:hideMark/>
          </w:tcPr>
          <w:p w14:paraId="592D4CB0" w14:textId="77777777" w:rsidR="00CA15E3" w:rsidRPr="00CA15E3" w:rsidRDefault="00CA15E3" w:rsidP="00CA15E3">
            <w:pPr>
              <w:widowControl/>
              <w:autoSpaceDE/>
              <w:autoSpaceDN/>
              <w:jc w:val="right"/>
              <w:rPr>
                <w:color w:val="000000"/>
                <w:sz w:val="20"/>
                <w:szCs w:val="20"/>
              </w:rPr>
            </w:pPr>
            <w:r>
              <w:rPr>
                <w:color w:val="000000"/>
                <w:sz w:val="20"/>
                <w:szCs w:val="20"/>
              </w:rPr>
              <w:t>1.157</w:t>
            </w:r>
          </w:p>
        </w:tc>
      </w:tr>
      <w:tr w:rsidR="00CA15E3" w:rsidRPr="00CA15E3" w14:paraId="03C5AD82"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76BAABDF" w14:textId="77777777" w:rsidR="00CA15E3" w:rsidRPr="00CA15E3" w:rsidRDefault="00CA15E3" w:rsidP="00CA15E3">
            <w:pPr>
              <w:widowControl/>
              <w:autoSpaceDE/>
              <w:autoSpaceDN/>
              <w:rPr>
                <w:b/>
                <w:bCs/>
                <w:color w:val="000000"/>
                <w:sz w:val="20"/>
                <w:szCs w:val="20"/>
              </w:rPr>
            </w:pPr>
            <w:r>
              <w:rPr>
                <w:b/>
                <w:bCs/>
                <w:color w:val="000000"/>
                <w:sz w:val="20"/>
                <w:szCs w:val="20"/>
              </w:rPr>
              <w:t>PIN3</w:t>
            </w:r>
          </w:p>
        </w:tc>
        <w:tc>
          <w:tcPr>
            <w:tcW w:w="940" w:type="dxa"/>
            <w:tcBorders>
              <w:top w:val="nil"/>
              <w:left w:val="nil"/>
              <w:bottom w:val="single" w:sz="8" w:space="0" w:color="000000"/>
              <w:right w:val="single" w:sz="8" w:space="0" w:color="000000"/>
            </w:tcBorders>
            <w:vAlign w:val="center"/>
            <w:hideMark/>
          </w:tcPr>
          <w:p w14:paraId="72608FE8" w14:textId="77777777" w:rsidR="00CA15E3" w:rsidRPr="00CA15E3" w:rsidRDefault="00CA15E3" w:rsidP="00CA15E3">
            <w:pPr>
              <w:widowControl/>
              <w:autoSpaceDE/>
              <w:autoSpaceDN/>
              <w:jc w:val="right"/>
              <w:rPr>
                <w:color w:val="000000"/>
                <w:sz w:val="20"/>
                <w:szCs w:val="20"/>
              </w:rPr>
            </w:pPr>
            <w:r>
              <w:rPr>
                <w:color w:val="000000"/>
                <w:sz w:val="20"/>
                <w:szCs w:val="20"/>
              </w:rPr>
              <w:t>0.027</w:t>
            </w:r>
          </w:p>
        </w:tc>
        <w:tc>
          <w:tcPr>
            <w:tcW w:w="1253" w:type="dxa"/>
            <w:tcBorders>
              <w:top w:val="nil"/>
              <w:left w:val="nil"/>
              <w:bottom w:val="single" w:sz="8" w:space="0" w:color="000000"/>
              <w:right w:val="single" w:sz="8" w:space="0" w:color="000000"/>
            </w:tcBorders>
            <w:vAlign w:val="center"/>
            <w:hideMark/>
          </w:tcPr>
          <w:p w14:paraId="7D7DA7E5" w14:textId="77777777" w:rsidR="00CA15E3" w:rsidRPr="00CA15E3" w:rsidRDefault="00CA15E3" w:rsidP="00CA15E3">
            <w:pPr>
              <w:widowControl/>
              <w:autoSpaceDE/>
              <w:autoSpaceDN/>
              <w:jc w:val="right"/>
              <w:rPr>
                <w:color w:val="000000"/>
                <w:sz w:val="20"/>
                <w:szCs w:val="20"/>
              </w:rPr>
            </w:pPr>
            <w:r>
              <w:rPr>
                <w:color w:val="000000"/>
                <w:sz w:val="20"/>
                <w:szCs w:val="20"/>
              </w:rPr>
              <w:t>1.354</w:t>
            </w:r>
          </w:p>
        </w:tc>
        <w:tc>
          <w:tcPr>
            <w:tcW w:w="1130" w:type="dxa"/>
            <w:tcBorders>
              <w:top w:val="nil"/>
              <w:left w:val="nil"/>
              <w:bottom w:val="single" w:sz="8" w:space="0" w:color="000000"/>
              <w:right w:val="single" w:sz="8" w:space="0" w:color="000000"/>
            </w:tcBorders>
            <w:vAlign w:val="center"/>
            <w:hideMark/>
          </w:tcPr>
          <w:p w14:paraId="589EFCB1" w14:textId="77777777" w:rsidR="00CA15E3" w:rsidRPr="00CA15E3" w:rsidRDefault="00CA15E3" w:rsidP="00CA15E3">
            <w:pPr>
              <w:widowControl/>
              <w:autoSpaceDE/>
              <w:autoSpaceDN/>
              <w:jc w:val="right"/>
              <w:rPr>
                <w:color w:val="000000"/>
                <w:sz w:val="20"/>
                <w:szCs w:val="20"/>
              </w:rPr>
            </w:pPr>
            <w:r>
              <w:rPr>
                <w:color w:val="000000"/>
                <w:sz w:val="20"/>
                <w:szCs w:val="20"/>
              </w:rPr>
              <w:t>1.044</w:t>
            </w:r>
          </w:p>
        </w:tc>
        <w:tc>
          <w:tcPr>
            <w:tcW w:w="1130" w:type="dxa"/>
            <w:tcBorders>
              <w:top w:val="nil"/>
              <w:left w:val="nil"/>
              <w:bottom w:val="single" w:sz="8" w:space="0" w:color="000000"/>
              <w:right w:val="single" w:sz="8" w:space="0" w:color="000000"/>
            </w:tcBorders>
            <w:vAlign w:val="center"/>
            <w:hideMark/>
          </w:tcPr>
          <w:p w14:paraId="6650FFEB" w14:textId="77777777" w:rsidR="00CA15E3" w:rsidRPr="00CA15E3" w:rsidRDefault="00CA15E3" w:rsidP="00CA15E3">
            <w:pPr>
              <w:widowControl/>
              <w:autoSpaceDE/>
              <w:autoSpaceDN/>
              <w:jc w:val="right"/>
              <w:rPr>
                <w:color w:val="000000"/>
                <w:sz w:val="20"/>
                <w:szCs w:val="20"/>
              </w:rPr>
            </w:pPr>
            <w:r>
              <w:rPr>
                <w:color w:val="000000"/>
                <w:sz w:val="20"/>
                <w:szCs w:val="20"/>
              </w:rPr>
              <w:t>1.389</w:t>
            </w:r>
          </w:p>
        </w:tc>
        <w:tc>
          <w:tcPr>
            <w:tcW w:w="1008" w:type="dxa"/>
            <w:tcBorders>
              <w:top w:val="nil"/>
              <w:left w:val="nil"/>
              <w:bottom w:val="single" w:sz="8" w:space="0" w:color="000000"/>
              <w:right w:val="single" w:sz="8" w:space="0" w:color="000000"/>
            </w:tcBorders>
            <w:vAlign w:val="center"/>
            <w:hideMark/>
          </w:tcPr>
          <w:p w14:paraId="4C76D09C" w14:textId="77777777" w:rsidR="00CA15E3" w:rsidRPr="00CA15E3" w:rsidRDefault="00CA15E3" w:rsidP="00CA15E3">
            <w:pPr>
              <w:widowControl/>
              <w:autoSpaceDE/>
              <w:autoSpaceDN/>
              <w:jc w:val="right"/>
              <w:rPr>
                <w:color w:val="000000"/>
                <w:sz w:val="20"/>
                <w:szCs w:val="20"/>
              </w:rPr>
            </w:pPr>
            <w:r>
              <w:rPr>
                <w:color w:val="000000"/>
                <w:sz w:val="20"/>
                <w:szCs w:val="20"/>
              </w:rPr>
              <w:t>1.078</w:t>
            </w:r>
          </w:p>
        </w:tc>
        <w:tc>
          <w:tcPr>
            <w:tcW w:w="1021" w:type="dxa"/>
            <w:tcBorders>
              <w:top w:val="nil"/>
              <w:left w:val="nil"/>
              <w:bottom w:val="single" w:sz="8" w:space="0" w:color="000000"/>
              <w:right w:val="single" w:sz="8" w:space="0" w:color="000000"/>
            </w:tcBorders>
            <w:vAlign w:val="center"/>
            <w:hideMark/>
          </w:tcPr>
          <w:p w14:paraId="052DBC47" w14:textId="77777777" w:rsidR="00CA15E3" w:rsidRPr="00CA15E3" w:rsidRDefault="00CA15E3" w:rsidP="00CA15E3">
            <w:pPr>
              <w:widowControl/>
              <w:autoSpaceDE/>
              <w:autoSpaceDN/>
              <w:jc w:val="right"/>
              <w:rPr>
                <w:color w:val="000000"/>
                <w:sz w:val="20"/>
                <w:szCs w:val="20"/>
              </w:rPr>
            </w:pPr>
            <w:r>
              <w:rPr>
                <w:color w:val="000000"/>
                <w:sz w:val="20"/>
                <w:szCs w:val="20"/>
              </w:rPr>
              <w:t>1.372</w:t>
            </w:r>
          </w:p>
        </w:tc>
        <w:tc>
          <w:tcPr>
            <w:tcW w:w="898" w:type="dxa"/>
            <w:tcBorders>
              <w:top w:val="nil"/>
              <w:left w:val="nil"/>
              <w:bottom w:val="single" w:sz="8" w:space="0" w:color="000000"/>
              <w:right w:val="single" w:sz="8" w:space="0" w:color="000000"/>
            </w:tcBorders>
            <w:vAlign w:val="center"/>
            <w:hideMark/>
          </w:tcPr>
          <w:p w14:paraId="469CADD5" w14:textId="77777777" w:rsidR="00CA15E3" w:rsidRPr="00CA15E3" w:rsidRDefault="00CA15E3" w:rsidP="00CA15E3">
            <w:pPr>
              <w:widowControl/>
              <w:autoSpaceDE/>
              <w:autoSpaceDN/>
              <w:jc w:val="right"/>
              <w:rPr>
                <w:color w:val="000000"/>
                <w:sz w:val="20"/>
                <w:szCs w:val="20"/>
              </w:rPr>
            </w:pPr>
            <w:r>
              <w:rPr>
                <w:color w:val="000000"/>
                <w:sz w:val="20"/>
                <w:szCs w:val="20"/>
              </w:rPr>
              <w:t>1.053</w:t>
            </w:r>
          </w:p>
        </w:tc>
      </w:tr>
      <w:tr w:rsidR="00CA15E3" w:rsidRPr="00CA15E3" w14:paraId="404A893B" w14:textId="77777777" w:rsidTr="00CA15E3">
        <w:trPr>
          <w:trHeight w:val="315"/>
        </w:trPr>
        <w:tc>
          <w:tcPr>
            <w:tcW w:w="519" w:type="dxa"/>
            <w:tcBorders>
              <w:top w:val="nil"/>
              <w:left w:val="single" w:sz="8" w:space="0" w:color="000000"/>
              <w:bottom w:val="single" w:sz="8" w:space="0" w:color="000000"/>
              <w:right w:val="single" w:sz="8" w:space="0" w:color="000000"/>
            </w:tcBorders>
            <w:vAlign w:val="center"/>
            <w:hideMark/>
          </w:tcPr>
          <w:p w14:paraId="519E01A2" w14:textId="77777777" w:rsidR="00CA15E3" w:rsidRPr="00CA15E3" w:rsidRDefault="00CA15E3" w:rsidP="00CA15E3">
            <w:pPr>
              <w:widowControl/>
              <w:autoSpaceDE/>
              <w:autoSpaceDN/>
              <w:rPr>
                <w:b/>
                <w:bCs/>
                <w:color w:val="000000"/>
                <w:sz w:val="20"/>
                <w:szCs w:val="20"/>
              </w:rPr>
            </w:pPr>
            <w:r>
              <w:rPr>
                <w:b/>
                <w:bCs/>
                <w:color w:val="000000"/>
                <w:sz w:val="20"/>
                <w:szCs w:val="20"/>
              </w:rPr>
              <w:t>PIN4</w:t>
            </w:r>
          </w:p>
        </w:tc>
        <w:tc>
          <w:tcPr>
            <w:tcW w:w="940" w:type="dxa"/>
            <w:tcBorders>
              <w:top w:val="nil"/>
              <w:left w:val="nil"/>
              <w:bottom w:val="single" w:sz="8" w:space="0" w:color="000000"/>
              <w:right w:val="single" w:sz="8" w:space="0" w:color="000000"/>
            </w:tcBorders>
            <w:vAlign w:val="center"/>
            <w:hideMark/>
          </w:tcPr>
          <w:p w14:paraId="35B1808A" w14:textId="77777777" w:rsidR="00CA15E3" w:rsidRPr="00CA15E3" w:rsidRDefault="00CA15E3" w:rsidP="00CA15E3">
            <w:pPr>
              <w:widowControl/>
              <w:autoSpaceDE/>
              <w:autoSpaceDN/>
              <w:jc w:val="right"/>
              <w:rPr>
                <w:color w:val="000000"/>
                <w:sz w:val="20"/>
                <w:szCs w:val="20"/>
              </w:rPr>
            </w:pPr>
            <w:r>
              <w:rPr>
                <w:color w:val="000000"/>
                <w:sz w:val="20"/>
                <w:szCs w:val="20"/>
              </w:rPr>
              <w:t>-0.012</w:t>
            </w:r>
          </w:p>
        </w:tc>
        <w:tc>
          <w:tcPr>
            <w:tcW w:w="1253" w:type="dxa"/>
            <w:tcBorders>
              <w:top w:val="nil"/>
              <w:left w:val="nil"/>
              <w:bottom w:val="single" w:sz="8" w:space="0" w:color="000000"/>
              <w:right w:val="single" w:sz="8" w:space="0" w:color="000000"/>
            </w:tcBorders>
            <w:vAlign w:val="center"/>
            <w:hideMark/>
          </w:tcPr>
          <w:p w14:paraId="759CFC0E" w14:textId="77777777" w:rsidR="00CA15E3" w:rsidRPr="00CA15E3" w:rsidRDefault="00CA15E3" w:rsidP="00CA15E3">
            <w:pPr>
              <w:widowControl/>
              <w:autoSpaceDE/>
              <w:autoSpaceDN/>
              <w:jc w:val="right"/>
              <w:rPr>
                <w:color w:val="000000"/>
                <w:sz w:val="20"/>
                <w:szCs w:val="20"/>
              </w:rPr>
            </w:pPr>
            <w:r>
              <w:rPr>
                <w:color w:val="000000"/>
                <w:sz w:val="20"/>
                <w:szCs w:val="20"/>
              </w:rPr>
              <w:t>1.539</w:t>
            </w:r>
          </w:p>
        </w:tc>
        <w:tc>
          <w:tcPr>
            <w:tcW w:w="1130" w:type="dxa"/>
            <w:tcBorders>
              <w:top w:val="nil"/>
              <w:left w:val="nil"/>
              <w:bottom w:val="single" w:sz="8" w:space="0" w:color="000000"/>
              <w:right w:val="single" w:sz="8" w:space="0" w:color="000000"/>
            </w:tcBorders>
            <w:vAlign w:val="center"/>
            <w:hideMark/>
          </w:tcPr>
          <w:p w14:paraId="227EA1B2" w14:textId="77777777" w:rsidR="00CA15E3" w:rsidRPr="00CA15E3" w:rsidRDefault="00CA15E3" w:rsidP="00CA15E3">
            <w:pPr>
              <w:widowControl/>
              <w:autoSpaceDE/>
              <w:autoSpaceDN/>
              <w:jc w:val="right"/>
              <w:rPr>
                <w:color w:val="000000"/>
                <w:sz w:val="20"/>
                <w:szCs w:val="20"/>
              </w:rPr>
            </w:pPr>
            <w:r>
              <w:rPr>
                <w:color w:val="000000"/>
                <w:sz w:val="20"/>
                <w:szCs w:val="20"/>
              </w:rPr>
              <w:t>1.243</w:t>
            </w:r>
          </w:p>
        </w:tc>
        <w:tc>
          <w:tcPr>
            <w:tcW w:w="1130" w:type="dxa"/>
            <w:tcBorders>
              <w:top w:val="nil"/>
              <w:left w:val="nil"/>
              <w:bottom w:val="single" w:sz="8" w:space="0" w:color="000000"/>
              <w:right w:val="single" w:sz="8" w:space="0" w:color="000000"/>
            </w:tcBorders>
            <w:vAlign w:val="center"/>
            <w:hideMark/>
          </w:tcPr>
          <w:p w14:paraId="6F0DDFD6" w14:textId="77777777" w:rsidR="00CA15E3" w:rsidRPr="00CA15E3" w:rsidRDefault="00CA15E3" w:rsidP="00CA15E3">
            <w:pPr>
              <w:widowControl/>
              <w:autoSpaceDE/>
              <w:autoSpaceDN/>
              <w:jc w:val="right"/>
              <w:rPr>
                <w:color w:val="000000"/>
                <w:sz w:val="20"/>
                <w:szCs w:val="20"/>
              </w:rPr>
            </w:pPr>
            <w:r>
              <w:rPr>
                <w:color w:val="000000"/>
                <w:sz w:val="20"/>
                <w:szCs w:val="20"/>
              </w:rPr>
              <w:t>1.546</w:t>
            </w:r>
          </w:p>
        </w:tc>
        <w:tc>
          <w:tcPr>
            <w:tcW w:w="1008" w:type="dxa"/>
            <w:tcBorders>
              <w:top w:val="nil"/>
              <w:left w:val="nil"/>
              <w:bottom w:val="single" w:sz="8" w:space="0" w:color="000000"/>
              <w:right w:val="single" w:sz="8" w:space="0" w:color="000000"/>
            </w:tcBorders>
            <w:vAlign w:val="center"/>
            <w:hideMark/>
          </w:tcPr>
          <w:p w14:paraId="0250FB19" w14:textId="77777777" w:rsidR="00CA15E3" w:rsidRPr="00CA15E3" w:rsidRDefault="00CA15E3" w:rsidP="00CA15E3">
            <w:pPr>
              <w:widowControl/>
              <w:autoSpaceDE/>
              <w:autoSpaceDN/>
              <w:jc w:val="right"/>
              <w:rPr>
                <w:color w:val="000000"/>
                <w:sz w:val="20"/>
                <w:szCs w:val="20"/>
              </w:rPr>
            </w:pPr>
            <w:r>
              <w:rPr>
                <w:color w:val="000000"/>
                <w:sz w:val="20"/>
                <w:szCs w:val="20"/>
              </w:rPr>
              <w:t>1.251</w:t>
            </w:r>
          </w:p>
        </w:tc>
        <w:tc>
          <w:tcPr>
            <w:tcW w:w="1021" w:type="dxa"/>
            <w:tcBorders>
              <w:top w:val="nil"/>
              <w:left w:val="nil"/>
              <w:bottom w:val="single" w:sz="8" w:space="0" w:color="000000"/>
              <w:right w:val="single" w:sz="8" w:space="0" w:color="000000"/>
            </w:tcBorders>
            <w:vAlign w:val="center"/>
            <w:hideMark/>
          </w:tcPr>
          <w:p w14:paraId="77BDA65A" w14:textId="77777777" w:rsidR="00CA15E3" w:rsidRPr="00CA15E3" w:rsidRDefault="00CA15E3" w:rsidP="00CA15E3">
            <w:pPr>
              <w:widowControl/>
              <w:autoSpaceDE/>
              <w:autoSpaceDN/>
              <w:jc w:val="right"/>
              <w:rPr>
                <w:color w:val="000000"/>
                <w:sz w:val="20"/>
                <w:szCs w:val="20"/>
              </w:rPr>
            </w:pPr>
            <w:r>
              <w:rPr>
                <w:color w:val="000000"/>
                <w:sz w:val="20"/>
                <w:szCs w:val="20"/>
              </w:rPr>
              <w:t>1.529</w:t>
            </w:r>
          </w:p>
        </w:tc>
        <w:tc>
          <w:tcPr>
            <w:tcW w:w="898" w:type="dxa"/>
            <w:tcBorders>
              <w:top w:val="nil"/>
              <w:left w:val="nil"/>
              <w:bottom w:val="single" w:sz="8" w:space="0" w:color="000000"/>
              <w:right w:val="single" w:sz="8" w:space="0" w:color="000000"/>
            </w:tcBorders>
            <w:vAlign w:val="center"/>
            <w:hideMark/>
          </w:tcPr>
          <w:p w14:paraId="41A3B459" w14:textId="77777777" w:rsidR="00CA15E3" w:rsidRPr="00CA15E3" w:rsidRDefault="00CA15E3" w:rsidP="00CA15E3">
            <w:pPr>
              <w:widowControl/>
              <w:autoSpaceDE/>
              <w:autoSpaceDN/>
              <w:jc w:val="right"/>
              <w:rPr>
                <w:color w:val="000000"/>
                <w:sz w:val="20"/>
                <w:szCs w:val="20"/>
              </w:rPr>
            </w:pPr>
            <w:r>
              <w:rPr>
                <w:color w:val="000000"/>
                <w:sz w:val="20"/>
                <w:szCs w:val="20"/>
              </w:rPr>
              <w:t>1.236</w:t>
            </w:r>
          </w:p>
        </w:tc>
      </w:tr>
    </w:tbl>
    <w:p w14:paraId="067F808B" w14:textId="77777777" w:rsidR="00CA15E3" w:rsidRPr="002D6281" w:rsidRDefault="00CA15E3" w:rsidP="002D6281">
      <w:pPr>
        <w:jc w:val="both"/>
      </w:pPr>
    </w:p>
    <w:p w14:paraId="6472FB62" w14:textId="77777777" w:rsidR="002D6281" w:rsidRPr="002D6281" w:rsidRDefault="002D6281" w:rsidP="004B394D">
      <w:pPr>
        <w:spacing w:after="120" w:line="480" w:lineRule="auto"/>
        <w:ind w:firstLine="720"/>
        <w:contextualSpacing/>
        <w:jc w:val="both"/>
      </w:pPr>
      <w:r>
        <w:t xml:space="preserve">Table 8 and Figure 3 report the results of the Importance–Performance Map Analysis (IPMA), which extends the PLS-SEM findings by simultaneously considering the total effects (importance) of antecedent constructs on the target variable (Communicative Competence, CC) and their average latent variable scores (performance). This analysis provides actionable insights by identifying which constructs have the greatest impact on CC and where managerial or pedagogical improvements should be prioritized. The results indicate that Pedagogical Innovation (PIN) has the highest importance (effect = 0.564) but relatively low performance (57.797), suggesting that although it is the most influential driver of communicative competence, its current implementation level remains insufficient. This highlights PIN as the primary area for improvement, implying that greater emphasis should be placed on enhancing experiential learning, simulation-based activities, and technology integration to maximize student outcomes. In contrast, Teacher Beliefs (TB) demonstrate moderate importance (0.276) but the highest performance (82.992), indicating that lecturers already possess strong beliefs aligned with communicative and industry-oriented teaching. Similarly, Professional Identity (PI) shows relatively high performance (78.310) with moderate importance (0.235), suggesting that teachers generally perceive themselves as facilitators of communication and experiential learning. However, their direct contribution to communicative competence is comparatively weaker. Professional Agency (PA) exhibits both moderate importance (0.340) and relatively high performance (74.526), indicating that teachers are reasonably active in adapting teaching </w:t>
      </w:r>
      <w:r>
        <w:lastRenderedPageBreak/>
        <w:t>methods and implementing innovations. Given its mediating role in the structural model, PA remains a crucial lever for translating beliefs and identity into effective pedagogical practices.</w:t>
      </w:r>
    </w:p>
    <w:p w14:paraId="2A22C2DB" w14:textId="77777777" w:rsidR="002D6281" w:rsidRPr="002D6281" w:rsidRDefault="002D6281" w:rsidP="004B394D">
      <w:pPr>
        <w:spacing w:after="120" w:line="480" w:lineRule="auto"/>
        <w:contextualSpacing/>
        <w:jc w:val="both"/>
      </w:pPr>
      <w:r>
        <w:t>When compared to the mean values (importance = 0.354; performance = 73.406), the IPMA results clearly identify Pedagogical Innovation as the key priority for strategic improvement, while Teacher Beliefs and Professional Identity can be considered strengths of the current system. These findings provide practical guidance for policymakers and educational institutions, emphasizing the need to invest in innovative teaching practices and technological integration to enhance communicative competence in tourism education.</w:t>
      </w:r>
    </w:p>
    <w:p w14:paraId="129A26C0" w14:textId="77777777" w:rsidR="00CA15E3" w:rsidRDefault="00CA15E3" w:rsidP="00882F07"/>
    <w:p w14:paraId="3ECD4966" w14:textId="77777777" w:rsidR="004B394D" w:rsidRPr="004B394D" w:rsidRDefault="002D6281" w:rsidP="004B394D">
      <w:pPr>
        <w:rPr>
          <w:b/>
          <w:bCs/>
        </w:rPr>
      </w:pPr>
      <w:r>
        <w:rPr>
          <w:b/>
          <w:bCs/>
        </w:rPr>
        <w:t>Table 8</w:t>
      </w:r>
    </w:p>
    <w:p w14:paraId="6485A9FD" w14:textId="77777777" w:rsidR="00CA15E3" w:rsidRPr="004B394D" w:rsidRDefault="002D6281" w:rsidP="004B394D">
      <w:pPr>
        <w:rPr>
          <w:i/>
          <w:iCs/>
        </w:rPr>
      </w:pPr>
      <w:r>
        <w:rPr>
          <w:i/>
          <w:iCs/>
        </w:rPr>
        <w:t>Importance-performance analysis</w:t>
      </w:r>
    </w:p>
    <w:tbl>
      <w:tblPr>
        <w:tblW w:w="8359" w:type="dxa"/>
        <w:tblLook w:val="04A0" w:firstRow="1" w:lastRow="0" w:firstColumn="1" w:lastColumn="0" w:noHBand="0" w:noVBand="1"/>
      </w:tblPr>
      <w:tblGrid>
        <w:gridCol w:w="754"/>
        <w:gridCol w:w="3777"/>
        <w:gridCol w:w="3828"/>
      </w:tblGrid>
      <w:tr w:rsidR="00CA15E3" w:rsidRPr="00CA15E3" w14:paraId="18B9F1DC" w14:textId="77777777" w:rsidTr="00A37502">
        <w:trPr>
          <w:trHeight w:val="340"/>
        </w:trPr>
        <w:tc>
          <w:tcPr>
            <w:tcW w:w="754" w:type="dxa"/>
            <w:tcBorders>
              <w:top w:val="single" w:sz="4" w:space="0" w:color="auto"/>
              <w:left w:val="single" w:sz="4" w:space="0" w:color="auto"/>
              <w:bottom w:val="single" w:sz="4" w:space="0" w:color="auto"/>
              <w:right w:val="single" w:sz="4" w:space="0" w:color="auto"/>
            </w:tcBorders>
            <w:vAlign w:val="center"/>
            <w:hideMark/>
          </w:tcPr>
          <w:p w14:paraId="76D74A3D" w14:textId="77777777" w:rsidR="00CA15E3" w:rsidRPr="00CA15E3" w:rsidRDefault="00CA15E3" w:rsidP="00CA15E3">
            <w:pPr>
              <w:widowControl/>
              <w:autoSpaceDE/>
              <w:autoSpaceDN/>
              <w:rPr>
                <w:color w:val="000000"/>
                <w:sz w:val="22"/>
              </w:rPr>
            </w:pPr>
            <w:r>
              <w:rPr>
                <w:color w:val="000000"/>
                <w:sz w:val="22"/>
              </w:rPr>
              <w:t> </w:t>
            </w:r>
          </w:p>
        </w:tc>
        <w:tc>
          <w:tcPr>
            <w:tcW w:w="3777" w:type="dxa"/>
            <w:tcBorders>
              <w:top w:val="single" w:sz="4" w:space="0" w:color="auto"/>
              <w:left w:val="nil"/>
              <w:bottom w:val="single" w:sz="4" w:space="0" w:color="auto"/>
              <w:right w:val="single" w:sz="4" w:space="0" w:color="auto"/>
            </w:tcBorders>
            <w:vAlign w:val="center"/>
            <w:hideMark/>
          </w:tcPr>
          <w:p w14:paraId="3C48059D" w14:textId="77777777" w:rsidR="00CA15E3" w:rsidRPr="00CA15E3" w:rsidRDefault="00CA15E3" w:rsidP="00CA15E3">
            <w:pPr>
              <w:widowControl/>
              <w:autoSpaceDE/>
              <w:autoSpaceDN/>
              <w:jc w:val="right"/>
              <w:rPr>
                <w:color w:val="000000"/>
                <w:sz w:val="22"/>
              </w:rPr>
            </w:pPr>
            <w:r>
              <w:rPr>
                <w:color w:val="000000"/>
                <w:sz w:val="22"/>
              </w:rPr>
              <w:t>Effect</w:t>
            </w:r>
          </w:p>
        </w:tc>
        <w:tc>
          <w:tcPr>
            <w:tcW w:w="3828" w:type="dxa"/>
            <w:tcBorders>
              <w:top w:val="single" w:sz="4" w:space="0" w:color="auto"/>
              <w:left w:val="nil"/>
              <w:bottom w:val="single" w:sz="4" w:space="0" w:color="auto"/>
              <w:right w:val="single" w:sz="4" w:space="0" w:color="auto"/>
            </w:tcBorders>
            <w:vAlign w:val="center"/>
            <w:hideMark/>
          </w:tcPr>
          <w:p w14:paraId="320C30D4" w14:textId="77777777" w:rsidR="00CA15E3" w:rsidRPr="00CA15E3" w:rsidRDefault="00CA15E3" w:rsidP="00CA15E3">
            <w:pPr>
              <w:widowControl/>
              <w:autoSpaceDE/>
              <w:autoSpaceDN/>
              <w:jc w:val="right"/>
              <w:rPr>
                <w:color w:val="000000"/>
                <w:sz w:val="22"/>
              </w:rPr>
            </w:pPr>
            <w:r>
              <w:rPr>
                <w:color w:val="000000"/>
                <w:sz w:val="22"/>
              </w:rPr>
              <w:t>Performance</w:t>
            </w:r>
          </w:p>
        </w:tc>
      </w:tr>
      <w:tr w:rsidR="00CA15E3" w:rsidRPr="00CA15E3" w14:paraId="77EEF8B0" w14:textId="77777777" w:rsidTr="00A37502">
        <w:trPr>
          <w:trHeight w:val="300"/>
        </w:trPr>
        <w:tc>
          <w:tcPr>
            <w:tcW w:w="754" w:type="dxa"/>
            <w:tcBorders>
              <w:top w:val="nil"/>
              <w:left w:val="single" w:sz="4" w:space="0" w:color="auto"/>
              <w:bottom w:val="single" w:sz="4" w:space="0" w:color="auto"/>
              <w:right w:val="single" w:sz="4" w:space="0" w:color="auto"/>
            </w:tcBorders>
            <w:vAlign w:val="center"/>
            <w:hideMark/>
          </w:tcPr>
          <w:p w14:paraId="30804B48" w14:textId="77777777" w:rsidR="00CA15E3" w:rsidRPr="00CA15E3" w:rsidRDefault="00CA15E3" w:rsidP="00CA15E3">
            <w:pPr>
              <w:widowControl/>
              <w:autoSpaceDE/>
              <w:autoSpaceDN/>
              <w:rPr>
                <w:color w:val="000000"/>
                <w:sz w:val="22"/>
              </w:rPr>
            </w:pPr>
            <w:r>
              <w:rPr>
                <w:color w:val="000000"/>
                <w:sz w:val="22"/>
              </w:rPr>
              <w:t>PA</w:t>
            </w:r>
          </w:p>
        </w:tc>
        <w:tc>
          <w:tcPr>
            <w:tcW w:w="3777" w:type="dxa"/>
            <w:tcBorders>
              <w:top w:val="nil"/>
              <w:left w:val="nil"/>
              <w:bottom w:val="single" w:sz="4" w:space="0" w:color="auto"/>
              <w:right w:val="single" w:sz="4" w:space="0" w:color="auto"/>
            </w:tcBorders>
            <w:vAlign w:val="center"/>
            <w:hideMark/>
          </w:tcPr>
          <w:p w14:paraId="44D4D223" w14:textId="77777777" w:rsidR="00CA15E3" w:rsidRPr="00CA15E3" w:rsidRDefault="00CA15E3" w:rsidP="00CA15E3">
            <w:pPr>
              <w:widowControl/>
              <w:autoSpaceDE/>
              <w:autoSpaceDN/>
              <w:jc w:val="right"/>
              <w:rPr>
                <w:color w:val="000000"/>
                <w:sz w:val="22"/>
              </w:rPr>
            </w:pPr>
            <w:r>
              <w:rPr>
                <w:color w:val="000000"/>
                <w:sz w:val="22"/>
              </w:rPr>
              <w:t>0.340</w:t>
            </w:r>
          </w:p>
        </w:tc>
        <w:tc>
          <w:tcPr>
            <w:tcW w:w="3828" w:type="dxa"/>
            <w:tcBorders>
              <w:top w:val="nil"/>
              <w:left w:val="nil"/>
              <w:bottom w:val="single" w:sz="4" w:space="0" w:color="auto"/>
              <w:right w:val="single" w:sz="4" w:space="0" w:color="auto"/>
            </w:tcBorders>
            <w:vAlign w:val="center"/>
            <w:hideMark/>
          </w:tcPr>
          <w:p w14:paraId="338E5F68" w14:textId="77777777" w:rsidR="00CA15E3" w:rsidRPr="00CA15E3" w:rsidRDefault="00CA15E3" w:rsidP="00CA15E3">
            <w:pPr>
              <w:widowControl/>
              <w:autoSpaceDE/>
              <w:autoSpaceDN/>
              <w:jc w:val="right"/>
              <w:rPr>
                <w:color w:val="000000"/>
                <w:sz w:val="22"/>
              </w:rPr>
            </w:pPr>
            <w:r>
              <w:rPr>
                <w:color w:val="000000"/>
                <w:sz w:val="22"/>
              </w:rPr>
              <w:t>74.526</w:t>
            </w:r>
          </w:p>
        </w:tc>
      </w:tr>
      <w:tr w:rsidR="00CA15E3" w:rsidRPr="00CA15E3" w14:paraId="4090EA70" w14:textId="77777777" w:rsidTr="00A37502">
        <w:trPr>
          <w:trHeight w:val="300"/>
        </w:trPr>
        <w:tc>
          <w:tcPr>
            <w:tcW w:w="754" w:type="dxa"/>
            <w:tcBorders>
              <w:top w:val="nil"/>
              <w:left w:val="single" w:sz="4" w:space="0" w:color="auto"/>
              <w:bottom w:val="single" w:sz="4" w:space="0" w:color="auto"/>
              <w:right w:val="single" w:sz="4" w:space="0" w:color="auto"/>
            </w:tcBorders>
            <w:vAlign w:val="center"/>
            <w:hideMark/>
          </w:tcPr>
          <w:p w14:paraId="25C764F6" w14:textId="77777777" w:rsidR="00CA15E3" w:rsidRPr="00CA15E3" w:rsidRDefault="00CA15E3" w:rsidP="00CA15E3">
            <w:pPr>
              <w:widowControl/>
              <w:autoSpaceDE/>
              <w:autoSpaceDN/>
              <w:rPr>
                <w:color w:val="000000"/>
                <w:sz w:val="22"/>
              </w:rPr>
            </w:pPr>
            <w:r>
              <w:rPr>
                <w:color w:val="000000"/>
                <w:sz w:val="22"/>
              </w:rPr>
              <w:t>PI</w:t>
            </w:r>
          </w:p>
        </w:tc>
        <w:tc>
          <w:tcPr>
            <w:tcW w:w="3777" w:type="dxa"/>
            <w:tcBorders>
              <w:top w:val="nil"/>
              <w:left w:val="nil"/>
              <w:bottom w:val="single" w:sz="4" w:space="0" w:color="auto"/>
              <w:right w:val="single" w:sz="4" w:space="0" w:color="auto"/>
            </w:tcBorders>
            <w:vAlign w:val="center"/>
            <w:hideMark/>
          </w:tcPr>
          <w:p w14:paraId="6D78EFEE" w14:textId="77777777" w:rsidR="00CA15E3" w:rsidRPr="00CA15E3" w:rsidRDefault="00CA15E3" w:rsidP="00CA15E3">
            <w:pPr>
              <w:widowControl/>
              <w:autoSpaceDE/>
              <w:autoSpaceDN/>
              <w:jc w:val="right"/>
              <w:rPr>
                <w:color w:val="000000"/>
                <w:sz w:val="22"/>
              </w:rPr>
            </w:pPr>
            <w:r>
              <w:rPr>
                <w:color w:val="000000"/>
                <w:sz w:val="22"/>
              </w:rPr>
              <w:t>0.235</w:t>
            </w:r>
          </w:p>
        </w:tc>
        <w:tc>
          <w:tcPr>
            <w:tcW w:w="3828" w:type="dxa"/>
            <w:tcBorders>
              <w:top w:val="nil"/>
              <w:left w:val="nil"/>
              <w:bottom w:val="single" w:sz="4" w:space="0" w:color="auto"/>
              <w:right w:val="single" w:sz="4" w:space="0" w:color="auto"/>
            </w:tcBorders>
            <w:vAlign w:val="center"/>
            <w:hideMark/>
          </w:tcPr>
          <w:p w14:paraId="53997100" w14:textId="77777777" w:rsidR="00CA15E3" w:rsidRPr="00CA15E3" w:rsidRDefault="00CA15E3" w:rsidP="00CA15E3">
            <w:pPr>
              <w:widowControl/>
              <w:autoSpaceDE/>
              <w:autoSpaceDN/>
              <w:jc w:val="right"/>
              <w:rPr>
                <w:color w:val="000000"/>
                <w:sz w:val="22"/>
              </w:rPr>
            </w:pPr>
            <w:r>
              <w:rPr>
                <w:color w:val="000000"/>
                <w:sz w:val="22"/>
              </w:rPr>
              <w:t>78.310</w:t>
            </w:r>
          </w:p>
        </w:tc>
      </w:tr>
      <w:tr w:rsidR="00CA15E3" w:rsidRPr="00CA15E3" w14:paraId="5009A6F0" w14:textId="77777777" w:rsidTr="00A37502">
        <w:trPr>
          <w:trHeight w:val="300"/>
        </w:trPr>
        <w:tc>
          <w:tcPr>
            <w:tcW w:w="754" w:type="dxa"/>
            <w:tcBorders>
              <w:top w:val="nil"/>
              <w:left w:val="single" w:sz="4" w:space="0" w:color="auto"/>
              <w:bottom w:val="single" w:sz="4" w:space="0" w:color="auto"/>
              <w:right w:val="single" w:sz="4" w:space="0" w:color="auto"/>
            </w:tcBorders>
            <w:vAlign w:val="center"/>
            <w:hideMark/>
          </w:tcPr>
          <w:p w14:paraId="127E9193" w14:textId="77777777" w:rsidR="00CA15E3" w:rsidRPr="00CA15E3" w:rsidRDefault="00CA15E3" w:rsidP="00CA15E3">
            <w:pPr>
              <w:widowControl/>
              <w:autoSpaceDE/>
              <w:autoSpaceDN/>
              <w:rPr>
                <w:color w:val="000000"/>
                <w:sz w:val="22"/>
              </w:rPr>
            </w:pPr>
            <w:r>
              <w:rPr>
                <w:color w:val="000000"/>
                <w:sz w:val="22"/>
              </w:rPr>
              <w:t>PIN</w:t>
            </w:r>
          </w:p>
        </w:tc>
        <w:tc>
          <w:tcPr>
            <w:tcW w:w="3777" w:type="dxa"/>
            <w:tcBorders>
              <w:top w:val="nil"/>
              <w:left w:val="nil"/>
              <w:bottom w:val="single" w:sz="4" w:space="0" w:color="auto"/>
              <w:right w:val="single" w:sz="4" w:space="0" w:color="auto"/>
            </w:tcBorders>
            <w:vAlign w:val="center"/>
            <w:hideMark/>
          </w:tcPr>
          <w:p w14:paraId="1CA36170" w14:textId="77777777" w:rsidR="00CA15E3" w:rsidRPr="00CA15E3" w:rsidRDefault="00CA15E3" w:rsidP="00CA15E3">
            <w:pPr>
              <w:widowControl/>
              <w:autoSpaceDE/>
              <w:autoSpaceDN/>
              <w:jc w:val="right"/>
              <w:rPr>
                <w:color w:val="000000"/>
                <w:sz w:val="22"/>
              </w:rPr>
            </w:pPr>
            <w:r>
              <w:rPr>
                <w:color w:val="000000"/>
                <w:sz w:val="22"/>
              </w:rPr>
              <w:t>0.564</w:t>
            </w:r>
          </w:p>
        </w:tc>
        <w:tc>
          <w:tcPr>
            <w:tcW w:w="3828" w:type="dxa"/>
            <w:tcBorders>
              <w:top w:val="nil"/>
              <w:left w:val="nil"/>
              <w:bottom w:val="single" w:sz="4" w:space="0" w:color="auto"/>
              <w:right w:val="single" w:sz="4" w:space="0" w:color="auto"/>
            </w:tcBorders>
            <w:vAlign w:val="center"/>
            <w:hideMark/>
          </w:tcPr>
          <w:p w14:paraId="42DDBF88" w14:textId="77777777" w:rsidR="00CA15E3" w:rsidRPr="00CA15E3" w:rsidRDefault="00CA15E3" w:rsidP="00CA15E3">
            <w:pPr>
              <w:widowControl/>
              <w:autoSpaceDE/>
              <w:autoSpaceDN/>
              <w:jc w:val="right"/>
              <w:rPr>
                <w:color w:val="000000"/>
                <w:sz w:val="22"/>
              </w:rPr>
            </w:pPr>
            <w:r>
              <w:rPr>
                <w:color w:val="000000"/>
                <w:sz w:val="22"/>
              </w:rPr>
              <w:t>57.797</w:t>
            </w:r>
          </w:p>
        </w:tc>
      </w:tr>
      <w:tr w:rsidR="00CA15E3" w:rsidRPr="00CA15E3" w14:paraId="271B6FF0" w14:textId="77777777" w:rsidTr="00A37502">
        <w:trPr>
          <w:trHeight w:val="300"/>
        </w:trPr>
        <w:tc>
          <w:tcPr>
            <w:tcW w:w="754" w:type="dxa"/>
            <w:tcBorders>
              <w:top w:val="nil"/>
              <w:left w:val="single" w:sz="4" w:space="0" w:color="auto"/>
              <w:bottom w:val="single" w:sz="4" w:space="0" w:color="auto"/>
              <w:right w:val="single" w:sz="4" w:space="0" w:color="auto"/>
            </w:tcBorders>
            <w:vAlign w:val="center"/>
            <w:hideMark/>
          </w:tcPr>
          <w:p w14:paraId="1D56198F" w14:textId="77777777" w:rsidR="00CA15E3" w:rsidRPr="00CA15E3" w:rsidRDefault="00CA15E3" w:rsidP="00CA15E3">
            <w:pPr>
              <w:widowControl/>
              <w:autoSpaceDE/>
              <w:autoSpaceDN/>
              <w:rPr>
                <w:color w:val="000000"/>
                <w:sz w:val="22"/>
              </w:rPr>
            </w:pPr>
            <w:r>
              <w:rPr>
                <w:color w:val="000000"/>
                <w:sz w:val="22"/>
              </w:rPr>
              <w:t>TB</w:t>
            </w:r>
          </w:p>
        </w:tc>
        <w:tc>
          <w:tcPr>
            <w:tcW w:w="3777" w:type="dxa"/>
            <w:tcBorders>
              <w:top w:val="nil"/>
              <w:left w:val="nil"/>
              <w:bottom w:val="single" w:sz="4" w:space="0" w:color="auto"/>
              <w:right w:val="single" w:sz="4" w:space="0" w:color="auto"/>
            </w:tcBorders>
            <w:vAlign w:val="center"/>
            <w:hideMark/>
          </w:tcPr>
          <w:p w14:paraId="0B1F4AA9" w14:textId="77777777" w:rsidR="00CA15E3" w:rsidRPr="00CA15E3" w:rsidRDefault="00CA15E3" w:rsidP="00CA15E3">
            <w:pPr>
              <w:widowControl/>
              <w:autoSpaceDE/>
              <w:autoSpaceDN/>
              <w:jc w:val="right"/>
              <w:rPr>
                <w:color w:val="000000"/>
                <w:sz w:val="22"/>
              </w:rPr>
            </w:pPr>
            <w:r>
              <w:rPr>
                <w:color w:val="000000"/>
                <w:sz w:val="22"/>
              </w:rPr>
              <w:t>0.276</w:t>
            </w:r>
          </w:p>
        </w:tc>
        <w:tc>
          <w:tcPr>
            <w:tcW w:w="3828" w:type="dxa"/>
            <w:tcBorders>
              <w:top w:val="nil"/>
              <w:left w:val="nil"/>
              <w:bottom w:val="single" w:sz="4" w:space="0" w:color="auto"/>
              <w:right w:val="single" w:sz="4" w:space="0" w:color="auto"/>
            </w:tcBorders>
            <w:vAlign w:val="center"/>
            <w:hideMark/>
          </w:tcPr>
          <w:p w14:paraId="4A7FE25A" w14:textId="77777777" w:rsidR="00CA15E3" w:rsidRPr="00CA15E3" w:rsidRDefault="00CA15E3" w:rsidP="00CA15E3">
            <w:pPr>
              <w:widowControl/>
              <w:autoSpaceDE/>
              <w:autoSpaceDN/>
              <w:jc w:val="right"/>
              <w:rPr>
                <w:color w:val="000000"/>
                <w:sz w:val="22"/>
              </w:rPr>
            </w:pPr>
            <w:r>
              <w:rPr>
                <w:color w:val="000000"/>
                <w:sz w:val="22"/>
              </w:rPr>
              <w:t>82.992</w:t>
            </w:r>
          </w:p>
        </w:tc>
      </w:tr>
      <w:tr w:rsidR="00CA15E3" w:rsidRPr="00CA15E3" w14:paraId="109B9299" w14:textId="77777777" w:rsidTr="00A37502">
        <w:trPr>
          <w:trHeight w:val="300"/>
        </w:trPr>
        <w:tc>
          <w:tcPr>
            <w:tcW w:w="754" w:type="dxa"/>
            <w:tcBorders>
              <w:top w:val="nil"/>
              <w:left w:val="single" w:sz="4" w:space="0" w:color="auto"/>
              <w:bottom w:val="single" w:sz="4" w:space="0" w:color="auto"/>
              <w:right w:val="single" w:sz="4" w:space="0" w:color="auto"/>
            </w:tcBorders>
            <w:vAlign w:val="center"/>
            <w:hideMark/>
          </w:tcPr>
          <w:p w14:paraId="62A20A79" w14:textId="77777777" w:rsidR="00CA15E3" w:rsidRPr="00CA15E3" w:rsidRDefault="00CA15E3" w:rsidP="00CA15E3">
            <w:pPr>
              <w:widowControl/>
              <w:autoSpaceDE/>
              <w:autoSpaceDN/>
              <w:rPr>
                <w:b/>
                <w:bCs/>
                <w:color w:val="000000"/>
                <w:sz w:val="22"/>
              </w:rPr>
            </w:pPr>
            <w:r>
              <w:rPr>
                <w:b/>
                <w:bCs/>
                <w:color w:val="000000"/>
                <w:sz w:val="22"/>
              </w:rPr>
              <w:t>Mean</w:t>
            </w:r>
          </w:p>
        </w:tc>
        <w:tc>
          <w:tcPr>
            <w:tcW w:w="3777" w:type="dxa"/>
            <w:tcBorders>
              <w:top w:val="nil"/>
              <w:left w:val="nil"/>
              <w:bottom w:val="single" w:sz="4" w:space="0" w:color="auto"/>
              <w:right w:val="single" w:sz="4" w:space="0" w:color="auto"/>
            </w:tcBorders>
            <w:noWrap/>
            <w:vAlign w:val="bottom"/>
            <w:hideMark/>
          </w:tcPr>
          <w:p w14:paraId="7D78BE50" w14:textId="77777777" w:rsidR="00CA15E3" w:rsidRPr="00CA15E3" w:rsidRDefault="00CA15E3" w:rsidP="00CA15E3">
            <w:pPr>
              <w:widowControl/>
              <w:autoSpaceDE/>
              <w:autoSpaceDN/>
              <w:jc w:val="right"/>
              <w:rPr>
                <w:b/>
                <w:bCs/>
                <w:color w:val="000000"/>
                <w:sz w:val="22"/>
              </w:rPr>
            </w:pPr>
            <w:r>
              <w:rPr>
                <w:b/>
                <w:bCs/>
                <w:color w:val="000000"/>
                <w:sz w:val="22"/>
              </w:rPr>
              <w:t>0.354</w:t>
            </w:r>
          </w:p>
        </w:tc>
        <w:tc>
          <w:tcPr>
            <w:tcW w:w="3828" w:type="dxa"/>
            <w:tcBorders>
              <w:top w:val="nil"/>
              <w:left w:val="nil"/>
              <w:bottom w:val="single" w:sz="4" w:space="0" w:color="auto"/>
              <w:right w:val="single" w:sz="4" w:space="0" w:color="auto"/>
            </w:tcBorders>
            <w:noWrap/>
            <w:vAlign w:val="bottom"/>
            <w:hideMark/>
          </w:tcPr>
          <w:p w14:paraId="1C29F4A8" w14:textId="77777777" w:rsidR="00CA15E3" w:rsidRPr="00CA15E3" w:rsidRDefault="00CA15E3" w:rsidP="00CA15E3">
            <w:pPr>
              <w:widowControl/>
              <w:autoSpaceDE/>
              <w:autoSpaceDN/>
              <w:jc w:val="right"/>
              <w:rPr>
                <w:b/>
                <w:bCs/>
                <w:color w:val="000000"/>
                <w:sz w:val="22"/>
              </w:rPr>
            </w:pPr>
            <w:r>
              <w:rPr>
                <w:b/>
                <w:bCs/>
                <w:color w:val="000000"/>
                <w:sz w:val="22"/>
              </w:rPr>
              <w:t>73.406</w:t>
            </w:r>
          </w:p>
        </w:tc>
      </w:tr>
    </w:tbl>
    <w:p w14:paraId="3B53A896" w14:textId="77777777" w:rsidR="00C27F98" w:rsidRDefault="00C27F98" w:rsidP="00882F07"/>
    <w:p w14:paraId="13775464" w14:textId="77777777" w:rsidR="004B394D" w:rsidRPr="004B394D" w:rsidRDefault="004B394D" w:rsidP="004B394D">
      <w:pPr>
        <w:rPr>
          <w:b/>
          <w:bCs/>
        </w:rPr>
      </w:pPr>
      <w:r>
        <w:rPr>
          <w:b/>
          <w:bCs/>
        </w:rPr>
        <w:t xml:space="preserve">Figure 3 </w:t>
      </w:r>
    </w:p>
    <w:p w14:paraId="63ED4842" w14:textId="77777777" w:rsidR="004B394D" w:rsidRPr="004B394D" w:rsidRDefault="004B394D" w:rsidP="004B394D">
      <w:pPr>
        <w:rPr>
          <w:i/>
          <w:iCs/>
        </w:rPr>
      </w:pPr>
      <w:r>
        <w:rPr>
          <w:i/>
          <w:iCs/>
        </w:rPr>
        <w:t>Importance–Performance Map Analysis</w:t>
      </w:r>
    </w:p>
    <w:p w14:paraId="20F9F434" w14:textId="77777777" w:rsidR="004B394D" w:rsidRPr="004B394D" w:rsidRDefault="004B394D" w:rsidP="00882F07">
      <w:pPr>
        <w:rPr>
          <w:b/>
          <w:bCs/>
        </w:rPr>
      </w:pPr>
    </w:p>
    <w:p w14:paraId="301A3BC5" w14:textId="77777777" w:rsidR="00C27F98" w:rsidRPr="00882F07" w:rsidRDefault="00C27F98" w:rsidP="00882F07">
      <w:r>
        <w:rPr>
          <w:noProof/>
        </w:rPr>
        <w:drawing>
          <wp:inline distT="0" distB="0" distL="0" distR="0" wp14:anchorId="45F1F483" wp14:editId="3C754A65">
            <wp:extent cx="5724525" cy="2628900"/>
            <wp:effectExtent l="0" t="0" r="9525" b="0"/>
            <wp:docPr id="6262482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2628900"/>
                    </a:xfrm>
                    <a:prstGeom prst="rect">
                      <a:avLst/>
                    </a:prstGeom>
                    <a:noFill/>
                    <a:ln>
                      <a:noFill/>
                    </a:ln>
                  </pic:spPr>
                </pic:pic>
              </a:graphicData>
            </a:graphic>
          </wp:inline>
        </w:drawing>
      </w:r>
    </w:p>
    <w:p w14:paraId="7973B5FA" w14:textId="77777777" w:rsidR="00882F07" w:rsidRPr="00882F07" w:rsidRDefault="00882F07" w:rsidP="004B394D">
      <w:pPr>
        <w:spacing w:after="120" w:line="480" w:lineRule="auto"/>
        <w:contextualSpacing/>
        <w:jc w:val="center"/>
        <w:rPr>
          <w:b/>
          <w:bCs/>
        </w:rPr>
      </w:pPr>
      <w:r>
        <w:rPr>
          <w:b/>
          <w:bCs/>
        </w:rPr>
        <w:t>6. Discussion</w:t>
      </w:r>
    </w:p>
    <w:p w14:paraId="6719279C" w14:textId="77777777" w:rsidR="00A37502" w:rsidRPr="00A37502" w:rsidRDefault="00A37502" w:rsidP="004B394D">
      <w:pPr>
        <w:spacing w:after="120" w:line="480" w:lineRule="auto"/>
        <w:ind w:firstLine="720"/>
        <w:contextualSpacing/>
        <w:jc w:val="both"/>
      </w:pPr>
      <w:r>
        <w:t xml:space="preserve">This study set out to explain how teacher beliefs, professional identity, and professional agency jointly shape pedagogical innovation and, ultimately, teacher-perceived communicative </w:t>
      </w:r>
      <w:r>
        <w:lastRenderedPageBreak/>
        <w:t>competence in ESL-oriented tourism education. The results provide a coherent, sequential mechanism such as beliefs → identity → agency → innovation → outcomes with several important nuances that extend prior work.</w:t>
      </w:r>
    </w:p>
    <w:p w14:paraId="4B118C2C" w14:textId="77777777" w:rsidR="00A37502" w:rsidRPr="00A37502" w:rsidRDefault="00A37502" w:rsidP="004B394D">
      <w:pPr>
        <w:spacing w:after="120" w:line="480" w:lineRule="auto"/>
        <w:ind w:firstLine="720"/>
        <w:contextualSpacing/>
        <w:jc w:val="both"/>
      </w:pPr>
      <w:r>
        <w:t xml:space="preserve">First, the strong and positive effect of teacher beliefs on professional identity (H1) and professional agency (H2) confirms that what teachers believe about language learning, particularly the value of communicative, industry-relevant English, acts as a primary driver of how they see themselves and how they act in classrooms. This finding is consistent with evidence from communicative language teaching (CLT), which shows that teachers who prioritize authentic communication and interaction are more likely to adopt learner-centered practices and pursue workplace alignment </w:t>
      </w:r>
      <w:sdt>
        <w:sdtPr>
          <w:rPr>
            <w:color w:val="000000"/>
          </w:rPr>
          <w:tag w:val="MENDELEY_CITATION_v3_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"/>
          <w:id w:val="1683085283"/>
          <w:placeholder>
            <w:docPart w:val="DefaultPlaceholder_-1854013440"/>
          </w:placeholder>
        </w:sdtPr>
        <w:sdtContent>
          <w:r>
            <w:rPr>
              <w:color w:val="000000"/>
            </w:rPr>
            <w:t>(Cloudia Ho, 2020)</w:t>
          </w:r>
        </w:sdtContent>
      </w:sdt>
      <w:r>
        <w:t xml:space="preserve">. It also aligns with ESP-oriented research in tourism education indicating that industry relevance and real-world communication needs reshape instructional orientations </w:t>
      </w:r>
      <w:sdt>
        <w:sdtPr>
          <w:rPr>
            <w:color w:val="000000"/>
          </w:rPr>
          <w:tag w:val="MENDELEY_CITATION_v3_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"/>
          <w:id w:val="2009947715"/>
          <w:placeholder>
            <w:docPart w:val="DefaultPlaceholder_-1854013440"/>
          </w:placeholder>
        </w:sdtPr>
        <w:sdtContent>
          <w:r>
            <w:rPr>
              <w:color w:val="000000"/>
            </w:rPr>
            <w:t>(Ghany &amp; Latif, 2012)</w:t>
          </w:r>
        </w:sdtContent>
      </w:sdt>
      <w:r>
        <w:t>. In the Vietnamese context, where traditional, grammar-focused instruction still coexists with emerging communicative demands, these results underscore that belief change is a necessary starting point for pedagogical transformation.</w:t>
      </w:r>
    </w:p>
    <w:p w14:paraId="7B3B6187" w14:textId="77777777" w:rsidR="00A37502" w:rsidRPr="00A37502" w:rsidRDefault="00A37502" w:rsidP="004B394D">
      <w:pPr>
        <w:spacing w:after="120" w:line="480" w:lineRule="auto"/>
        <w:ind w:firstLine="720"/>
        <w:contextualSpacing/>
        <w:jc w:val="both"/>
      </w:pPr>
      <w:r>
        <w:t>Second, the significant effect of professional identity on professional agency (H3) highlights identity reconstruction as a key enabling condition for action. Teachers who perceive themselves as facilitators, designers of learning experiences, and mediators between academia and industry are more likely to exercise agency, adapting methods, integrating tools, and revising content. This is in line with studies emphasizing that teacher identity is dynamic and closely tied to agency enactment, particularly in contexts of educational change. Importantly, the tourism education literature has increasingly pointed to the need for instructors to adopt expanded roles, including orchestrating immersive and experiential learning environments, often supported by technologies such as VR and AR</w:t>
      </w:r>
      <w:sdt>
        <w:sdtPr>
          <w:rPr>
            <w:color w:val="000000"/>
          </w:rPr>
          <w:tag w:val="MENDELEY_CITATION_v3_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"/>
          <w:id w:val="-219209516"/>
          <w:placeholder>
            <w:docPart w:val="DefaultPlaceholder_-1854013440"/>
          </w:placeholder>
        </w:sdtPr>
        <w:sdtContent>
          <w:r>
            <w:rPr>
              <w:color w:val="000000"/>
            </w:rPr>
            <w:t>(Ju et al., 2025; Rahmanu &amp; Molnár, 2026)</w:t>
          </w:r>
        </w:sdtContent>
      </w:sdt>
      <w:r>
        <w:t xml:space="preserve">. Our results provide empirical support for this identity–agency linkage in an ESL-oriented </w:t>
      </w:r>
      <w:r>
        <w:lastRenderedPageBreak/>
        <w:t>transition.</w:t>
      </w:r>
    </w:p>
    <w:p w14:paraId="30196750" w14:textId="77777777" w:rsidR="00A37502" w:rsidRPr="00A37502" w:rsidRDefault="00A37502" w:rsidP="004B394D">
      <w:pPr>
        <w:spacing w:after="120" w:line="480" w:lineRule="auto"/>
        <w:ind w:firstLine="720"/>
        <w:contextualSpacing/>
        <w:jc w:val="both"/>
      </w:pPr>
      <w:r>
        <w:t xml:space="preserve">Third, and most notably, the findings show that professional identity does not directly predict pedagogical innovation (H4 not supported), whereas professional agency has a strong positive effect on pedagogical innovation (H5 supported). This distinction is theoretically and practically important. While prior studies often assume that identity change naturally leads to innovative practice, our results indicate that identity alone is insufficient; innovation requires enactment through agency. In other words, teachers may see themselves as facilitators or innovators, but without the capacity (and willingness) to act, experiment, adapt, and integrate new approaches, pedagogical innovation does not materialize. This finding refines earlier work in tourism education that highlights the benefits of experiential and technology-enhanced learning (e.g., AR/VR, simulations) </w:t>
      </w:r>
      <w:sdt>
        <w:sdtPr>
          <w:rPr>
            <w:color w:val="000000"/>
          </w:rPr>
          <w:tag w:val="MENDELEY_CITATION_v3_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"/>
          <w:id w:val="-1123453104"/>
          <w:placeholder>
            <w:docPart w:val="DefaultPlaceholder_-1854013440"/>
          </w:placeholder>
        </w:sdtPr>
        <w:sdtContent>
          <w:r>
            <w:rPr>
              <w:color w:val="000000"/>
            </w:rPr>
            <w:t>(Ju et al., 2025; Takada et al., 2022)</w:t>
          </w:r>
        </w:sdtContent>
      </w:sdt>
      <w:r>
        <w:rPr>
          <w:color w:val="000000"/>
        </w:rPr>
        <w:t xml:space="preserve"> </w:t>
      </w:r>
      <w:r>
        <w:t>by identifying agency as the critical mechanism that turns intention into implementation.</w:t>
      </w:r>
    </w:p>
    <w:p w14:paraId="599D37DC" w14:textId="77777777" w:rsidR="00A37502" w:rsidRPr="00A37502" w:rsidRDefault="00A37502" w:rsidP="004B394D">
      <w:pPr>
        <w:spacing w:after="120" w:line="480" w:lineRule="auto"/>
        <w:ind w:firstLine="720"/>
        <w:contextualSpacing/>
        <w:jc w:val="both"/>
      </w:pPr>
      <w:r>
        <w:t xml:space="preserve">Fourth, the strong positive effect of pedagogical innovation on communicative competence (H6 supported) confirms that experiential, simulation-based, and technology-enhanced approaches are effective in improving students’ ability to communicate in authentic tourism contexts </w:t>
      </w:r>
      <w:sdt>
        <w:sdtPr>
          <w:rPr>
            <w:color w:val="000000"/>
          </w:rPr>
          <w:tag w:val="MENDELEY_CITATION_v3_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"/>
          <w:id w:val="427003895"/>
          <w:placeholder>
            <w:docPart w:val="DefaultPlaceholder_-1854013440"/>
          </w:placeholder>
        </w:sdtPr>
        <w:sdtContent>
          <w:r>
            <w:rPr>
              <w:color w:val="000000"/>
            </w:rPr>
            <w:t>(Akyürek et al., 2024; Ju et al., 2025)</w:t>
          </w:r>
        </w:sdtContent>
      </w:sdt>
      <w:r>
        <w:t xml:space="preserve">. This is consistent with a growing body of evidence showing that immersive learning environments, including VR-based training and interactive simulations, enhance speaking confidence, reduce anxiety, and improve real-world communication skills </w:t>
      </w:r>
      <w:sdt>
        <w:sdtPr>
          <w:rPr>
            <w:color w:val="000000"/>
          </w:rPr>
          <w:tag w:val="MENDELEY_CITATION_v3_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"/>
          <w:id w:val="-1270163797"/>
          <w:placeholder>
            <w:docPart w:val="DefaultPlaceholder_-1854013440"/>
          </w:placeholder>
        </w:sdtPr>
        <w:sdtContent>
          <w:r>
            <w:rPr>
              <w:color w:val="000000"/>
            </w:rPr>
            <w:t>(Şimşek &amp; Kalıpçı, 2023)</w:t>
          </w:r>
        </w:sdtContent>
      </w:sdt>
      <w:r>
        <w:t>. Similarly, the use of multimedia resources and interactive tasks has been shown to support vocabulary acquisition and contextual understanding, which are essential for tourism communication. Our findings extend this literature by empirically linking pedagogical innovation, driven by teacher agency, to student-level communicative outcomes within a single integrated model.</w:t>
      </w:r>
    </w:p>
    <w:p w14:paraId="7F74DDEA" w14:textId="77777777" w:rsidR="00A37502" w:rsidRPr="00A37502" w:rsidRDefault="00A37502" w:rsidP="004B394D">
      <w:pPr>
        <w:spacing w:after="120" w:line="480" w:lineRule="auto"/>
        <w:ind w:firstLine="720"/>
        <w:contextualSpacing/>
        <w:jc w:val="both"/>
      </w:pPr>
      <w:r>
        <w:t xml:space="preserve">Fifth, the explanatory and predictive metrics (R², Q², and PLS-Predict) indicate that the model has moderate to substantial explanatory power and satisfactory out-of-sample predictive </w:t>
      </w:r>
      <w:r>
        <w:lastRenderedPageBreak/>
        <w:t xml:space="preserve">capability, particularly for professional agency and pedagogical innovation </w:t>
      </w:r>
      <w:sdt>
        <w:sdtPr>
          <w:rPr>
            <w:color w:val="000000"/>
          </w:rPr>
          <w:tag w:val="MENDELEY_CITATION_v3_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"/>
          <w:id w:val="555511577"/>
          <w:placeholder>
            <w:docPart w:val="DefaultPlaceholder_-1854013440"/>
          </w:placeholder>
        </w:sdtPr>
        <w:sdtContent>
          <w:r>
            <w:rPr>
              <w:color w:val="000000"/>
            </w:rPr>
            <w:t>(Luan-Thanh et al., 2024; Phan et al., 2025)</w:t>
          </w:r>
        </w:sdtContent>
      </w:sdt>
      <w:r>
        <w:t>. This supports the robustness of the proposed framework and suggests that teacher-related factors are central in explaining variation in innovation and communicative competence. The effect size results further reinforce the dominance of teacher beliefs in shaping identity (large effect) and the central role of agency in driving innovation, while the negligible effect of identity on innovation corroborates the non-significant direct path.</w:t>
      </w:r>
    </w:p>
    <w:p w14:paraId="417268E5" w14:textId="77777777" w:rsidR="00A37502" w:rsidRPr="00A37502" w:rsidRDefault="00A37502" w:rsidP="004B394D">
      <w:pPr>
        <w:spacing w:after="120" w:line="480" w:lineRule="auto"/>
        <w:ind w:firstLine="720"/>
        <w:contextualSpacing/>
        <w:jc w:val="both"/>
      </w:pPr>
      <w:r>
        <w:t xml:space="preserve">Finally, the IPMA results provide additional managerial insight by showing that pedagogical innovation has the highest importance but the lowest performance, whereas teacher beliefs and identity demonstrate high performance but comparatively lower importance. This pattern suggests that, in the Ho Chi Minh City context, teachers already possess relatively strong communicative and industry-oriented beliefs and have begun to reconstruct their professional identities accordingly. However, the translation of these strengths into high-quality, innovative classroom practices remains insufficient. This finding resonates with earlier studies in tourism education that document persistent gaps between curricular intentions and classroom realities, often due to institutional constraints, limited resources, or lack of support for innovation </w:t>
      </w:r>
      <w:sdt>
        <w:sdtPr>
          <w:rPr>
            <w:color w:val="000000"/>
          </w:rPr>
          <w:tag w:val="MENDELEY_CITATION_v3_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"/>
          <w:id w:val="857004068"/>
          <w:placeholder>
            <w:docPart w:val="DefaultPlaceholder_-1854013440"/>
          </w:placeholder>
        </w:sdtPr>
        <w:sdtContent>
          <w:r>
            <w:rPr>
              <w:color w:val="000000"/>
            </w:rPr>
            <w:t>(Bowen et al., 2026; Fang &amp; Xiang, 2023)</w:t>
          </w:r>
        </w:sdtContent>
      </w:sdt>
      <w:r>
        <w:t>. It also reinforces our central argument: agency is the bottleneck, the missing link between what teachers believe and who they think they are, and what they actually do in practice.</w:t>
      </w:r>
    </w:p>
    <w:p w14:paraId="5D2F0204" w14:textId="77777777" w:rsidR="00882F07" w:rsidRDefault="00882F07" w:rsidP="004B394D">
      <w:pPr>
        <w:spacing w:after="120" w:line="480" w:lineRule="auto"/>
        <w:contextualSpacing/>
        <w:jc w:val="center"/>
        <w:rPr>
          <w:b/>
          <w:bCs/>
        </w:rPr>
      </w:pPr>
      <w:r>
        <w:rPr>
          <w:b/>
          <w:bCs/>
        </w:rPr>
        <w:t>7. Implications</w:t>
      </w:r>
    </w:p>
    <w:p w14:paraId="6F6D31B6" w14:textId="77777777" w:rsidR="00A37502" w:rsidRPr="004B394D" w:rsidRDefault="00A37502" w:rsidP="004B394D">
      <w:pPr>
        <w:spacing w:after="120" w:line="480" w:lineRule="auto"/>
        <w:contextualSpacing/>
        <w:rPr>
          <w:b/>
          <w:bCs/>
          <w:i/>
          <w:iCs/>
        </w:rPr>
      </w:pPr>
      <w:r>
        <w:rPr>
          <w:b/>
          <w:bCs/>
          <w:i/>
          <w:iCs/>
        </w:rPr>
        <w:t>7.1 Theoretical Contributions</w:t>
      </w:r>
    </w:p>
    <w:p w14:paraId="4B19004A" w14:textId="77777777" w:rsidR="00A37502" w:rsidRPr="00A37502" w:rsidRDefault="00A37502" w:rsidP="004B394D">
      <w:pPr>
        <w:spacing w:after="120" w:line="480" w:lineRule="auto"/>
        <w:ind w:firstLine="720"/>
        <w:contextualSpacing/>
        <w:jc w:val="both"/>
      </w:pPr>
      <w:r>
        <w:t>This study makes several important theoretical contributions that directly align with the research gaps identified in the introduction, particularly the need to understand how ESL-oriented transformation in tourism education is enacted through teacher-level mechanisms in emerging contexts such as Vietnam.</w:t>
      </w:r>
    </w:p>
    <w:p w14:paraId="192CE363" w14:textId="77777777" w:rsidR="00A37502" w:rsidRPr="00A37502" w:rsidRDefault="00A37502" w:rsidP="004B394D">
      <w:pPr>
        <w:spacing w:after="120" w:line="480" w:lineRule="auto"/>
        <w:ind w:firstLine="720"/>
        <w:contextualSpacing/>
        <w:jc w:val="both"/>
      </w:pPr>
      <w:r>
        <w:t xml:space="preserve">First, this study extends teacher cognition theory by situating it within the specific </w:t>
      </w:r>
      <w:r>
        <w:lastRenderedPageBreak/>
        <w:t xml:space="preserve">context of ESL-oriented tourism education, where English is not merely an academic subject but a professional communication tool. While prior research has emphasized the role of teacher beliefs in shaping instructional practices, this study advances the literature by demonstrating a sequential cognitive–behavioral mechanism in which teacher beliefs influence professional identity and professional agency, which in turn drive pedagogical innovation and ultimately affect communicative competence. This extends existing CLT and ESP research by linking cognitive orientations directly to measurable student-related outcomes in a tourism-specific ESL environment </w:t>
      </w:r>
      <w:sdt>
        <w:sdtPr>
          <w:rPr>
            <w:color w:val="000000"/>
          </w:rPr>
          <w:tag w:val="MENDELEY_CITATION_v3_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"/>
          <w:id w:val="1282839018"/>
          <w:placeholder>
            <w:docPart w:val="DefaultPlaceholder_-1854013440"/>
          </w:placeholder>
        </w:sdtPr>
        <w:sdtContent>
          <w:r>
            <w:rPr>
              <w:color w:val="000000"/>
            </w:rPr>
            <w:t>(Cloudia Ho, 2020; Ghany &amp; Latif, 2012)</w:t>
          </w:r>
        </w:sdtContent>
      </w:sdt>
      <w:r>
        <w:t>.</w:t>
      </w:r>
    </w:p>
    <w:p w14:paraId="6A1C11E6" w14:textId="77777777" w:rsidR="00A37502" w:rsidRPr="00A37502" w:rsidRDefault="00A37502" w:rsidP="004B394D">
      <w:pPr>
        <w:spacing w:after="120" w:line="480" w:lineRule="auto"/>
        <w:ind w:firstLine="720"/>
        <w:contextualSpacing/>
        <w:jc w:val="both"/>
      </w:pPr>
      <w:r>
        <w:t>Second, the study contributes to the literature on teacher identity and professional agency by clarifying their distinct but interrelated roles in pedagogical transformation. Unlike prior studies that often treat identity as a direct predictor of innovation, this research provides empirical evidence that professional identity alone is insufficient to drive pedagogical innovation. Instead, professional agency emerges as the critical mediating mechanism that translates identity into action. This finding refines sociocultural and ecological perspectives on teacher development by highlighting that identity reconstruction must be accompanied by actionable capacity and autonomy to produce meaningful instructional change.</w:t>
      </w:r>
    </w:p>
    <w:p w14:paraId="51E78297" w14:textId="77777777" w:rsidR="00A37502" w:rsidRPr="00A37502" w:rsidRDefault="00A37502" w:rsidP="004B394D">
      <w:pPr>
        <w:spacing w:after="120" w:line="480" w:lineRule="auto"/>
        <w:ind w:firstLine="720"/>
        <w:contextualSpacing/>
        <w:jc w:val="both"/>
      </w:pPr>
      <w:r>
        <w:t xml:space="preserve">Third, this study enriches the growing body of research on pedagogical innovation in tourism education by integrating teacher-related constructs with emerging instructional approaches such as experiential learning, simulation-based teaching, and technology-enhanced learning (e.g., VR/AR). While previous studies have documented the effectiveness of these innovations in improving engagement and learning outcomes </w:t>
      </w:r>
      <w:sdt>
        <w:sdtPr>
          <w:rPr>
            <w:color w:val="000000"/>
          </w:rPr>
          <w:tag w:val="MENDELEY_CITATION_v3_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"/>
          <w:id w:val="1404560391"/>
          <w:placeholder>
            <w:docPart w:val="DefaultPlaceholder_-1854013440"/>
          </w:placeholder>
        </w:sdtPr>
        <w:sdtContent>
          <w:r>
            <w:rPr>
              <w:color w:val="000000"/>
            </w:rPr>
            <w:t>(Al-Tarawneh &amp; Osam, 2019; Rahmanu &amp; Molnár, 2026)</w:t>
          </w:r>
        </w:sdtContent>
      </w:sdt>
      <w:r>
        <w:t>, this study advances theory by explaining why and how such innovations are adopted, emphasizing the central role of teacher agency in enabling their implementation.</w:t>
      </w:r>
    </w:p>
    <w:p w14:paraId="3989B31F" w14:textId="77777777" w:rsidR="00A37502" w:rsidRDefault="00A37502" w:rsidP="004B394D">
      <w:pPr>
        <w:spacing w:after="120" w:line="480" w:lineRule="auto"/>
        <w:ind w:firstLine="720"/>
        <w:contextualSpacing/>
        <w:jc w:val="both"/>
      </w:pPr>
      <w:r>
        <w:t xml:space="preserve">Finally, this study contributes to the broader literature on ESL transition in emerging </w:t>
      </w:r>
      <w:r>
        <w:lastRenderedPageBreak/>
        <w:t>economies, particularly Vietnam, by providing empirical evidence from a context where English is increasingly used in professional domains such as tourism. By focusing on Ho Chi Minh City, a key tourism and educational hub, the study offers a contextualized understanding of how global pedagogical shifts toward ESL are localized and enacted within specific institutional and cultural settings. This responds directly to the gap identified in the introduction regarding the lack of empirical, model-based research on ESL-oriented transformation in tourism education in developing countries.</w:t>
      </w:r>
    </w:p>
    <w:p w14:paraId="72A9850D" w14:textId="77777777" w:rsidR="00A37502" w:rsidRPr="004B394D" w:rsidRDefault="00A37502" w:rsidP="004B394D">
      <w:pPr>
        <w:spacing w:after="120" w:line="480" w:lineRule="auto"/>
        <w:contextualSpacing/>
        <w:jc w:val="both"/>
        <w:rPr>
          <w:b/>
          <w:bCs/>
          <w:i/>
          <w:iCs/>
        </w:rPr>
      </w:pPr>
      <w:r>
        <w:rPr>
          <w:b/>
          <w:bCs/>
          <w:i/>
          <w:iCs/>
        </w:rPr>
        <w:t>7.2 Managerial Implications</w:t>
      </w:r>
    </w:p>
    <w:p w14:paraId="6C6226ED" w14:textId="77777777" w:rsidR="00882F07" w:rsidRPr="00882F07" w:rsidRDefault="00A37502" w:rsidP="004B394D">
      <w:pPr>
        <w:spacing w:after="120" w:line="480" w:lineRule="auto"/>
        <w:ind w:firstLine="720"/>
        <w:contextualSpacing/>
        <w:jc w:val="both"/>
      </w:pPr>
      <w:r>
        <w:t xml:space="preserve">The findings of this study offer several practical implications for policymakers, university administrators, and educators in Vietnam, particularly in aligning tourism education with industry demands and facilitating the transition toward ESL-oriented pedagogy. First, given the strong influence of teacher beliefs on identity and agency, higher education institutions should prioritize professional development programs that reshape pedagogical beliefs toward communicative, industry-relevant English. Training initiatives should move beyond traditional grammar-based instruction and focus on communicative language teaching, experiential learning, and real-world application. This is particularly important in Vietnam, where the legacy of exam-oriented education still influences teaching practices despite increasing industry demands for communication skills. Second, the results highlight that professional agency is the key driver of pedagogical innovation. Therefore, universities should create institutional environments that empower teachers to experiment with new teaching methods, redesign course content, and integrate innovative practices. This can be achieved by reducing rigid curricular constraints, encouraging pedagogical autonomy, and providing incentives for innovation. Without such support, even teachers with strong beliefs and progressive identities may be unable to implement meaningful changes in their classrooms. Third, the IPMA results indicate that pedagogical innovation has high importance but relatively </w:t>
      </w:r>
      <w:r>
        <w:lastRenderedPageBreak/>
        <w:t xml:space="preserve">low performance, suggesting a critical gap in current teaching practices. To address this, universities in Vietnam should invest in technology-enhanced learning infrastructure, such as VR/AR tools, simulation platforms, and digital learning resources. Evidence shows that such technologies can significantly enhance communicative competence and reduce learner anxiety in tourism contexts </w:t>
      </w:r>
      <w:sdt>
        <w:sdtPr>
          <w:rPr>
            <w:color w:val="000000"/>
          </w:rPr>
          <w:tag w:val="MENDELEY_CITATION_v3_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"/>
          <w:id w:val="449441112"/>
          <w:placeholder>
            <w:docPart w:val="DefaultPlaceholder_-1854013440"/>
          </w:placeholder>
        </w:sdtPr>
        <w:sdtContent>
          <w:r>
            <w:rPr>
              <w:color w:val="000000"/>
            </w:rPr>
            <w:t>(Kusnoto et al., 2024; Rahmanu &amp; Molnár, 2026)</w:t>
          </w:r>
        </w:sdtContent>
      </w:sdt>
      <w:r>
        <w:t xml:space="preserve">. Additionally, incorporating industry-based simulations and experiential learning activities can help bridge the gap between classroom learning and workplace requirements. Fourth, stronger industry–university collaboration is essential. Tourism enterprises should be involved in curriculum design, guest lectures, internships, and simulation-based training to ensure that English instruction reflects real-world communication demands. This aligns with prior findings that highlight mismatches between academic training and industry expectations in tourism education </w:t>
      </w:r>
      <w:sdt>
        <w:sdtPr>
          <w:rPr>
            <w:color w:val="000000"/>
          </w:rPr>
          <w:tag w:val="MENDELEY_CITATION_v3_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"/>
          <w:id w:val="1886144607"/>
          <w:placeholder>
            <w:docPart w:val="DefaultPlaceholder_-1854013440"/>
          </w:placeholder>
        </w:sdtPr>
        <w:sdtContent>
          <w:r>
            <w:rPr>
              <w:color w:val="000000"/>
            </w:rPr>
            <w:t>(Choy &amp; Yeung, 2024)</w:t>
          </w:r>
        </w:sdtContent>
      </w:sdt>
      <w:r>
        <w:t>. In the Vietnamese context, particularly in Ho Chi Minh City where tourism activities are highly dynamic, such collaboration can significantly enhance the relevance and effectiveness of English language programs. Finally, policymakers at the national and institutional levels should recognize that the transition from EFL to ESL is not merely a curricular change but a systemic transformation involving teacher cognition, institutional structures, and pedagogical practices. Strategic initiatives should therefore focus on holistic reform, including teacher training, curriculum redesign, infrastructure development, and policy support, to ensure that Vietnam’s tourism education system can produce graduates with the communicative competence required in the global tourism industry.</w:t>
      </w:r>
    </w:p>
    <w:p w14:paraId="0C7C3ED2" w14:textId="77777777" w:rsidR="00882F07" w:rsidRPr="00882F07" w:rsidRDefault="00882F07" w:rsidP="004B394D">
      <w:pPr>
        <w:spacing w:after="120" w:line="480" w:lineRule="auto"/>
        <w:contextualSpacing/>
        <w:jc w:val="center"/>
        <w:rPr>
          <w:b/>
          <w:bCs/>
        </w:rPr>
      </w:pPr>
      <w:r>
        <w:rPr>
          <w:b/>
          <w:bCs/>
        </w:rPr>
        <w:t>8. Conclusion, Limitations, and Future Research</w:t>
      </w:r>
    </w:p>
    <w:p w14:paraId="1582C759" w14:textId="77777777" w:rsidR="00F97F22" w:rsidRDefault="00000000">
      <w:pPr>
        <w:spacing w:after="120" w:line="480" w:lineRule="auto"/>
        <w:ind w:firstLine="720"/>
        <w:contextualSpacing/>
        <w:jc w:val="both"/>
      </w:pPr>
      <w:r>
        <w:t xml:space="preserve">This study examined how teacher beliefs, professional identity, and professional agency jointly shape pedagogical innovation and teacher-perceived communicative competence in the transition toward ESL-oriented tourism education in Ho Chi Minh City, Vietnam. Using PLS-SEM, the analysis confirmed a sequential mechanism in which beliefs drive identity </w:t>
      </w:r>
      <w:r>
        <w:lastRenderedPageBreak/>
        <w:t>reconstruction and agency, agency—rather than identity alone—enacts pedagogical innovation, and innovation enhances teacher-perceived communicative competence. Theoretically, the study integrates teacher cognition, sociocultural, and professional agency perspectives into a single validated model and isolates agency as the pivotal link between what teachers think and what they do. Practically, the Importance–Performance Map Analysis identifies pedagogical innovation as the highest-impact yet lowest-performing lever, signaling where universities should concentrate their development efforts. In sum, advancing Vietnam's tourism English education from an EFL to an ESL orientation is less a matter of curricular documents than of empowering teachers to exercise agency in innovative practice.</w:t>
      </w:r>
    </w:p>
    <w:p w14:paraId="552658A1" w14:textId="77777777" w:rsidR="00882F07" w:rsidRDefault="00A37502" w:rsidP="004B394D">
      <w:pPr>
        <w:spacing w:after="120" w:line="480" w:lineRule="auto"/>
        <w:ind w:firstLine="720"/>
        <w:contextualSpacing/>
        <w:jc w:val="both"/>
      </w:pPr>
      <w:r>
        <w:t xml:space="preserve">Despite offering meaningful theoretical and practical insights, this study has several limitations that should be acknowledged and can guide future research. First, the study is geographically limited to Ho Chi Minh City, which, although a major educational and tourism hub in Vietnam, may not fully represent the diversity of institutional contexts across the country. Universities in other regions (e.g., Hanoi or central provinces) may differ in terms of resources, curriculum design, and industry engagement. Future research should therefore adopt a multi-region or cross-country comparative design to enhance generalizability and capture contextual variations in ESL-oriented tourism education. Second, the study relies on self-reported data from lecturers, particularly in measuring communicative competence through teacher perceptions. While this approach is common in educational research, it may introduce potential bias or overestimation of student outcomes. Future studies should incorporate multi-source data, such as student surveys, objective language performance assessments, or employer evaluations, to provide a more comprehensive and triangulated understanding of communicative competence. Third, the research adopts a cross-sectional design, which limits the ability to infer causality and capture dynamic changes over time. The transition from EFL to ESL-oriented pedagogy is inherently a longitudinal process involving gradual shifts in </w:t>
      </w:r>
      <w:r>
        <w:lastRenderedPageBreak/>
        <w:t>beliefs, identity, and practice. Future research should consider longitudinal or panel data designs to examine how teacher cognition and pedagogical innovation evolve over time, particularly in response to institutional reforms or technological adoption. Fourth, although this study focuses on key teacher-related constructs (beliefs, identity, and agency), it does not include contextual or institutional factors such as organizational support, leadership, workload, or policy constraints, which may influence teachers’ ability to enact innovation. Future research could extend the model by incorporating contextual antecedents or moderating variables, such as institutional support or technological readiness, to provide a more comprehensive explanation of pedagogical transformation. Fifth, the study employs PLS-SEM to examine linear relationships, which may not fully capture complex, non-linear interactions among constructs. Given the increasing interest in advanced analytical approaches, future research could integrate Artificial Neural Networks (ANN) or hybrid SEM–ANN models to explore non-linear effects and improve predictive accuracy, particularly in understanding how combinations of teacher characteristics influence pedagogical innovation. Finally, while this study focuses on tourism education, the proposed model may also be applicable to other ESP domains such as business English, medical English, or engineering communication. Future research could test the model in different disciplinary contexts to examine its generalizability and refine its theoretical boundaries.</w:t>
      </w:r>
    </w:p>
    <w:p w14:paraId="3B22F447" w14:textId="77777777" w:rsidR="00882F07" w:rsidRDefault="00882F07"/>
    <w:p w14:paraId="47020ED3" w14:textId="77777777" w:rsidR="00831664" w:rsidRPr="00A37502" w:rsidRDefault="00831664">
      <w:pPr>
        <w:rPr>
          <w:b/>
          <w:bCs/>
        </w:rPr>
      </w:pPr>
      <w:r>
        <w:rPr>
          <w:b/>
          <w:bCs/>
        </w:rPr>
        <w:t>References</w:t>
      </w:r>
    </w:p>
    <w:sdt>
      <w:sdtPr>
        <w:rPr>
          <w:color w:val="000000"/>
        </w:rPr>
        <w:tag w:val="MENDELEY_BIBLIOGRAPHY"/>
        <w:id w:val="685559675"/>
        <w:placeholder>
          <w:docPart w:val="DefaultPlaceholder_-1854013440"/>
        </w:placeholder>
      </w:sdtPr>
      <w:sdtContent>
        <w:p w14:paraId="34FF95FC" w14:textId="77777777" w:rsidR="00194548" w:rsidRPr="00194548" w:rsidRDefault="00194548" w:rsidP="00194548">
          <w:pPr>
            <w:ind w:hanging="480"/>
            <w:jc w:val="both"/>
            <w:divId w:val="1310328463"/>
            <w:rPr>
              <w:color w:val="000000"/>
              <w:szCs w:val="24"/>
            </w:rPr>
          </w:pPr>
          <w:r>
            <w:rPr>
              <w:color w:val="000000"/>
            </w:rPr>
            <w:t xml:space="preserve">Ab Hamid, M. R., Sami, W., &amp; Mohmad Sidek, M. H. (2017). Discriminant Validity Assessment: Use of Fornell &amp; Larcker criterion versus HTMT Criterion. </w:t>
          </w:r>
          <w:r>
            <w:rPr>
              <w:i/>
              <w:iCs/>
              <w:color w:val="000000"/>
            </w:rPr>
            <w:t>Journal of Physics: Conference Series</w:t>
          </w:r>
          <w:r>
            <w:rPr>
              <w:color w:val="000000"/>
            </w:rPr>
            <w:t>. https://doi.org/10.1088/1742-6596/890/1/012163</w:t>
          </w:r>
        </w:p>
        <w:p w14:paraId="4C29BC83" w14:textId="77777777" w:rsidR="00194548" w:rsidRPr="00194548" w:rsidRDefault="00194548" w:rsidP="00194548">
          <w:pPr>
            <w:ind w:hanging="480"/>
            <w:jc w:val="both"/>
            <w:divId w:val="819885372"/>
            <w:rPr>
              <w:color w:val="000000"/>
            </w:rPr>
          </w:pPr>
          <w:r>
            <w:rPr>
              <w:color w:val="000000"/>
            </w:rPr>
            <w:t xml:space="preserve">Akyürek, S., Genç, G., Çalık, İ., &amp; Şengel, Ü. (2024). Metaverse in tourism education: A mixed method on vision, challenges and extended technology acceptance model. </w:t>
          </w:r>
          <w:r>
            <w:rPr>
              <w:i/>
              <w:iCs/>
              <w:color w:val="000000"/>
            </w:rPr>
            <w:t>Journal of Hospitality, Leisure, Sport and Tourism Education</w:t>
          </w:r>
          <w:r>
            <w:rPr>
              <w:color w:val="000000"/>
            </w:rPr>
            <w:t xml:space="preserve">, </w:t>
          </w:r>
          <w:r>
            <w:rPr>
              <w:i/>
              <w:iCs/>
              <w:color w:val="000000"/>
            </w:rPr>
            <w:t>35</w:t>
          </w:r>
          <w:r>
            <w:rPr>
              <w:color w:val="000000"/>
            </w:rPr>
            <w:t>. https://doi.org/10.1016/j.jhlste.2024.100503</w:t>
          </w:r>
        </w:p>
        <w:p w14:paraId="7831D0DE" w14:textId="77777777" w:rsidR="00194548" w:rsidRPr="00194548" w:rsidRDefault="00194548" w:rsidP="00194548">
          <w:pPr>
            <w:ind w:hanging="480"/>
            <w:jc w:val="both"/>
            <w:divId w:val="999700801"/>
            <w:rPr>
              <w:color w:val="000000"/>
            </w:rPr>
          </w:pPr>
          <w:r>
            <w:rPr>
              <w:color w:val="000000"/>
            </w:rPr>
            <w:t xml:space="preserve">Al-Tarawneh, M. Q., &amp; Osam, U. V. (2019). Tourism English training at the tertiary level in Jordan: Reality and expectations from a university context. </w:t>
          </w:r>
          <w:r>
            <w:rPr>
              <w:i/>
              <w:iCs/>
              <w:color w:val="000000"/>
            </w:rPr>
            <w:t>Journal of Hospitality, Leisure, Sport and Tourism Education</w:t>
          </w:r>
          <w:r>
            <w:rPr>
              <w:color w:val="000000"/>
            </w:rPr>
            <w:t xml:space="preserve">, </w:t>
          </w:r>
          <w:r>
            <w:rPr>
              <w:i/>
              <w:iCs/>
              <w:color w:val="000000"/>
            </w:rPr>
            <w:t>24</w:t>
          </w:r>
          <w:r>
            <w:rPr>
              <w:color w:val="000000"/>
            </w:rPr>
            <w:t>, 155–167. https://doi.org/10.1016/j.jhlste.2019.02.005</w:t>
          </w:r>
        </w:p>
        <w:p w14:paraId="2A26C857" w14:textId="77777777" w:rsidR="00F97F22" w:rsidRDefault="00000000">
          <w:pPr>
            <w:spacing w:after="120" w:line="480" w:lineRule="auto"/>
            <w:ind w:left="720" w:hanging="720"/>
            <w:contextualSpacing/>
            <w:jc w:val="both"/>
          </w:pPr>
          <w:r>
            <w:t xml:space="preserve">Borg, S. (2003). Teacher cognition in language teaching: A review of research on what </w:t>
          </w:r>
          <w:r>
            <w:lastRenderedPageBreak/>
            <w:t>language teachers think, know, believe, and do. Language Teaching, 36(2), 81–109. https://doi.org/10.1017/S0261444803001903</w:t>
          </w:r>
        </w:p>
        <w:p w14:paraId="2CE07677" w14:textId="77777777" w:rsidR="00194548" w:rsidRPr="00194548" w:rsidRDefault="00194548" w:rsidP="00194548">
          <w:pPr>
            <w:ind w:hanging="480"/>
            <w:jc w:val="both"/>
            <w:divId w:val="43719363"/>
            <w:rPr>
              <w:color w:val="000000"/>
            </w:rPr>
          </w:pPr>
          <w:r>
            <w:rPr>
              <w:color w:val="000000"/>
            </w:rPr>
            <w:t xml:space="preserve">Bowen, Z., Runpu, Y., Yuemin, T., &amp; Shengfeng, Z. (2026). Elements of tourist demand for tourism-related performing arts based on online reviews and the Kano model. </w:t>
          </w:r>
          <w:r>
            <w:rPr>
              <w:i/>
              <w:iCs/>
              <w:color w:val="000000"/>
            </w:rPr>
            <w:t>Entertainment Computing</w:t>
          </w:r>
          <w:r>
            <w:rPr>
              <w:color w:val="000000"/>
            </w:rPr>
            <w:t xml:space="preserve">, </w:t>
          </w:r>
          <w:r>
            <w:rPr>
              <w:i/>
              <w:iCs/>
              <w:color w:val="000000"/>
            </w:rPr>
            <w:t>56</w:t>
          </w:r>
          <w:r>
            <w:rPr>
              <w:color w:val="000000"/>
            </w:rPr>
            <w:t>, 101081. https://doi.org/10.1016/j.entcom.2026.101081</w:t>
          </w:r>
        </w:p>
        <w:p w14:paraId="3A2D8A4C" w14:textId="77777777" w:rsidR="00194548" w:rsidRPr="00194548" w:rsidRDefault="00194548" w:rsidP="00194548">
          <w:pPr>
            <w:ind w:hanging="480"/>
            <w:jc w:val="both"/>
            <w:divId w:val="1064139325"/>
            <w:rPr>
              <w:color w:val="000000"/>
            </w:rPr>
          </w:pPr>
          <w:r>
            <w:rPr>
              <w:color w:val="000000"/>
            </w:rPr>
            <w:t xml:space="preserve">Choy, M. W., &amp; Yeung, A. S. (2024). Tourism vocational education: Relations of input and output. </w:t>
          </w:r>
          <w:r>
            <w:rPr>
              <w:i/>
              <w:iCs/>
              <w:color w:val="000000"/>
            </w:rPr>
            <w:t>Journal of Hospitality, Leisure, Sport and Tourism Education</w:t>
          </w:r>
          <w:r>
            <w:rPr>
              <w:color w:val="000000"/>
            </w:rPr>
            <w:t xml:space="preserve">, </w:t>
          </w:r>
          <w:r>
            <w:rPr>
              <w:i/>
              <w:iCs/>
              <w:color w:val="000000"/>
            </w:rPr>
            <w:t>34</w:t>
          </w:r>
          <w:r>
            <w:rPr>
              <w:color w:val="000000"/>
            </w:rPr>
            <w:t>. https://doi.org/10.1016/j.jhlste.2024.100479</w:t>
          </w:r>
        </w:p>
        <w:p w14:paraId="001F6200" w14:textId="77777777" w:rsidR="00194548" w:rsidRPr="00194548" w:rsidRDefault="00194548" w:rsidP="00194548">
          <w:pPr>
            <w:ind w:hanging="480"/>
            <w:jc w:val="both"/>
            <w:divId w:val="1141069782"/>
            <w:rPr>
              <w:color w:val="000000"/>
            </w:rPr>
          </w:pPr>
          <w:r>
            <w:rPr>
              <w:color w:val="000000"/>
            </w:rPr>
            <w:t xml:space="preserve">Cloudia Ho, Y. Y. (2020). Communicative language teaching and English as a foreign language undergraduates’ communicative competence in Tourism English. </w:t>
          </w:r>
          <w:r>
            <w:rPr>
              <w:i/>
              <w:iCs/>
              <w:color w:val="000000"/>
            </w:rPr>
            <w:t>Journal of Hospitality, Leisure, Sport and Tourism Education</w:t>
          </w:r>
          <w:r>
            <w:rPr>
              <w:color w:val="000000"/>
            </w:rPr>
            <w:t xml:space="preserve">, </w:t>
          </w:r>
          <w:r>
            <w:rPr>
              <w:i/>
              <w:iCs/>
              <w:color w:val="000000"/>
            </w:rPr>
            <w:t>27</w:t>
          </w:r>
          <w:r>
            <w:rPr>
              <w:color w:val="000000"/>
            </w:rPr>
            <w:t>. https://doi.org/10.1016/j.jhlste.2020.100271</w:t>
          </w:r>
        </w:p>
        <w:p w14:paraId="4EFF4C0D" w14:textId="77777777" w:rsidR="00194548" w:rsidRPr="00194548" w:rsidRDefault="00194548" w:rsidP="00194548">
          <w:pPr>
            <w:ind w:hanging="480"/>
            <w:jc w:val="both"/>
            <w:divId w:val="1493133179"/>
            <w:rPr>
              <w:color w:val="000000"/>
            </w:rPr>
          </w:pPr>
          <w:r>
            <w:rPr>
              <w:color w:val="000000"/>
            </w:rPr>
            <w:t xml:space="preserve">Elfiondri, Zaitul, &amp; Rina, N. (2021). Tradition, cultural contact and English for tourism: the case of Mentawai, Indonesia. </w:t>
          </w:r>
          <w:r>
            <w:rPr>
              <w:i/>
              <w:iCs/>
              <w:color w:val="000000"/>
            </w:rPr>
            <w:t>Heliyon</w:t>
          </w:r>
          <w:r>
            <w:rPr>
              <w:color w:val="000000"/>
            </w:rPr>
            <w:t xml:space="preserve">, </w:t>
          </w:r>
          <w:r>
            <w:rPr>
              <w:i/>
              <w:iCs/>
              <w:color w:val="000000"/>
            </w:rPr>
            <w:t>7</w:t>
          </w:r>
          <w:r>
            <w:rPr>
              <w:color w:val="000000"/>
            </w:rPr>
            <w:t>(6). https://doi.org/10.1016/j.heliyon.2021.e07322</w:t>
          </w:r>
        </w:p>
        <w:p w14:paraId="33157574" w14:textId="77777777" w:rsidR="00194548" w:rsidRPr="00194548" w:rsidRDefault="00194548" w:rsidP="00194548">
          <w:pPr>
            <w:ind w:hanging="480"/>
            <w:jc w:val="both"/>
            <w:divId w:val="1496605860"/>
            <w:rPr>
              <w:color w:val="000000"/>
            </w:rPr>
          </w:pPr>
          <w:r>
            <w:rPr>
              <w:color w:val="000000"/>
            </w:rPr>
            <w:t xml:space="preserve">Fang, X., &amp; Xiang, K. (2023). Tourism visual deception in “check-in tourism”: Value co-creation and co-destruction perspectives. </w:t>
          </w:r>
          <w:r>
            <w:rPr>
              <w:i/>
              <w:iCs/>
              <w:color w:val="000000"/>
            </w:rPr>
            <w:t>Journal of Hospitality and Tourism Management</w:t>
          </w:r>
          <w:r>
            <w:rPr>
              <w:color w:val="000000"/>
            </w:rPr>
            <w:t xml:space="preserve">, </w:t>
          </w:r>
          <w:r>
            <w:rPr>
              <w:i/>
              <w:iCs/>
              <w:color w:val="000000"/>
            </w:rPr>
            <w:t>57</w:t>
          </w:r>
          <w:r>
            <w:rPr>
              <w:color w:val="000000"/>
            </w:rPr>
            <w:t>, 190–199. https://doi.org/10.1016/j.jhtm.2023.10.009</w:t>
          </w:r>
        </w:p>
        <w:p w14:paraId="5947A620" w14:textId="77777777" w:rsidR="00194548" w:rsidRPr="00194548" w:rsidRDefault="00194548" w:rsidP="00194548">
          <w:pPr>
            <w:ind w:hanging="480"/>
            <w:jc w:val="both"/>
            <w:divId w:val="1219785936"/>
            <w:rPr>
              <w:color w:val="000000"/>
            </w:rPr>
          </w:pPr>
          <w:r>
            <w:rPr>
              <w:color w:val="000000"/>
            </w:rPr>
            <w:t xml:space="preserve">Ghany, S. Y. A., &amp; Latif, M. M. A. (2012). English language preparation of tourism and hospitality undergraduates in Egypt: Does it meet their future workplace requirements? </w:t>
          </w:r>
          <w:r>
            <w:rPr>
              <w:i/>
              <w:iCs/>
              <w:color w:val="000000"/>
            </w:rPr>
            <w:t>Journal of Hospitality, Leisure, Sport and Tourism Education</w:t>
          </w:r>
          <w:r>
            <w:rPr>
              <w:color w:val="000000"/>
            </w:rPr>
            <w:t xml:space="preserve">, </w:t>
          </w:r>
          <w:r>
            <w:rPr>
              <w:i/>
              <w:iCs/>
              <w:color w:val="000000"/>
            </w:rPr>
            <w:t>11</w:t>
          </w:r>
          <w:r>
            <w:rPr>
              <w:color w:val="000000"/>
            </w:rPr>
            <w:t>(2), 93–100. https://doi.org/10.1016/j.jhlste.2012.05.001</w:t>
          </w:r>
        </w:p>
        <w:p w14:paraId="2CBD024D" w14:textId="77777777" w:rsidR="00194548" w:rsidRPr="00194548" w:rsidRDefault="00194548" w:rsidP="00194548">
          <w:pPr>
            <w:ind w:hanging="480"/>
            <w:jc w:val="both"/>
            <w:divId w:val="313218608"/>
            <w:rPr>
              <w:color w:val="000000"/>
            </w:rPr>
          </w:pPr>
          <w:r>
            <w:rPr>
              <w:color w:val="000000"/>
            </w:rPr>
            <w:t xml:space="preserve">Giovanis, A., Rizomyliotis, I., Konstantoulaki, K., &amp; Magrizos, S. (2021). Mining the hidden seam of proximity m-payment adoption: A hybrid PLS-artificial neural network analytical approach. </w:t>
          </w:r>
          <w:r>
            <w:rPr>
              <w:i/>
              <w:iCs/>
              <w:color w:val="000000"/>
            </w:rPr>
            <w:t>European Management Journal</w:t>
          </w:r>
          <w:r>
            <w:rPr>
              <w:color w:val="000000"/>
            </w:rPr>
            <w:t>, (March). https://doi.org/10.1016/j.emj.2021.09.007</w:t>
          </w:r>
        </w:p>
        <w:p w14:paraId="6A0E144B" w14:textId="77777777" w:rsidR="00194548" w:rsidRPr="00194548" w:rsidRDefault="00194548" w:rsidP="00194548">
          <w:pPr>
            <w:ind w:hanging="480"/>
            <w:jc w:val="both"/>
            <w:divId w:val="1285768588"/>
            <w:rPr>
              <w:color w:val="000000"/>
            </w:rPr>
          </w:pPr>
          <w:r>
            <w:rPr>
              <w:color w:val="000000"/>
            </w:rPr>
            <w:t xml:space="preserve">Habib, J., Prentice, C., &amp; Thaichon, P. (2026). Employee–robot relationship typology: the role of robot agency, communion and competence. </w:t>
          </w:r>
          <w:r>
            <w:rPr>
              <w:i/>
              <w:iCs/>
              <w:color w:val="000000"/>
            </w:rPr>
            <w:t>Tourism Review</w:t>
          </w:r>
          <w:r>
            <w:rPr>
              <w:color w:val="000000"/>
            </w:rPr>
            <w:t>, 1–22. https://doi.org/10.1108/TR-08-2025-0872</w:t>
          </w:r>
        </w:p>
        <w:p w14:paraId="392D76A9" w14:textId="77777777" w:rsidR="00194548" w:rsidRPr="00194548" w:rsidRDefault="00194548" w:rsidP="00194548">
          <w:pPr>
            <w:ind w:hanging="480"/>
            <w:jc w:val="both"/>
            <w:divId w:val="551116666"/>
            <w:rPr>
              <w:color w:val="000000"/>
            </w:rPr>
          </w:pPr>
          <w:r>
            <w:rPr>
              <w:color w:val="000000"/>
            </w:rPr>
            <w:t xml:space="preserve">Hair, J. F., Ringle, C. M., &amp; Sarstedt, M. (2011). PLS-SEM: Indeed a Silver Bullet. </w:t>
          </w:r>
          <w:r>
            <w:rPr>
              <w:i/>
              <w:iCs/>
              <w:color w:val="000000"/>
            </w:rPr>
            <w:t>Journal of Marketing Theory and Practice</w:t>
          </w:r>
          <w:r>
            <w:rPr>
              <w:color w:val="000000"/>
            </w:rPr>
            <w:t xml:space="preserve">, </w:t>
          </w:r>
          <w:r>
            <w:rPr>
              <w:i/>
              <w:iCs/>
              <w:color w:val="000000"/>
            </w:rPr>
            <w:t>19</w:t>
          </w:r>
          <w:r>
            <w:rPr>
              <w:color w:val="000000"/>
            </w:rPr>
            <w:t>(2), 139–152.</w:t>
          </w:r>
        </w:p>
        <w:p w14:paraId="202DFD13" w14:textId="77777777" w:rsidR="00194548" w:rsidRPr="00194548" w:rsidRDefault="00194548" w:rsidP="00194548">
          <w:pPr>
            <w:ind w:hanging="480"/>
            <w:jc w:val="both"/>
            <w:divId w:val="1585844186"/>
            <w:rPr>
              <w:color w:val="000000"/>
            </w:rPr>
          </w:pPr>
          <w:r>
            <w:rPr>
              <w:color w:val="000000"/>
            </w:rPr>
            <w:t xml:space="preserve">He, Z., Hu, Z. A., Huang, W., &amp; Kang, Y. (2025). Tourism growth, education decline: Evidence from China’s 5A attraction expansion. </w:t>
          </w:r>
          <w:r>
            <w:rPr>
              <w:i/>
              <w:iCs/>
              <w:color w:val="000000"/>
            </w:rPr>
            <w:t>Journal of Urban Economics</w:t>
          </w:r>
          <w:r>
            <w:rPr>
              <w:color w:val="000000"/>
            </w:rPr>
            <w:t xml:space="preserve">, </w:t>
          </w:r>
          <w:r>
            <w:rPr>
              <w:i/>
              <w:iCs/>
              <w:color w:val="000000"/>
            </w:rPr>
            <w:t>150</w:t>
          </w:r>
          <w:r>
            <w:rPr>
              <w:color w:val="000000"/>
            </w:rPr>
            <w:t>. https://doi.org/10.1016/j.jue.2025.103811</w:t>
          </w:r>
        </w:p>
        <w:p w14:paraId="1F5286EA" w14:textId="77777777" w:rsidR="00194548" w:rsidRPr="00194548" w:rsidRDefault="00194548" w:rsidP="00194548">
          <w:pPr>
            <w:ind w:hanging="480"/>
            <w:jc w:val="both"/>
            <w:divId w:val="804617458"/>
            <w:rPr>
              <w:color w:val="000000"/>
            </w:rPr>
          </w:pPr>
          <w:r>
            <w:rPr>
              <w:color w:val="000000"/>
            </w:rPr>
            <w:t xml:space="preserve">Henseler, J., Ringle, C. M., &amp; Sarstedt, M. (2014). A new criterion for assessing discriminant validity in variance-based structural equation modeling. </w:t>
          </w:r>
          <w:r>
            <w:rPr>
              <w:i/>
              <w:iCs/>
              <w:color w:val="000000"/>
            </w:rPr>
            <w:t>Journal of the Academy of Marketing Science</w:t>
          </w:r>
          <w:r>
            <w:rPr>
              <w:color w:val="000000"/>
            </w:rPr>
            <w:t>. https://doi.org/10.1007/s11747-014-0403-8</w:t>
          </w:r>
        </w:p>
        <w:p w14:paraId="3C0E7DA6" w14:textId="77777777" w:rsidR="00194548" w:rsidRPr="00194548" w:rsidRDefault="00194548" w:rsidP="00194548">
          <w:pPr>
            <w:ind w:hanging="480"/>
            <w:jc w:val="both"/>
            <w:divId w:val="644429574"/>
            <w:rPr>
              <w:color w:val="000000"/>
            </w:rPr>
          </w:pPr>
          <w:r>
            <w:rPr>
              <w:color w:val="000000"/>
            </w:rPr>
            <w:t xml:space="preserve">Joseph F. Hair, J., Marko, S., Christian M. Ringle, &amp; Siegfried P. Gudergan. (2023). </w:t>
          </w:r>
          <w:r>
            <w:rPr>
              <w:i/>
              <w:iCs/>
              <w:color w:val="000000"/>
            </w:rPr>
            <w:t>Advanced Issues in Partial Least Squares Structural Equation Modeling</w:t>
          </w:r>
          <w:r>
            <w:rPr>
              <w:color w:val="000000"/>
            </w:rPr>
            <w:t>. SAGE Publications. https://uk.sagepub.com/en-gb/eur/advanced-issues-in-partial-least-squares-structural-equation-modeling/book279526</w:t>
          </w:r>
        </w:p>
        <w:p w14:paraId="12F71D74" w14:textId="77777777" w:rsidR="00194548" w:rsidRPr="00194548" w:rsidRDefault="00194548" w:rsidP="00194548">
          <w:pPr>
            <w:ind w:hanging="480"/>
            <w:jc w:val="both"/>
            <w:divId w:val="2141337415"/>
            <w:rPr>
              <w:color w:val="000000"/>
            </w:rPr>
          </w:pPr>
          <w:r>
            <w:rPr>
              <w:color w:val="000000"/>
            </w:rPr>
            <w:t xml:space="preserve">Ju, Y., Tsai, Y. Y., Gao, S. Y., Wu, T. liang, &amp; Tseng, T. L. (2025). Integrating augmented reality into event tourism education: Enhancing experiential value and authenticity. </w:t>
          </w:r>
          <w:r>
            <w:rPr>
              <w:i/>
              <w:iCs/>
              <w:color w:val="000000"/>
            </w:rPr>
            <w:t>Journal of Hospitality, Leisure, Sport and Tourism Education</w:t>
          </w:r>
          <w:r>
            <w:rPr>
              <w:color w:val="000000"/>
            </w:rPr>
            <w:t xml:space="preserve">, </w:t>
          </w:r>
          <w:r>
            <w:rPr>
              <w:i/>
              <w:iCs/>
              <w:color w:val="000000"/>
            </w:rPr>
            <w:t>37</w:t>
          </w:r>
          <w:r>
            <w:rPr>
              <w:color w:val="000000"/>
            </w:rPr>
            <w:t>. https://doi.org/10.1016/j.jhlste.2025.100571</w:t>
          </w:r>
        </w:p>
        <w:p w14:paraId="2D319DF2" w14:textId="77777777" w:rsidR="00194548" w:rsidRPr="00194548" w:rsidRDefault="00194548" w:rsidP="00194548">
          <w:pPr>
            <w:ind w:hanging="480"/>
            <w:jc w:val="both"/>
            <w:divId w:val="1883131594"/>
            <w:rPr>
              <w:color w:val="000000"/>
            </w:rPr>
          </w:pPr>
          <w:r>
            <w:rPr>
              <w:color w:val="000000"/>
            </w:rPr>
            <w:t xml:space="preserve">Kacetl, J., &amp; Frydrychova-Klimova, B. (2015). English Vocabulary in Video Clips on Travel and Tourism. </w:t>
          </w:r>
          <w:r>
            <w:rPr>
              <w:i/>
              <w:iCs/>
              <w:color w:val="000000"/>
            </w:rPr>
            <w:t>Procedia - Social and Behavioral Sciences</w:t>
          </w:r>
          <w:r>
            <w:rPr>
              <w:color w:val="000000"/>
            </w:rPr>
            <w:t xml:space="preserve">, </w:t>
          </w:r>
          <w:r>
            <w:rPr>
              <w:i/>
              <w:iCs/>
              <w:color w:val="000000"/>
            </w:rPr>
            <w:t>182</w:t>
          </w:r>
          <w:r>
            <w:rPr>
              <w:color w:val="000000"/>
            </w:rPr>
            <w:t>, 364–368. https://doi.org/10.1016/j.sbspro.2015.04.788</w:t>
          </w:r>
        </w:p>
        <w:p w14:paraId="6385063B" w14:textId="77777777" w:rsidR="00194548" w:rsidRPr="00194548" w:rsidRDefault="00194548" w:rsidP="00194548">
          <w:pPr>
            <w:ind w:hanging="480"/>
            <w:jc w:val="both"/>
            <w:divId w:val="2009752821"/>
            <w:rPr>
              <w:color w:val="000000"/>
            </w:rPr>
          </w:pPr>
          <w:r>
            <w:rPr>
              <w:color w:val="000000"/>
            </w:rPr>
            <w:t xml:space="preserve">Kock, N. (2015). Common method bias in PLS-SEM: A full collinearity assessment approach. </w:t>
          </w:r>
          <w:r>
            <w:rPr>
              <w:i/>
              <w:iCs/>
              <w:color w:val="000000"/>
            </w:rPr>
            <w:lastRenderedPageBreak/>
            <w:t>International Journal of E-Collaboration</w:t>
          </w:r>
          <w:r>
            <w:rPr>
              <w:color w:val="000000"/>
            </w:rPr>
            <w:t xml:space="preserve">, </w:t>
          </w:r>
          <w:r>
            <w:rPr>
              <w:i/>
              <w:iCs/>
              <w:color w:val="000000"/>
            </w:rPr>
            <w:t>11</w:t>
          </w:r>
          <w:r>
            <w:rPr>
              <w:color w:val="000000"/>
            </w:rPr>
            <w:t>(4), 1–10. https://doi.org/10.4018/ijec.2015100101</w:t>
          </w:r>
        </w:p>
        <w:p w14:paraId="014D03EB" w14:textId="77777777" w:rsidR="00194548" w:rsidRPr="00194548" w:rsidRDefault="00194548" w:rsidP="00194548">
          <w:pPr>
            <w:ind w:hanging="480"/>
            <w:jc w:val="both"/>
            <w:divId w:val="1896772266"/>
            <w:rPr>
              <w:color w:val="000000"/>
            </w:rPr>
          </w:pPr>
          <w:r>
            <w:rPr>
              <w:color w:val="000000"/>
            </w:rPr>
            <w:t xml:space="preserve">Kusnoto, Y., Supriatna, N., Wiyanarti, E., &amp; Hasan, S. H. (2024). Trend and visualizing of historical tourism in education research during last twenty years: A bibliometric review and analysis. </w:t>
          </w:r>
          <w:r>
            <w:rPr>
              <w:i/>
              <w:iCs/>
              <w:color w:val="000000"/>
            </w:rPr>
            <w:t>Journal of Hospitality, Leisure, Sport and Tourism Education</w:t>
          </w:r>
          <w:r>
            <w:rPr>
              <w:color w:val="000000"/>
            </w:rPr>
            <w:t xml:space="preserve">, </w:t>
          </w:r>
          <w:r>
            <w:rPr>
              <w:i/>
              <w:iCs/>
              <w:color w:val="000000"/>
            </w:rPr>
            <w:t>34</w:t>
          </w:r>
          <w:r>
            <w:rPr>
              <w:color w:val="000000"/>
            </w:rPr>
            <w:t>. https://doi.org/10.1016/j.jhlste.2023.100477</w:t>
          </w:r>
        </w:p>
        <w:p w14:paraId="029BF2DE" w14:textId="77777777" w:rsidR="00194548" w:rsidRPr="00194548" w:rsidRDefault="00194548" w:rsidP="00194548">
          <w:pPr>
            <w:ind w:hanging="480"/>
            <w:jc w:val="both"/>
            <w:divId w:val="705259342"/>
            <w:rPr>
              <w:color w:val="000000"/>
            </w:rPr>
          </w:pPr>
          <w:r>
            <w:rPr>
              <w:color w:val="000000"/>
            </w:rPr>
            <w:t xml:space="preserve">Langum, V., &amp; Sullivan, K. P. H. (2020). Academic writing, scholarly identity, voice and the benefits and challenges of multilingualism: Reflections from Norwegian doctoral researchers in teacher education. </w:t>
          </w:r>
          <w:r>
            <w:rPr>
              <w:i/>
              <w:iCs/>
              <w:color w:val="000000"/>
            </w:rPr>
            <w:t>Linguistics and Education</w:t>
          </w:r>
          <w:r>
            <w:rPr>
              <w:color w:val="000000"/>
            </w:rPr>
            <w:t>. https://doi.org/10.1016/j.linged.2020.100883</w:t>
          </w:r>
        </w:p>
        <w:p w14:paraId="33C0CD5F" w14:textId="77777777" w:rsidR="00194548" w:rsidRPr="00194548" w:rsidRDefault="00194548" w:rsidP="00194548">
          <w:pPr>
            <w:ind w:hanging="480"/>
            <w:jc w:val="both"/>
            <w:divId w:val="2101178295"/>
            <w:rPr>
              <w:color w:val="000000"/>
            </w:rPr>
          </w:pPr>
          <w:r>
            <w:rPr>
              <w:color w:val="000000"/>
            </w:rPr>
            <w:t xml:space="preserve">Liu, C. H., Horng, J. S., Chou, S. F., Yu, T. Y., Huang, Y. C., Ng, Y. L., &amp; La, Q. P. (2024). Explore links among marketing knowledge, data literacy, skill improvement, and learning attitude in STEAM application for hospitality and tourism education. </w:t>
          </w:r>
          <w:r>
            <w:rPr>
              <w:i/>
              <w:iCs/>
              <w:color w:val="000000"/>
            </w:rPr>
            <w:t>International Journal of Management Education</w:t>
          </w:r>
          <w:r>
            <w:rPr>
              <w:color w:val="000000"/>
            </w:rPr>
            <w:t xml:space="preserve">, </w:t>
          </w:r>
          <w:r>
            <w:rPr>
              <w:i/>
              <w:iCs/>
              <w:color w:val="000000"/>
            </w:rPr>
            <w:t>22</w:t>
          </w:r>
          <w:r>
            <w:rPr>
              <w:color w:val="000000"/>
            </w:rPr>
            <w:t>(1). https://doi.org/10.1016/j.ijme.2023.100919</w:t>
          </w:r>
        </w:p>
        <w:p w14:paraId="069386A0" w14:textId="77777777" w:rsidR="00194548" w:rsidRPr="00194548" w:rsidRDefault="00194548" w:rsidP="00194548">
          <w:pPr>
            <w:ind w:hanging="480"/>
            <w:jc w:val="both"/>
            <w:divId w:val="912545879"/>
            <w:rPr>
              <w:color w:val="000000"/>
            </w:rPr>
          </w:pPr>
          <w:r>
            <w:rPr>
              <w:color w:val="000000"/>
            </w:rPr>
            <w:t xml:space="preserve">Luan-Thanh, N., Dang, T.-Q., &amp; Nguyen, T.-T. T. (2024). </w:t>
          </w:r>
          <w:r>
            <w:rPr>
              <w:i/>
              <w:iCs/>
              <w:color w:val="000000"/>
            </w:rPr>
            <w:t>Metaverse in Education: Bridging Realities for Future Learning</w:t>
          </w:r>
          <w:r>
            <w:rPr>
              <w:color w:val="000000"/>
            </w:rPr>
            <w:t xml:space="preserve"> (N. Luan-Thanh, Ed.; Vol. 1). Generis Publishing. https://www.generis-publishing.com/book.php?title=strong-metaverse-in-education-bridging-realities-for-future-learning-strong-2499</w:t>
          </w:r>
        </w:p>
        <w:p w14:paraId="64A0496E" w14:textId="77777777" w:rsidR="00194548" w:rsidRPr="00194548" w:rsidRDefault="00194548" w:rsidP="00194548">
          <w:pPr>
            <w:ind w:hanging="480"/>
            <w:jc w:val="both"/>
            <w:divId w:val="1557273778"/>
            <w:rPr>
              <w:color w:val="000000"/>
            </w:rPr>
          </w:pPr>
          <w:r>
            <w:rPr>
              <w:color w:val="000000"/>
            </w:rPr>
            <w:t xml:space="preserve">Ooi, K. B., &amp; Tan, G. W. H. (2016). Mobile technology acceptance model: An investigation using mobile users to explore smartphone credit card. </w:t>
          </w:r>
          <w:r>
            <w:rPr>
              <w:i/>
              <w:iCs/>
              <w:color w:val="000000"/>
            </w:rPr>
            <w:t>Expert Systems with Applications</w:t>
          </w:r>
          <w:r>
            <w:rPr>
              <w:color w:val="000000"/>
            </w:rPr>
            <w:t>. https://doi.org/10.1016/j.eswa.2016.04.015</w:t>
          </w:r>
        </w:p>
        <w:p w14:paraId="742DE3FA" w14:textId="77777777" w:rsidR="00194548" w:rsidRPr="00194548" w:rsidRDefault="00194548" w:rsidP="00194548">
          <w:pPr>
            <w:ind w:hanging="480"/>
            <w:jc w:val="both"/>
            <w:divId w:val="1333994149"/>
            <w:rPr>
              <w:color w:val="000000"/>
            </w:rPr>
          </w:pPr>
          <w:r>
            <w:rPr>
              <w:color w:val="000000"/>
            </w:rPr>
            <w:t xml:space="preserve">Pantaruk, S., Khuadthong, B., Sangthong, M., Srirat, P., Imjai, N., Suhud, U., Boonkaew, S., &amp; Aujirapongpan, S. (2026). Transforming historical literacy into sustainable cultural tourism behavior: The mediating role of social and critical thinking in tourism education. </w:t>
          </w:r>
          <w:r>
            <w:rPr>
              <w:i/>
              <w:iCs/>
              <w:color w:val="000000"/>
            </w:rPr>
            <w:t>Sustainable Futures</w:t>
          </w:r>
          <w:r>
            <w:rPr>
              <w:color w:val="000000"/>
            </w:rPr>
            <w:t>. https://doi.org/10.1016/j.sftr.2026.101794</w:t>
          </w:r>
        </w:p>
        <w:p w14:paraId="1F8FDC44" w14:textId="77777777" w:rsidR="00194548" w:rsidRPr="00194548" w:rsidRDefault="00194548" w:rsidP="00194548">
          <w:pPr>
            <w:ind w:hanging="480"/>
            <w:jc w:val="both"/>
            <w:divId w:val="1395347762"/>
            <w:rPr>
              <w:color w:val="000000"/>
            </w:rPr>
          </w:pPr>
          <w:r>
            <w:rPr>
              <w:color w:val="000000"/>
            </w:rPr>
            <w:t xml:space="preserve">Phan, T. – T. C., Nguyen, L.-T., &amp; Dang, T.-Q. (2025). Does Impulsive Buying Lead to Compulsive Buying in Metaverse? A Dual-Stage Predictive-Analytics SEM-ANN Analysis. The Empirical Study from Vietnam. </w:t>
          </w:r>
          <w:r>
            <w:rPr>
              <w:i/>
              <w:iCs/>
              <w:color w:val="000000"/>
            </w:rPr>
            <w:t>Thailand and The World Economy</w:t>
          </w:r>
          <w:r>
            <w:rPr>
              <w:color w:val="000000"/>
            </w:rPr>
            <w:t xml:space="preserve">, </w:t>
          </w:r>
          <w:r>
            <w:rPr>
              <w:i/>
              <w:iCs/>
              <w:color w:val="000000"/>
            </w:rPr>
            <w:t>43</w:t>
          </w:r>
          <w:r>
            <w:rPr>
              <w:color w:val="000000"/>
            </w:rPr>
            <w:t>(2), 44–46. https://so05.tci-thaijo.org/index.php/TER/article/view/268273</w:t>
          </w:r>
        </w:p>
        <w:p w14:paraId="6D01ECA6" w14:textId="77777777" w:rsidR="00F97F22" w:rsidRDefault="00000000">
          <w:pPr>
            <w:spacing w:after="120" w:line="480" w:lineRule="auto"/>
            <w:ind w:left="720" w:hanging="720"/>
            <w:contextualSpacing/>
            <w:jc w:val="both"/>
          </w:pPr>
          <w:r>
            <w:t>Priestley, M., Biesta, G., &amp; Robinson, S. (2015). Teacher agency: An ecological approach. Bloomsbury Academic.</w:t>
          </w:r>
        </w:p>
        <w:p w14:paraId="7DE0953C" w14:textId="77777777" w:rsidR="00194548" w:rsidRPr="00194548" w:rsidRDefault="00194548" w:rsidP="00194548">
          <w:pPr>
            <w:ind w:hanging="480"/>
            <w:jc w:val="both"/>
            <w:divId w:val="1969431099"/>
            <w:rPr>
              <w:color w:val="000000"/>
            </w:rPr>
          </w:pPr>
          <w:r>
            <w:rPr>
              <w:color w:val="000000"/>
            </w:rPr>
            <w:t xml:space="preserve">Rahmanu, I. W. E. D., &amp; Molnár, G. (2026). Virtual reality in English language education: A systematic review of opportunities and challenges in higher education. In </w:t>
          </w:r>
          <w:r>
            <w:rPr>
              <w:i/>
              <w:iCs/>
              <w:color w:val="000000"/>
            </w:rPr>
            <w:t>Acta Psychologica</w:t>
          </w:r>
          <w:r>
            <w:rPr>
              <w:color w:val="000000"/>
            </w:rPr>
            <w:t xml:space="preserve"> (Vol. 264). Elsevier B.V. https://doi.org/10.1016/j.actpsy.2026.106358</w:t>
          </w:r>
        </w:p>
        <w:p w14:paraId="2BCA2598" w14:textId="77777777" w:rsidR="00194548" w:rsidRPr="00194548" w:rsidRDefault="00194548" w:rsidP="00194548">
          <w:pPr>
            <w:ind w:hanging="480"/>
            <w:jc w:val="both"/>
            <w:divId w:val="1379356795"/>
            <w:rPr>
              <w:color w:val="000000"/>
            </w:rPr>
          </w:pPr>
          <w:r>
            <w:rPr>
              <w:color w:val="000000"/>
            </w:rPr>
            <w:t xml:space="preserve">Shmueli, G., Sarstedt, M., Hair, J. F., Cheah, J. H., Ting, H., Vaithilingam, S., &amp; Ringle, C. M. (2019). Predictive model assessment in PLS-SEM: guidelines for using PLSpredict. </w:t>
          </w:r>
          <w:r>
            <w:rPr>
              <w:i/>
              <w:iCs/>
              <w:color w:val="000000"/>
            </w:rPr>
            <w:t>European Journal of Marketing</w:t>
          </w:r>
          <w:r>
            <w:rPr>
              <w:color w:val="000000"/>
            </w:rPr>
            <w:t>. https://doi.org/10.1108/EJM-02-2019-0189</w:t>
          </w:r>
        </w:p>
        <w:p w14:paraId="0511095F" w14:textId="77777777" w:rsidR="00194548" w:rsidRPr="00194548" w:rsidRDefault="00194548" w:rsidP="00194548">
          <w:pPr>
            <w:ind w:hanging="480"/>
            <w:jc w:val="both"/>
            <w:divId w:val="1493912377"/>
            <w:rPr>
              <w:color w:val="000000"/>
            </w:rPr>
          </w:pPr>
          <w:r>
            <w:rPr>
              <w:color w:val="000000"/>
            </w:rPr>
            <w:t xml:space="preserve">Şimşek, E. K., &amp; Kalıpçı, M. B. (2023). A bibliometric study on higher tourism education and curriculum. </w:t>
          </w:r>
          <w:r>
            <w:rPr>
              <w:i/>
              <w:iCs/>
              <w:color w:val="000000"/>
            </w:rPr>
            <w:t>Journal of Hospitality, Leisure, Sport and Tourism Education</w:t>
          </w:r>
          <w:r>
            <w:rPr>
              <w:color w:val="000000"/>
            </w:rPr>
            <w:t xml:space="preserve">, </w:t>
          </w:r>
          <w:r>
            <w:rPr>
              <w:i/>
              <w:iCs/>
              <w:color w:val="000000"/>
            </w:rPr>
            <w:t>33</w:t>
          </w:r>
          <w:r>
            <w:rPr>
              <w:color w:val="000000"/>
            </w:rPr>
            <w:t>. https://doi.org/10.1016/j.jhlste.2023.100442</w:t>
          </w:r>
        </w:p>
        <w:p w14:paraId="79A12A1F" w14:textId="77777777" w:rsidR="00194548" w:rsidRPr="00194548" w:rsidRDefault="00194548" w:rsidP="00194548">
          <w:pPr>
            <w:ind w:hanging="480"/>
            <w:jc w:val="both"/>
            <w:divId w:val="449714418"/>
            <w:rPr>
              <w:color w:val="000000"/>
            </w:rPr>
          </w:pPr>
          <w:r>
            <w:rPr>
              <w:color w:val="000000"/>
            </w:rPr>
            <w:t xml:space="preserve">Takada, K., Murakami, K. H., Yamazaki, A. K., &amp; Yamanaka, T. (2022). A preliminary study of VR English training material for personnel in the tourism industry. </w:t>
          </w:r>
          <w:r>
            <w:rPr>
              <w:i/>
              <w:iCs/>
              <w:color w:val="000000"/>
            </w:rPr>
            <w:t>Procedia Computer Science</w:t>
          </w:r>
          <w:r>
            <w:rPr>
              <w:color w:val="000000"/>
            </w:rPr>
            <w:t xml:space="preserve">, </w:t>
          </w:r>
          <w:r>
            <w:rPr>
              <w:i/>
              <w:iCs/>
              <w:color w:val="000000"/>
            </w:rPr>
            <w:t>207</w:t>
          </w:r>
          <w:r>
            <w:rPr>
              <w:color w:val="000000"/>
            </w:rPr>
            <w:t>, 3715–3723. https://doi.org/10.1016/j.procs.2022.09.432</w:t>
          </w:r>
        </w:p>
        <w:p w14:paraId="36D9D256" w14:textId="77777777" w:rsidR="00194548" w:rsidRPr="00194548" w:rsidRDefault="00194548" w:rsidP="00194548">
          <w:pPr>
            <w:ind w:hanging="480"/>
            <w:jc w:val="both"/>
            <w:divId w:val="820267748"/>
            <w:rPr>
              <w:color w:val="000000"/>
            </w:rPr>
          </w:pPr>
          <w:r>
            <w:rPr>
              <w:color w:val="000000"/>
            </w:rPr>
            <w:t xml:space="preserve">Tao, J., &amp; Gao, X. (2017). Teacher agency and identity commitment in curricular reform. </w:t>
          </w:r>
          <w:r>
            <w:rPr>
              <w:i/>
              <w:iCs/>
              <w:color w:val="000000"/>
            </w:rPr>
            <w:t>Teaching and Teacher Education</w:t>
          </w:r>
          <w:r>
            <w:rPr>
              <w:color w:val="000000"/>
            </w:rPr>
            <w:t xml:space="preserve">, </w:t>
          </w:r>
          <w:r>
            <w:rPr>
              <w:i/>
              <w:iCs/>
              <w:color w:val="000000"/>
            </w:rPr>
            <w:t>63</w:t>
          </w:r>
          <w:r>
            <w:rPr>
              <w:color w:val="000000"/>
            </w:rPr>
            <w:t>, 346–355. https://doi.org/10.1016/j.tate.2017.01.010</w:t>
          </w:r>
        </w:p>
        <w:p w14:paraId="5D66F672" w14:textId="77777777" w:rsidR="00194548" w:rsidRPr="00194548" w:rsidRDefault="00194548" w:rsidP="00194548">
          <w:pPr>
            <w:ind w:hanging="480"/>
            <w:jc w:val="both"/>
            <w:divId w:val="1307011139"/>
            <w:rPr>
              <w:color w:val="000000"/>
            </w:rPr>
          </w:pPr>
          <w:r>
            <w:rPr>
              <w:color w:val="000000"/>
            </w:rPr>
            <w:t xml:space="preserve">Wyatt, M., &amp; Dikilitaş, K. (2019). English language teachers’ self-efficacy beliefs for grammar instruction: implications for teacher educators. </w:t>
          </w:r>
          <w:r>
            <w:rPr>
              <w:i/>
              <w:iCs/>
              <w:color w:val="000000"/>
            </w:rPr>
            <w:t>The Language Learning Journal</w:t>
          </w:r>
          <w:r>
            <w:rPr>
              <w:color w:val="000000"/>
            </w:rPr>
            <w:t xml:space="preserve">. </w:t>
          </w:r>
          <w:r>
            <w:rPr>
              <w:color w:val="000000"/>
            </w:rPr>
            <w:lastRenderedPageBreak/>
            <w:t>https://doi.org/10.1080/09571736.2019.1642943</w:t>
          </w:r>
        </w:p>
        <w:p w14:paraId="52095F03" w14:textId="77777777" w:rsidR="00831664" w:rsidRDefault="00194548" w:rsidP="00194548">
          <w:pPr>
            <w:jc w:val="both"/>
          </w:pPr>
          <w:r>
            <w:rPr>
              <w:color w:val="000000"/>
            </w:rPr>
            <w:t> </w:t>
          </w:r>
        </w:p>
      </w:sdtContent>
    </w:sdt>
    <w:sectPr w:rsidR="00831664" w:rsidSect="0026022F">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3C411" w14:textId="77777777" w:rsidR="00FE6C6A" w:rsidRDefault="00FE6C6A" w:rsidP="004B394D">
      <w:r>
        <w:separator/>
      </w:r>
    </w:p>
  </w:endnote>
  <w:endnote w:type="continuationSeparator" w:id="0">
    <w:p w14:paraId="6BB0C6E1" w14:textId="77777777" w:rsidR="00FE6C6A" w:rsidRDefault="00FE6C6A" w:rsidP="004B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7051A" w14:textId="77777777" w:rsidR="00FE6C6A" w:rsidRDefault="00FE6C6A" w:rsidP="004B394D">
      <w:r>
        <w:separator/>
      </w:r>
    </w:p>
  </w:footnote>
  <w:footnote w:type="continuationSeparator" w:id="0">
    <w:p w14:paraId="39A5F430" w14:textId="77777777" w:rsidR="00FE6C6A" w:rsidRDefault="00FE6C6A" w:rsidP="004B3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0BB2"/>
    <w:multiLevelType w:val="multilevel"/>
    <w:tmpl w:val="C364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5665E7"/>
    <w:multiLevelType w:val="multilevel"/>
    <w:tmpl w:val="2CF0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D7231A"/>
    <w:multiLevelType w:val="multilevel"/>
    <w:tmpl w:val="8A84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2E58A2"/>
    <w:multiLevelType w:val="multilevel"/>
    <w:tmpl w:val="1766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F632EC"/>
    <w:multiLevelType w:val="multilevel"/>
    <w:tmpl w:val="A174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544559"/>
    <w:multiLevelType w:val="multilevel"/>
    <w:tmpl w:val="3830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DC7E97"/>
    <w:multiLevelType w:val="multilevel"/>
    <w:tmpl w:val="6D30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E70CCF"/>
    <w:multiLevelType w:val="multilevel"/>
    <w:tmpl w:val="2A869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6621C5"/>
    <w:multiLevelType w:val="multilevel"/>
    <w:tmpl w:val="5D6A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E278E6"/>
    <w:multiLevelType w:val="multilevel"/>
    <w:tmpl w:val="D4BC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8D636F"/>
    <w:multiLevelType w:val="multilevel"/>
    <w:tmpl w:val="E812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773DD2"/>
    <w:multiLevelType w:val="multilevel"/>
    <w:tmpl w:val="D450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8552811">
    <w:abstractNumId w:val="5"/>
  </w:num>
  <w:num w:numId="2" w16cid:durableId="1331178299">
    <w:abstractNumId w:val="4"/>
  </w:num>
  <w:num w:numId="3" w16cid:durableId="306403687">
    <w:abstractNumId w:val="3"/>
  </w:num>
  <w:num w:numId="4" w16cid:durableId="88241593">
    <w:abstractNumId w:val="0"/>
  </w:num>
  <w:num w:numId="5" w16cid:durableId="1464420329">
    <w:abstractNumId w:val="11"/>
  </w:num>
  <w:num w:numId="6" w16cid:durableId="1520582645">
    <w:abstractNumId w:val="10"/>
  </w:num>
  <w:num w:numId="7" w16cid:durableId="453058959">
    <w:abstractNumId w:val="8"/>
  </w:num>
  <w:num w:numId="8" w16cid:durableId="966202020">
    <w:abstractNumId w:val="1"/>
  </w:num>
  <w:num w:numId="9" w16cid:durableId="684597660">
    <w:abstractNumId w:val="6"/>
  </w:num>
  <w:num w:numId="10" w16cid:durableId="735398778">
    <w:abstractNumId w:val="2"/>
  </w:num>
  <w:num w:numId="11" w16cid:durableId="676925059">
    <w:abstractNumId w:val="7"/>
  </w:num>
  <w:num w:numId="12" w16cid:durableId="9186392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F07"/>
    <w:rsid w:val="000121AE"/>
    <w:rsid w:val="00025771"/>
    <w:rsid w:val="0002676C"/>
    <w:rsid w:val="000A500C"/>
    <w:rsid w:val="000D3ECE"/>
    <w:rsid w:val="00102BFE"/>
    <w:rsid w:val="00130D61"/>
    <w:rsid w:val="00171601"/>
    <w:rsid w:val="00182C12"/>
    <w:rsid w:val="00194548"/>
    <w:rsid w:val="00206265"/>
    <w:rsid w:val="00246879"/>
    <w:rsid w:val="0026022F"/>
    <w:rsid w:val="002C4B70"/>
    <w:rsid w:val="002D6281"/>
    <w:rsid w:val="002F5B65"/>
    <w:rsid w:val="00380D74"/>
    <w:rsid w:val="00390CF1"/>
    <w:rsid w:val="00413C4D"/>
    <w:rsid w:val="0042755D"/>
    <w:rsid w:val="004B394D"/>
    <w:rsid w:val="00633EAA"/>
    <w:rsid w:val="0069160B"/>
    <w:rsid w:val="00705407"/>
    <w:rsid w:val="007324E8"/>
    <w:rsid w:val="008030E7"/>
    <w:rsid w:val="00831664"/>
    <w:rsid w:val="00864ACB"/>
    <w:rsid w:val="00882F07"/>
    <w:rsid w:val="008967FE"/>
    <w:rsid w:val="008D571D"/>
    <w:rsid w:val="009025CC"/>
    <w:rsid w:val="009451D3"/>
    <w:rsid w:val="009C46C7"/>
    <w:rsid w:val="00A37502"/>
    <w:rsid w:val="00A56E3C"/>
    <w:rsid w:val="00AB5682"/>
    <w:rsid w:val="00AF0979"/>
    <w:rsid w:val="00B33599"/>
    <w:rsid w:val="00B503DC"/>
    <w:rsid w:val="00BD0A8A"/>
    <w:rsid w:val="00C27F98"/>
    <w:rsid w:val="00C31358"/>
    <w:rsid w:val="00C322D5"/>
    <w:rsid w:val="00C8677A"/>
    <w:rsid w:val="00CA15E3"/>
    <w:rsid w:val="00CA59CD"/>
    <w:rsid w:val="00CF1029"/>
    <w:rsid w:val="00CF7DC3"/>
    <w:rsid w:val="00E0627D"/>
    <w:rsid w:val="00EB661C"/>
    <w:rsid w:val="00EC6C84"/>
    <w:rsid w:val="00F1693C"/>
    <w:rsid w:val="00F2108D"/>
    <w:rsid w:val="00F24696"/>
    <w:rsid w:val="00F574BD"/>
    <w:rsid w:val="00F97F22"/>
    <w:rsid w:val="00FB75F9"/>
    <w:rsid w:val="00FE010B"/>
    <w:rsid w:val="00FE6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E3231"/>
  <w15:chartTrackingRefBased/>
  <w15:docId w15:val="{F858A5AD-831D-4AC1-8CE0-B2F851A6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879"/>
    <w:pPr>
      <w:widowControl w:val="0"/>
      <w:autoSpaceDE w:val="0"/>
      <w:autoSpaceDN w:val="0"/>
    </w:pPr>
    <w:rPr>
      <w:sz w:val="24"/>
      <w:szCs w:val="22"/>
    </w:rPr>
  </w:style>
  <w:style w:type="paragraph" w:styleId="Heading1">
    <w:name w:val="heading 1"/>
    <w:basedOn w:val="Normal"/>
    <w:next w:val="Normal"/>
    <w:link w:val="Heading1Char"/>
    <w:qFormat/>
    <w:rsid w:val="00882F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semiHidden/>
    <w:unhideWhenUsed/>
    <w:qFormat/>
    <w:rsid w:val="00882F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882F0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semiHidden/>
    <w:unhideWhenUsed/>
    <w:qFormat/>
    <w:rsid w:val="00882F0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semiHidden/>
    <w:unhideWhenUsed/>
    <w:qFormat/>
    <w:rsid w:val="00882F0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semiHidden/>
    <w:unhideWhenUsed/>
    <w:qFormat/>
    <w:rsid w:val="00882F0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882F0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882F0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882F0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2F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semiHidden/>
    <w:rsid w:val="00882F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882F0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semiHidden/>
    <w:rsid w:val="00882F07"/>
    <w:rPr>
      <w:rFonts w:asciiTheme="minorHAnsi" w:eastAsiaTheme="majorEastAsia" w:hAnsiTheme="minorHAnsi" w:cstheme="majorBidi"/>
      <w:i/>
      <w:iCs/>
      <w:color w:val="2F5496" w:themeColor="accent1" w:themeShade="BF"/>
      <w:sz w:val="24"/>
      <w:szCs w:val="22"/>
    </w:rPr>
  </w:style>
  <w:style w:type="character" w:customStyle="1" w:styleId="Heading5Char">
    <w:name w:val="Heading 5 Char"/>
    <w:basedOn w:val="DefaultParagraphFont"/>
    <w:link w:val="Heading5"/>
    <w:semiHidden/>
    <w:rsid w:val="00882F07"/>
    <w:rPr>
      <w:rFonts w:asciiTheme="minorHAnsi" w:eastAsiaTheme="majorEastAsia" w:hAnsiTheme="minorHAnsi" w:cstheme="majorBidi"/>
      <w:color w:val="2F5496" w:themeColor="accent1" w:themeShade="BF"/>
      <w:sz w:val="24"/>
      <w:szCs w:val="22"/>
    </w:rPr>
  </w:style>
  <w:style w:type="character" w:customStyle="1" w:styleId="Heading6Char">
    <w:name w:val="Heading 6 Char"/>
    <w:basedOn w:val="DefaultParagraphFont"/>
    <w:link w:val="Heading6"/>
    <w:semiHidden/>
    <w:rsid w:val="00882F07"/>
    <w:rPr>
      <w:rFonts w:asciiTheme="minorHAnsi" w:eastAsiaTheme="majorEastAsia" w:hAnsiTheme="minorHAnsi" w:cstheme="majorBidi"/>
      <w:i/>
      <w:iCs/>
      <w:color w:val="595959" w:themeColor="text1" w:themeTint="A6"/>
      <w:sz w:val="24"/>
      <w:szCs w:val="22"/>
    </w:rPr>
  </w:style>
  <w:style w:type="character" w:customStyle="1" w:styleId="Heading7Char">
    <w:name w:val="Heading 7 Char"/>
    <w:basedOn w:val="DefaultParagraphFont"/>
    <w:link w:val="Heading7"/>
    <w:semiHidden/>
    <w:rsid w:val="00882F07"/>
    <w:rPr>
      <w:rFonts w:asciiTheme="minorHAnsi" w:eastAsiaTheme="majorEastAsia" w:hAnsiTheme="minorHAnsi" w:cstheme="majorBidi"/>
      <w:color w:val="595959" w:themeColor="text1" w:themeTint="A6"/>
      <w:sz w:val="24"/>
      <w:szCs w:val="22"/>
    </w:rPr>
  </w:style>
  <w:style w:type="character" w:customStyle="1" w:styleId="Heading8Char">
    <w:name w:val="Heading 8 Char"/>
    <w:basedOn w:val="DefaultParagraphFont"/>
    <w:link w:val="Heading8"/>
    <w:semiHidden/>
    <w:rsid w:val="00882F07"/>
    <w:rPr>
      <w:rFonts w:asciiTheme="minorHAnsi" w:eastAsiaTheme="majorEastAsia" w:hAnsiTheme="minorHAnsi" w:cstheme="majorBidi"/>
      <w:i/>
      <w:iCs/>
      <w:color w:val="272727" w:themeColor="text1" w:themeTint="D8"/>
      <w:sz w:val="24"/>
      <w:szCs w:val="22"/>
    </w:rPr>
  </w:style>
  <w:style w:type="character" w:customStyle="1" w:styleId="Heading9Char">
    <w:name w:val="Heading 9 Char"/>
    <w:basedOn w:val="DefaultParagraphFont"/>
    <w:link w:val="Heading9"/>
    <w:semiHidden/>
    <w:rsid w:val="00882F07"/>
    <w:rPr>
      <w:rFonts w:asciiTheme="minorHAnsi" w:eastAsiaTheme="majorEastAsia" w:hAnsiTheme="minorHAnsi" w:cstheme="majorBidi"/>
      <w:color w:val="272727" w:themeColor="text1" w:themeTint="D8"/>
      <w:sz w:val="24"/>
      <w:szCs w:val="22"/>
    </w:rPr>
  </w:style>
  <w:style w:type="paragraph" w:styleId="Title">
    <w:name w:val="Title"/>
    <w:basedOn w:val="Normal"/>
    <w:next w:val="Normal"/>
    <w:link w:val="TitleChar"/>
    <w:qFormat/>
    <w:rsid w:val="00882F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82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882F0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882F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82F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2F07"/>
    <w:rPr>
      <w:i/>
      <w:iCs/>
      <w:color w:val="404040" w:themeColor="text1" w:themeTint="BF"/>
      <w:sz w:val="24"/>
      <w:szCs w:val="22"/>
    </w:rPr>
  </w:style>
  <w:style w:type="paragraph" w:styleId="ListParagraph">
    <w:name w:val="List Paragraph"/>
    <w:basedOn w:val="Normal"/>
    <w:uiPriority w:val="34"/>
    <w:qFormat/>
    <w:rsid w:val="00882F07"/>
    <w:pPr>
      <w:ind w:left="720"/>
      <w:contextualSpacing/>
    </w:pPr>
  </w:style>
  <w:style w:type="character" w:styleId="IntenseEmphasis">
    <w:name w:val="Intense Emphasis"/>
    <w:basedOn w:val="DefaultParagraphFont"/>
    <w:uiPriority w:val="21"/>
    <w:qFormat/>
    <w:rsid w:val="00882F07"/>
    <w:rPr>
      <w:i/>
      <w:iCs/>
      <w:color w:val="2F5496" w:themeColor="accent1" w:themeShade="BF"/>
    </w:rPr>
  </w:style>
  <w:style w:type="paragraph" w:styleId="IntenseQuote">
    <w:name w:val="Intense Quote"/>
    <w:basedOn w:val="Normal"/>
    <w:next w:val="Normal"/>
    <w:link w:val="IntenseQuoteChar"/>
    <w:uiPriority w:val="30"/>
    <w:qFormat/>
    <w:rsid w:val="00882F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2F07"/>
    <w:rPr>
      <w:i/>
      <w:iCs/>
      <w:color w:val="2F5496" w:themeColor="accent1" w:themeShade="BF"/>
      <w:sz w:val="24"/>
      <w:szCs w:val="22"/>
    </w:rPr>
  </w:style>
  <w:style w:type="character" w:styleId="IntenseReference">
    <w:name w:val="Intense Reference"/>
    <w:basedOn w:val="DefaultParagraphFont"/>
    <w:uiPriority w:val="32"/>
    <w:qFormat/>
    <w:rsid w:val="00882F07"/>
    <w:rPr>
      <w:b/>
      <w:bCs/>
      <w:smallCaps/>
      <w:color w:val="2F5496" w:themeColor="accent1" w:themeShade="BF"/>
      <w:spacing w:val="5"/>
    </w:rPr>
  </w:style>
  <w:style w:type="character" w:styleId="PlaceholderText">
    <w:name w:val="Placeholder Text"/>
    <w:basedOn w:val="DefaultParagraphFont"/>
    <w:uiPriority w:val="99"/>
    <w:semiHidden/>
    <w:rsid w:val="000121AE"/>
    <w:rPr>
      <w:color w:val="666666"/>
    </w:rPr>
  </w:style>
  <w:style w:type="table" w:styleId="TableGrid">
    <w:name w:val="Table Grid"/>
    <w:basedOn w:val="TableNormal"/>
    <w:uiPriority w:val="39"/>
    <w:rsid w:val="002D6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394D"/>
    <w:pPr>
      <w:tabs>
        <w:tab w:val="center" w:pos="4680"/>
        <w:tab w:val="right" w:pos="9360"/>
      </w:tabs>
    </w:pPr>
  </w:style>
  <w:style w:type="character" w:customStyle="1" w:styleId="HeaderChar">
    <w:name w:val="Header Char"/>
    <w:basedOn w:val="DefaultParagraphFont"/>
    <w:link w:val="Header"/>
    <w:uiPriority w:val="99"/>
    <w:rsid w:val="004B394D"/>
    <w:rPr>
      <w:sz w:val="24"/>
      <w:szCs w:val="22"/>
    </w:rPr>
  </w:style>
  <w:style w:type="paragraph" w:styleId="Footer">
    <w:name w:val="footer"/>
    <w:basedOn w:val="Normal"/>
    <w:link w:val="FooterChar"/>
    <w:uiPriority w:val="99"/>
    <w:unhideWhenUsed/>
    <w:rsid w:val="004B394D"/>
    <w:pPr>
      <w:tabs>
        <w:tab w:val="center" w:pos="4680"/>
        <w:tab w:val="right" w:pos="9360"/>
      </w:tabs>
    </w:pPr>
  </w:style>
  <w:style w:type="character" w:customStyle="1" w:styleId="FooterChar">
    <w:name w:val="Footer Char"/>
    <w:basedOn w:val="DefaultParagraphFont"/>
    <w:link w:val="Footer"/>
    <w:uiPriority w:val="99"/>
    <w:rsid w:val="004B394D"/>
    <w:rPr>
      <w:sz w:val="24"/>
      <w:szCs w:val="22"/>
    </w:rPr>
  </w:style>
  <w:style w:type="character" w:styleId="FootnoteReference">
    <w:name w:val="footnote reference"/>
    <w:basedOn w:val="DefaultParagraphFont"/>
    <w:uiPriority w:val="99"/>
    <w:semiHidden/>
    <w:unhideWhenUsed/>
    <w:rsid w:val="004B394D"/>
    <w:rPr>
      <w:vertAlign w:val="superscript"/>
    </w:rPr>
  </w:style>
  <w:style w:type="character" w:styleId="Hyperlink">
    <w:name w:val="Hyperlink"/>
    <w:basedOn w:val="DefaultParagraphFont"/>
    <w:uiPriority w:val="99"/>
    <w:unhideWhenUsed/>
    <w:rsid w:val="004B394D"/>
    <w:rPr>
      <w:color w:val="0563C1" w:themeColor="hyperlink"/>
      <w:u w:val="single"/>
    </w:rPr>
  </w:style>
  <w:style w:type="character" w:styleId="UnresolvedMention">
    <w:name w:val="Unresolved Mention"/>
    <w:basedOn w:val="DefaultParagraphFont"/>
    <w:uiPriority w:val="99"/>
    <w:semiHidden/>
    <w:unhideWhenUsed/>
    <w:rsid w:val="004B39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19363">
      <w:marLeft w:val="480"/>
      <w:marRight w:val="0"/>
      <w:marTop w:val="0"/>
      <w:marBottom w:val="0"/>
      <w:divBdr>
        <w:top w:val="none" w:sz="0" w:space="0" w:color="auto"/>
        <w:left w:val="none" w:sz="0" w:space="0" w:color="auto"/>
        <w:bottom w:val="none" w:sz="0" w:space="0" w:color="auto"/>
        <w:right w:val="none" w:sz="0" w:space="0" w:color="auto"/>
      </w:divBdr>
    </w:div>
    <w:div w:id="174461894">
      <w:marLeft w:val="480"/>
      <w:marRight w:val="0"/>
      <w:marTop w:val="0"/>
      <w:marBottom w:val="0"/>
      <w:divBdr>
        <w:top w:val="none" w:sz="0" w:space="0" w:color="auto"/>
        <w:left w:val="none" w:sz="0" w:space="0" w:color="auto"/>
        <w:bottom w:val="none" w:sz="0" w:space="0" w:color="auto"/>
        <w:right w:val="none" w:sz="0" w:space="0" w:color="auto"/>
      </w:divBdr>
    </w:div>
    <w:div w:id="302808501">
      <w:marLeft w:val="480"/>
      <w:marRight w:val="0"/>
      <w:marTop w:val="0"/>
      <w:marBottom w:val="0"/>
      <w:divBdr>
        <w:top w:val="none" w:sz="0" w:space="0" w:color="auto"/>
        <w:left w:val="none" w:sz="0" w:space="0" w:color="auto"/>
        <w:bottom w:val="none" w:sz="0" w:space="0" w:color="auto"/>
        <w:right w:val="none" w:sz="0" w:space="0" w:color="auto"/>
      </w:divBdr>
    </w:div>
    <w:div w:id="313218608">
      <w:marLeft w:val="480"/>
      <w:marRight w:val="0"/>
      <w:marTop w:val="0"/>
      <w:marBottom w:val="0"/>
      <w:divBdr>
        <w:top w:val="none" w:sz="0" w:space="0" w:color="auto"/>
        <w:left w:val="none" w:sz="0" w:space="0" w:color="auto"/>
        <w:bottom w:val="none" w:sz="0" w:space="0" w:color="auto"/>
        <w:right w:val="none" w:sz="0" w:space="0" w:color="auto"/>
      </w:divBdr>
    </w:div>
    <w:div w:id="386805833">
      <w:marLeft w:val="480"/>
      <w:marRight w:val="0"/>
      <w:marTop w:val="0"/>
      <w:marBottom w:val="0"/>
      <w:divBdr>
        <w:top w:val="none" w:sz="0" w:space="0" w:color="auto"/>
        <w:left w:val="none" w:sz="0" w:space="0" w:color="auto"/>
        <w:bottom w:val="none" w:sz="0" w:space="0" w:color="auto"/>
        <w:right w:val="none" w:sz="0" w:space="0" w:color="auto"/>
      </w:divBdr>
    </w:div>
    <w:div w:id="388921640">
      <w:marLeft w:val="480"/>
      <w:marRight w:val="0"/>
      <w:marTop w:val="0"/>
      <w:marBottom w:val="0"/>
      <w:divBdr>
        <w:top w:val="none" w:sz="0" w:space="0" w:color="auto"/>
        <w:left w:val="none" w:sz="0" w:space="0" w:color="auto"/>
        <w:bottom w:val="none" w:sz="0" w:space="0" w:color="auto"/>
        <w:right w:val="none" w:sz="0" w:space="0" w:color="auto"/>
      </w:divBdr>
    </w:div>
    <w:div w:id="418792821">
      <w:marLeft w:val="480"/>
      <w:marRight w:val="0"/>
      <w:marTop w:val="0"/>
      <w:marBottom w:val="0"/>
      <w:divBdr>
        <w:top w:val="none" w:sz="0" w:space="0" w:color="auto"/>
        <w:left w:val="none" w:sz="0" w:space="0" w:color="auto"/>
        <w:bottom w:val="none" w:sz="0" w:space="0" w:color="auto"/>
        <w:right w:val="none" w:sz="0" w:space="0" w:color="auto"/>
      </w:divBdr>
    </w:div>
    <w:div w:id="449714418">
      <w:marLeft w:val="480"/>
      <w:marRight w:val="0"/>
      <w:marTop w:val="0"/>
      <w:marBottom w:val="0"/>
      <w:divBdr>
        <w:top w:val="none" w:sz="0" w:space="0" w:color="auto"/>
        <w:left w:val="none" w:sz="0" w:space="0" w:color="auto"/>
        <w:bottom w:val="none" w:sz="0" w:space="0" w:color="auto"/>
        <w:right w:val="none" w:sz="0" w:space="0" w:color="auto"/>
      </w:divBdr>
    </w:div>
    <w:div w:id="468981434">
      <w:marLeft w:val="480"/>
      <w:marRight w:val="0"/>
      <w:marTop w:val="0"/>
      <w:marBottom w:val="0"/>
      <w:divBdr>
        <w:top w:val="none" w:sz="0" w:space="0" w:color="auto"/>
        <w:left w:val="none" w:sz="0" w:space="0" w:color="auto"/>
        <w:bottom w:val="none" w:sz="0" w:space="0" w:color="auto"/>
        <w:right w:val="none" w:sz="0" w:space="0" w:color="auto"/>
      </w:divBdr>
    </w:div>
    <w:div w:id="495415853">
      <w:marLeft w:val="480"/>
      <w:marRight w:val="0"/>
      <w:marTop w:val="0"/>
      <w:marBottom w:val="0"/>
      <w:divBdr>
        <w:top w:val="none" w:sz="0" w:space="0" w:color="auto"/>
        <w:left w:val="none" w:sz="0" w:space="0" w:color="auto"/>
        <w:bottom w:val="none" w:sz="0" w:space="0" w:color="auto"/>
        <w:right w:val="none" w:sz="0" w:space="0" w:color="auto"/>
      </w:divBdr>
    </w:div>
    <w:div w:id="551116666">
      <w:marLeft w:val="480"/>
      <w:marRight w:val="0"/>
      <w:marTop w:val="0"/>
      <w:marBottom w:val="0"/>
      <w:divBdr>
        <w:top w:val="none" w:sz="0" w:space="0" w:color="auto"/>
        <w:left w:val="none" w:sz="0" w:space="0" w:color="auto"/>
        <w:bottom w:val="none" w:sz="0" w:space="0" w:color="auto"/>
        <w:right w:val="none" w:sz="0" w:space="0" w:color="auto"/>
      </w:divBdr>
    </w:div>
    <w:div w:id="558633779">
      <w:marLeft w:val="480"/>
      <w:marRight w:val="0"/>
      <w:marTop w:val="0"/>
      <w:marBottom w:val="0"/>
      <w:divBdr>
        <w:top w:val="none" w:sz="0" w:space="0" w:color="auto"/>
        <w:left w:val="none" w:sz="0" w:space="0" w:color="auto"/>
        <w:bottom w:val="none" w:sz="0" w:space="0" w:color="auto"/>
        <w:right w:val="none" w:sz="0" w:space="0" w:color="auto"/>
      </w:divBdr>
    </w:div>
    <w:div w:id="644429574">
      <w:marLeft w:val="480"/>
      <w:marRight w:val="0"/>
      <w:marTop w:val="0"/>
      <w:marBottom w:val="0"/>
      <w:divBdr>
        <w:top w:val="none" w:sz="0" w:space="0" w:color="auto"/>
        <w:left w:val="none" w:sz="0" w:space="0" w:color="auto"/>
        <w:bottom w:val="none" w:sz="0" w:space="0" w:color="auto"/>
        <w:right w:val="none" w:sz="0" w:space="0" w:color="auto"/>
      </w:divBdr>
    </w:div>
    <w:div w:id="649332736">
      <w:marLeft w:val="480"/>
      <w:marRight w:val="0"/>
      <w:marTop w:val="0"/>
      <w:marBottom w:val="0"/>
      <w:divBdr>
        <w:top w:val="none" w:sz="0" w:space="0" w:color="auto"/>
        <w:left w:val="none" w:sz="0" w:space="0" w:color="auto"/>
        <w:bottom w:val="none" w:sz="0" w:space="0" w:color="auto"/>
        <w:right w:val="none" w:sz="0" w:space="0" w:color="auto"/>
      </w:divBdr>
    </w:div>
    <w:div w:id="705259342">
      <w:marLeft w:val="480"/>
      <w:marRight w:val="0"/>
      <w:marTop w:val="0"/>
      <w:marBottom w:val="0"/>
      <w:divBdr>
        <w:top w:val="none" w:sz="0" w:space="0" w:color="auto"/>
        <w:left w:val="none" w:sz="0" w:space="0" w:color="auto"/>
        <w:bottom w:val="none" w:sz="0" w:space="0" w:color="auto"/>
        <w:right w:val="none" w:sz="0" w:space="0" w:color="auto"/>
      </w:divBdr>
    </w:div>
    <w:div w:id="804617458">
      <w:marLeft w:val="480"/>
      <w:marRight w:val="0"/>
      <w:marTop w:val="0"/>
      <w:marBottom w:val="0"/>
      <w:divBdr>
        <w:top w:val="none" w:sz="0" w:space="0" w:color="auto"/>
        <w:left w:val="none" w:sz="0" w:space="0" w:color="auto"/>
        <w:bottom w:val="none" w:sz="0" w:space="0" w:color="auto"/>
        <w:right w:val="none" w:sz="0" w:space="0" w:color="auto"/>
      </w:divBdr>
    </w:div>
    <w:div w:id="819885372">
      <w:marLeft w:val="480"/>
      <w:marRight w:val="0"/>
      <w:marTop w:val="0"/>
      <w:marBottom w:val="0"/>
      <w:divBdr>
        <w:top w:val="none" w:sz="0" w:space="0" w:color="auto"/>
        <w:left w:val="none" w:sz="0" w:space="0" w:color="auto"/>
        <w:bottom w:val="none" w:sz="0" w:space="0" w:color="auto"/>
        <w:right w:val="none" w:sz="0" w:space="0" w:color="auto"/>
      </w:divBdr>
    </w:div>
    <w:div w:id="820267748">
      <w:marLeft w:val="480"/>
      <w:marRight w:val="0"/>
      <w:marTop w:val="0"/>
      <w:marBottom w:val="0"/>
      <w:divBdr>
        <w:top w:val="none" w:sz="0" w:space="0" w:color="auto"/>
        <w:left w:val="none" w:sz="0" w:space="0" w:color="auto"/>
        <w:bottom w:val="none" w:sz="0" w:space="0" w:color="auto"/>
        <w:right w:val="none" w:sz="0" w:space="0" w:color="auto"/>
      </w:divBdr>
    </w:div>
    <w:div w:id="859929749">
      <w:marLeft w:val="480"/>
      <w:marRight w:val="0"/>
      <w:marTop w:val="0"/>
      <w:marBottom w:val="0"/>
      <w:divBdr>
        <w:top w:val="none" w:sz="0" w:space="0" w:color="auto"/>
        <w:left w:val="none" w:sz="0" w:space="0" w:color="auto"/>
        <w:bottom w:val="none" w:sz="0" w:space="0" w:color="auto"/>
        <w:right w:val="none" w:sz="0" w:space="0" w:color="auto"/>
      </w:divBdr>
    </w:div>
    <w:div w:id="874779133">
      <w:marLeft w:val="480"/>
      <w:marRight w:val="0"/>
      <w:marTop w:val="0"/>
      <w:marBottom w:val="0"/>
      <w:divBdr>
        <w:top w:val="none" w:sz="0" w:space="0" w:color="auto"/>
        <w:left w:val="none" w:sz="0" w:space="0" w:color="auto"/>
        <w:bottom w:val="none" w:sz="0" w:space="0" w:color="auto"/>
        <w:right w:val="none" w:sz="0" w:space="0" w:color="auto"/>
      </w:divBdr>
    </w:div>
    <w:div w:id="912545879">
      <w:marLeft w:val="480"/>
      <w:marRight w:val="0"/>
      <w:marTop w:val="0"/>
      <w:marBottom w:val="0"/>
      <w:divBdr>
        <w:top w:val="none" w:sz="0" w:space="0" w:color="auto"/>
        <w:left w:val="none" w:sz="0" w:space="0" w:color="auto"/>
        <w:bottom w:val="none" w:sz="0" w:space="0" w:color="auto"/>
        <w:right w:val="none" w:sz="0" w:space="0" w:color="auto"/>
      </w:divBdr>
    </w:div>
    <w:div w:id="999700801">
      <w:marLeft w:val="480"/>
      <w:marRight w:val="0"/>
      <w:marTop w:val="0"/>
      <w:marBottom w:val="0"/>
      <w:divBdr>
        <w:top w:val="none" w:sz="0" w:space="0" w:color="auto"/>
        <w:left w:val="none" w:sz="0" w:space="0" w:color="auto"/>
        <w:bottom w:val="none" w:sz="0" w:space="0" w:color="auto"/>
        <w:right w:val="none" w:sz="0" w:space="0" w:color="auto"/>
      </w:divBdr>
    </w:div>
    <w:div w:id="1048263090">
      <w:marLeft w:val="480"/>
      <w:marRight w:val="0"/>
      <w:marTop w:val="0"/>
      <w:marBottom w:val="0"/>
      <w:divBdr>
        <w:top w:val="none" w:sz="0" w:space="0" w:color="auto"/>
        <w:left w:val="none" w:sz="0" w:space="0" w:color="auto"/>
        <w:bottom w:val="none" w:sz="0" w:space="0" w:color="auto"/>
        <w:right w:val="none" w:sz="0" w:space="0" w:color="auto"/>
      </w:divBdr>
    </w:div>
    <w:div w:id="1064139325">
      <w:marLeft w:val="480"/>
      <w:marRight w:val="0"/>
      <w:marTop w:val="0"/>
      <w:marBottom w:val="0"/>
      <w:divBdr>
        <w:top w:val="none" w:sz="0" w:space="0" w:color="auto"/>
        <w:left w:val="none" w:sz="0" w:space="0" w:color="auto"/>
        <w:bottom w:val="none" w:sz="0" w:space="0" w:color="auto"/>
        <w:right w:val="none" w:sz="0" w:space="0" w:color="auto"/>
      </w:divBdr>
    </w:div>
    <w:div w:id="1082332092">
      <w:marLeft w:val="480"/>
      <w:marRight w:val="0"/>
      <w:marTop w:val="0"/>
      <w:marBottom w:val="0"/>
      <w:divBdr>
        <w:top w:val="none" w:sz="0" w:space="0" w:color="auto"/>
        <w:left w:val="none" w:sz="0" w:space="0" w:color="auto"/>
        <w:bottom w:val="none" w:sz="0" w:space="0" w:color="auto"/>
        <w:right w:val="none" w:sz="0" w:space="0" w:color="auto"/>
      </w:divBdr>
    </w:div>
    <w:div w:id="1141069782">
      <w:marLeft w:val="480"/>
      <w:marRight w:val="0"/>
      <w:marTop w:val="0"/>
      <w:marBottom w:val="0"/>
      <w:divBdr>
        <w:top w:val="none" w:sz="0" w:space="0" w:color="auto"/>
        <w:left w:val="none" w:sz="0" w:space="0" w:color="auto"/>
        <w:bottom w:val="none" w:sz="0" w:space="0" w:color="auto"/>
        <w:right w:val="none" w:sz="0" w:space="0" w:color="auto"/>
      </w:divBdr>
    </w:div>
    <w:div w:id="1143085609">
      <w:marLeft w:val="480"/>
      <w:marRight w:val="0"/>
      <w:marTop w:val="0"/>
      <w:marBottom w:val="0"/>
      <w:divBdr>
        <w:top w:val="none" w:sz="0" w:space="0" w:color="auto"/>
        <w:left w:val="none" w:sz="0" w:space="0" w:color="auto"/>
        <w:bottom w:val="none" w:sz="0" w:space="0" w:color="auto"/>
        <w:right w:val="none" w:sz="0" w:space="0" w:color="auto"/>
      </w:divBdr>
    </w:div>
    <w:div w:id="1219785936">
      <w:marLeft w:val="480"/>
      <w:marRight w:val="0"/>
      <w:marTop w:val="0"/>
      <w:marBottom w:val="0"/>
      <w:divBdr>
        <w:top w:val="none" w:sz="0" w:space="0" w:color="auto"/>
        <w:left w:val="none" w:sz="0" w:space="0" w:color="auto"/>
        <w:bottom w:val="none" w:sz="0" w:space="0" w:color="auto"/>
        <w:right w:val="none" w:sz="0" w:space="0" w:color="auto"/>
      </w:divBdr>
    </w:div>
    <w:div w:id="1236086854">
      <w:marLeft w:val="480"/>
      <w:marRight w:val="0"/>
      <w:marTop w:val="0"/>
      <w:marBottom w:val="0"/>
      <w:divBdr>
        <w:top w:val="none" w:sz="0" w:space="0" w:color="auto"/>
        <w:left w:val="none" w:sz="0" w:space="0" w:color="auto"/>
        <w:bottom w:val="none" w:sz="0" w:space="0" w:color="auto"/>
        <w:right w:val="none" w:sz="0" w:space="0" w:color="auto"/>
      </w:divBdr>
    </w:div>
    <w:div w:id="1259021148">
      <w:marLeft w:val="480"/>
      <w:marRight w:val="0"/>
      <w:marTop w:val="0"/>
      <w:marBottom w:val="0"/>
      <w:divBdr>
        <w:top w:val="none" w:sz="0" w:space="0" w:color="auto"/>
        <w:left w:val="none" w:sz="0" w:space="0" w:color="auto"/>
        <w:bottom w:val="none" w:sz="0" w:space="0" w:color="auto"/>
        <w:right w:val="none" w:sz="0" w:space="0" w:color="auto"/>
      </w:divBdr>
    </w:div>
    <w:div w:id="1262952719">
      <w:marLeft w:val="480"/>
      <w:marRight w:val="0"/>
      <w:marTop w:val="0"/>
      <w:marBottom w:val="0"/>
      <w:divBdr>
        <w:top w:val="none" w:sz="0" w:space="0" w:color="auto"/>
        <w:left w:val="none" w:sz="0" w:space="0" w:color="auto"/>
        <w:bottom w:val="none" w:sz="0" w:space="0" w:color="auto"/>
        <w:right w:val="none" w:sz="0" w:space="0" w:color="auto"/>
      </w:divBdr>
    </w:div>
    <w:div w:id="1285768588">
      <w:marLeft w:val="480"/>
      <w:marRight w:val="0"/>
      <w:marTop w:val="0"/>
      <w:marBottom w:val="0"/>
      <w:divBdr>
        <w:top w:val="none" w:sz="0" w:space="0" w:color="auto"/>
        <w:left w:val="none" w:sz="0" w:space="0" w:color="auto"/>
        <w:bottom w:val="none" w:sz="0" w:space="0" w:color="auto"/>
        <w:right w:val="none" w:sz="0" w:space="0" w:color="auto"/>
      </w:divBdr>
    </w:div>
    <w:div w:id="1307011139">
      <w:marLeft w:val="480"/>
      <w:marRight w:val="0"/>
      <w:marTop w:val="0"/>
      <w:marBottom w:val="0"/>
      <w:divBdr>
        <w:top w:val="none" w:sz="0" w:space="0" w:color="auto"/>
        <w:left w:val="none" w:sz="0" w:space="0" w:color="auto"/>
        <w:bottom w:val="none" w:sz="0" w:space="0" w:color="auto"/>
        <w:right w:val="none" w:sz="0" w:space="0" w:color="auto"/>
      </w:divBdr>
    </w:div>
    <w:div w:id="1310328463">
      <w:marLeft w:val="480"/>
      <w:marRight w:val="0"/>
      <w:marTop w:val="0"/>
      <w:marBottom w:val="0"/>
      <w:divBdr>
        <w:top w:val="none" w:sz="0" w:space="0" w:color="auto"/>
        <w:left w:val="none" w:sz="0" w:space="0" w:color="auto"/>
        <w:bottom w:val="none" w:sz="0" w:space="0" w:color="auto"/>
        <w:right w:val="none" w:sz="0" w:space="0" w:color="auto"/>
      </w:divBdr>
    </w:div>
    <w:div w:id="1332947043">
      <w:marLeft w:val="480"/>
      <w:marRight w:val="0"/>
      <w:marTop w:val="0"/>
      <w:marBottom w:val="0"/>
      <w:divBdr>
        <w:top w:val="none" w:sz="0" w:space="0" w:color="auto"/>
        <w:left w:val="none" w:sz="0" w:space="0" w:color="auto"/>
        <w:bottom w:val="none" w:sz="0" w:space="0" w:color="auto"/>
        <w:right w:val="none" w:sz="0" w:space="0" w:color="auto"/>
      </w:divBdr>
    </w:div>
    <w:div w:id="1333994149">
      <w:marLeft w:val="480"/>
      <w:marRight w:val="0"/>
      <w:marTop w:val="0"/>
      <w:marBottom w:val="0"/>
      <w:divBdr>
        <w:top w:val="none" w:sz="0" w:space="0" w:color="auto"/>
        <w:left w:val="none" w:sz="0" w:space="0" w:color="auto"/>
        <w:bottom w:val="none" w:sz="0" w:space="0" w:color="auto"/>
        <w:right w:val="none" w:sz="0" w:space="0" w:color="auto"/>
      </w:divBdr>
    </w:div>
    <w:div w:id="1379356795">
      <w:marLeft w:val="480"/>
      <w:marRight w:val="0"/>
      <w:marTop w:val="0"/>
      <w:marBottom w:val="0"/>
      <w:divBdr>
        <w:top w:val="none" w:sz="0" w:space="0" w:color="auto"/>
        <w:left w:val="none" w:sz="0" w:space="0" w:color="auto"/>
        <w:bottom w:val="none" w:sz="0" w:space="0" w:color="auto"/>
        <w:right w:val="none" w:sz="0" w:space="0" w:color="auto"/>
      </w:divBdr>
    </w:div>
    <w:div w:id="1395347762">
      <w:marLeft w:val="480"/>
      <w:marRight w:val="0"/>
      <w:marTop w:val="0"/>
      <w:marBottom w:val="0"/>
      <w:divBdr>
        <w:top w:val="none" w:sz="0" w:space="0" w:color="auto"/>
        <w:left w:val="none" w:sz="0" w:space="0" w:color="auto"/>
        <w:bottom w:val="none" w:sz="0" w:space="0" w:color="auto"/>
        <w:right w:val="none" w:sz="0" w:space="0" w:color="auto"/>
      </w:divBdr>
    </w:div>
    <w:div w:id="1453741794">
      <w:marLeft w:val="480"/>
      <w:marRight w:val="0"/>
      <w:marTop w:val="0"/>
      <w:marBottom w:val="0"/>
      <w:divBdr>
        <w:top w:val="none" w:sz="0" w:space="0" w:color="auto"/>
        <w:left w:val="none" w:sz="0" w:space="0" w:color="auto"/>
        <w:bottom w:val="none" w:sz="0" w:space="0" w:color="auto"/>
        <w:right w:val="none" w:sz="0" w:space="0" w:color="auto"/>
      </w:divBdr>
    </w:div>
    <w:div w:id="1489635010">
      <w:marLeft w:val="480"/>
      <w:marRight w:val="0"/>
      <w:marTop w:val="0"/>
      <w:marBottom w:val="0"/>
      <w:divBdr>
        <w:top w:val="none" w:sz="0" w:space="0" w:color="auto"/>
        <w:left w:val="none" w:sz="0" w:space="0" w:color="auto"/>
        <w:bottom w:val="none" w:sz="0" w:space="0" w:color="auto"/>
        <w:right w:val="none" w:sz="0" w:space="0" w:color="auto"/>
      </w:divBdr>
    </w:div>
    <w:div w:id="1493133179">
      <w:marLeft w:val="480"/>
      <w:marRight w:val="0"/>
      <w:marTop w:val="0"/>
      <w:marBottom w:val="0"/>
      <w:divBdr>
        <w:top w:val="none" w:sz="0" w:space="0" w:color="auto"/>
        <w:left w:val="none" w:sz="0" w:space="0" w:color="auto"/>
        <w:bottom w:val="none" w:sz="0" w:space="0" w:color="auto"/>
        <w:right w:val="none" w:sz="0" w:space="0" w:color="auto"/>
      </w:divBdr>
    </w:div>
    <w:div w:id="1493912377">
      <w:marLeft w:val="480"/>
      <w:marRight w:val="0"/>
      <w:marTop w:val="0"/>
      <w:marBottom w:val="0"/>
      <w:divBdr>
        <w:top w:val="none" w:sz="0" w:space="0" w:color="auto"/>
        <w:left w:val="none" w:sz="0" w:space="0" w:color="auto"/>
        <w:bottom w:val="none" w:sz="0" w:space="0" w:color="auto"/>
        <w:right w:val="none" w:sz="0" w:space="0" w:color="auto"/>
      </w:divBdr>
    </w:div>
    <w:div w:id="1495804225">
      <w:marLeft w:val="480"/>
      <w:marRight w:val="0"/>
      <w:marTop w:val="0"/>
      <w:marBottom w:val="0"/>
      <w:divBdr>
        <w:top w:val="none" w:sz="0" w:space="0" w:color="auto"/>
        <w:left w:val="none" w:sz="0" w:space="0" w:color="auto"/>
        <w:bottom w:val="none" w:sz="0" w:space="0" w:color="auto"/>
        <w:right w:val="none" w:sz="0" w:space="0" w:color="auto"/>
      </w:divBdr>
    </w:div>
    <w:div w:id="1496605860">
      <w:marLeft w:val="480"/>
      <w:marRight w:val="0"/>
      <w:marTop w:val="0"/>
      <w:marBottom w:val="0"/>
      <w:divBdr>
        <w:top w:val="none" w:sz="0" w:space="0" w:color="auto"/>
        <w:left w:val="none" w:sz="0" w:space="0" w:color="auto"/>
        <w:bottom w:val="none" w:sz="0" w:space="0" w:color="auto"/>
        <w:right w:val="none" w:sz="0" w:space="0" w:color="auto"/>
      </w:divBdr>
    </w:div>
    <w:div w:id="1512990367">
      <w:marLeft w:val="480"/>
      <w:marRight w:val="0"/>
      <w:marTop w:val="0"/>
      <w:marBottom w:val="0"/>
      <w:divBdr>
        <w:top w:val="none" w:sz="0" w:space="0" w:color="auto"/>
        <w:left w:val="none" w:sz="0" w:space="0" w:color="auto"/>
        <w:bottom w:val="none" w:sz="0" w:space="0" w:color="auto"/>
        <w:right w:val="none" w:sz="0" w:space="0" w:color="auto"/>
      </w:divBdr>
    </w:div>
    <w:div w:id="1557273778">
      <w:marLeft w:val="480"/>
      <w:marRight w:val="0"/>
      <w:marTop w:val="0"/>
      <w:marBottom w:val="0"/>
      <w:divBdr>
        <w:top w:val="none" w:sz="0" w:space="0" w:color="auto"/>
        <w:left w:val="none" w:sz="0" w:space="0" w:color="auto"/>
        <w:bottom w:val="none" w:sz="0" w:space="0" w:color="auto"/>
        <w:right w:val="none" w:sz="0" w:space="0" w:color="auto"/>
      </w:divBdr>
    </w:div>
    <w:div w:id="1582910747">
      <w:marLeft w:val="480"/>
      <w:marRight w:val="0"/>
      <w:marTop w:val="0"/>
      <w:marBottom w:val="0"/>
      <w:divBdr>
        <w:top w:val="none" w:sz="0" w:space="0" w:color="auto"/>
        <w:left w:val="none" w:sz="0" w:space="0" w:color="auto"/>
        <w:bottom w:val="none" w:sz="0" w:space="0" w:color="auto"/>
        <w:right w:val="none" w:sz="0" w:space="0" w:color="auto"/>
      </w:divBdr>
    </w:div>
    <w:div w:id="1585844186">
      <w:marLeft w:val="480"/>
      <w:marRight w:val="0"/>
      <w:marTop w:val="0"/>
      <w:marBottom w:val="0"/>
      <w:divBdr>
        <w:top w:val="none" w:sz="0" w:space="0" w:color="auto"/>
        <w:left w:val="none" w:sz="0" w:space="0" w:color="auto"/>
        <w:bottom w:val="none" w:sz="0" w:space="0" w:color="auto"/>
        <w:right w:val="none" w:sz="0" w:space="0" w:color="auto"/>
      </w:divBdr>
    </w:div>
    <w:div w:id="1652102813">
      <w:marLeft w:val="480"/>
      <w:marRight w:val="0"/>
      <w:marTop w:val="0"/>
      <w:marBottom w:val="0"/>
      <w:divBdr>
        <w:top w:val="none" w:sz="0" w:space="0" w:color="auto"/>
        <w:left w:val="none" w:sz="0" w:space="0" w:color="auto"/>
        <w:bottom w:val="none" w:sz="0" w:space="0" w:color="auto"/>
        <w:right w:val="none" w:sz="0" w:space="0" w:color="auto"/>
      </w:divBdr>
    </w:div>
    <w:div w:id="1731221634">
      <w:marLeft w:val="480"/>
      <w:marRight w:val="0"/>
      <w:marTop w:val="0"/>
      <w:marBottom w:val="0"/>
      <w:divBdr>
        <w:top w:val="none" w:sz="0" w:space="0" w:color="auto"/>
        <w:left w:val="none" w:sz="0" w:space="0" w:color="auto"/>
        <w:bottom w:val="none" w:sz="0" w:space="0" w:color="auto"/>
        <w:right w:val="none" w:sz="0" w:space="0" w:color="auto"/>
      </w:divBdr>
    </w:div>
    <w:div w:id="1760632964">
      <w:marLeft w:val="480"/>
      <w:marRight w:val="0"/>
      <w:marTop w:val="0"/>
      <w:marBottom w:val="0"/>
      <w:divBdr>
        <w:top w:val="none" w:sz="0" w:space="0" w:color="auto"/>
        <w:left w:val="none" w:sz="0" w:space="0" w:color="auto"/>
        <w:bottom w:val="none" w:sz="0" w:space="0" w:color="auto"/>
        <w:right w:val="none" w:sz="0" w:space="0" w:color="auto"/>
      </w:divBdr>
    </w:div>
    <w:div w:id="1766536461">
      <w:marLeft w:val="480"/>
      <w:marRight w:val="0"/>
      <w:marTop w:val="0"/>
      <w:marBottom w:val="0"/>
      <w:divBdr>
        <w:top w:val="none" w:sz="0" w:space="0" w:color="auto"/>
        <w:left w:val="none" w:sz="0" w:space="0" w:color="auto"/>
        <w:bottom w:val="none" w:sz="0" w:space="0" w:color="auto"/>
        <w:right w:val="none" w:sz="0" w:space="0" w:color="auto"/>
      </w:divBdr>
    </w:div>
    <w:div w:id="1805462360">
      <w:marLeft w:val="480"/>
      <w:marRight w:val="0"/>
      <w:marTop w:val="0"/>
      <w:marBottom w:val="0"/>
      <w:divBdr>
        <w:top w:val="none" w:sz="0" w:space="0" w:color="auto"/>
        <w:left w:val="none" w:sz="0" w:space="0" w:color="auto"/>
        <w:bottom w:val="none" w:sz="0" w:space="0" w:color="auto"/>
        <w:right w:val="none" w:sz="0" w:space="0" w:color="auto"/>
      </w:divBdr>
    </w:div>
    <w:div w:id="1807550601">
      <w:marLeft w:val="480"/>
      <w:marRight w:val="0"/>
      <w:marTop w:val="0"/>
      <w:marBottom w:val="0"/>
      <w:divBdr>
        <w:top w:val="none" w:sz="0" w:space="0" w:color="auto"/>
        <w:left w:val="none" w:sz="0" w:space="0" w:color="auto"/>
        <w:bottom w:val="none" w:sz="0" w:space="0" w:color="auto"/>
        <w:right w:val="none" w:sz="0" w:space="0" w:color="auto"/>
      </w:divBdr>
    </w:div>
    <w:div w:id="1877426711">
      <w:marLeft w:val="480"/>
      <w:marRight w:val="0"/>
      <w:marTop w:val="0"/>
      <w:marBottom w:val="0"/>
      <w:divBdr>
        <w:top w:val="none" w:sz="0" w:space="0" w:color="auto"/>
        <w:left w:val="none" w:sz="0" w:space="0" w:color="auto"/>
        <w:bottom w:val="none" w:sz="0" w:space="0" w:color="auto"/>
        <w:right w:val="none" w:sz="0" w:space="0" w:color="auto"/>
      </w:divBdr>
    </w:div>
    <w:div w:id="1883131594">
      <w:marLeft w:val="480"/>
      <w:marRight w:val="0"/>
      <w:marTop w:val="0"/>
      <w:marBottom w:val="0"/>
      <w:divBdr>
        <w:top w:val="none" w:sz="0" w:space="0" w:color="auto"/>
        <w:left w:val="none" w:sz="0" w:space="0" w:color="auto"/>
        <w:bottom w:val="none" w:sz="0" w:space="0" w:color="auto"/>
        <w:right w:val="none" w:sz="0" w:space="0" w:color="auto"/>
      </w:divBdr>
    </w:div>
    <w:div w:id="1884825192">
      <w:marLeft w:val="480"/>
      <w:marRight w:val="0"/>
      <w:marTop w:val="0"/>
      <w:marBottom w:val="0"/>
      <w:divBdr>
        <w:top w:val="none" w:sz="0" w:space="0" w:color="auto"/>
        <w:left w:val="none" w:sz="0" w:space="0" w:color="auto"/>
        <w:bottom w:val="none" w:sz="0" w:space="0" w:color="auto"/>
        <w:right w:val="none" w:sz="0" w:space="0" w:color="auto"/>
      </w:divBdr>
    </w:div>
    <w:div w:id="1896772266">
      <w:marLeft w:val="480"/>
      <w:marRight w:val="0"/>
      <w:marTop w:val="0"/>
      <w:marBottom w:val="0"/>
      <w:divBdr>
        <w:top w:val="none" w:sz="0" w:space="0" w:color="auto"/>
        <w:left w:val="none" w:sz="0" w:space="0" w:color="auto"/>
        <w:bottom w:val="none" w:sz="0" w:space="0" w:color="auto"/>
        <w:right w:val="none" w:sz="0" w:space="0" w:color="auto"/>
      </w:divBdr>
    </w:div>
    <w:div w:id="1969431099">
      <w:marLeft w:val="480"/>
      <w:marRight w:val="0"/>
      <w:marTop w:val="0"/>
      <w:marBottom w:val="0"/>
      <w:divBdr>
        <w:top w:val="none" w:sz="0" w:space="0" w:color="auto"/>
        <w:left w:val="none" w:sz="0" w:space="0" w:color="auto"/>
        <w:bottom w:val="none" w:sz="0" w:space="0" w:color="auto"/>
        <w:right w:val="none" w:sz="0" w:space="0" w:color="auto"/>
      </w:divBdr>
    </w:div>
    <w:div w:id="2009752821">
      <w:marLeft w:val="480"/>
      <w:marRight w:val="0"/>
      <w:marTop w:val="0"/>
      <w:marBottom w:val="0"/>
      <w:divBdr>
        <w:top w:val="none" w:sz="0" w:space="0" w:color="auto"/>
        <w:left w:val="none" w:sz="0" w:space="0" w:color="auto"/>
        <w:bottom w:val="none" w:sz="0" w:space="0" w:color="auto"/>
        <w:right w:val="none" w:sz="0" w:space="0" w:color="auto"/>
      </w:divBdr>
    </w:div>
    <w:div w:id="2101178295">
      <w:marLeft w:val="480"/>
      <w:marRight w:val="0"/>
      <w:marTop w:val="0"/>
      <w:marBottom w:val="0"/>
      <w:divBdr>
        <w:top w:val="none" w:sz="0" w:space="0" w:color="auto"/>
        <w:left w:val="none" w:sz="0" w:space="0" w:color="auto"/>
        <w:bottom w:val="none" w:sz="0" w:space="0" w:color="auto"/>
        <w:right w:val="none" w:sz="0" w:space="0" w:color="auto"/>
      </w:divBdr>
    </w:div>
    <w:div w:id="2122725306">
      <w:marLeft w:val="480"/>
      <w:marRight w:val="0"/>
      <w:marTop w:val="0"/>
      <w:marBottom w:val="0"/>
      <w:divBdr>
        <w:top w:val="none" w:sz="0" w:space="0" w:color="auto"/>
        <w:left w:val="none" w:sz="0" w:space="0" w:color="auto"/>
        <w:bottom w:val="none" w:sz="0" w:space="0" w:color="auto"/>
        <w:right w:val="none" w:sz="0" w:space="0" w:color="auto"/>
      </w:divBdr>
    </w:div>
    <w:div w:id="2141337415">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214F155-32B1-4396-8CB7-897FF8F0E434}"/>
      </w:docPartPr>
      <w:docPartBody>
        <w:p w:rsidR="0021508E" w:rsidRDefault="00916B88">
          <w:r w:rsidRPr="0094323B">
            <w:rPr>
              <w:rStyle w:val="PlaceholderText"/>
            </w:rPr>
            <w:t>Click or tap here to enter text.</w:t>
          </w:r>
        </w:p>
      </w:docPartBody>
    </w:docPart>
    <w:docPart>
      <w:docPartPr>
        <w:name w:val="DD55F928C260467B836BB42853BF66FB"/>
        <w:category>
          <w:name w:val="General"/>
          <w:gallery w:val="placeholder"/>
        </w:category>
        <w:types>
          <w:type w:val="bbPlcHdr"/>
        </w:types>
        <w:behaviors>
          <w:behavior w:val="content"/>
        </w:behaviors>
        <w:guid w:val="{B9C0A3EA-89CC-431E-AA36-2FD4ED21A581}"/>
      </w:docPartPr>
      <w:docPartBody>
        <w:p w:rsidR="0021508E" w:rsidRDefault="00916B88" w:rsidP="00916B88">
          <w:pPr>
            <w:pStyle w:val="DD55F928C260467B836BB42853BF66FB"/>
          </w:pPr>
          <w:r w:rsidRPr="0094323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B88"/>
    <w:rsid w:val="00130D61"/>
    <w:rsid w:val="0021508E"/>
    <w:rsid w:val="00683E70"/>
    <w:rsid w:val="008765CB"/>
    <w:rsid w:val="00916B88"/>
    <w:rsid w:val="00CB4988"/>
    <w:rsid w:val="00CC3C8E"/>
    <w:rsid w:val="00EC6C84"/>
    <w:rsid w:val="00F1693C"/>
    <w:rsid w:val="00FB7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6B88"/>
    <w:rPr>
      <w:color w:val="666666"/>
    </w:rPr>
  </w:style>
  <w:style w:type="paragraph" w:customStyle="1" w:styleId="DD55F928C260467B836BB42853BF66FB">
    <w:name w:val="DD55F928C260467B836BB42853BF66FB"/>
    <w:rsid w:val="00916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F1DF1A-A9A6-44A7-A597-B391EDE83604}">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78031676103"/>
    <we:property name="MENDELEY_CITATIONS" value="[{&quot;citationID&quot;:&quot;MENDELEY_CITATION_50ff9cb7-dcea-4e4b-ad7b-55855828782a&quot;,&quot;properties&quot;:{&quot;noteIndex&quot;:0},&quot;isEdited&quot;:false,&quot;manualOverride&quot;:{&quot;isManuallyOverridden&quot;:false,&quot;citeprocText&quot;:&quot;(Cloudia Ho, 2020)&quot;,&quot;manualOverrideText&quot;:&quot;&quot;},&quot;citationTag&quot;:&quot;MENDELEY_CITATION_v3_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&quot;,&quot;citationItems&quot;:[{&quot;id&quot;:&quot;327d174b-e0a0-34f9-9bf5-e662d658c38f&quot;,&quot;itemData&quot;:{&quot;type&quot;:&quot;article-journal&quot;,&quot;id&quot;:&quot;327d174b-e0a0-34f9-9bf5-e662d658c38f&quot;,&quot;title&quot;:&quot;Communicative language teaching and English as a foreign language undergraduates’ communicative competence in Tourism English&quot;,&quot;author&quot;:[{&quot;family&quot;:&quot;Cloudia Ho&quot;,&quot;given&quot;:&quot;Ya Yu&quot;,&quot;parse-names&quot;:false,&quot;dropping-particle&quot;:&quot;&quot;,&quot;non-dropping-particle&quot;:&quot;&quot;}],&quot;container-title&quot;:&quot;Journal of Hospitality, Leisure, Sport and Tourism Education&quot;,&quot;container-title-short&quot;:&quot;J. Hosp. Leis. Sport Tour. Educ.&quot;,&quot;DOI&quot;:&quot;10.1016/j.jhlste.2020.100271&quot;,&quot;ISSN&quot;:&quot;14738376&quot;,&quot;issued&quot;:{&quot;date-parts&quot;:[[2020,11,1]]},&quot;abstract&quot;:&quot;Due to the increasing demand of English-speaking professionals in the tourism and hospitality industry, the objective of this study was to investigate the influence of implementing Communicative Language Teaching (CLT) on cultivating undergraduates' communicative competence in Tourism English in an English as a Foreign Language (EFL) classroom. This study adopted mixed methods research design. 70 Taiwanese undergraduates were recruited to participate in the pretests (paper-based and oral-based), pre-questionnaires, posttests (paper-based and oral-based), post-questionnaires, and focus group interviews. Quantitative data was analyzed via descriptive analysis and paired-samples t-test. Qualitative data was examined by thematic analysis. Findings indicated that students' progress towards better communicative competence in paper-based tests and oral-based tests were both significant. Their perceptions of communicative competence also echoed the results. The findings of the study implied that Communicative Language Teaching (CLT) facilitates students’ English learning, raises their confidence, and enhances their communicative competence in Tourism English. This study ultimately provides practical suggestions for pedagogy.&quot;,&quot;publisher&quot;:&quot;Elsevier B.V.&quot;,&quot;volume&quot;:&quot;27&quot;},&quot;isTemporary&quot;:false}]},{&quot;citationID&quot;:&quot;MENDELEY_CITATION_00384cf7-780a-40e1-ad8e-eb164c79f2c9&quot;,&quot;properties&quot;:{&quot;noteIndex&quot;:0},&quot;isEdited&quot;:false,&quot;manualOverride&quot;:{&quot;isManuallyOverridden&quot;:false,&quot;citeprocText&quot;:&quot;(Al-Tarawneh &amp;#38; Osam, 2019; Ghany &amp;#38; Latif, 2012)&quot;,&quot;manualOverrideText&quot;:&quot;&quot;},&quot;citationTag&quot;:&quot;MENDELEY_CITATION_v3_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&quot;,&quot;citationItems&quot;:[{&quot;id&quot;:&quot;f5f00fe9-f9bd-3642-a4c6-d40f7f6fbaed&quot;,&quot;itemData&quot;:{&quot;type&quot;:&quot;article-journal&quot;,&quot;id&quot;:&quot;f5f00fe9-f9bd-3642-a4c6-d40f7f6fbaed&quot;,&quot;title&quot;:&quot;Tourism English training at the tertiary level in Jordan: Reality and expectations from a university context&quot;,&quot;author&quot;:[{&quot;family&quot;:&quot;Al-Tarawneh&quot;,&quot;given&quot;:&quot;Mohammad Qasim&quot;,&quot;parse-names&quot;:false,&quot;dropping-particle&quot;:&quot;&quot;,&quot;non-dropping-particle&quot;:&quot;&quot;},{&quot;family&quot;:&quot;Osam&quot;,&quot;given&quot;:&quot;Ulker Vanci&quot;,&quot;parse-names&quot;:false,&quot;dropping-particle&quot;:&quot;&quot;,&quot;non-dropping-particle&quot;:&quot;&quot;}],&quot;container-title&quot;:&quot;Journal of Hospitality, Leisure, Sport and Tourism Education&quot;,&quot;container-title-short&quot;:&quot;J. Hosp. Leis. Sport Tour. Educ.&quot;,&quot;DOI&quot;:&quot;10.1016/j.jhlste.2019.02.005&quot;,&quot;ISSN&quot;:&quot;14738376&quot;,&quot;issued&quot;:{&quot;date-parts&quot;:[[2019,6,1]]},&quot;page&quot;:&quot;155-167&quot;,&quot;abstract&quot;:&quot;This qualitative study aims at assessing the possible mismatch of Tourism English skills between the training offered at a university and the skills (tasks) required in the tourism sector in Jordan. To do this, the study uses a combination of two evaluation models to first evaluate the effectiveness of Tourism English (TE) training offered at the university, and then investigate needs and perceptions which might help improve the existing program and plan for a TE course syllabus, accordingly. Interviews were used among 42 stakeholders, representing current Tourism students, graduates, instructors, and local Tourism employers. The results revealed significant gaps between needs and expectations and the training provided. The participants’ suggestions as regards the graduates’ TE needs and field employability were analyzed, attempting to describe what a TE course syllabus should look like in terms of goals, content and sequencing, format and presentation, and monitoring and assessment.&quot;,&quot;publisher&quot;:&quot;Elsevier B.V.&quot;,&quot;volume&quot;:&quot;24&quot;},&quot;isTemporary&quot;:false},{&quot;id&quot;:&quot;0c85da0c-58eb-345f-b5d1-0c183742ef1e&quot;,&quot;itemData&quot;:{&quot;type&quot;:&quot;article-journal&quot;,&quot;id&quot;:&quot;0c85da0c-58eb-345f-b5d1-0c183742ef1e&quot;,&quot;title&quot;:&quot;English language preparation of tourism and hospitality undergraduates in Egypt: Does it meet their future workplace requirements?&quot;,&quot;author&quot;:[{&quot;family&quot;:&quot;Ghany&quot;,&quot;given&quot;:&quot;Sayed Younis Abdel&quot;,&quot;parse-names&quot;:false,&quot;dropping-particle&quot;:&quot;&quot;,&quot;non-dropping-particle&quot;:&quot;&quot;},{&quot;family&quot;:&quot;Latif&quot;,&quot;given&quot;:&quot;Muhammad M.Abdel&quot;,&quot;parse-names&quot;:false,&quot;dropping-particle&quot;:&quot;&quot;,&quot;non-dropping-particle&quot;:&quot;&quot;}],&quot;container-title&quot;:&quot;Journal of Hospitality, Leisure, Sport and Tourism Education&quot;,&quot;container-title-short&quot;:&quot;J. Hosp. Leis. Sport Tour. Educ.&quot;,&quot;DOI&quot;:&quot;10.1016/j.jhlste.2012.05.001&quot;,&quot;ISSN&quot;:&quot;14738376&quot;,&quot;issued&quot;:{&quot;date-parts&quot;:[[2012]]},&quot;page&quot;:&quot;93-100&quot;,&quot;abstract&quot;:&quot;For Egyptian tourism and hospitality university students, mastering English is a prerequisite for getting a job related to their major after graduation. The study reported in this paper examined the English language preparation of tourism and hospitality undergraduates in Egypt and its adequacy as perceived by teachers and students. The interview data showed that the students' views on their English language preparation and on their perceived English language needs differed from those of their teachers. Highlighting some shortcomings of the English language instruction provided to these students, the study suggests reshaping it in a way that could optimally help them be well-prepared for meeting their future workplace requirements. © 2012 Elsevier Ltd. All rights reserved.&quot;,&quot;publisher&quot;:&quot;Elsevier B.V.&quot;,&quot;issue&quot;:&quot;2&quot;,&quot;volume&quot;:&quot;11&quot;},&quot;isTemporary&quot;:false}]},{&quot;citationID&quot;:&quot;MENDELEY_CITATION_8ac2e7d6-d398-4dd7-b839-41347fb6cc78&quot;,&quot;properties&quot;:{&quot;noteIndex&quot;:0},&quot;isEdited&quot;:false,&quot;manualOverride&quot;:{&quot;isManuallyOverridden&quot;:false,&quot;citeprocText&quot;:&quot;(Elfiondri et al., 2021; He et al., 2025)&quot;,&quot;manualOverrideText&quot;:&quot;&quot;},&quot;citationTag&quot;:&quot;MENDELEY_CITATION_v3_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&quot;,&quot;citationItems&quot;:[{&quot;id&quot;:&quot;a598d1e2-bc5a-362c-a157-3edb3c2551c6&quot;,&quot;itemData&quot;:{&quot;type&quot;:&quot;article-journal&quot;,&quot;id&quot;:&quot;a598d1e2-bc5a-362c-a157-3edb3c2551c6&quot;,&quot;title&quot;:&quot;Tourism growth, education decline: Evidence from China's 5A attraction expansion&quot;,&quot;author&quot;:[{&quot;family&quot;:&quot;He&quot;,&quot;given&quot;:&quot;Zeyi&quot;,&quot;parse-names&quot;:false,&quot;dropping-particle&quot;:&quot;&quot;,&quot;non-dropping-particle&quot;:&quot;&quot;},{&quot;family&quot;:&quot;Hu&quot;,&quot;given&quot;:&quot;Zhi An&quot;,&quot;parse-names&quot;:false,&quot;dropping-particle&quot;:&quot;&quot;,&quot;non-dropping-particle&quot;:&quot;&quot;},{&quot;family&quot;:&quot;Huang&quot;,&quot;given&quot;:&quot;Wei&quot;,&quot;parse-names&quot;:false,&quot;dropping-particle&quot;:&quot;&quot;,&quot;non-dropping-particle&quot;:&quot;&quot;},{&quot;family&quot;:&quot;Kang&quot;,&quot;given&quot;:&quot;Yankun&quot;,&quot;parse-names&quot;:false,&quot;dropping-particle&quot;:&quot;&quot;,&quot;non-dropping-particle&quot;:&quot;&quot;}],&quot;container-title&quot;:&quot;Journal of Urban Economics&quot;,&quot;container-title-short&quot;:&quot;J. Urban Econ.&quot;,&quot;DOI&quot;:&quot;10.1016/j.jue.2025.103811&quot;,&quot;ISSN&quot;:&quot;00941190&quot;,&quot;issued&quot;:{&quot;date-parts&quot;:[[2025,11,1]]},&quot;abstract&quot;:&quot;This paper examines how tourism expansion, driven by the establishment of China's top-tier tourist attractions, affects human capital accumulation. We find that exposure to tourism growth before age 17 significantly reduces high school enrollment, particularly among disadvantaged individuals and in less-developed regions. Mechanism analysis indicates that individuals make schooling decisions by weighing the opportunity cost of continued education against its expected long-term returns. Moreover, following tourism expansion, we observe declines in parental educational expectations and investments, alongside poorer academic performance among children. These findings highlight the complex trade-offs between tourism-led economic growth and educational development.&quot;,&quot;publisher&quot;:&quot;Academic Press Inc.&quot;,&quot;volume&quot;:&quot;150&quot;},&quot;isTemporary&quot;:false},{&quot;id&quot;:&quot;7d9ae629-7b76-32bf-a9fb-5dfeba34a046&quot;,&quot;itemData&quot;:{&quot;type&quot;:&quot;article-journal&quot;,&quot;id&quot;:&quot;7d9ae629-7b76-32bf-a9fb-5dfeba34a046&quot;,&quot;title&quot;:&quot;Tradition, cultural contact and English for tourism: the case of Mentawai, Indonesia&quot;,&quot;author&quot;:[{&quot;family&quot;:&quot;Elfiondri&quot;,&quot;given&quot;:&quot;&quot;,&quot;parse-names&quot;:false,&quot;dropping-particle&quot;:&quot;&quot;,&quot;non-dropping-particle&quot;:&quot;&quot;},{&quot;family&quot;:&quot;Zaitul&quot;,&quot;given&quot;:&quot;&quot;,&quot;parse-names&quot;:false,&quot;dropping-particle&quot;:&quot;&quot;,&quot;non-dropping-particle&quot;:&quot;&quot;},{&quot;family&quot;:&quot;Rina&quot;,&quot;given&quot;:&quot;Nova&quot;,&quot;parse-names&quot;:false,&quot;dropping-particle&quot;:&quot;&quot;,&quot;non-dropping-particle&quot;:&quot;&quot;}],&quot;container-title&quot;:&quot;Heliyon&quot;,&quot;container-title-short&quot;:&quot;Heliyon&quot;,&quot;DOI&quot;:&quot;10.1016/j.heliyon.2021.e07322&quot;,&quot;ISSN&quot;:&quot;24058440&quot;,&quot;PMID&quot;:&quot;34222690&quot;,&quot;issued&quot;:{&quot;date-parts&quot;:[[2021,6,1]]},&quot;abstract&quot;:&quot;Foreign tourists' cultural contact with tradition and the use of English (tourism English) mediates visitor engagement and revisit intention. Developing cultural tourism in Mentawai requires a study on the relationship among traditions, tourism English, cultural contacts, and visitor engagement. Literature reviews show that there has not been a study examining this in Mentawai. The aim of this research was to examine Mentawai tradition and locally-based tourism English with which foreign tourists have cultural contact and the effect of cultural contact as a mediator for visitor engagement and revisit intention. Convenient sampling was used as the sampling method. Data was gained through survey which was measured using Likert scales of seven points and analysis using SEM-PLS and Smart-PLS. The study found that tourists have cultural contact with various Mentawai traditions derived from tangible and intangible culture. Tourism English involves culturally specific words, phrases and expressions which support cultural contact. The expressions with specific uses have functions in serving foreign tourists such as for greeting, offering, etc. Cultural contact has an effect on revisit intention positively. It mediates visitor engagement and revisit intention. In conclusion, cultural contact through which tourists have a contact with traditions demonstrated in tourism activities using locally-based tourism English plays a role as mediator between visitor engagement and revisit intention, meaning that Mentawai tradition and tourism English positively drives tourists’ intention to revisit Mentawai tourism destinations. The traditions and use of English are important elements to be developed for Mentawai cultural tourism.&quot;,&quot;publisher&quot;:&quot;Elsevier Ltd&quot;,&quot;issue&quot;:&quot;6&quot;,&quot;volume&quot;:&quot;7&quot;},&quot;isTemporary&quot;:false}]},{&quot;citationID&quot;:&quot;MENDELEY_CITATION_776a0494-2b18-4e7a-bbc4-b836b1da45cd&quot;,&quot;properties&quot;:{&quot;noteIndex&quot;:0},&quot;isEdited&quot;:false,&quot;manualOverride&quot;:{&quot;isManuallyOverridden&quot;:false,&quot;citeprocText&quot;:&quot;(Pantaruk et al., 2026)&quot;,&quot;manualOverrideText&quot;:&quot;&quot;},&quot;citationTag&quot;:&quot;MENDELEY_CITATION_v3_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&quot;,&quot;citationItems&quot;:[{&quot;id&quot;:&quot;085de602-c62a-38c8-908e-d8c47b9c17fa&quot;,&quot;itemData&quot;:{&quot;type&quot;:&quot;article-journal&quot;,&quot;id&quot;:&quot;085de602-c62a-38c8-908e-d8c47b9c17fa&quot;,&quot;title&quot;:&quot;Transforming historical literacy into sustainable cultural tourism behavior: The mediating role of social and critical thinking in tourism education&quot;,&quot;author&quot;:[{&quot;family&quot;:&quot;Pantaruk&quot;,&quot;given&quot;:&quot;Sirinan&quot;,&quot;parse-names&quot;:false,&quot;dropping-particle&quot;:&quot;&quot;,&quot;non-dropping-particle&quot;:&quot;&quot;},{&quot;family&quot;:&quot;Khuadthong&quot;,&quot;given&quot;:&quot;Bussalin&quot;,&quot;parse-names&quot;:false,&quot;dropping-particle&quot;:&quot;&quot;,&quot;non-dropping-particle&quot;:&quot;&quot;},{&quot;family&quot;:&quot;Sangthong&quot;,&quot;given&quot;:&quot;Monthira&quot;,&quot;parse-names&quot;:false,&quot;dropping-particle&quot;:&quot;&quot;,&quot;non-dropping-particle&quot;:&quot;&quot;},{&quot;family&quot;:&quot;Srirat&quot;,&quot;given&quot;:&quot;Poonyawee&quot;,&quot;parse-names&quot;:false,&quot;dropping-particle&quot;:&quot;&quot;,&quot;non-dropping-particle&quot;:&quot;&quot;},{&quot;family&quot;:&quot;Imjai&quot;,&quot;given&quot;:&quot;Narinthon&quot;,&quot;parse-names&quot;:false,&quot;dropping-particle&quot;:&quot;&quot;,&quot;non-dropping-particle&quot;:&quot;&quot;},{&quot;family&quot;:&quot;Suhud&quot;,&quot;given&quot;:&quot;Usep&quot;,&quot;parse-names&quot;:false,&quot;dropping-particle&quot;:&quot;&quot;,&quot;non-dropping-particle&quot;:&quot;&quot;},{&quot;family&quot;:&quot;Boonkaew&quot;,&quot;given&quot;:&quot;Sunthorn&quot;,&quot;parse-names&quot;:false,&quot;dropping-particle&quot;:&quot;&quot;,&quot;non-dropping-particle&quot;:&quot;&quot;},{&quot;family&quot;:&quot;Aujirapongpan&quot;,&quot;given&quot;:&quot;Somnuk&quot;,&quot;parse-names&quot;:false,&quot;dropping-particle&quot;:&quot;&quot;,&quot;non-dropping-particle&quot;:&quot;&quot;}],&quot;container-title&quot;:&quot;Sustainable Futures&quot;,&quot;DOI&quot;:&quot;10.1016/j.sftr.2026.101794&quot;,&quot;ISSN&quot;:&quot;26661888&quot;,&quot;issued&quot;:{&quot;date-parts&quot;:[[2026,6,1]]},&quot;abstract&quot;:&quot;This study aims to elucidate the mechanisms linking Historical Literacy (HIL), Social Thinking Skill (STS), and Critical Thinking Skill (CRT) to Sustainable Cultural Tourism Behavior (SCB) among Thai Generation Z students in tourism and hospitality programs. The research adopts the Theory of Planned Behavior (TPB) as an explanatory framework, together with cognitive development concepts to systemically explain the transition “from knowing to acting” in sustainable cultural tourism contexts. A cross-sectional quantitative survey was administered to a sample of 400 undergraduate students, and the data were analyzed using Partial Least Squares Structural Equation Modeling (PLS-SEM). All measurement instruments were developed based on an extensive literature review and underwent validity and reliability assessments prior to field data collection. The analytical results reveal that HIL significantly enhances both STS and CRT, highlighting the critical role of historical learning in fostering higher-order cognitive processes. However, HIL alone is insufficient to directly predict sustainable tourism behavior. Although STS demonstrates a positive tendency toward SCB, it does not consistently translate into sustained behavioral engagement at a statistically significant level. The most robust causal pathway identified is HIL → CRT → SCB, affirming the central mediating role of CRT. CRT functions as a meta-cognitive regulatory mechanism that transforms historical knowledge into ethical decision-making and strengthens self-regulation aligned with local contexts, community well-being, and cultural values. These findings emphasize that promoting sustainable behavior requires strategic investment in advanced cognitive skill development rather than relying solely on knowledge acquisition or social understanding. Overall, the proposed structural model demonstrates a satisfactory model fit and provides strong empirical support for explaining sustainable cultural tourism behavior within a TPB-informed framework. Rather than formally advancing TPB, the findings empirically clarify how cognitive and reflective processes help explain the gap between sustainability awareness and actual behavior among digital-native youth. Practically, the study recommends that higher education institutions and tourism industry stakeholders develop “integrated learning curricula” that combine historical learning, cultural case studies, community-based projects, and ethical reflection. Such an approach is expected to accelerate the transformation process of “knowledge → critical reflection → responsible decision-making → real-world action,” nurturing a new generation of tourists who possess both advanced cognitive competencies and strong social consciousness. This strategic direction will contribute to Thailand’s transition toward a culture-based and sustainable tourism future.&quot;,&quot;publisher&quot;:&quot;Elsevier Ltd&quot;,&quot;container-title-short&quot;:&quot;&quot;},&quot;isTemporary&quot;:false}]},{&quot;citationID&quot;:&quot;MENDELEY_CITATION_f5391a4c-37df-4139-9c53-77ffe031346f&quot;,&quot;properties&quot;:{&quot;noteIndex&quot;:0},&quot;isEdited&quot;:false,&quot;manualOverride&quot;:{&quot;isManuallyOverridden&quot;:false,&quot;citeprocText&quot;:&quot;(Şimşek &amp;#38; Kalıpçı, 2023)&quot;,&quot;manualOverrideText&quot;:&quot;&quot;},&quot;citationTag&quot;:&quot;MENDELEY_CITATION_v3_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&quot;,&quot;citationItems&quot;:[{&quot;id&quot;:&quot;f330df53-8a84-3777-81bb-1fabd6fe1e48&quot;,&quot;itemData&quot;:{&quot;type&quot;:&quot;article-journal&quot;,&quot;id&quot;:&quot;f330df53-8a84-3777-81bb-1fabd6fe1e48&quot;,&quot;title&quot;:&quot;A bibliometric study on higher tourism education and curriculum&quot;,&quot;author&quot;:[{&quot;family&quot;:&quot;Şimşek&quot;,&quot;given&quot;:&quot;Erkan Kadir&quot;,&quot;parse-names&quot;:false,&quot;dropping-particle&quot;:&quot;&quot;,&quot;non-dropping-particle&quot;:&quot;&quot;},{&quot;family&quot;:&quot;Kalıpçı&quot;,&quot;given&quot;:&quot;M. Bahadır&quot;,&quot;parse-names&quot;:false,&quot;dropping-particle&quot;:&quot;&quot;,&quot;non-dropping-particle&quot;:&quot;&quot;}],&quot;container-title&quot;:&quot;Journal of Hospitality, Leisure, Sport and Tourism Education&quot;,&quot;container-title-short&quot;:&quot;J. Hosp. Leis. Sport Tour. Educ.&quot;,&quot;DOI&quot;:&quot;10.1016/j.jhlste.2023.100442&quot;,&quot;ISSN&quot;:&quot;14738376&quot;,&quot;issued&quot;:{&quot;date-parts&quot;:[[2023,11,1]]},&quot;abstract&quot;:&quot;The purpose of this research is to understand the trends of scientific publications in the “Higher Tourism Education” and “curriculum” in the world and to show how authors, institutions, and countries interact with each other in those studies in the field of tourism. This study is a bibliometric study, which is a type of quantitative research. A time limit was set in order to examine the current data and the results between the years 2010 and 2021. The first of three main findings is the most influential authors in the formation of the intellectual foundation of the field, secondly, identifying the publications of the relevant authors, and finally shedding light on the research area and possible future developments with analyzes of the macrostructure in these fields with regard to the citations made. When the obtained results are examined, it has been concluded that the use of this method, which is very new for both educational sciences and other disciplines, will contribute to the promotion of knowledge and epistemology that develops in a cumulative manner. Additionally, it has been determined that by steering researchers to the less explored areas, it would result in the creation of more papers on connected issues.&quot;,&quot;publisher&quot;:&quot;Elsevier B.V.&quot;,&quot;volume&quot;:&quot;33&quot;},&quot;isTemporary&quot;:false}]},{&quot;citationID&quot;:&quot;MENDELEY_CITATION_006eee18-165f-4e14-a013-d6e19737bec5&quot;,&quot;properties&quot;:{&quot;noteIndex&quot;:0},&quot;isEdited&quot;:false,&quot;manualOverride&quot;:{&quot;isManuallyOverridden&quot;:false,&quot;citeprocText&quot;:&quot;(Wyatt &amp;#38; Dikilitaş, 2019)&quot;,&quot;manualOverrideText&quot;:&quot;&quot;},&quot;citationItems&quot;:[{&quot;id&quot;:&quot;fd0bb07c-95f5-3483-88c0-d4bd19736cc5&quot;,&quot;itemData&quot;:{&quot;type&quot;:&quot;article-journal&quot;,&quot;id&quot;:&quot;fd0bb07c-95f5-3483-88c0-d4bd19736cc5&quot;,&quot;title&quot;:&quot;English language teachers’ self-efficacy beliefs for grammar instruction: implications for teacher educators&quot;,&quot;author&quot;:[{&quot;family&quot;:&quot;Wyatt&quot;,&quot;given&quot;:&quot;Mark&quot;,&quot;parse-names&quot;:false,&quot;dropping-particle&quot;:&quot;&quot;,&quot;non-dropping-particle&quot;:&quot;&quot;},{&quot;family&quot;:&quot;Dikilitaş&quot;,&quot;given&quot;:&quot;Kenan&quot;,&quot;parse-names&quot;:false,&quot;dropping-particle&quot;:&quot;&quot;,&quot;non-dropping-particle&quot;:&quot;&quot;}],&quot;container-title&quot;:&quot;The Language Learning Journal&quot;,&quot;DOI&quot;:&quot;10.1080/09571736.2019.1642943&quot;,&quot;ISSN&quot;:&quot;0957-1736&quot;,&quot;issued&quot;:{&quot;date-parts&quot;:[[2019]]},&quot;abstract&quot;:&quot;It is increasingly recognised that language teachers’ self-efficacy (LTSE) beliefs, i.e. their beliefs in their abilities to fulfil specific language teaching-related tasks that support learning, play a crucial role in filtering the way that their knowledge is transformed into action. Nevertheless, despite their importance, these beliefs remain under-researched in specific domains of language teachers’ work, including grammar instruction. Set in a Turkish university foundation programme context, this study addressed the gap, drawing on research instruments that elicited LTSE beliefs for grammar instruction, together with self-reported classroom practices and self-perceived language proficiency, while grammatical awareness was assessed. Factor analysis led to the identification of three different types of grammar teachers. Calibrating individuals onto the three factors and making use of qualitative data helped the researchers to identify positive relationships between higher LTSE beliefs, greater levels of grammatical awareness and self-reported, discovery learning, grammar instruction practices in some teachers. Implications for in-service language teacher education are discussed.&quot;,&quot;container-title-short&quot;:&quot;&quot;},&quot;isTemporary&quot;:false}],&quot;citationTag&quot;:&quot;MENDELEY_CITATION_v3_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&quot;},{&quot;citationID&quot;:&quot;MENDELEY_CITATION_4157710e-72a2-4643-8bae-fb73ba7f1d2e&quot;,&quot;properties&quot;:{&quot;noteIndex&quot;:0},&quot;isEdited&quot;:false,&quot;manualOverride&quot;:{&quot;isManuallyOverridden&quot;:false,&quot;citeprocText&quot;:&quot;(Liu et al., 2024; Şimşek &amp;#38; Kalıpçı, 2023)&quot;,&quot;manualOverrideText&quot;:&quot;&quot;},&quot;citationTag&quot;:&quot;MENDELEY_CITATION_v3_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&quot;,&quot;citationItems&quot;:[{&quot;id&quot;:&quot;f330df53-8a84-3777-81bb-1fabd6fe1e48&quot;,&quot;itemData&quot;:{&quot;type&quot;:&quot;article-journal&quot;,&quot;id&quot;:&quot;f330df53-8a84-3777-81bb-1fabd6fe1e48&quot;,&quot;title&quot;:&quot;A bibliometric study on higher tourism education and curriculum&quot;,&quot;author&quot;:[{&quot;family&quot;:&quot;Şimşek&quot;,&quot;given&quot;:&quot;Erkan Kadir&quot;,&quot;parse-names&quot;:false,&quot;dropping-particle&quot;:&quot;&quot;,&quot;non-dropping-particle&quot;:&quot;&quot;},{&quot;family&quot;:&quot;Kalıpçı&quot;,&quot;given&quot;:&quot;M. Bahadır&quot;,&quot;parse-names&quot;:false,&quot;dropping-particle&quot;:&quot;&quot;,&quot;non-dropping-particle&quot;:&quot;&quot;}],&quot;container-title&quot;:&quot;Journal of Hospitality, Leisure, Sport and Tourism Education&quot;,&quot;container-title-short&quot;:&quot;J. Hosp. Leis. Sport Tour. Educ.&quot;,&quot;DOI&quot;:&quot;10.1016/j.jhlste.2023.100442&quot;,&quot;ISSN&quot;:&quot;14738376&quot;,&quot;issued&quot;:{&quot;date-parts&quot;:[[2023,11,1]]},&quot;abstract&quot;:&quot;The purpose of this research is to understand the trends of scientific publications in the “Higher Tourism Education” and “curriculum” in the world and to show how authors, institutions, and countries interact with each other in those studies in the field of tourism. This study is a bibliometric study, which is a type of quantitative research. A time limit was set in order to examine the current data and the results between the years 2010 and 2021. The first of three main findings is the most influential authors in the formation of the intellectual foundation of the field, secondly, identifying the publications of the relevant authors, and finally shedding light on the research area and possible future developments with analyzes of the macrostructure in these fields with regard to the citations made. When the obtained results are examined, it has been concluded that the use of this method, which is very new for both educational sciences and other disciplines, will contribute to the promotion of knowledge and epistemology that develops in a cumulative manner. Additionally, it has been determined that by steering researchers to the less explored areas, it would result in the creation of more papers on connected issues.&quot;,&quot;publisher&quot;:&quot;Elsevier B.V.&quot;,&quot;volume&quot;:&quot;33&quot;},&quot;isTemporary&quot;:false},{&quot;id&quot;:&quot;f8c3b7e9-937b-37ed-96f2-86511ddf9e2f&quot;,&quot;itemData&quot;:{&quot;type&quot;:&quot;article-journal&quot;,&quot;id&quot;:&quot;f8c3b7e9-937b-37ed-96f2-86511ddf9e2f&quot;,&quot;title&quot;:&quot;Explore links among marketing knowledge, data literacy, skill improvement, and learning attitude in STEAM application for hospitality and tourism education&quot;,&quot;author&quot;:[{&quot;family&quot;:&quot;Liu&quot;,&quot;given&quot;:&quot;Chih Hsing&quot;,&quot;parse-names&quot;:false,&quot;dropping-particle&quot;:&quot;&quot;,&quot;non-dropping-particle&quot;:&quot;&quot;},{&quot;family&quot;:&quot;Horng&quot;,&quot;given&quot;:&quot;Jeou Shyan&quot;,&quot;parse-names&quot;:false,&quot;dropping-particle&quot;:&quot;&quot;,&quot;non-dropping-particle&quot;:&quot;&quot;},{&quot;family&quot;:&quot;Chou&quot;,&quot;given&quot;:&quot;Sheng Fang&quot;,&quot;parse-names&quot;:false,&quot;dropping-particle&quot;:&quot;&quot;,&quot;non-dropping-particle&quot;:&quot;&quot;},{&quot;family&quot;:&quot;Yu&quot;,&quot;given&quot;:&quot;Tai Yi&quot;,&quot;parse-names&quot;:false,&quot;dropping-particle&quot;:&quot;&quot;,&quot;non-dropping-particle&quot;:&quot;&quot;},{&quot;family&quot;:&quot;Huang&quot;,&quot;given&quot;:&quot;Yung Chuan&quot;,&quot;parse-names&quot;:false,&quot;dropping-particle&quot;:&quot;&quot;,&quot;non-dropping-particle&quot;:&quot;&quot;},{&quot;family&quot;:&quot;Ng&quot;,&quot;given&quot;:&quot;Yen Ling&quot;,&quot;parse-names&quot;:false,&quot;dropping-particle&quot;:&quot;&quot;,&quot;non-dropping-particle&quot;:&quot;&quot;},{&quot;family&quot;:&quot;La&quot;,&quot;given&quot;:&quot;Quoc Phong&quot;,&quot;parse-names&quot;:false,&quot;dropping-particle&quot;:&quot;&quot;,&quot;non-dropping-particle&quot;:&quot;&quot;}],&quot;container-title&quot;:&quot;International Journal of Management Education&quot;,&quot;DOI&quot;:&quot;10.1016/j.ijme.2023.100919&quot;,&quot;ISSN&quot;:&quot;14728117&quot;,&quot;issued&quot;:{&quot;date-parts&quot;:[[2024,3,1]]},&quot;abstract&quot;:&quot;With the increasing attention in developing data literacy competency to enhance students’ employability in tourism and hospitality education. This study proposes a behavior changing process which conducting the concepts of marketing knowledge, data literacy competency, skill improvement, learning attitude and perception of advantage to performing Science, Technology, Engineering, Arts, and Math (STEAM) activities. By considering and incorporating these findings into their teaching approaches, instructors can enhance students' learning experiences and outcomes in the field of tourism and hospitality. The proposed theoretical and educational implications offer valuable guidance for educators seeking to promote STEAM education effectively.&quot;,&quot;publisher&quot;:&quot;Elsevier Ltd&quot;,&quot;issue&quot;:&quot;1&quot;,&quot;volume&quot;:&quot;22&quot;,&quot;container-title-short&quot;:&quot;&quot;},&quot;isTemporary&quot;:false}]},{&quot;citationID&quot;:&quot;MENDELEY_CITATION_80058826-9b71-4e8e-b98f-b34cac4550cb&quot;,&quot;properties&quot;:{&quot;noteIndex&quot;:0},&quot;isEdited&quot;:false,&quot;manualOverride&quot;:{&quot;isManuallyOverridden&quot;:false,&quot;citeprocText&quot;:&quot;(Langum &amp;#38; Sullivan, 2020)&quot;,&quot;manualOverrideText&quot;:&quot;&quot;},&quot;citationTag&quot;:&quot;MENDELEY_CITATION_v3_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&quot;,&quot;citationItems&quot;:[{&quot;id&quot;:&quot;a372d5a7-c058-355d-88c5-1d21775ce35a&quot;,&quot;itemData&quot;:{&quot;type&quot;:&quot;article-journal&quot;,&quot;id&quot;:&quot;a372d5a7-c058-355d-88c5-1d21775ce35a&quot;,&quot;title&quot;:&quot;Academic writing, scholarly identity, voice and the benefits and challenges of multilingualism: Reflections from Norwegian doctoral researchers in teacher education&quot;,&quot;author&quot;:[{&quot;family&quot;:&quot;Langum&quot;,&quot;given&quot;:&quot;Virginia&quot;,&quot;parse-names&quot;:false,&quot;dropping-particle&quot;:&quot;&quot;,&quot;non-dropping-particle&quot;:&quot;&quot;},{&quot;family&quot;:&quot;Sullivan&quot;,&quot;given&quot;:&quot;Kirk P.H.&quot;,&quot;parse-names&quot;:false,&quot;dropping-particle&quot;:&quot;&quot;,&quot;non-dropping-particle&quot;:&quot;&quot;}],&quot;container-title&quot;:&quot;Linguistics and Education&quot;,&quot;DOI&quot;:&quot;10.1016/j.linged.2020.100883&quot;,&quot;ISSN&quot;:&quot;08985898&quot;,&quot;issued&quot;:{&quot;date-parts&quot;:[[2020]]},&quot;abstract&quot;:&quot;Doctoral researchers increasingly write in English where English is a non-ambient language, for example, in Norway. Yet, similar to other contexts, a goal of the Norwegian doctoral degree is that doctoral graduates are able to communicate their research in both national and international contexts, which usually means English. Through narrative analysis of 17 responses from doctoral researchers to a prompt asking about their journeys into academic writing, this article explores perceptions of how multilingualism and academic writing intersect with the emerging identities and voices of doctoral researchers as researchers. In these written narratives, doctoral researchers reflected upon previous experience and academia; audience and choice of language; voice, academic writing, and the perception of linguistic deficit; and academic writing conventions and language. While much previous research has focused on the negative aspects of multilingual and professional identities as academic writers, our narratives reveal how some doctoral researchers use their experiences to create productive strategies and resources. One key finding is that doctoral researchers create virtual transnational communities through their multilingual academic writing, both in terms of academic publishing and social media platforms.&quot;,&quot;container-title-short&quot;:&quot;&quot;},&quot;isTemporary&quot;:false}]},{&quot;citationID&quot;:&quot;MENDELEY_CITATION_d1f34de7-8008-4ea7-a349-12ab2cfc8f93&quot;,&quot;properties&quot;:{&quot;noteIndex&quot;:0},&quot;isEdited&quot;:false,&quot;manualOverride&quot;:{&quot;isManuallyOverridden&quot;:false,&quot;citeprocText&quot;:&quot;(Ju et al., 2025)&quot;,&quot;manualOverrideText&quot;:&quot;&quot;},&quot;citationTag&quot;:&quot;MENDELEY_CITATION_v3_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&quot;,&quot;citationItems&quot;:[{&quot;id&quot;:&quot;1eb8332a-4d69-38ae-87bd-c78d555baf84&quot;,&quot;itemData&quot;:{&quot;type&quot;:&quot;article-journal&quot;,&quot;id&quot;:&quot;1eb8332a-4d69-38ae-87bd-c78d555baf84&quot;,&quot;title&quot;:&quot;Integrating augmented reality into event tourism education: Enhancing experiential value and authenticity&quot;,&quot;author&quot;:[{&quot;family&quot;:&quot;Ju&quot;,&quot;given&quot;:&quot;Yuan&quot;,&quot;parse-names&quot;:false,&quot;dropping-particle&quot;:&quot;&quot;,&quot;non-dropping-particle&quot;:&quot;&quot;},{&quot;family&quot;:&quot;Tsai&quot;,&quot;given&quot;:&quot;Yi Ying&quot;,&quot;parse-names&quot;:false,&quot;dropping-particle&quot;:&quot;&quot;,&quot;non-dropping-particle&quot;:&quot;&quot;},{&quot;family&quot;:&quot;Gao&quot;,&quot;given&quot;:&quot;Sun Yu&quot;,&quot;parse-names&quot;:false,&quot;dropping-particle&quot;:&quot;&quot;,&quot;non-dropping-particle&quot;:&quot;&quot;},{&quot;family&quot;:&quot;Wu&quot;,&quot;given&quot;:&quot;Tai liang&quot;,&quot;parse-names&quot;:false,&quot;dropping-particle&quot;:&quot;&quot;,&quot;non-dropping-particle&quot;:&quot;&quot;},{&quot;family&quot;:&quot;Tseng&quot;,&quot;given&quot;:&quot;Tzu Lan&quot;,&quot;parse-names&quot;:false,&quot;dropping-particle&quot;:&quot;&quot;,&quot;non-dropping-particle&quot;:&quot;&quot;}],&quot;container-title&quot;:&quot;Journal of Hospitality, Leisure, Sport and Tourism Education&quot;,&quot;container-title-short&quot;:&quot;J. Hosp. Leis. Sport Tour. Educ.&quot;,&quot;DOI&quot;:&quot;10.1016/j.jhlste.2025.100571&quot;,&quot;ISSN&quot;:&quot;14738376&quot;,&quot;issued&quot;:{&quot;date-parts&quot;:[[2025,11,1]]},&quot;abstract&quot;:&quot;Cultural expositions have evolved from static displays to dynamic experiential platforms that integrate immersive technologies, fostering innovation in event organizing and management. In the field of event organizing education, these expositions provide an ideal setting for exploring immersive teaching methods and experiential learning strategies. This study examines the role of AR as a pedagogical tool in event organizing training, focusing on its impact on learners' experiential value, perceived authenticity, satisfaction and skill development. To address gaps in existing research, this study conducted an 18-week quasi-experimental investigation involving 120 undergraduate and postgraduate learners enrolled in event organizing programs in Taiwan. The learners, representing diverse cultural backgrounds, were divided into two groups: an experimental group, which engaged in AR-based event simulations, and a control group, which received traditional lecture-based instruction. Results demonstrated that AR-enhanced training significantly improved learners’ engagement, practical competencies, and ability to design immersive audience experiences. These findings highlight the potential of AR to transform event organizing education by bridging theory with practice, fostering deeper learner engagement, and preparing future event professionals with the skills necessary for real-world applications. This study offers practical implications for event educators, organizers, and industry stakeholders, advocating for the integration of AR-driven experiential learning into event organizing curricula to align with evolving industry demands.&quot;,&quot;publisher&quot;:&quot;Elsevier B.V.&quot;,&quot;volume&quot;:&quot;37&quot;},&quot;isTemporary&quot;:false}]},{&quot;citationID&quot;:&quot;MENDELEY_CITATION_ba77678f-7b77-4991-bc82-fae3c48fb942&quot;,&quot;properties&quot;:{&quot;noteIndex&quot;:0},&quot;isEdited&quot;:false,&quot;manualOverride&quot;:{&quot;isManuallyOverridden&quot;:false,&quot;citeprocText&quot;:&quot;(Akyürek et al., 2024)&quot;,&quot;manualOverrideText&quot;:&quot;&quot;},&quot;citationTag&quot;:&quot;MENDELEY_CITATION_v3_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&quot;,&quot;citationItems&quot;:[{&quot;id&quot;:&quot;550f9aa9-a75a-3b84-ba09-80cc513d95b6&quot;,&quot;itemData&quot;:{&quot;type&quot;:&quot;article-journal&quot;,&quot;id&quot;:&quot;550f9aa9-a75a-3b84-ba09-80cc513d95b6&quot;,&quot;title&quot;:&quot;Metaverse in tourism education: A mixed method on vision, challenges and extended technology acceptance model&quot;,&quot;author&quot;:[{&quot;family&quot;:&quot;Akyürek&quot;,&quot;given&quot;:&quot;Suat&quot;,&quot;parse-names&quot;:false,&quot;dropping-particle&quot;:&quot;&quot;,&quot;non-dropping-particle&quot;:&quot;&quot;},{&quot;family&quot;:&quot;Genç&quot;,&quot;given&quot;:&quot;Gökhan&quot;,&quot;parse-names&quot;:false,&quot;dropping-particle&quot;:&quot;&quot;,&quot;non-dropping-particle&quot;:&quot;&quot;},{&quot;family&quot;:&quot;Çalık&quot;,&quot;given&quot;:&quot;İsmail&quot;,&quot;parse-names&quot;:false,&quot;dropping-particle&quot;:&quot;&quot;,&quot;non-dropping-particle&quot;:&quot;&quot;},{&quot;family&quot;:&quot;Şengel&quot;,&quot;given&quot;:&quot;Ümit&quot;,&quot;parse-names&quot;:false,&quot;dropping-particle&quot;:&quot;&quot;,&quot;non-dropping-particle&quot;:&quot;&quot;}],&quot;container-title&quot;:&quot;Journal of Hospitality, Leisure, Sport and Tourism Education&quot;,&quot;container-title-short&quot;:&quot;J. Hosp. Leis. Sport Tour. Educ.&quot;,&quot;DOI&quot;:&quot;10.1016/j.jhlste.2024.100503&quot;,&quot;ISSN&quot;:&quot;14738376&quot;,&quot;issued&quot;:{&quot;date-parts&quot;:[[2024,11,1]]},&quot;abstract&quot;:&quot;The metaverse, an emerging educational frontier, presents boundless opportunities and distinct challenges for educators and students alike. This study delves into these aspects within the context of tourism education, employing a mixed-methods approach. It integrates in-depth interviews with 13 tourism academics and a quantitative survey of 268 tourism students. The qualitative data are meticulously coded, and the quantitative data are analyzed using Partial Least Squares Structural Equation Modeling (PLS-SEM). This research not only conceptually outlines the future benefits of the metaverse, such as enhanced interactive learning and global classroom experiences but also empirically examines its impact on tourism students' engagement and learning outcomes. Key findings highlight both the empowering potential and the infrastructural and accessibility challenges posed by metaverse technology in tourism education. Ultimately, this study provides a holistic view of metaverse-based education's role in advancing the tourism industry, suggesting practical implications for technological adaptation and pedagogical strategies.&quot;,&quot;publisher&quot;:&quot;Elsevier B.V.&quot;,&quot;volume&quot;:&quot;35&quot;},&quot;isTemporary&quot;:false}]},{&quot;citationID&quot;:&quot;MENDELEY_CITATION_1ae6d8ee-cd52-4ac7-95f6-53657564219d&quot;,&quot;properties&quot;:{&quot;noteIndex&quot;:0},&quot;isEdited&quot;:false,&quot;manualOverride&quot;:{&quot;isManuallyOverridden&quot;:false,&quot;citeprocText&quot;:&quot;(Habib et al., 2026)&quot;,&quot;manualOverrideText&quot;:&quot;&quot;},&quot;citationTag&quot;:&quot;MENDELEY_CITATION_v3_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&quot;,&quot;citationItems&quot;:[{&quot;id&quot;:&quot;ff2ee6ac-3b67-315a-97bb-3fdf321a4aa9&quot;,&quot;itemData&quot;:{&quot;type&quot;:&quot;article-journal&quot;,&quot;id&quot;:&quot;ff2ee6ac-3b67-315a-97bb-3fdf321a4aa9&quot;,&quot;title&quot;:&quot;Employee–robot relationship typology: the role of robot agency, communion and competence&quot;,&quot;author&quot;:[{&quot;family&quot;:&quot;Habib&quot;,&quot;given&quot;:&quot;John&quot;,&quot;parse-names&quot;:false,&quot;dropping-particle&quot;:&quot;&quot;,&quot;non-dropping-particle&quot;:&quot;&quot;},{&quot;family&quot;:&quot;Prentice&quot;,&quot;given&quot;:&quot;Catherine&quot;,&quot;parse-names&quot;:false,&quot;dropping-particle&quot;:&quot;&quot;,&quot;non-dropping-particle&quot;:&quot;&quot;},{&quot;family&quot;:&quot;Thaichon&quot;,&quot;given&quot;:&quot;Park&quot;,&quot;parse-names&quot;:false,&quot;dropping-particle&quot;:&quot;&quot;,&quot;non-dropping-particle&quot;:&quot;&quot;}],&quot;container-title&quot;:&quot;Tourism Review&quot;,&quot;DOI&quot;:&quot;10.1108/TR-08-2025-0872&quot;,&quot;ISSN&quot;:&quot;1660-5373&quot;,&quot;URL&quot;:&quot;https://www.emerald.com/tr/article/doi/10.1108/TR-08-2025-0872/1351361/Employee-robot-relationship-typology-the-role-of&quot;,&quot;issued&quot;:{&quot;date-parts&quot;:[[2026,3,24]]},&quot;page&quot;:&quot;1-22&quot;,&quot;container-title-short&quot;:&quot;&quot;},&quot;isTemporary&quot;:false}]},{&quot;citationID&quot;:&quot;MENDELEY_CITATION_3d647ed7-9e26-4af2-8234-b33c92fd26ec&quot;,&quot;properties&quot;:{&quot;noteIndex&quot;:0},&quot;isEdited&quot;:false,&quot;manualOverride&quot;:{&quot;isManuallyOverridden&quot;:false,&quot;citeprocText&quot;:&quot;(Liu et al., 2024)&quot;,&quot;manualOverrideText&quot;:&quot;&quot;},&quot;citationTag&quot;:&quot;MENDELEY_CITATION_v3_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&quot;,&quot;citationItems&quot;:[{&quot;id&quot;:&quot;f8c3b7e9-937b-37ed-96f2-86511ddf9e2f&quot;,&quot;itemData&quot;:{&quot;type&quot;:&quot;article-journal&quot;,&quot;id&quot;:&quot;f8c3b7e9-937b-37ed-96f2-86511ddf9e2f&quot;,&quot;title&quot;:&quot;Explore links among marketing knowledge, data literacy, skill improvement, and learning attitude in STEAM application for hospitality and tourism education&quot;,&quot;author&quot;:[{&quot;family&quot;:&quot;Liu&quot;,&quot;given&quot;:&quot;Chih Hsing&quot;,&quot;parse-names&quot;:false,&quot;dropping-particle&quot;:&quot;&quot;,&quot;non-dropping-particle&quot;:&quot;&quot;},{&quot;family&quot;:&quot;Horng&quot;,&quot;given&quot;:&quot;Jeou Shyan&quot;,&quot;parse-names&quot;:false,&quot;dropping-particle&quot;:&quot;&quot;,&quot;non-dropping-particle&quot;:&quot;&quot;},{&quot;family&quot;:&quot;Chou&quot;,&quot;given&quot;:&quot;Sheng Fang&quot;,&quot;parse-names&quot;:false,&quot;dropping-particle&quot;:&quot;&quot;,&quot;non-dropping-particle&quot;:&quot;&quot;},{&quot;family&quot;:&quot;Yu&quot;,&quot;given&quot;:&quot;Tai Yi&quot;,&quot;parse-names&quot;:false,&quot;dropping-particle&quot;:&quot;&quot;,&quot;non-dropping-particle&quot;:&quot;&quot;},{&quot;family&quot;:&quot;Huang&quot;,&quot;given&quot;:&quot;Yung Chuan&quot;,&quot;parse-names&quot;:false,&quot;dropping-particle&quot;:&quot;&quot;,&quot;non-dropping-particle&quot;:&quot;&quot;},{&quot;family&quot;:&quot;Ng&quot;,&quot;given&quot;:&quot;Yen Ling&quot;,&quot;parse-names&quot;:false,&quot;dropping-particle&quot;:&quot;&quot;,&quot;non-dropping-particle&quot;:&quot;&quot;},{&quot;family&quot;:&quot;La&quot;,&quot;given&quot;:&quot;Quoc Phong&quot;,&quot;parse-names&quot;:false,&quot;dropping-particle&quot;:&quot;&quot;,&quot;non-dropping-particle&quot;:&quot;&quot;}],&quot;container-title&quot;:&quot;International Journal of Management Education&quot;,&quot;DOI&quot;:&quot;10.1016/j.ijme.2023.100919&quot;,&quot;ISSN&quot;:&quot;14728117&quot;,&quot;issued&quot;:{&quot;date-parts&quot;:[[2024,3,1]]},&quot;abstract&quot;:&quot;With the increasing attention in developing data literacy competency to enhance students’ employability in tourism and hospitality education. This study proposes a behavior changing process which conducting the concepts of marketing knowledge, data literacy competency, skill improvement, learning attitude and perception of advantage to performing Science, Technology, Engineering, Arts, and Math (STEAM) activities. By considering and incorporating these findings into their teaching approaches, instructors can enhance students' learning experiences and outcomes in the field of tourism and hospitality. The proposed theoretical and educational implications offer valuable guidance for educators seeking to promote STEAM education effectively.&quot;,&quot;publisher&quot;:&quot;Elsevier Ltd&quot;,&quot;issue&quot;:&quot;1&quot;,&quot;volume&quot;:&quot;22&quot;,&quot;container-title-short&quot;:&quot;&quot;},&quot;isTemporary&quot;:false}]},{&quot;citationID&quot;:&quot;MENDELEY_CITATION_8effc17e-4514-4c3d-a463-348bed24d55a&quot;,&quot;properties&quot;:{&quot;noteIndex&quot;:0},&quot;isEdited&quot;:false,&quot;manualOverride&quot;:{&quot;isManuallyOverridden&quot;:false,&quot;citeprocText&quot;:&quot;(Ju et al., 2025)&quot;,&quot;manualOverrideText&quot;:&quot;&quot;},&quot;citationTag&quot;:&quot;MENDELEY_CITATION_v3_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&quot;,&quot;citationItems&quot;:[{&quot;id&quot;:&quot;1eb8332a-4d69-38ae-87bd-c78d555baf84&quot;,&quot;itemData&quot;:{&quot;type&quot;:&quot;article-journal&quot;,&quot;id&quot;:&quot;1eb8332a-4d69-38ae-87bd-c78d555baf84&quot;,&quot;title&quot;:&quot;Integrating augmented reality into event tourism education: Enhancing experiential value and authenticity&quot;,&quot;author&quot;:[{&quot;family&quot;:&quot;Ju&quot;,&quot;given&quot;:&quot;Yuan&quot;,&quot;parse-names&quot;:false,&quot;dropping-particle&quot;:&quot;&quot;,&quot;non-dropping-particle&quot;:&quot;&quot;},{&quot;family&quot;:&quot;Tsai&quot;,&quot;given&quot;:&quot;Yi Ying&quot;,&quot;parse-names&quot;:false,&quot;dropping-particle&quot;:&quot;&quot;,&quot;non-dropping-particle&quot;:&quot;&quot;},{&quot;family&quot;:&quot;Gao&quot;,&quot;given&quot;:&quot;Sun Yu&quot;,&quot;parse-names&quot;:false,&quot;dropping-particle&quot;:&quot;&quot;,&quot;non-dropping-particle&quot;:&quot;&quot;},{&quot;family&quot;:&quot;Wu&quot;,&quot;given&quot;:&quot;Tai liang&quot;,&quot;parse-names&quot;:false,&quot;dropping-particle&quot;:&quot;&quot;,&quot;non-dropping-particle&quot;:&quot;&quot;},{&quot;family&quot;:&quot;Tseng&quot;,&quot;given&quot;:&quot;Tzu Lan&quot;,&quot;parse-names&quot;:false,&quot;dropping-particle&quot;:&quot;&quot;,&quot;non-dropping-particle&quot;:&quot;&quot;}],&quot;container-title&quot;:&quot;Journal of Hospitality, Leisure, Sport and Tourism Education&quot;,&quot;container-title-short&quot;:&quot;J. Hosp. Leis. Sport Tour. Educ.&quot;,&quot;DOI&quot;:&quot;10.1016/j.jhlste.2025.100571&quot;,&quot;ISSN&quot;:&quot;14738376&quot;,&quot;issued&quot;:{&quot;date-parts&quot;:[[2025,11,1]]},&quot;abstract&quot;:&quot;Cultural expositions have evolved from static displays to dynamic experiential platforms that integrate immersive technologies, fostering innovation in event organizing and management. In the field of event organizing education, these expositions provide an ideal setting for exploring immersive teaching methods and experiential learning strategies. This study examines the role of AR as a pedagogical tool in event organizing training, focusing on its impact on learners' experiential value, perceived authenticity, satisfaction and skill development. To address gaps in existing research, this study conducted an 18-week quasi-experimental investigation involving 120 undergraduate and postgraduate learners enrolled in event organizing programs in Taiwan. The learners, representing diverse cultural backgrounds, were divided into two groups: an experimental group, which engaged in AR-based event simulations, and a control group, which received traditional lecture-based instruction. Results demonstrated that AR-enhanced training significantly improved learners’ engagement, practical competencies, and ability to design immersive audience experiences. These findings highlight the potential of AR to transform event organizing education by bridging theory with practice, fostering deeper learner engagement, and preparing future event professionals with the skills necessary for real-world applications. This study offers practical implications for event educators, organizers, and industry stakeholders, advocating for the integration of AR-driven experiential learning into event organizing curricula to align with evolving industry demands.&quot;,&quot;publisher&quot;:&quot;Elsevier B.V.&quot;,&quot;volume&quot;:&quot;37&quot;},&quot;isTemporary&quot;:false}]},{&quot;citationID&quot;:&quot;MENDELEY_CITATION_a63265ea-5865-4ef6-899c-06747a920fc5&quot;,&quot;properties&quot;:{&quot;noteIndex&quot;:0},&quot;isEdited&quot;:false,&quot;manualOverride&quot;:{&quot;isManuallyOverridden&quot;:false,&quot;citeprocText&quot;:&quot;(Ju et al., 2025)&quot;,&quot;manualOverrideText&quot;:&quot;&quot;},&quot;citationTag&quot;:&quot;MENDELEY_CITATION_v3_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&quot;,&quot;citationItems&quot;:[{&quot;id&quot;:&quot;1eb8332a-4d69-38ae-87bd-c78d555baf84&quot;,&quot;itemData&quot;:{&quot;type&quot;:&quot;article-journal&quot;,&quot;id&quot;:&quot;1eb8332a-4d69-38ae-87bd-c78d555baf84&quot;,&quot;title&quot;:&quot;Integrating augmented reality into event tourism education: Enhancing experiential value and authenticity&quot;,&quot;author&quot;:[{&quot;family&quot;:&quot;Ju&quot;,&quot;given&quot;:&quot;Yuan&quot;,&quot;parse-names&quot;:false,&quot;dropping-particle&quot;:&quot;&quot;,&quot;non-dropping-particle&quot;:&quot;&quot;},{&quot;family&quot;:&quot;Tsai&quot;,&quot;given&quot;:&quot;Yi Ying&quot;,&quot;parse-names&quot;:false,&quot;dropping-particle&quot;:&quot;&quot;,&quot;non-dropping-particle&quot;:&quot;&quot;},{&quot;family&quot;:&quot;Gao&quot;,&quot;given&quot;:&quot;Sun Yu&quot;,&quot;parse-names&quot;:false,&quot;dropping-particle&quot;:&quot;&quot;,&quot;non-dropping-particle&quot;:&quot;&quot;},{&quot;family&quot;:&quot;Wu&quot;,&quot;given&quot;:&quot;Tai liang&quot;,&quot;parse-names&quot;:false,&quot;dropping-particle&quot;:&quot;&quot;,&quot;non-dropping-particle&quot;:&quot;&quot;},{&quot;family&quot;:&quot;Tseng&quot;,&quot;given&quot;:&quot;Tzu Lan&quot;,&quot;parse-names&quot;:false,&quot;dropping-particle&quot;:&quot;&quot;,&quot;non-dropping-particle&quot;:&quot;&quot;}],&quot;container-title&quot;:&quot;Journal of Hospitality, Leisure, Sport and Tourism Education&quot;,&quot;container-title-short&quot;:&quot;J. Hosp. Leis. Sport Tour. Educ.&quot;,&quot;DOI&quot;:&quot;10.1016/j.jhlste.2025.100571&quot;,&quot;ISSN&quot;:&quot;14738376&quot;,&quot;issued&quot;:{&quot;date-parts&quot;:[[2025,11,1]]},&quot;abstract&quot;:&quot;Cultural expositions have evolved from static displays to dynamic experiential platforms that integrate immersive technologies, fostering innovation in event organizing and management. In the field of event organizing education, these expositions provide an ideal setting for exploring immersive teaching methods and experiential learning strategies. This study examines the role of AR as a pedagogical tool in event organizing training, focusing on its impact on learners' experiential value, perceived authenticity, satisfaction and skill development. To address gaps in existing research, this study conducted an 18-week quasi-experimental investigation involving 120 undergraduate and postgraduate learners enrolled in event organizing programs in Taiwan. The learners, representing diverse cultural backgrounds, were divided into two groups: an experimental group, which engaged in AR-based event simulations, and a control group, which received traditional lecture-based instruction. Results demonstrated that AR-enhanced training significantly improved learners’ engagement, practical competencies, and ability to design immersive audience experiences. These findings highlight the potential of AR to transform event organizing education by bridging theory with practice, fostering deeper learner engagement, and preparing future event professionals with the skills necessary for real-world applications. This study offers practical implications for event educators, organizers, and industry stakeholders, advocating for the integration of AR-driven experiential learning into event organizing curricula to align with evolving industry demands.&quot;,&quot;publisher&quot;:&quot;Elsevier B.V.&quot;,&quot;volume&quot;:&quot;37&quot;},&quot;isTemporary&quot;:false}]},{&quot;citationID&quot;:&quot;MENDELEY_CITATION_69003373-554f-4784-8279-577d250d8919&quot;,&quot;properties&quot;:{&quot;noteIndex&quot;:0},&quot;isEdited&quot;:false,&quot;manualOverride&quot;:{&quot;isManuallyOverridden&quot;:false,&quot;citeprocText&quot;:&quot;(Akyürek et al., 2024; Rahmanu &amp;#38; Molnár, 2026)&quot;,&quot;manualOverrideText&quot;:&quot;&quot;},&quot;citationTag&quot;:&quot;MENDELEY_CITATION_v3_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&quot;,&quot;citationItems&quot;:[{&quot;id&quot;:&quot;550f9aa9-a75a-3b84-ba09-80cc513d95b6&quot;,&quot;itemData&quot;:{&quot;type&quot;:&quot;article-journal&quot;,&quot;id&quot;:&quot;550f9aa9-a75a-3b84-ba09-80cc513d95b6&quot;,&quot;title&quot;:&quot;Metaverse in tourism education: A mixed method on vision, challenges and extended technology acceptance model&quot;,&quot;author&quot;:[{&quot;family&quot;:&quot;Akyürek&quot;,&quot;given&quot;:&quot;Suat&quot;,&quot;parse-names&quot;:false,&quot;dropping-particle&quot;:&quot;&quot;,&quot;non-dropping-particle&quot;:&quot;&quot;},{&quot;family&quot;:&quot;Genç&quot;,&quot;given&quot;:&quot;Gökhan&quot;,&quot;parse-names&quot;:false,&quot;dropping-particle&quot;:&quot;&quot;,&quot;non-dropping-particle&quot;:&quot;&quot;},{&quot;family&quot;:&quot;Çalık&quot;,&quot;given&quot;:&quot;İsmail&quot;,&quot;parse-names&quot;:false,&quot;dropping-particle&quot;:&quot;&quot;,&quot;non-dropping-particle&quot;:&quot;&quot;},{&quot;family&quot;:&quot;Şengel&quot;,&quot;given&quot;:&quot;Ümit&quot;,&quot;parse-names&quot;:false,&quot;dropping-particle&quot;:&quot;&quot;,&quot;non-dropping-particle&quot;:&quot;&quot;}],&quot;container-title&quot;:&quot;Journal of Hospitality, Leisure, Sport and Tourism Education&quot;,&quot;container-title-short&quot;:&quot;J. Hosp. Leis. Sport Tour. Educ.&quot;,&quot;DOI&quot;:&quot;10.1016/j.jhlste.2024.100503&quot;,&quot;ISSN&quot;:&quot;14738376&quot;,&quot;issued&quot;:{&quot;date-parts&quot;:[[2024,11,1]]},&quot;abstract&quot;:&quot;The metaverse, an emerging educational frontier, presents boundless opportunities and distinct challenges for educators and students alike. This study delves into these aspects within the context of tourism education, employing a mixed-methods approach. It integrates in-depth interviews with 13 tourism academics and a quantitative survey of 268 tourism students. The qualitative data are meticulously coded, and the quantitative data are analyzed using Partial Least Squares Structural Equation Modeling (PLS-SEM). This research not only conceptually outlines the future benefits of the metaverse, such as enhanced interactive learning and global classroom experiences but also empirically examines its impact on tourism students' engagement and learning outcomes. Key findings highlight both the empowering potential and the infrastructural and accessibility challenges posed by metaverse technology in tourism education. Ultimately, this study provides a holistic view of metaverse-based education's role in advancing the tourism industry, suggesting practical implications for technological adaptation and pedagogical strategies.&quot;,&quot;publisher&quot;:&quot;Elsevier B.V.&quot;,&quot;volume&quot;:&quot;35&quot;},&quot;isTemporary&quot;:false},{&quot;id&quot;:&quot;86967d6b-a2fc-30b1-b580-96332dd0ce70&quot;,&quot;itemData&quot;:{&quot;type&quot;:&quot;article&quot;,&quot;id&quot;:&quot;86967d6b-a2fc-30b1-b580-96332dd0ce70&quot;,&quot;title&quot;:&quot;Virtual reality in English language education: A systematic review of opportunities and challenges in higher education&quot;,&quot;author&quot;:[{&quot;family&quot;:&quot;Rahmanu&quot;,&quot;given&quot;:&quot;I. Wayan Eka Dian&quot;,&quot;parse-names&quot;:false,&quot;dropping-particle&quot;:&quot;&quot;,&quot;non-dropping-particle&quot;:&quot;&quot;},{&quot;family&quot;:&quot;Molnár&quot;,&quot;given&quot;:&quot;Gyöngyvér&quot;,&quot;parse-names&quot;:false,&quot;dropping-particle&quot;:&quot;&quot;,&quot;non-dropping-particle&quot;:&quot;&quot;}],&quot;container-title&quot;:&quot;Acta Psychologica&quot;,&quot;container-title-short&quot;:&quot;Acta Psychol. (Amst).&quot;,&quot;DOI&quot;:&quot;10.1016/j.actpsy.2026.106358&quot;,&quot;ISSN&quot;:&quot;18736297&quot;,&quot;issued&quot;:{&quot;date-parts&quot;:[[2026,4,1]]},&quot;abstract&quot;:&quot;This review systematically examines the benefits and challenges of integrating Virtual Reality (VR) into English language instruction in higher education. Analysing 27 studies published between 2014 and 2024, the findings reveal that VR has been predominantly utilised as an instructional tool across diverse domains, including General English, English as a Foreign Language (EFL), English as a Second Language (ESL), English for Specific Purposes (ESP), English for Occupational Purposes (EOP), and English for Academic Purposes (EAP). The technology has been shown to enhance core language competencies such as speaking, writing, and vocabulary acquisition, with applications spanning vocational training, university programs, and specialised courses. Fully immersive VR, low-cost immersive VR and low-immersive VR were designed by the prior study in exploring learners' English language skills. However, challenges such as dizziness, fatigue, motion sickness, neck pain, and cognitive overload were identified as potential barriers to effective learning. The review further highlights underexplored opportunities for future research, including the integration of cognitive and metacognitive assessments, gamified learning environments, and evaluations of VR's impact on learner motivation. These insights aim to guide educators and researchers in refining VR-based language education strategies while addressing current limitations.&quot;,&quot;publisher&quot;:&quot;Elsevier B.V.&quot;,&quot;volume&quot;:&quot;264&quot;},&quot;isTemporary&quot;:false}]},{&quot;citationID&quot;:&quot;MENDELEY_CITATION_3167a782-5828-48c9-b556-fa934c4e4446&quot;,&quot;properties&quot;:{&quot;noteIndex&quot;:0},&quot;isEdited&quot;:false,&quot;manualOverride&quot;:{&quot;isManuallyOverridden&quot;:false,&quot;citeprocText&quot;:&quot;(Cloudia Ho, 2020)&quot;,&quot;manualOverrideText&quot;:&quot;&quot;},&quot;citationTag&quot;:&quot;MENDELEY_CITATION_v3_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&quot;,&quot;citationItems&quot;:[{&quot;id&quot;:&quot;327d174b-e0a0-34f9-9bf5-e662d658c38f&quot;,&quot;itemData&quot;:{&quot;type&quot;:&quot;article-journal&quot;,&quot;id&quot;:&quot;327d174b-e0a0-34f9-9bf5-e662d658c38f&quot;,&quot;title&quot;:&quot;Communicative language teaching and English as a foreign language undergraduates’ communicative competence in Tourism English&quot;,&quot;author&quot;:[{&quot;family&quot;:&quot;Cloudia Ho&quot;,&quot;given&quot;:&quot;Ya Yu&quot;,&quot;parse-names&quot;:false,&quot;dropping-particle&quot;:&quot;&quot;,&quot;non-dropping-particle&quot;:&quot;&quot;}],&quot;container-title&quot;:&quot;Journal of Hospitality, Leisure, Sport and Tourism Education&quot;,&quot;container-title-short&quot;:&quot;J. Hosp. Leis. Sport Tour. Educ.&quot;,&quot;DOI&quot;:&quot;10.1016/j.jhlste.2020.100271&quot;,&quot;ISSN&quot;:&quot;14738376&quot;,&quot;issued&quot;:{&quot;date-parts&quot;:[[2020,11,1]]},&quot;abstract&quot;:&quot;Due to the increasing demand of English-speaking professionals in the tourism and hospitality industry, the objective of this study was to investigate the influence of implementing Communicative Language Teaching (CLT) on cultivating undergraduates' communicative competence in Tourism English in an English as a Foreign Language (EFL) classroom. This study adopted mixed methods research design. 70 Taiwanese undergraduates were recruited to participate in the pretests (paper-based and oral-based), pre-questionnaires, posttests (paper-based and oral-based), post-questionnaires, and focus group interviews. Quantitative data was analyzed via descriptive analysis and paired-samples t-test. Qualitative data was examined by thematic analysis. Findings indicated that students' progress towards better communicative competence in paper-based tests and oral-based tests were both significant. Their perceptions of communicative competence also echoed the results. The findings of the study implied that Communicative Language Teaching (CLT) facilitates students’ English learning, raises their confidence, and enhances their communicative competence in Tourism English. This study ultimately provides practical suggestions for pedagogy.&quot;,&quot;publisher&quot;:&quot;Elsevier B.V.&quot;,&quot;volume&quot;:&quot;27&quot;},&quot;isTemporary&quot;:false}]},{&quot;citationID&quot;:&quot;MENDELEY_CITATION_0e947446-eed1-4fba-add5-9dd439c07132&quot;,&quot;properties&quot;:{&quot;noteIndex&quot;:0},&quot;isEdited&quot;:false,&quot;manualOverride&quot;:{&quot;isManuallyOverridden&quot;:false,&quot;citeprocText&quot;:&quot;(Kacetl &amp;#38; Frydrychova-Klimova, 2015)&quot;,&quot;manualOverrideText&quot;:&quot;&quot;},&quot;citationTag&quot;:&quot;MENDELEY_CITATION_v3_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&quot;,&quot;citationItems&quot;:[{&quot;id&quot;:&quot;2c94616a-ab73-361d-ace4-1b8be2e6d119&quot;,&quot;itemData&quot;:{&quot;type&quot;:&quot;article-journal&quot;,&quot;id&quot;:&quot;2c94616a-ab73-361d-ace4-1b8be2e6d119&quot;,&quot;title&quot;:&quot;English Vocabulary in Video Clips on Travel and Tourism&quot;,&quot;author&quot;:[{&quot;family&quot;:&quot;Kacetl&quot;,&quot;given&quot;:&quot;Jaroslav&quot;,&quot;parse-names&quot;:false,&quot;dropping-particle&quot;:&quot;&quot;,&quot;non-dropping-particle&quot;:&quot;&quot;},{&quot;family&quot;:&quot;Frydrychova-Klimova&quot;,&quot;given&quot;:&quot;Blanka&quot;,&quot;parse-names&quot;:false,&quot;dropping-particle&quot;:&quot;&quot;,&quot;non-dropping-particle&quot;:&quot;&quot;}],&quot;container-title&quot;:&quot;Procedia - Social and Behavioral Sciences&quot;,&quot;container-title-short&quot;:&quot;Procedia Soc. Behav. Sci.&quot;,&quot;DOI&quot;:&quot;10.1016/j.sbspro.2015.04.788&quot;,&quot;ISSN&quot;:&quot;18770428&quot;,&quot;issued&quot;:{&quot;date-parts&quot;:[[2015,5]]},&quot;page&quot;:&quot;364-368&quot;,&quot;abstract&quot;:&quot;Information and communication technologies are an inseparable part of current university education. The authors have been teaching students of Management of Travel and Tourism at the University of Hradec Kralove, Czech Republic. The Management of Travel and Tourism students need to be aware of currently used specialized vocabulary in their field of study. Since 2010, their teachers have been using in their language classes video clips from the Internet. Watching video clips and studying the language used in them improves their command of currently used English for tourism. The purpose of this contribution is to inform about an upcoming study of the language used in video clips focusing on travel and tourism, whose transcripts will be analyzed by means of the British National Corpus. The method used is document analysis, more specifically word frequency analysis. So far, the authors have used about 80 English-language video clips on travel and tourism in their classes. The number of words used in them reaches about 40,000. The outcome of this research should be a list of the most frequently used words, phrases and idioms as they appear in the above mentioned video clips. The benefits of this research should include the basis for teaching travel and tourism vocabulary, grammar structures, or stylistic variations. Another outcome will be a specialized dictionary of professional collocations and terms in the field of travel and tourism.&quot;,&quot;publisher&quot;:&quot;Elsevier BV&quot;,&quot;volume&quot;:&quot;182&quot;},&quot;isTemporary&quot;:false}]},{&quot;citationID&quot;:&quot;MENDELEY_CITATION_a56bfad1-00ca-4a07-9c30-90a950109092&quot;,&quot;properties&quot;:{&quot;noteIndex&quot;:0},&quot;isEdited&quot;:false,&quot;manualOverride&quot;:{&quot;isManuallyOverridden&quot;:false,&quot;citeprocText&quot;:&quot;(Cloudia Ho, 2020)&quot;,&quot;manualOverrideText&quot;:&quot;&quot;},&quot;citationTag&quot;:&quot;MENDELEY_CITATION_v3_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&quot;,&quot;citationItems&quot;:[{&quot;id&quot;:&quot;327d174b-e0a0-34f9-9bf5-e662d658c38f&quot;,&quot;itemData&quot;:{&quot;type&quot;:&quot;article-journal&quot;,&quot;id&quot;:&quot;327d174b-e0a0-34f9-9bf5-e662d658c38f&quot;,&quot;title&quot;:&quot;Communicative language teaching and English as a foreign language undergraduates’ communicative competence in Tourism English&quot;,&quot;author&quot;:[{&quot;family&quot;:&quot;Cloudia Ho&quot;,&quot;given&quot;:&quot;Ya Yu&quot;,&quot;parse-names&quot;:false,&quot;dropping-particle&quot;:&quot;&quot;,&quot;non-dropping-particle&quot;:&quot;&quot;}],&quot;container-title&quot;:&quot;Journal of Hospitality, Leisure, Sport and Tourism Education&quot;,&quot;container-title-short&quot;:&quot;J. Hosp. Leis. Sport Tour. Educ.&quot;,&quot;DOI&quot;:&quot;10.1016/j.jhlste.2020.100271&quot;,&quot;ISSN&quot;:&quot;14738376&quot;,&quot;issued&quot;:{&quot;date-parts&quot;:[[2020,11,1]]},&quot;abstract&quot;:&quot;Due to the increasing demand of English-speaking professionals in the tourism and hospitality industry, the objective of this study was to investigate the influence of implementing Communicative Language Teaching (CLT) on cultivating undergraduates' communicative competence in Tourism English in an English as a Foreign Language (EFL) classroom. This study adopted mixed methods research design. 70 Taiwanese undergraduates were recruited to participate in the pretests (paper-based and oral-based), pre-questionnaires, posttests (paper-based and oral-based), post-questionnaires, and focus group interviews. Quantitative data was analyzed via descriptive analysis and paired-samples t-test. Qualitative data was examined by thematic analysis. Findings indicated that students' progress towards better communicative competence in paper-based tests and oral-based tests were both significant. Their perceptions of communicative competence also echoed the results. The findings of the study implied that Communicative Language Teaching (CLT) facilitates students’ English learning, raises their confidence, and enhances their communicative competence in Tourism English. This study ultimately provides practical suggestions for pedagogy.&quot;,&quot;publisher&quot;:&quot;Elsevier B.V.&quot;,&quot;volume&quot;:&quot;27&quot;},&quot;isTemporary&quot;:false}]},{&quot;citationID&quot;:&quot;MENDELEY_CITATION_b4323d74-7705-45d1-929c-d5b76f6add90&quot;,&quot;properties&quot;:{&quot;noteIndex&quot;:0},&quot;isEdited&quot;:false,&quot;manualOverride&quot;:{&quot;isManuallyOverridden&quot;:false,&quot;citeprocText&quot;:&quot;(Takada et al., 2022)&quot;,&quot;manualOverrideText&quot;:&quot;&quot;},&quot;citationTag&quot;:&quot;MENDELEY_CITATION_v3_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&quot;,&quot;citationItems&quot;:[{&quot;id&quot;:&quot;6f0732f2-a154-3974-9987-6f26b18b92ec&quot;,&quot;itemData&quot;:{&quot;type&quot;:&quot;paper-conference&quot;,&quot;id&quot;:&quot;6f0732f2-a154-3974-9987-6f26b18b92ec&quot;,&quot;title&quot;:&quot;A preliminary study of VR English training material for personnel in the tourism industry&quot;,&quot;author&quot;:[{&quot;family&quot;:&quot;Takada&quot;,&quot;given&quot;:&quot;Kazumine&quot;,&quot;parse-names&quot;:false,&quot;dropping-particle&quot;:&quot;&quot;,&quot;non-dropping-particle&quot;:&quot;&quot;},{&quot;family&quot;:&quot;Murakami&quot;,&quot;given&quot;:&quot;Kayoko H.&quot;,&quot;parse-names&quot;:false,&quot;dropping-particle&quot;:&quot;&quot;,&quot;non-dropping-particle&quot;:&quot;&quot;},{&quot;family&quot;:&quot;Yamazaki&quot;,&quot;given&quot;:&quot;Atsuko K.&quot;,&quot;parse-names&quot;:false,&quot;dropping-particle&quot;:&quot;&quot;,&quot;non-dropping-particle&quot;:&quot;&quot;},{&quot;family&quot;:&quot;Yamanaka&quot;,&quot;given&quot;:&quot;Tsukasa&quot;,&quot;parse-names&quot;:false,&quot;dropping-particle&quot;:&quot;&quot;,&quot;non-dropping-particle&quot;:&quot;&quot;}],&quot;container-title&quot;:&quot;Procedia Computer Science&quot;,&quot;container-title-short&quot;:&quot;Procedia Comput. Sci.&quot;,&quot;DOI&quot;:&quot;10.1016/j.procs.2022.09.432&quot;,&quot;ISSN&quot;:&quot;18770509&quot;,&quot;issued&quot;:{&quot;date-parts&quot;:[[2022]]},&quot;page&quot;:&quot;3715-3723&quot;,&quot;abstract&quot;:&quot;As the COVID-19 pandemic settles, foreign visitors to Japan are expected to outnumber inbound tourists number before the pandemic. However, a shortage of personnel with proper English skills demands English training programs for hospitality service personnel in the tourism industry. In this study, the authors developed a prototype of a virtual reality (VR) training material for hospitality service personnel to practice and experience tough communication scenarios in English. The material's impacts were explored by monitoring changes in frontal brain hemoglobin concentration and heart rates of subjects who engaged in VR training and conversation sessions with an English conversation trainer. The measurements of the physiological data obtained from the subjects before and after they underwent VR training showed that the subjects tended to be more relaxed when they responded to difficult English conversations after the training. The results show that VR training materials can reduce the anxiety of hospitality service personnel who must engage in English communication at a hotel front or a restaurant, and this type of learning material is expected to be effectively used in the tourism industry from the perspective of employee education.&quot;,&quot;publisher&quot;:&quot;Elsevier B.V.&quot;,&quot;volume&quot;:&quot;207&quot;},&quot;isTemporary&quot;:false}]},{&quot;citationID&quot;:&quot;MENDELEY_CITATION_472ed5b5-9db6-4f4c-bd1e-071abece96fd&quot;,&quot;properties&quot;:{&quot;noteIndex&quot;:0},&quot;isEdited&quot;:false,&quot;manualOverride&quot;:{&quot;isManuallyOverridden&quot;:false,&quot;citeprocText&quot;:&quot;(Rahmanu &amp;#38; Molnár, 2026; Takada et al., 2022)&quot;,&quot;manualOverrideText&quot;:&quot;&quot;},&quot;citationTag&quot;:&quot;MENDELEY_CITATION_v3_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&quot;,&quot;citationItems&quot;:[{&quot;id&quot;:&quot;86967d6b-a2fc-30b1-b580-96332dd0ce70&quot;,&quot;itemData&quot;:{&quot;type&quot;:&quot;article&quot;,&quot;id&quot;:&quot;86967d6b-a2fc-30b1-b580-96332dd0ce70&quot;,&quot;title&quot;:&quot;Virtual reality in English language education: A systematic review of opportunities and challenges in higher education&quot;,&quot;author&quot;:[{&quot;family&quot;:&quot;Rahmanu&quot;,&quot;given&quot;:&quot;I. Wayan Eka Dian&quot;,&quot;parse-names&quot;:false,&quot;dropping-particle&quot;:&quot;&quot;,&quot;non-dropping-particle&quot;:&quot;&quot;},{&quot;family&quot;:&quot;Molnár&quot;,&quot;given&quot;:&quot;Gyöngyvér&quot;,&quot;parse-names&quot;:false,&quot;dropping-particle&quot;:&quot;&quot;,&quot;non-dropping-particle&quot;:&quot;&quot;}],&quot;container-title&quot;:&quot;Acta Psychologica&quot;,&quot;container-title-short&quot;:&quot;Acta Psychol. (Amst).&quot;,&quot;DOI&quot;:&quot;10.1016/j.actpsy.2026.106358&quot;,&quot;ISSN&quot;:&quot;18736297&quot;,&quot;issued&quot;:{&quot;date-parts&quot;:[[2026,4,1]]},&quot;abstract&quot;:&quot;This review systematically examines the benefits and challenges of integrating Virtual Reality (VR) into English language instruction in higher education. Analysing 27 studies published between 2014 and 2024, the findings reveal that VR has been predominantly utilised as an instructional tool across diverse domains, including General English, English as a Foreign Language (EFL), English as a Second Language (ESL), English for Specific Purposes (ESP), English for Occupational Purposes (EOP), and English for Academic Purposes (EAP). The technology has been shown to enhance core language competencies such as speaking, writing, and vocabulary acquisition, with applications spanning vocational training, university programs, and specialised courses. Fully immersive VR, low-cost immersive VR and low-immersive VR were designed by the prior study in exploring learners' English language skills. However, challenges such as dizziness, fatigue, motion sickness, neck pain, and cognitive overload were identified as potential barriers to effective learning. The review further highlights underexplored opportunities for future research, including the integration of cognitive and metacognitive assessments, gamified learning environments, and evaluations of VR's impact on learner motivation. These insights aim to guide educators and researchers in refining VR-based language education strategies while addressing current limitations.&quot;,&quot;publisher&quot;:&quot;Elsevier B.V.&quot;,&quot;volume&quot;:&quot;264&quot;},&quot;isTemporary&quot;:false},{&quot;id&quot;:&quot;6f0732f2-a154-3974-9987-6f26b18b92ec&quot;,&quot;itemData&quot;:{&quot;type&quot;:&quot;paper-conference&quot;,&quot;id&quot;:&quot;6f0732f2-a154-3974-9987-6f26b18b92ec&quot;,&quot;title&quot;:&quot;A preliminary study of VR English training material for personnel in the tourism industry&quot;,&quot;author&quot;:[{&quot;family&quot;:&quot;Takada&quot;,&quot;given&quot;:&quot;Kazumine&quot;,&quot;parse-names&quot;:false,&quot;dropping-particle&quot;:&quot;&quot;,&quot;non-dropping-particle&quot;:&quot;&quot;},{&quot;family&quot;:&quot;Murakami&quot;,&quot;given&quot;:&quot;Kayoko H.&quot;,&quot;parse-names&quot;:false,&quot;dropping-particle&quot;:&quot;&quot;,&quot;non-dropping-particle&quot;:&quot;&quot;},{&quot;family&quot;:&quot;Yamazaki&quot;,&quot;given&quot;:&quot;Atsuko K.&quot;,&quot;parse-names&quot;:false,&quot;dropping-particle&quot;:&quot;&quot;,&quot;non-dropping-particle&quot;:&quot;&quot;},{&quot;family&quot;:&quot;Yamanaka&quot;,&quot;given&quot;:&quot;Tsukasa&quot;,&quot;parse-names&quot;:false,&quot;dropping-particle&quot;:&quot;&quot;,&quot;non-dropping-particle&quot;:&quot;&quot;}],&quot;container-title&quot;:&quot;Procedia Computer Science&quot;,&quot;container-title-short&quot;:&quot;Procedia Comput. Sci.&quot;,&quot;DOI&quot;:&quot;10.1016/j.procs.2022.09.432&quot;,&quot;ISSN&quot;:&quot;18770509&quot;,&quot;issued&quot;:{&quot;date-parts&quot;:[[2022]]},&quot;page&quot;:&quot;3715-3723&quot;,&quot;abstract&quot;:&quot;As the COVID-19 pandemic settles, foreign visitors to Japan are expected to outnumber inbound tourists number before the pandemic. However, a shortage of personnel with proper English skills demands English training programs for hospitality service personnel in the tourism industry. In this study, the authors developed a prototype of a virtual reality (VR) training material for hospitality service personnel to practice and experience tough communication scenarios in English. The material's impacts were explored by monitoring changes in frontal brain hemoglobin concentration and heart rates of subjects who engaged in VR training and conversation sessions with an English conversation trainer. The measurements of the physiological data obtained from the subjects before and after they underwent VR training showed that the subjects tended to be more relaxed when they responded to difficult English conversations after the training. The results show that VR training materials can reduce the anxiety of hospitality service personnel who must engage in English communication at a hotel front or a restaurant, and this type of learning material is expected to be effectively used in the tourism industry from the perspective of employee education.&quot;,&quot;publisher&quot;:&quot;Elsevier B.V.&quot;,&quot;volume&quot;:&quot;207&quot;},&quot;isTemporary&quot;:false}]},{&quot;citationID&quot;:&quot;MENDELEY_CITATION_199bb826-7ee3-4dd4-b736-c8d278ba48b5&quot;,&quot;properties&quot;:{&quot;noteIndex&quot;:0},&quot;isEdited&quot;:false,&quot;manualOverride&quot;:{&quot;isManuallyOverridden&quot;:false,&quot;citeprocText&quot;:&quot;(Al-Tarawneh &amp;#38; Osam, 2019; Ghany &amp;#38; Latif, 2012)&quot;,&quot;manualOverrideText&quot;:&quot;&quot;},&quot;citationTag&quot;:&quot;MENDELEY_CITATION_v3_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&quot;,&quot;citationItems&quot;:[{&quot;id&quot;:&quot;0c85da0c-58eb-345f-b5d1-0c183742ef1e&quot;,&quot;itemData&quot;:{&quot;type&quot;:&quot;article-journal&quot;,&quot;id&quot;:&quot;0c85da0c-58eb-345f-b5d1-0c183742ef1e&quot;,&quot;title&quot;:&quot;English language preparation of tourism and hospitality undergraduates in Egypt: Does it meet their future workplace requirements?&quot;,&quot;author&quot;:[{&quot;family&quot;:&quot;Ghany&quot;,&quot;given&quot;:&quot;Sayed Younis Abdel&quot;,&quot;parse-names&quot;:false,&quot;dropping-particle&quot;:&quot;&quot;,&quot;non-dropping-particle&quot;:&quot;&quot;},{&quot;family&quot;:&quot;Latif&quot;,&quot;given&quot;:&quot;Muhammad M.Abdel&quot;,&quot;parse-names&quot;:false,&quot;dropping-particle&quot;:&quot;&quot;,&quot;non-dropping-particle&quot;:&quot;&quot;}],&quot;container-title&quot;:&quot;Journal of Hospitality, Leisure, Sport and Tourism Education&quot;,&quot;container-title-short&quot;:&quot;J. Hosp. Leis. Sport Tour. Educ.&quot;,&quot;DOI&quot;:&quot;10.1016/j.jhlste.2012.05.001&quot;,&quot;ISSN&quot;:&quot;14738376&quot;,&quot;issued&quot;:{&quot;date-parts&quot;:[[2012]]},&quot;page&quot;:&quot;93-100&quot;,&quot;abstract&quot;:&quot;For Egyptian tourism and hospitality university students, mastering English is a prerequisite for getting a job related to their major after graduation. The study reported in this paper examined the English language preparation of tourism and hospitality undergraduates in Egypt and its adequacy as perceived by teachers and students. The interview data showed that the students' views on their English language preparation and on their perceived English language needs differed from those of their teachers. Highlighting some shortcomings of the English language instruction provided to these students, the study suggests reshaping it in a way that could optimally help them be well-prepared for meeting their future workplace requirements. © 2012 Elsevier Ltd. All rights reserved.&quot;,&quot;publisher&quot;:&quot;Elsevier B.V.&quot;,&quot;issue&quot;:&quot;2&quot;,&quot;volume&quot;:&quot;11&quot;},&quot;isTemporary&quot;:false},{&quot;id&quot;:&quot;f5f00fe9-f9bd-3642-a4c6-d40f7f6fbaed&quot;,&quot;itemData&quot;:{&quot;type&quot;:&quot;article-journal&quot;,&quot;id&quot;:&quot;f5f00fe9-f9bd-3642-a4c6-d40f7f6fbaed&quot;,&quot;title&quot;:&quot;Tourism English training at the tertiary level in Jordan: Reality and expectations from a university context&quot;,&quot;author&quot;:[{&quot;family&quot;:&quot;Al-Tarawneh&quot;,&quot;given&quot;:&quot;Mohammad Qasim&quot;,&quot;parse-names&quot;:false,&quot;dropping-particle&quot;:&quot;&quot;,&quot;non-dropping-particle&quot;:&quot;&quot;},{&quot;family&quot;:&quot;Osam&quot;,&quot;given&quot;:&quot;Ulker Vanci&quot;,&quot;parse-names&quot;:false,&quot;dropping-particle&quot;:&quot;&quot;,&quot;non-dropping-particle&quot;:&quot;&quot;}],&quot;container-title&quot;:&quot;Journal of Hospitality, Leisure, Sport and Tourism Education&quot;,&quot;container-title-short&quot;:&quot;J. Hosp. Leis. Sport Tour. Educ.&quot;,&quot;DOI&quot;:&quot;10.1016/j.jhlste.2019.02.005&quot;,&quot;ISSN&quot;:&quot;14738376&quot;,&quot;issued&quot;:{&quot;date-parts&quot;:[[2019,6,1]]},&quot;page&quot;:&quot;155-167&quot;,&quot;abstract&quot;:&quot;This qualitative study aims at assessing the possible mismatch of Tourism English skills between the training offered at a university and the skills (tasks) required in the tourism sector in Jordan. To do this, the study uses a combination of two evaluation models to first evaluate the effectiveness of Tourism English (TE) training offered at the university, and then investigate needs and perceptions which might help improve the existing program and plan for a TE course syllabus, accordingly. Interviews were used among 42 stakeholders, representing current Tourism students, graduates, instructors, and local Tourism employers. The results revealed significant gaps between needs and expectations and the training provided. The participants’ suggestions as regards the graduates’ TE needs and field employability were analyzed, attempting to describe what a TE course syllabus should look like in terms of goals, content and sequencing, format and presentation, and monitoring and assessment.&quot;,&quot;publisher&quot;:&quot;Elsevier B.V.&quot;,&quot;volume&quot;:&quot;24&quot;},&quot;isTemporary&quot;:false}]},{&quot;citationID&quot;:&quot;MENDELEY_CITATION_a737a25b-5d73-4633-9977-f3004d0f2200&quot;,&quot;properties&quot;:{&quot;noteIndex&quot;:0},&quot;isEdited&quot;:false,&quot;manualOverride&quot;:{&quot;isManuallyOverridden&quot;:false,&quot;citeprocText&quot;:&quot;(Cloudia Ho, 2020; Ghany &amp;#38; Latif, 2012)&quot;,&quot;manualOverrideText&quot;:&quot;&quot;},&quot;citationTag&quot;:&quot;MENDELEY_CITATION_v3_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&quot;,&quot;citationItems&quot;:[{&quot;id&quot;:&quot;327d174b-e0a0-34f9-9bf5-e662d658c38f&quot;,&quot;itemData&quot;:{&quot;type&quot;:&quot;article-journal&quot;,&quot;id&quot;:&quot;327d174b-e0a0-34f9-9bf5-e662d658c38f&quot;,&quot;title&quot;:&quot;Communicative language teaching and English as a foreign language undergraduates’ communicative competence in Tourism English&quot;,&quot;author&quot;:[{&quot;family&quot;:&quot;Cloudia Ho&quot;,&quot;given&quot;:&quot;Ya Yu&quot;,&quot;parse-names&quot;:false,&quot;dropping-particle&quot;:&quot;&quot;,&quot;non-dropping-particle&quot;:&quot;&quot;}],&quot;container-title&quot;:&quot;Journal of Hospitality, Leisure, Sport and Tourism Education&quot;,&quot;container-title-short&quot;:&quot;J. Hosp. Leis. Sport Tour. Educ.&quot;,&quot;DOI&quot;:&quot;10.1016/j.jhlste.2020.100271&quot;,&quot;ISSN&quot;:&quot;14738376&quot;,&quot;issued&quot;:{&quot;date-parts&quot;:[[2020,11,1]]},&quot;abstract&quot;:&quot;Due to the increasing demand of English-speaking professionals in the tourism and hospitality industry, the objective of this study was to investigate the influence of implementing Communicative Language Teaching (CLT) on cultivating undergraduates' communicative competence in Tourism English in an English as a Foreign Language (EFL) classroom. This study adopted mixed methods research design. 70 Taiwanese undergraduates were recruited to participate in the pretests (paper-based and oral-based), pre-questionnaires, posttests (paper-based and oral-based), post-questionnaires, and focus group interviews. Quantitative data was analyzed via descriptive analysis and paired-samples t-test. Qualitative data was examined by thematic analysis. Findings indicated that students' progress towards better communicative competence in paper-based tests and oral-based tests were both significant. Their perceptions of communicative competence also echoed the results. The findings of the study implied that Communicative Language Teaching (CLT) facilitates students’ English learning, raises their confidence, and enhances their communicative competence in Tourism English. This study ultimately provides practical suggestions for pedagogy.&quot;,&quot;publisher&quot;:&quot;Elsevier B.V.&quot;,&quot;volume&quot;:&quot;27&quot;},&quot;isTemporary&quot;:false},{&quot;id&quot;:&quot;0c85da0c-58eb-345f-b5d1-0c183742ef1e&quot;,&quot;itemData&quot;:{&quot;type&quot;:&quot;article-journal&quot;,&quot;id&quot;:&quot;0c85da0c-58eb-345f-b5d1-0c183742ef1e&quot;,&quot;title&quot;:&quot;English language preparation of tourism and hospitality undergraduates in Egypt: Does it meet their future workplace requirements?&quot;,&quot;author&quot;:[{&quot;family&quot;:&quot;Ghany&quot;,&quot;given&quot;:&quot;Sayed Younis Abdel&quot;,&quot;parse-names&quot;:false,&quot;dropping-particle&quot;:&quot;&quot;,&quot;non-dropping-particle&quot;:&quot;&quot;},{&quot;family&quot;:&quot;Latif&quot;,&quot;given&quot;:&quot;Muhammad M.Abdel&quot;,&quot;parse-names&quot;:false,&quot;dropping-particle&quot;:&quot;&quot;,&quot;non-dropping-particle&quot;:&quot;&quot;}],&quot;container-title&quot;:&quot;Journal of Hospitality, Leisure, Sport and Tourism Education&quot;,&quot;container-title-short&quot;:&quot;J. Hosp. Leis. Sport Tour. Educ.&quot;,&quot;DOI&quot;:&quot;10.1016/j.jhlste.2012.05.001&quot;,&quot;ISSN&quot;:&quot;14738376&quot;,&quot;issued&quot;:{&quot;date-parts&quot;:[[2012]]},&quot;page&quot;:&quot;93-100&quot;,&quot;abstract&quot;:&quot;For Egyptian tourism and hospitality university students, mastering English is a prerequisite for getting a job related to their major after graduation. The study reported in this paper examined the English language preparation of tourism and hospitality undergraduates in Egypt and its adequacy as perceived by teachers and students. The interview data showed that the students' views on their English language preparation and on their perceived English language needs differed from those of their teachers. Highlighting some shortcomings of the English language instruction provided to these students, the study suggests reshaping it in a way that could optimally help them be well-prepared for meeting their future workplace requirements. © 2012 Elsevier Ltd. All rights reserved.&quot;,&quot;publisher&quot;:&quot;Elsevier B.V.&quot;,&quot;issue&quot;:&quot;2&quot;,&quot;volume&quot;:&quot;11&quot;},&quot;isTemporary&quot;:false}]},{&quot;citationID&quot;:&quot;MENDELEY_CITATION_ce6199f9-129a-434b-abeb-1fa228b851f5&quot;,&quot;properties&quot;:{&quot;noteIndex&quot;:0},&quot;isEdited&quot;:false,&quot;manualOverride&quot;:{&quot;isManuallyOverridden&quot;:false,&quot;citeprocText&quot;:&quot;(Rahmanu &amp;#38; Molnár, 2026; Takada et al., 2022)&quot;,&quot;manualOverrideText&quot;:&quot;&quot;},&quot;citationTag&quot;:&quot;MENDELEY_CITATION_v3_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&quot;,&quot;citationItems&quot;:[{&quot;id&quot;:&quot;6f0732f2-a154-3974-9987-6f26b18b92ec&quot;,&quot;itemData&quot;:{&quot;type&quot;:&quot;paper-conference&quot;,&quot;id&quot;:&quot;6f0732f2-a154-3974-9987-6f26b18b92ec&quot;,&quot;title&quot;:&quot;A preliminary study of VR English training material for personnel in the tourism industry&quot;,&quot;author&quot;:[{&quot;family&quot;:&quot;Takada&quot;,&quot;given&quot;:&quot;Kazumine&quot;,&quot;parse-names&quot;:false,&quot;dropping-particle&quot;:&quot;&quot;,&quot;non-dropping-particle&quot;:&quot;&quot;},{&quot;family&quot;:&quot;Murakami&quot;,&quot;given&quot;:&quot;Kayoko H.&quot;,&quot;parse-names&quot;:false,&quot;dropping-particle&quot;:&quot;&quot;,&quot;non-dropping-particle&quot;:&quot;&quot;},{&quot;family&quot;:&quot;Yamazaki&quot;,&quot;given&quot;:&quot;Atsuko K.&quot;,&quot;parse-names&quot;:false,&quot;dropping-particle&quot;:&quot;&quot;,&quot;non-dropping-particle&quot;:&quot;&quot;},{&quot;family&quot;:&quot;Yamanaka&quot;,&quot;given&quot;:&quot;Tsukasa&quot;,&quot;parse-names&quot;:false,&quot;dropping-particle&quot;:&quot;&quot;,&quot;non-dropping-particle&quot;:&quot;&quot;}],&quot;container-title&quot;:&quot;Procedia Computer Science&quot;,&quot;container-title-short&quot;:&quot;Procedia Comput. Sci.&quot;,&quot;DOI&quot;:&quot;10.1016/j.procs.2022.09.432&quot;,&quot;ISSN&quot;:&quot;18770509&quot;,&quot;issued&quot;:{&quot;date-parts&quot;:[[2022]]},&quot;page&quot;:&quot;3715-3723&quot;,&quot;abstract&quot;:&quot;As the COVID-19 pandemic settles, foreign visitors to Japan are expected to outnumber inbound tourists number before the pandemic. However, a shortage of personnel with proper English skills demands English training programs for hospitality service personnel in the tourism industry. In this study, the authors developed a prototype of a virtual reality (VR) training material for hospitality service personnel to practice and experience tough communication scenarios in English. The material's impacts were explored by monitoring changes in frontal brain hemoglobin concentration and heart rates of subjects who engaged in VR training and conversation sessions with an English conversation trainer. The measurements of the physiological data obtained from the subjects before and after they underwent VR training showed that the subjects tended to be more relaxed when they responded to difficult English conversations after the training. The results show that VR training materials can reduce the anxiety of hospitality service personnel who must engage in English communication at a hotel front or a restaurant, and this type of learning material is expected to be effectively used in the tourism industry from the perspective of employee education.&quot;,&quot;publisher&quot;:&quot;Elsevier B.V.&quot;,&quot;volume&quot;:&quot;207&quot;},&quot;isTemporary&quot;:false},{&quot;id&quot;:&quot;86967d6b-a2fc-30b1-b580-96332dd0ce70&quot;,&quot;itemData&quot;:{&quot;type&quot;:&quot;article&quot;,&quot;id&quot;:&quot;86967d6b-a2fc-30b1-b580-96332dd0ce70&quot;,&quot;title&quot;:&quot;Virtual reality in English language education: A systematic review of opportunities and challenges in higher education&quot;,&quot;author&quot;:[{&quot;family&quot;:&quot;Rahmanu&quot;,&quot;given&quot;:&quot;I. Wayan Eka Dian&quot;,&quot;parse-names&quot;:false,&quot;dropping-particle&quot;:&quot;&quot;,&quot;non-dropping-particle&quot;:&quot;&quot;},{&quot;family&quot;:&quot;Molnár&quot;,&quot;given&quot;:&quot;Gyöngyvér&quot;,&quot;parse-names&quot;:false,&quot;dropping-particle&quot;:&quot;&quot;,&quot;non-dropping-particle&quot;:&quot;&quot;}],&quot;container-title&quot;:&quot;Acta Psychologica&quot;,&quot;container-title-short&quot;:&quot;Acta Psychol. (Amst).&quot;,&quot;DOI&quot;:&quot;10.1016/j.actpsy.2026.106358&quot;,&quot;ISSN&quot;:&quot;18736297&quot;,&quot;issued&quot;:{&quot;date-parts&quot;:[[2026,4,1]]},&quot;abstract&quot;:&quot;This review systematically examines the benefits and challenges of integrating Virtual Reality (VR) into English language instruction in higher education. Analysing 27 studies published between 2014 and 2024, the findings reveal that VR has been predominantly utilised as an instructional tool across diverse domains, including General English, English as a Foreign Language (EFL), English as a Second Language (ESL), English for Specific Purposes (ESP), English for Occupational Purposes (EOP), and English for Academic Purposes (EAP). The technology has been shown to enhance core language competencies such as speaking, writing, and vocabulary acquisition, with applications spanning vocational training, university programs, and specialised courses. Fully immersive VR, low-cost immersive VR and low-immersive VR were designed by the prior study in exploring learners' English language skills. However, challenges such as dizziness, fatigue, motion sickness, neck pain, and cognitive overload were identified as potential barriers to effective learning. The review further highlights underexplored opportunities for future research, including the integration of cognitive and metacognitive assessments, gamified learning environments, and evaluations of VR's impact on learner motivation. These insights aim to guide educators and researchers in refining VR-based language education strategies while addressing current limitations.&quot;,&quot;publisher&quot;:&quot;Elsevier B.V.&quot;,&quot;volume&quot;:&quot;264&quot;},&quot;isTemporary&quot;:false}]},{&quot;citationID&quot;:&quot;MENDELEY_CITATION_79aa6867-4681-46e8-ac26-68bc77472bfe&quot;,&quot;properties&quot;:{&quot;noteIndex&quot;:0},&quot;isEdited&quot;:false,&quot;manualOverride&quot;:{&quot;isManuallyOverridden&quot;:false,&quot;citeprocText&quot;:&quot;(Tao &amp;#38; Gao, 2017)&quot;,&quot;manualOverrideText&quot;:&quot;&quot;},&quot;citationTag&quot;:&quot;MENDELEY_CITATION_v3_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&quot;,&quot;citationItems&quot;:[{&quot;id&quot;:&quot;06ba3745-2d17-301f-b047-b93b1c6bff3d&quot;,&quot;itemData&quot;:{&quot;type&quot;:&quot;article-journal&quot;,&quot;id&quot;:&quot;06ba3745-2d17-301f-b047-b93b1c6bff3d&quot;,&quot;title&quot;:&quot;Teacher agency and identity commitment in curricular reform&quot;,&quot;author&quot;:[{&quot;family&quot;:&quot;Tao&quot;,&quot;given&quot;:&quot;Jian&quot;,&quot;parse-names&quot;:false,&quot;dropping-particle&quot;:&quot;&quot;,&quot;non-dropping-particle&quot;:&quot;&quot;},{&quot;family&quot;:&quot;Gao&quot;,&quot;given&quot;:&quot;Xuesong&quot;,&quot;parse-names&quot;:false,&quot;dropping-particle&quot;:&quot;&quot;,&quot;non-dropping-particle&quot;:&quot;&quot;}],&quot;container-title&quot;:&quot;Teaching and Teacher Education&quot;,&quot;container-title-short&quot;:&quot;Teach. Teach. Educ.&quot;,&quot;DOI&quot;:&quot;10.1016/j.tate.2017.01.010&quot;,&quot;ISSN&quot;:&quot;0742051X&quot;,&quot;issued&quot;:{&quot;date-parts&quot;:[[2017,4,1]]},&quot;page&quot;:&quot;346-355&quot;,&quot;abstract&quot;:&quot;This study explores how teachers enact agency to facilitate their professional development during curricular reform at a Chinese university. An analysis of data derived from life history interviews with eight language teachers complemented with field notes reveals differential agentic choices and actions. The teachers’ learning, teaching and research endeavours in relation to the new curriculum are directed by various identity commitments and enacted in highly individualised ways, as mediated by their prior experiences. By situating teachers’ agency in their individual professional trajectories, this study conceptualises interaction of teacher agency and identity commitment to professional development during curricular reform.&quot;,&quot;publisher&quot;:&quot;Elsevier Ltd&quot;,&quot;volume&quot;:&quot;63&quot;},&quot;isTemporary&quot;:false}]},{&quot;citationID&quot;:&quot;MENDELEY_CITATION_4814521d-51a6-43fe-8484-a6cddc3f2fa4&quot;,&quot;properties&quot;:{&quot;noteIndex&quot;:0},&quot;isEdited&quot;:false,&quot;manualOverride&quot;:{&quot;isManuallyOverridden&quot;:false,&quot;citeprocText&quot;:&quot;(Ju et al., 2025)&quot;,&quot;manualOverrideText&quot;:&quot;&quot;},&quot;citationTag&quot;:&quot;MENDELEY_CITATION_v3_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&quot;,&quot;citationItems&quot;:[{&quot;id&quot;:&quot;1eb8332a-4d69-38ae-87bd-c78d555baf84&quot;,&quot;itemData&quot;:{&quot;type&quot;:&quot;article-journal&quot;,&quot;id&quot;:&quot;1eb8332a-4d69-38ae-87bd-c78d555baf84&quot;,&quot;title&quot;:&quot;Integrating augmented reality into event tourism education: Enhancing experiential value and authenticity&quot;,&quot;author&quot;:[{&quot;family&quot;:&quot;Ju&quot;,&quot;given&quot;:&quot;Yuan&quot;,&quot;parse-names&quot;:false,&quot;dropping-particle&quot;:&quot;&quot;,&quot;non-dropping-particle&quot;:&quot;&quot;},{&quot;family&quot;:&quot;Tsai&quot;,&quot;given&quot;:&quot;Yi Ying&quot;,&quot;parse-names&quot;:false,&quot;dropping-particle&quot;:&quot;&quot;,&quot;non-dropping-particle&quot;:&quot;&quot;},{&quot;family&quot;:&quot;Gao&quot;,&quot;given&quot;:&quot;Sun Yu&quot;,&quot;parse-names&quot;:false,&quot;dropping-particle&quot;:&quot;&quot;,&quot;non-dropping-particle&quot;:&quot;&quot;},{&quot;family&quot;:&quot;Wu&quot;,&quot;given&quot;:&quot;Tai liang&quot;,&quot;parse-names&quot;:false,&quot;dropping-particle&quot;:&quot;&quot;,&quot;non-dropping-particle&quot;:&quot;&quot;},{&quot;family&quot;:&quot;Tseng&quot;,&quot;given&quot;:&quot;Tzu Lan&quot;,&quot;parse-names&quot;:false,&quot;dropping-particle&quot;:&quot;&quot;,&quot;non-dropping-particle&quot;:&quot;&quot;}],&quot;container-title&quot;:&quot;Journal of Hospitality, Leisure, Sport and Tourism Education&quot;,&quot;container-title-short&quot;:&quot;J. Hosp. Leis. Sport Tour. Educ.&quot;,&quot;DOI&quot;:&quot;10.1016/j.jhlste.2025.100571&quot;,&quot;ISSN&quot;:&quot;14738376&quot;,&quot;issued&quot;:{&quot;date-parts&quot;:[[2025,11,1]]},&quot;abstract&quot;:&quot;Cultural expositions have evolved from static displays to dynamic experiential platforms that integrate immersive technologies, fostering innovation in event organizing and management. In the field of event organizing education, these expositions provide an ideal setting for exploring immersive teaching methods and experiential learning strategies. This study examines the role of AR as a pedagogical tool in event organizing training, focusing on its impact on learners' experiential value, perceived authenticity, satisfaction and skill development. To address gaps in existing research, this study conducted an 18-week quasi-experimental investigation involving 120 undergraduate and postgraduate learners enrolled in event organizing programs in Taiwan. The learners, representing diverse cultural backgrounds, were divided into two groups: an experimental group, which engaged in AR-based event simulations, and a control group, which received traditional lecture-based instruction. Results demonstrated that AR-enhanced training significantly improved learners’ engagement, practical competencies, and ability to design immersive audience experiences. These findings highlight the potential of AR to transform event organizing education by bridging theory with practice, fostering deeper learner engagement, and preparing future event professionals with the skills necessary for real-world applications. This study offers practical implications for event educators, organizers, and industry stakeholders, advocating for the integration of AR-driven experiential learning into event organizing curricula to align with evolving industry demands.&quot;,&quot;publisher&quot;:&quot;Elsevier B.V.&quot;,&quot;volume&quot;:&quot;37&quot;},&quot;isTemporary&quot;:false}]},{&quot;citationID&quot;:&quot;MENDELEY_CITATION_6d21fbaa-4d2c-4b20-b65e-07bcb231caee&quot;,&quot;properties&quot;:{&quot;noteIndex&quot;:0},&quot;isEdited&quot;:false,&quot;manualOverride&quot;:{&quot;isManuallyOverridden&quot;:false,&quot;citeprocText&quot;:&quot;(Cloudia Ho, 2020)&quot;,&quot;manualOverrideText&quot;:&quot;&quot;},&quot;citationTag&quot;:&quot;MENDELEY_CITATION_v3_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&quot;,&quot;citationItems&quot;:[{&quot;id&quot;:&quot;327d174b-e0a0-34f9-9bf5-e662d658c38f&quot;,&quot;itemData&quot;:{&quot;type&quot;:&quot;article-journal&quot;,&quot;id&quot;:&quot;327d174b-e0a0-34f9-9bf5-e662d658c38f&quot;,&quot;title&quot;:&quot;Communicative language teaching and English as a foreign language undergraduates’ communicative competence in Tourism English&quot;,&quot;author&quot;:[{&quot;family&quot;:&quot;Cloudia Ho&quot;,&quot;given&quot;:&quot;Ya Yu&quot;,&quot;parse-names&quot;:false,&quot;dropping-particle&quot;:&quot;&quot;,&quot;non-dropping-particle&quot;:&quot;&quot;}],&quot;container-title&quot;:&quot;Journal of Hospitality, Leisure, Sport and Tourism Education&quot;,&quot;container-title-short&quot;:&quot;J. Hosp. Leis. Sport Tour. Educ.&quot;,&quot;DOI&quot;:&quot;10.1016/j.jhlste.2020.100271&quot;,&quot;ISSN&quot;:&quot;14738376&quot;,&quot;issued&quot;:{&quot;date-parts&quot;:[[2020,11,1]]},&quot;abstract&quot;:&quot;Due to the increasing demand of English-speaking professionals in the tourism and hospitality industry, the objective of this study was to investigate the influence of implementing Communicative Language Teaching (CLT) on cultivating undergraduates' communicative competence in Tourism English in an English as a Foreign Language (EFL) classroom. This study adopted mixed methods research design. 70 Taiwanese undergraduates were recruited to participate in the pretests (paper-based and oral-based), pre-questionnaires, posttests (paper-based and oral-based), post-questionnaires, and focus group interviews. Quantitative data was analyzed via descriptive analysis and paired-samples t-test. Qualitative data was examined by thematic analysis. Findings indicated that students' progress towards better communicative competence in paper-based tests and oral-based tests were both significant. Their perceptions of communicative competence also echoed the results. The findings of the study implied that Communicative Language Teaching (CLT) facilitates students’ English learning, raises their confidence, and enhances their communicative competence in Tourism English. This study ultimately provides practical suggestions for pedagogy.&quot;,&quot;publisher&quot;:&quot;Elsevier B.V.&quot;,&quot;volume&quot;:&quot;27&quot;},&quot;isTemporary&quot;:false}]},{&quot;citationID&quot;:&quot;MENDELEY_CITATION_cb9ce8c8-d103-4433-bc88-3d6677215d8f&quot;,&quot;properties&quot;:{&quot;noteIndex&quot;:0},&quot;isEdited&quot;:false,&quot;manualOverride&quot;:{&quot;isManuallyOverridden&quot;:false,&quot;citeprocText&quot;:&quot;(Hair et al., 2011; Henseler et al., 2014)&quot;,&quot;manualOverrideText&quot;:&quot;&quot;},&quot;citationTag&quot;:&quot;MENDELEY_CITATION_v3_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&quot;,&quot;citationItems&quot;:[{&quot;id&quot;:&quot;46fd83f4-5e71-35dd-ba13-99bbe8debaa4&quot;,&quot;itemData&quot;:{&quot;type&quot;:&quot;article-journal&quot;,&quot;id&quot;:&quot;46fd83f4-5e71-35dd-ba13-99bbe8debaa4&quot;,&quot;title&quot;:&quot;PLS-SEM: Indeed a Silver Bullet&quot;,&quot;author&quot;:[{&quot;family&quot;:&quot;Hair&quot;,&quot;given&quot;:&quot;J.F.&quot;,&quot;parse-names&quot;:false,&quot;dropping-particle&quot;:&quot;&quot;,&quot;non-dropping-particle&quot;:&quot;&quot;},{&quot;family&quot;:&quot;Ringle&quot;,&quot;given&quot;:&quot;C.M.&quot;,&quot;parse-names&quot;:false,&quot;dropping-particle&quot;:&quot;&quot;,&quot;non-dropping-particle&quot;:&quot;&quot;},{&quot;family&quot;:&quot;Sarstedt&quot;,&quot;given&quot;:&quot;M.&quot;,&quot;parse-names&quot;:false,&quot;dropping-particle&quot;:&quot;&quot;,&quot;non-dropping-particle&quot;:&quot;&quot;}],&quot;container-title&quot;:&quot;Journal of Marketing Theory and Practice&quot;,&quot;issued&quot;:{&quot;date-parts&quot;:[[2011]]},&quot;page&quot;:&quot;139-152&quot;,&quot;issue&quot;:&quot;2&quot;,&quot;volume&quot;:&quot;19&quot;,&quot;container-title-short&quot;:&quot;&quot;},&quot;isTemporary&quot;:false},{&quot;id&quot;:&quot;9ffef4e8-6e7f-38d4-9288-c62f8c5848c5&quot;,&quot;itemData&quot;:{&quot;type&quot;:&quot;article-journal&quot;,&quot;id&quot;:&quot;9ffef4e8-6e7f-38d4-9288-c62f8c5848c5&quot;,&quot;title&quot;:&quot;A new criterion for assessing discriminant validity in variance-based structural equation modeling&quot;,&quot;author&quot;:[{&quot;family&quot;:&quot;Henseler&quot;,&quot;given&quot;:&quot;Jörg&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container-title&quot;:&quot;Journal of the Academy of Marketing Science&quot;,&quot;container-title-short&quot;:&quot;J. Acad. Mark. Sci.&quot;,&quot;DOI&quot;:&quot;10.1007/s11747-014-0403-8&quot;,&quot;ISSN&quot;:&quot;00920703&quot;,&quot;issued&quot;:{&quot;date-parts&quot;:[[2014]]},&quot;abstract&quot;:&quot;Discriminant validity assessment has become a generally accepted prerequisite for analyzing relationships between latent variables. For variance-based structural equation modeling, such as partial least squares, the Fornell-Larcker criterion and the examination of cross-loadings are the dominant approaches for evaluating discriminant validity. By means of a simulation study, we show that these approaches do not reliably detect the lack of discriminant validity in common research situations. We therefore propose an alternative approach, based on the multitrait-multimethod matrix, to assess discriminant validity: the heterotrait-monotrait ratio of correlations. We demonstrate its superior performance by means of a Monte Carlo simulation study, in which we compare the new approach to the Fornell-Larcker criterion and the assessment of (partial) cross-loadings. Finally, we provide guidelines on how to handle discriminant validity issues in variance-based structural equation modeling.&quot;},&quot;isTemporary&quot;:false}]},{&quot;citationID&quot;:&quot;MENDELEY_CITATION_7f8a3a7b-de51-4048-a333-00ee79c88c35&quot;,&quot;properties&quot;:{&quot;noteIndex&quot;:0},&quot;isEdited&quot;:false,&quot;manualOverride&quot;:{&quot;isManuallyOverridden&quot;:true,&quot;citeprocText&quot;:&quot;(Joseph F. Hair et al., 2023)&quot;,&quot;manualOverrideText&quot;:&quot;(Hair et al., 2023)&quot;},&quot;citationItems&quot;:[{&quot;id&quot;:&quot;d88cc7ee-1f62-37ae-8749-d015aab8653b&quot;,&quot;itemData&quot;:{&quot;type&quot;:&quot;book&quot;,&quot;id&quot;:&quot;d88cc7ee-1f62-37ae-8749-d015aab8653b&quot;,&quot;title&quot;:&quot;Advanced Issues in Partial Least Squares Structural Equation Modeling&quot;,&quot;author&quot;:[{&quot;family&quot;:&quot;Joseph F. Hair&quot;,&quot;given&quot;:&quot;Jr&quot;,&quot;parse-names&quot;:false,&quot;dropping-particle&quot;:&quot;&quot;,&quot;non-dropping-particle&quot;:&quot;&quot;},{&quot;family&quot;:&quot;Marko&quot;,&quot;given&quot;:&quot;Sarstedt&quot;,&quot;parse-names&quot;:false,&quot;dropping-particle&quot;:&quot;&quot;,&quot;non-dropping-particle&quot;:&quot;&quot;},{&quot;family&quot;:&quot;Christian M. Ringle&quot;,&quot;given&quot;:&quot;&quot;,&quot;parse-names&quot;:false,&quot;dropping-particle&quot;:&quot;&quot;,&quot;non-dropping-particle&quot;:&quot;&quot;},{&quot;family&quot;:&quot;Siegfried P. Gudergan&quot;,&quot;given&quot;:&quot;&quot;,&quot;parse-names&quot;:false,&quot;dropping-particle&quot;:&quot;&quot;,&quot;non-dropping-particle&quot;:&quot;&quot;}],&quot;accessed&quot;:{&quot;date-parts&quot;:[[2026,2,28]]},&quot;ISBN&quot;:&quot;9781071862506&quot;,&quot;URL&quot;:&quot;https://uk.sagepub.com/en-gb/eur/advanced-issues-in-partial-least-squares-structural-equation-modeling/book279526&quot;,&quot;issued&quot;:{&quot;date-parts&quot;:[[2023]]},&quot;publisher&quot;:&quot;SAGE Publications&quot;,&quot;container-title-short&quot;:&quot;&quot;},&quot;isTemporary&quot;:false}],&quot;citationTag&quot;:&quot;MENDELEY_CITATION_v3_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&quot;},{&quot;citationID&quot;:&quot;MENDELEY_CITATION_936cf29c-e73e-4213-b69d-322d86fa8c88&quot;,&quot;properties&quot;:{&quot;noteIndex&quot;:0},&quot;isEdited&quot;:false,&quot;manualOverride&quot;:{&quot;isManuallyOverridden&quot;:false,&quot;citeprocText&quot;:&quot;(Hair et al., 2011)&quot;,&quot;manualOverrideText&quot;:&quot;&quot;},&quot;citationTag&quot;:&quot;MENDELEY_CITATION_v3_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&quot;,&quot;citationItems&quot;:[{&quot;id&quot;:&quot;46fd83f4-5e71-35dd-ba13-99bbe8debaa4&quot;,&quot;itemData&quot;:{&quot;type&quot;:&quot;article-journal&quot;,&quot;id&quot;:&quot;46fd83f4-5e71-35dd-ba13-99bbe8debaa4&quot;,&quot;title&quot;:&quot;PLS-SEM: Indeed a Silver Bullet&quot;,&quot;author&quot;:[{&quot;family&quot;:&quot;Hair&quot;,&quot;given&quot;:&quot;J.F.&quot;,&quot;parse-names&quot;:false,&quot;dropping-particle&quot;:&quot;&quot;,&quot;non-dropping-particle&quot;:&quot;&quot;},{&quot;family&quot;:&quot;Ringle&quot;,&quot;given&quot;:&quot;C.M.&quot;,&quot;parse-names&quot;:false,&quot;dropping-particle&quot;:&quot;&quot;,&quot;non-dropping-particle&quot;:&quot;&quot;},{&quot;family&quot;:&quot;Sarstedt&quot;,&quot;given&quot;:&quot;M.&quot;,&quot;parse-names&quot;:false,&quot;dropping-particle&quot;:&quot;&quot;,&quot;non-dropping-particle&quot;:&quot;&quot;}],&quot;container-title&quot;:&quot;Journal of Marketing Theory and Practice&quot;,&quot;issued&quot;:{&quot;date-parts&quot;:[[2011]]},&quot;page&quot;:&quot;139-152&quot;,&quot;issue&quot;:&quot;2&quot;,&quot;volume&quot;:&quot;19&quot;,&quot;container-title-short&quot;:&quot;&quot;},&quot;isTemporary&quot;:false}]},{&quot;citationID&quot;:&quot;MENDELEY_CITATION_c9af98bb-ea90-4fba-a504-56ded5d925af&quot;,&quot;properties&quot;:{&quot;noteIndex&quot;:0},&quot;isEdited&quot;:false,&quot;manualOverride&quot;:{&quot;isManuallyOverridden&quot;:false,&quot;citeprocText&quot;:&quot;(Ooi &amp;#38; Tan, 2016)&quot;,&quot;manualOverrideText&quot;:&quot;&quot;},&quot;citationTag&quot;:&quot;MENDELEY_CITATION_v3_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&quot;,&quot;citationItems&quot;:[{&quot;id&quot;:&quot;296d63d6-b343-3a85-8af0-0ebb30607670&quot;,&quot;itemData&quot;:{&quot;type&quot;:&quot;paper-conference&quot;,&quot;id&quot;:&quot;296d63d6-b343-3a85-8af0-0ebb30607670&quot;,&quot;title&quot;:&quot;Mobile technology acceptance model: An investigation using mobile users to explore smartphone credit card&quot;,&quot;author&quot;:[{&quot;family&quot;:&quot;Ooi&quot;,&quot;given&quot;:&quot;Keng Boon&quot;,&quot;parse-names&quot;:false,&quot;dropping-particle&quot;:&quot;&quot;,&quot;non-dropping-particle&quot;:&quot;&quot;},{&quot;family&quot;:&quot;Tan&quot;,&quot;given&quot;:&quot;Garry Wei Han&quot;,&quot;parse-names&quot;:false,&quot;dropping-particle&quot;:&quot;&quot;,&quot;non-dropping-particle&quot;:&quot;&quot;}],&quot;container-title&quot;:&quot;Expert Systems with Applications&quot;,&quot;container-title-short&quot;:&quot;Expert Syst. Appl.&quot;,&quot;DOI&quot;:&quot;10.1016/j.eswa.2016.04.015&quot;,&quot;ISSN&quot;:&quot;09574174&quot;,&quot;issued&quot;:{&quot;date-parts&quot;:[[2016]]},&quot;abstract&quot;:&quot;Smartphone credit card (SCC) is an emerging payment method using NFC-enabled smartphones. The proximity payment allows consumers to pay their products and services by waving their smartphones with a NFC reader. While there are advantageous adopting SCC, the adoption rate has not been encouraging. Interestingly, existing research work on past information technology and system models have so far focused primarily on organizational context and adopted specifically for work. Furthermore, past antecedents were mainly constructed using electronic commerce literatures which do not reflect the actual mobile environment. In contrast SCC is mainly adopted voluntarily by mobile users and for personal purposes. Thus this leads to the difficulty in drawing meaningful conclusion. The study addresses these limitations by proposing a new mobile technology acceptance model (MTAM) which consists of mobile usefulness (MU) and mobile ease of use (MEU) to determine SCC adoption. In anticipating on the complexity which exists in the mobile environment, additional mobile constructs namely mobile perceived security risk (MPSR), mobile perceived trust (MPT), mobile perceived compatibility (MPC) and mobile perceived financial resources (MPFR) were incorporated into the parsimonious MTAM. The integrated model was applied to 459 mobile users through a questionnaire approach and tested using partial least square-structural equation modelling-artificial neural network (PLS-SEM-ANN) has provided a new impact and a possible new research methodology paradigm as it is able to capture both linear and non-linear relationships. While the model confirms the role of MU in MTAM, MEU needs for more attention in practice. The results from the extended model showed that only three of the proposed hypotheses were non-significant in this study and thus warrant further investigation. The study contributes to academia by proposing new mobile constructs that brings together MTAM to assess the likelihood of mobile users to adopt SCC. The study also offers several important managerial implications which can be generalized to the mobile studies of other transportation, hotel, banking, and tourism industries.&quot;},&quot;isTemporary&quot;:false}]},{&quot;citationID&quot;:&quot;MENDELEY_CITATION_d1941aff-ef0f-40f6-b251-66a032b650cd&quot;,&quot;properties&quot;:{&quot;noteIndex&quot;:0},&quot;isEdited&quot;:false,&quot;manualOverride&quot;:{&quot;isManuallyOverridden&quot;:false,&quot;citeprocText&quot;:&quot;(Ab Hamid et al., 2017)&quot;,&quot;manualOverrideText&quot;:&quot;&quot;},&quot;citationTag&quot;:&quot;MENDELEY_CITATION_v3_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&quot;,&quot;citationItems&quot;:[{&quot;id&quot;:&quot;bf5eb5d4-2221-396c-9b67-c1bc40990966&quot;,&quot;itemData&quot;:{&quot;type&quot;:&quot;paper-conference&quot;,&quot;id&quot;:&quot;bf5eb5d4-2221-396c-9b67-c1bc40990966&quot;,&quot;title&quot;:&quot;Discriminant Validity Assessment: Use of Fornell &amp; Larcker criterion versus HTMT Criterion&quot;,&quot;author&quot;:[{&quot;family&quot;:&quot;Ab Hamid&quot;,&quot;given&quot;:&quot;M. R.&quot;,&quot;parse-names&quot;:false,&quot;dropping-particle&quot;:&quot;&quot;,&quot;non-dropping-particle&quot;:&quot;&quot;},{&quot;family&quot;:&quot;Sami&quot;,&quot;given&quot;:&quot;W.&quot;,&quot;parse-names&quot;:false,&quot;dropping-particle&quot;:&quot;&quot;,&quot;non-dropping-particle&quot;:&quot;&quot;},{&quot;family&quot;:&quot;Mohmad Sidek&quot;,&quot;given&quot;:&quot;M. H.&quot;,&quot;parse-names&quot;:false,&quot;dropping-particle&quot;:&quot;&quot;,&quot;non-dropping-particle&quot;:&quot;&quot;}],&quot;container-title&quot;:&quot;Journal of Physics: Conference Series&quot;,&quot;container-title-short&quot;:&quot;J. Phys. Conf. Ser.&quot;,&quot;DOI&quot;:&quot;10.1088/1742-6596/890/1/012163&quot;,&quot;ISSN&quot;:&quot;17426596&quot;,&quot;issued&quot;:{&quot;date-parts&quot;:[[2017]]},&quot;abstract&quot;:&quot;Assessment of discriminant validity is a must in any research that involves latent variables for the prevention of multicollinearity issues. Fornell and Larcker criterion is the most widely used method for this purpose. However, a new method has emerged for establishing the discriminant validity assessment through heterotrait-monotrait (HTMT) ratio of correlations method. Therefore, this article presents the results of discriminant validity assessment using these methods. Data from previous study was used that involved 429 respondents for empirical validation of value-based excellence model in higher education institutions (HEI) in Malaysia. From the analysis, the convergent, divergent and discriminant validity were established and admissible using Fornell and Larcker criterion. However, the discriminant validity is an issue when employing the HTMT criterion. This shows that the latent variables under study faced the issue of multicollinearity and should be looked into for further details. This also implied that the HTMT criterion is a stringent measure that could detect the possible indiscriminant among the latent variables. In conclusion, the instrument which consisted of six latent variables was still lacking in terms of discriminant validity and should be explored further.&quot;},&quot;isTemporary&quot;:false}]},{&quot;citationID&quot;:&quot;MENDELEY_CITATION_0af7bfad-d8b6-465a-ba2b-f8dc9fe23fde&quot;,&quot;properties&quot;:{&quot;noteIndex&quot;:0},&quot;isEdited&quot;:false,&quot;manualOverride&quot;:{&quot;isManuallyOverridden&quot;:false,&quot;citeprocText&quot;:&quot;(Shmueli et al., 2019)&quot;,&quot;manualOverrideText&quot;:&quot;&quot;},&quot;citationTag&quot;:&quot;MENDELEY_CITATION_v3_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&quot;,&quot;citationItems&quot;:[{&quot;id&quot;:&quot;bafe6c5b-04ff-3ffb-a88b-50af78070ecf&quot;,&quot;itemData&quot;:{&quot;type&quot;:&quot;article-journal&quot;,&quot;id&quot;:&quot;bafe6c5b-04ff-3ffb-a88b-50af78070ecf&quot;,&quot;title&quot;:&quot;Predictive model assessment in PLS-SEM: guidelines for using PLSpredict&quot;,&quot;author&quot;:[{&quot;family&quot;:&quot;Shmueli&quot;,&quot;given&quot;:&quot;Galit&quot;,&quot;parse-names&quot;:false,&quot;dropping-particle&quot;:&quot;&quot;,&quot;non-dropping-particle&quot;:&quot;&quot;},{&quot;family&quot;:&quot;Sarstedt&quot;,&quot;given&quot;:&quot;Marko&quot;,&quot;parse-names&quot;:false,&quot;dropping-particle&quot;:&quot;&quot;,&quot;non-dropping-particle&quot;:&quot;&quot;},{&quot;family&quot;:&quot;Hair&quot;,&quot;given&quot;:&quot;Joseph F.&quot;,&quot;parse-names&quot;:false,&quot;dropping-particle&quot;:&quot;&quot;,&quot;non-dropping-particle&quot;:&quot;&quot;},{&quot;family&quot;:&quot;Cheah&quot;,&quot;given&quot;:&quot;Jun Hwa&quot;,&quot;parse-names&quot;:false,&quot;dropping-particle&quot;:&quot;&quot;,&quot;non-dropping-particle&quot;:&quot;&quot;},{&quot;family&quot;:&quot;Ting&quot;,&quot;given&quot;:&quot;Hiram&quot;,&quot;parse-names&quot;:false,&quot;dropping-particle&quot;:&quot;&quot;,&quot;non-dropping-particle&quot;:&quot;&quot;},{&quot;family&quot;:&quot;Vaithilingam&quot;,&quot;given&quot;:&quot;Santha&quot;,&quot;parse-names&quot;:false,&quot;dropping-particle&quot;:&quot;&quot;,&quot;non-dropping-particle&quot;:&quot;&quot;},{&quot;family&quot;:&quot;Ringle&quot;,&quot;given&quot;:&quot;Christian M.&quot;,&quot;parse-names&quot;:false,&quot;dropping-particle&quot;:&quot;&quot;,&quot;non-dropping-particle&quot;:&quot;&quot;}],&quot;container-title&quot;:&quot;European Journal of Marketing&quot;,&quot;container-title-short&quot;:&quot;Eur. J. Mark.&quot;,&quot;DOI&quot;:&quot;10.1108/EJM-02-2019-0189&quot;,&quot;ISSN&quot;:&quot;03090566&quot;,&quot;issued&quot;:{&quot;date-parts&quot;:[[2019]]},&quot;abstract&quot;:&quot;Purpose: Partial least squares (PLS) has been introduced as a “causal-predictive” approach to structural equation modeling (SEM), designed to overcome the apparent dichotomy between explanation and prediction. However, while researchers using PLS-SEM routinely stress the predictive nature of their analyses, model evaluation assessment relies exclusively on metrics designed to assess the path model’s explanatory power. Recent research has proposed PLSpredict, a holdout sample-based procedure that generates case-level predictions on an item or a construct level. This paper offers guidelines for applying PLSpredict and explains the key choices researchers need to make using the procedure. Design/methodology/approach: The authors discuss the need for prediction-oriented model evaluations in PLS-SEM and conceptually explain and further advance the PLSpredict method. In addition, they illustrate the PLSpredict procedure’s use with a tourism marketing model and provide recommendations on how the results should be interpreted. While the focus of the paper is on the PLSpredict procedure, the overarching aim is to encourage the routine prediction-oriented assessment in PLS-SEM analyses. Findings: The paper advances PLSpredict and offers guidance on how to use this prediction-oriented model evaluation approach. Researchers should routinely consider the assessment of the predictive power of their PLS path models. PLSpredict is a useful and straightforward approach to evaluate the out-of-sample predictive capabilities of PLS path models that researchers can apply in their studies. Research limitations/implications: Future research should seek to extend PLSpredict’s capabilities, for example, by developing more benchmarks for comparing PLS-SEM results and empirically contrasting the earliest antecedent and the direct antecedent approaches to predictive power assessment. Practical implications: This paper offers clear guidelines for using PLSpredict, which researchers and practitioners should routinely apply as part of their PLS-SEM analyses. Originality/value: This research substantiates the use of PLSpredict. It provides marketing researchers and practitioners with the knowledge they need to properly assess, report and interpret PLS-SEM results. Thereby, this research contributes to safeguarding the rigor of marketing studies using PLS-SEM.&quot;},&quot;isTemporary&quot;:false}]},{&quot;citationID&quot;:&quot;MENDELEY_CITATION_f9e50231-4af3-4c64-8cd5-aa4f10a09e07&quot;,&quot;properties&quot;:{&quot;noteIndex&quot;:0},&quot;isEdited&quot;:false,&quot;manualOverride&quot;:{&quot;isManuallyOverridden&quot;:false,&quot;citeprocText&quot;:&quot;(Giovanis et al., 2021; Kock, 2015)&quot;,&quot;manualOverrideText&quot;:&quot;&quot;},&quot;citationItems&quot;:[{&quot;id&quot;:&quot;8556385b-4226-35f2-953b-3b429f9edbea&quot;,&quot;itemData&quot;:{&quot;type&quot;:&quot;article-journal&quot;,&quot;id&quot;:&quot;8556385b-4226-35f2-953b-3b429f9edbea&quot;,&quot;title&quot;:&quot;Mining the hidden seam of proximity m-payment adoption: A hybrid PLS-artificial neural network analytical approach&quot;,&quot;author&quot;:[{&quot;family&quot;:&quot;Giovanis&quot;,&quot;given&quot;:&quot;Apostolos&quot;,&quot;parse-names&quot;:false,&quot;dropping-particle&quot;:&quot;&quot;,&quot;non-dropping-particle&quot;:&quot;&quot;},{&quot;family&quot;:&quot;Rizomyliotis&quot;,&quot;given&quot;:&quot;Ioannis&quot;,&quot;parse-names&quot;:false,&quot;dropping-particle&quot;:&quot;&quot;,&quot;non-dropping-particle&quot;:&quot;&quot;},{&quot;family&quot;:&quot;Konstantoulaki&quot;,&quot;given&quot;:&quot;Kleopatra&quot;,&quot;parse-names&quot;:false,&quot;dropping-particle&quot;:&quot;&quot;,&quot;non-dropping-particle&quot;:&quot;&quot;},{&quot;family&quot;:&quot;Magrizos&quot;,&quot;given&quot;:&quot;Solon&quot;,&quot;parse-names&quot;:false,&quot;dropping-particle&quot;:&quot;&quot;,&quot;non-dropping-particle&quot;:&quot;&quot;}],&quot;container-title&quot;:&quot;European Management Journal&quot;,&quot;DOI&quot;:&quot;10.1016/j.emj.2021.09.007&quot;,&quot;ISSN&quot;:&quot;02632373&quot;,&quot;URL&quot;:&quot;https://doi.org/10.1016/j.emj.2021.09.007&quot;,&quot;issued&quot;:{&quot;date-parts&quot;:[[2021]]},&quot;abstract&quot;:&quot;This study investigates the adoption of proximity mobile payment services (PMPS) using, for the first time, an extended version of the decomposed theory of planned behaviour (DTPB) and considering both the linear and non-linear relationships depicted in the proposed model. Based on a two-stage hybrid analytic methodology, the proposed model was validated empirically using a sample of 951 participants. First, partial least squares (PLS) regression was used to identify the significant drivers of PMPS acceptance predictors. Artificial neural networks (ANN) were then used to rank the relative influence of the significant adoption drivers obtained in the previous step. The PLS results indicate that the extended DTPB provides a solid theoretical framework for studying the adoption of PMPS. The results of the PLS-ANN sensitivity analysis confirmed the PLS results regarding the importance of the determinants' of normative and controlling customers’ beliefs, although there were some contradictions concerning the determination of customer attitudes and behavioural intentions towards PMPS usage. The results are discussed and implications are offered.&quot;,&quot;publisher&quot;:&quot;Elsevier Ltd&quot;,&quot;issue&quot;:&quot;March&quot;,&quot;container-title-short&quot;:&quot;&quot;},&quot;isTemporary&quot;:false},{&quot;id&quot;:&quot;a0cb327f-3229-35ac-902d-06e5a6a22425&quot;,&quot;itemData&quot;:{&quot;type&quot;:&quot;article-journal&quot;,&quot;id&quot;:&quot;a0cb327f-3229-35ac-902d-06e5a6a22425&quot;,&quot;title&quot;:&quot;Common method bias in PLS-SEM: A full collinearity assessment approach&quot;,&quot;author&quot;:[{&quot;family&quot;:&quot;Kock&quot;,&quot;given&quot;:&quot;N&quot;,&quot;parse-names&quot;:false,&quot;dropping-particle&quot;:&quot;&quot;,&quot;non-dropping-particle&quot;:&quot;&quot;}],&quot;container-title&quot;:&quot;International Journal of e-Collaboration&quot;,&quot;DOI&quot;:&quot;10.4018/ijec.2015100101&quot;,&quot;issued&quot;:{&quot;date-parts&quot;:[[2015]]},&quot;page&quot;:&quot;1-10&quot;,&quot;issue&quot;:&quot;4&quot;,&quot;volume&quot;:&quot;11&quot;},&quot;isTemporary&quot;:false}],&quot;citationTag&quot;:&quot;MENDELEY_CITATION_v3_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&quot;},{&quot;citationID&quot;:&quot;MENDELEY_CITATION_5807595d-4d0c-4192-8762-c9e27b94beb1&quot;,&quot;properties&quot;:{&quot;noteIndex&quot;:0},&quot;isEdited&quot;:false,&quot;manualOverride&quot;:{&quot;isManuallyOverridden&quot;:false,&quot;citeprocText&quot;:&quot;(Cloudia Ho, 2020)&quot;,&quot;manualOverrideText&quot;:&quot;&quot;},&quot;citationTag&quot;:&quot;MENDELEY_CITATION_v3_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&quot;,&quot;citationItems&quot;:[{&quot;id&quot;:&quot;327d174b-e0a0-34f9-9bf5-e662d658c38f&quot;,&quot;itemData&quot;:{&quot;type&quot;:&quot;article-journal&quot;,&quot;id&quot;:&quot;327d174b-e0a0-34f9-9bf5-e662d658c38f&quot;,&quot;title&quot;:&quot;Communicative language teaching and English as a foreign language undergraduates’ communicative competence in Tourism English&quot;,&quot;author&quot;:[{&quot;family&quot;:&quot;Cloudia Ho&quot;,&quot;given&quot;:&quot;Ya Yu&quot;,&quot;parse-names&quot;:false,&quot;dropping-particle&quot;:&quot;&quot;,&quot;non-dropping-particle&quot;:&quot;&quot;}],&quot;container-title&quot;:&quot;Journal of Hospitality, Leisure, Sport and Tourism Education&quot;,&quot;container-title-short&quot;:&quot;J. Hosp. Leis. Sport Tour. Educ.&quot;,&quot;DOI&quot;:&quot;10.1016/j.jhlste.2020.100271&quot;,&quot;ISSN&quot;:&quot;14738376&quot;,&quot;issued&quot;:{&quot;date-parts&quot;:[[2020,11,1]]},&quot;abstract&quot;:&quot;Due to the increasing demand of English-speaking professionals in the tourism and hospitality industry, the objective of this study was to investigate the influence of implementing Communicative Language Teaching (CLT) on cultivating undergraduates' communicative competence in Tourism English in an English as a Foreign Language (EFL) classroom. This study adopted mixed methods research design. 70 Taiwanese undergraduates were recruited to participate in the pretests (paper-based and oral-based), pre-questionnaires, posttests (paper-based and oral-based), post-questionnaires, and focus group interviews. Quantitative data was analyzed via descriptive analysis and paired-samples t-test. Qualitative data was examined by thematic analysis. Findings indicated that students' progress towards better communicative competence in paper-based tests and oral-based tests were both significant. Their perceptions of communicative competence also echoed the results. The findings of the study implied that Communicative Language Teaching (CLT) facilitates students’ English learning, raises their confidence, and enhances their communicative competence in Tourism English. This study ultimately provides practical suggestions for pedagogy.&quot;,&quot;publisher&quot;:&quot;Elsevier B.V.&quot;,&quot;volume&quot;:&quot;27&quot;},&quot;isTemporary&quot;:false}]},{&quot;citationID&quot;:&quot;MENDELEY_CITATION_e1ac5b49-eaec-4c9f-bc67-7c2e7ba32a9a&quot;,&quot;properties&quot;:{&quot;noteIndex&quot;:0},&quot;isEdited&quot;:false,&quot;manualOverride&quot;:{&quot;isManuallyOverridden&quot;:false,&quot;citeprocText&quot;:&quot;(Ghany &amp;#38; Latif, 2012)&quot;,&quot;manualOverrideText&quot;:&quot;&quot;},&quot;citationTag&quot;:&quot;MENDELEY_CITATION_v3_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&quot;,&quot;citationItems&quot;:[{&quot;id&quot;:&quot;0c85da0c-58eb-345f-b5d1-0c183742ef1e&quot;,&quot;itemData&quot;:{&quot;type&quot;:&quot;article-journal&quot;,&quot;id&quot;:&quot;0c85da0c-58eb-345f-b5d1-0c183742ef1e&quot;,&quot;title&quot;:&quot;English language preparation of tourism and hospitality undergraduates in Egypt: Does it meet their future workplace requirements?&quot;,&quot;author&quot;:[{&quot;family&quot;:&quot;Ghany&quot;,&quot;given&quot;:&quot;Sayed Younis Abdel&quot;,&quot;parse-names&quot;:false,&quot;dropping-particle&quot;:&quot;&quot;,&quot;non-dropping-particle&quot;:&quot;&quot;},{&quot;family&quot;:&quot;Latif&quot;,&quot;given&quot;:&quot;Muhammad M.Abdel&quot;,&quot;parse-names&quot;:false,&quot;dropping-particle&quot;:&quot;&quot;,&quot;non-dropping-particle&quot;:&quot;&quot;}],&quot;container-title&quot;:&quot;Journal of Hospitality, Leisure, Sport and Tourism Education&quot;,&quot;container-title-short&quot;:&quot;J. Hosp. Leis. Sport Tour. Educ.&quot;,&quot;DOI&quot;:&quot;10.1016/j.jhlste.2012.05.001&quot;,&quot;ISSN&quot;:&quot;14738376&quot;,&quot;issued&quot;:{&quot;date-parts&quot;:[[2012]]},&quot;page&quot;:&quot;93-100&quot;,&quot;abstract&quot;:&quot;For Egyptian tourism and hospitality university students, mastering English is a prerequisite for getting a job related to their major after graduation. The study reported in this paper examined the English language preparation of tourism and hospitality undergraduates in Egypt and its adequacy as perceived by teachers and students. The interview data showed that the students' views on their English language preparation and on their perceived English language needs differed from those of their teachers. Highlighting some shortcomings of the English language instruction provided to these students, the study suggests reshaping it in a way that could optimally help them be well-prepared for meeting their future workplace requirements. © 2012 Elsevier Ltd. All rights reserved.&quot;,&quot;publisher&quot;:&quot;Elsevier B.V.&quot;,&quot;issue&quot;:&quot;2&quot;,&quot;volume&quot;:&quot;11&quot;},&quot;isTemporary&quot;:false}]},{&quot;citationID&quot;:&quot;MENDELEY_CITATION_66b4dec9-00fe-4670-bfcb-32f222af5bd1&quot;,&quot;properties&quot;:{&quot;noteIndex&quot;:0},&quot;isEdited&quot;:false,&quot;manualOverride&quot;:{&quot;isManuallyOverridden&quot;:false,&quot;citeprocText&quot;:&quot;(Ju et al., 2025; Rahmanu &amp;#38; Molnár, 2026)&quot;,&quot;manualOverrideText&quot;:&quot;&quot;},&quot;citationTag&quot;:&quot;MENDELEY_CITATION_v3_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&quot;,&quot;citationItems&quot;:[{&quot;id&quot;:&quot;86967d6b-a2fc-30b1-b580-96332dd0ce70&quot;,&quot;itemData&quot;:{&quot;type&quot;:&quot;article&quot;,&quot;id&quot;:&quot;86967d6b-a2fc-30b1-b580-96332dd0ce70&quot;,&quot;title&quot;:&quot;Virtual reality in English language education: A systematic review of opportunities and challenges in higher education&quot;,&quot;author&quot;:[{&quot;family&quot;:&quot;Rahmanu&quot;,&quot;given&quot;:&quot;I. Wayan Eka Dian&quot;,&quot;parse-names&quot;:false,&quot;dropping-particle&quot;:&quot;&quot;,&quot;non-dropping-particle&quot;:&quot;&quot;},{&quot;family&quot;:&quot;Molnár&quot;,&quot;given&quot;:&quot;Gyöngyvér&quot;,&quot;parse-names&quot;:false,&quot;dropping-particle&quot;:&quot;&quot;,&quot;non-dropping-particle&quot;:&quot;&quot;}],&quot;container-title&quot;:&quot;Acta Psychologica&quot;,&quot;container-title-short&quot;:&quot;Acta Psychol. (Amst).&quot;,&quot;DOI&quot;:&quot;10.1016/j.actpsy.2026.106358&quot;,&quot;ISSN&quot;:&quot;18736297&quot;,&quot;issued&quot;:{&quot;date-parts&quot;:[[2026,4,1]]},&quot;abstract&quot;:&quot;This review systematically examines the benefits and challenges of integrating Virtual Reality (VR) into English language instruction in higher education. Analysing 27 studies published between 2014 and 2024, the findings reveal that VR has been predominantly utilised as an instructional tool across diverse domains, including General English, English as a Foreign Language (EFL), English as a Second Language (ESL), English for Specific Purposes (ESP), English for Occupational Purposes (EOP), and English for Academic Purposes (EAP). The technology has been shown to enhance core language competencies such as speaking, writing, and vocabulary acquisition, with applications spanning vocational training, university programs, and specialised courses. Fully immersive VR, low-cost immersive VR and low-immersive VR were designed by the prior study in exploring learners' English language skills. However, challenges such as dizziness, fatigue, motion sickness, neck pain, and cognitive overload were identified as potential barriers to effective learning. The review further highlights underexplored opportunities for future research, including the integration of cognitive and metacognitive assessments, gamified learning environments, and evaluations of VR's impact on learner motivation. These insights aim to guide educators and researchers in refining VR-based language education strategies while addressing current limitations.&quot;,&quot;publisher&quot;:&quot;Elsevier B.V.&quot;,&quot;volume&quot;:&quot;264&quot;},&quot;isTemporary&quot;:false},{&quot;id&quot;:&quot;1eb8332a-4d69-38ae-87bd-c78d555baf84&quot;,&quot;itemData&quot;:{&quot;type&quot;:&quot;article-journal&quot;,&quot;id&quot;:&quot;1eb8332a-4d69-38ae-87bd-c78d555baf84&quot;,&quot;title&quot;:&quot;Integrating augmented reality into event tourism education: Enhancing experiential value and authenticity&quot;,&quot;author&quot;:[{&quot;family&quot;:&quot;Ju&quot;,&quot;given&quot;:&quot;Yuan&quot;,&quot;parse-names&quot;:false,&quot;dropping-particle&quot;:&quot;&quot;,&quot;non-dropping-particle&quot;:&quot;&quot;},{&quot;family&quot;:&quot;Tsai&quot;,&quot;given&quot;:&quot;Yi Ying&quot;,&quot;parse-names&quot;:false,&quot;dropping-particle&quot;:&quot;&quot;,&quot;non-dropping-particle&quot;:&quot;&quot;},{&quot;family&quot;:&quot;Gao&quot;,&quot;given&quot;:&quot;Sun Yu&quot;,&quot;parse-names&quot;:false,&quot;dropping-particle&quot;:&quot;&quot;,&quot;non-dropping-particle&quot;:&quot;&quot;},{&quot;family&quot;:&quot;Wu&quot;,&quot;given&quot;:&quot;Tai liang&quot;,&quot;parse-names&quot;:false,&quot;dropping-particle&quot;:&quot;&quot;,&quot;non-dropping-particle&quot;:&quot;&quot;},{&quot;family&quot;:&quot;Tseng&quot;,&quot;given&quot;:&quot;Tzu Lan&quot;,&quot;parse-names&quot;:false,&quot;dropping-particle&quot;:&quot;&quot;,&quot;non-dropping-particle&quot;:&quot;&quot;}],&quot;container-title&quot;:&quot;Journal of Hospitality, Leisure, Sport and Tourism Education&quot;,&quot;container-title-short&quot;:&quot;J. Hosp. Leis. Sport Tour. Educ.&quot;,&quot;DOI&quot;:&quot;10.1016/j.jhlste.2025.100571&quot;,&quot;ISSN&quot;:&quot;14738376&quot;,&quot;issued&quot;:{&quot;date-parts&quot;:[[2025,11,1]]},&quot;abstract&quot;:&quot;Cultural expositions have evolved from static displays to dynamic experiential platforms that integrate immersive technologies, fostering innovation in event organizing and management. In the field of event organizing education, these expositions provide an ideal setting for exploring immersive teaching methods and experiential learning strategies. This study examines the role of AR as a pedagogical tool in event organizing training, focusing on its impact on learners' experiential value, perceived authenticity, satisfaction and skill development. To address gaps in existing research, this study conducted an 18-week quasi-experimental investigation involving 120 undergraduate and postgraduate learners enrolled in event organizing programs in Taiwan. The learners, representing diverse cultural backgrounds, were divided into two groups: an experimental group, which engaged in AR-based event simulations, and a control group, which received traditional lecture-based instruction. Results demonstrated that AR-enhanced training significantly improved learners’ engagement, practical competencies, and ability to design immersive audience experiences. These findings highlight the potential of AR to transform event organizing education by bridging theory with practice, fostering deeper learner engagement, and preparing future event professionals with the skills necessary for real-world applications. This study offers practical implications for event educators, organizers, and industry stakeholders, advocating for the integration of AR-driven experiential learning into event organizing curricula to align with evolving industry demands.&quot;,&quot;publisher&quot;:&quot;Elsevier B.V.&quot;,&quot;volume&quot;:&quot;37&quot;},&quot;isTemporary&quot;:false}]},{&quot;citationID&quot;:&quot;MENDELEY_CITATION_6b607478-7efd-4e24-b950-a2254944d787&quot;,&quot;properties&quot;:{&quot;noteIndex&quot;:0},&quot;isEdited&quot;:false,&quot;manualOverride&quot;:{&quot;isManuallyOverridden&quot;:false,&quot;citeprocText&quot;:&quot;(Ju et al., 2025; Takada et al., 2022)&quot;,&quot;manualOverrideText&quot;:&quot;&quot;},&quot;citationTag&quot;:&quot;MENDELEY_CITATION_v3_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&quot;,&quot;citationItems&quot;:[{&quot;id&quot;:&quot;1eb8332a-4d69-38ae-87bd-c78d555baf84&quot;,&quot;itemData&quot;:{&quot;type&quot;:&quot;article-journal&quot;,&quot;id&quot;:&quot;1eb8332a-4d69-38ae-87bd-c78d555baf84&quot;,&quot;title&quot;:&quot;Integrating augmented reality into event tourism education: Enhancing experiential value and authenticity&quot;,&quot;author&quot;:[{&quot;family&quot;:&quot;Ju&quot;,&quot;given&quot;:&quot;Yuan&quot;,&quot;parse-names&quot;:false,&quot;dropping-particle&quot;:&quot;&quot;,&quot;non-dropping-particle&quot;:&quot;&quot;},{&quot;family&quot;:&quot;Tsai&quot;,&quot;given&quot;:&quot;Yi Ying&quot;,&quot;parse-names&quot;:false,&quot;dropping-particle&quot;:&quot;&quot;,&quot;non-dropping-particle&quot;:&quot;&quot;},{&quot;family&quot;:&quot;Gao&quot;,&quot;given&quot;:&quot;Sun Yu&quot;,&quot;parse-names&quot;:false,&quot;dropping-particle&quot;:&quot;&quot;,&quot;non-dropping-particle&quot;:&quot;&quot;},{&quot;family&quot;:&quot;Wu&quot;,&quot;given&quot;:&quot;Tai liang&quot;,&quot;parse-names&quot;:false,&quot;dropping-particle&quot;:&quot;&quot;,&quot;non-dropping-particle&quot;:&quot;&quot;},{&quot;family&quot;:&quot;Tseng&quot;,&quot;given&quot;:&quot;Tzu Lan&quot;,&quot;parse-names&quot;:false,&quot;dropping-particle&quot;:&quot;&quot;,&quot;non-dropping-particle&quot;:&quot;&quot;}],&quot;container-title&quot;:&quot;Journal of Hospitality, Leisure, Sport and Tourism Education&quot;,&quot;container-title-short&quot;:&quot;J. Hosp. Leis. Sport Tour. Educ.&quot;,&quot;DOI&quot;:&quot;10.1016/j.jhlste.2025.100571&quot;,&quot;ISSN&quot;:&quot;14738376&quot;,&quot;issued&quot;:{&quot;date-parts&quot;:[[2025,11,1]]},&quot;abstract&quot;:&quot;Cultural expositions have evolved from static displays to dynamic experiential platforms that integrate immersive technologies, fostering innovation in event organizing and management. In the field of event organizing education, these expositions provide an ideal setting for exploring immersive teaching methods and experiential learning strategies. This study examines the role of AR as a pedagogical tool in event organizing training, focusing on its impact on learners' experiential value, perceived authenticity, satisfaction and skill development. To address gaps in existing research, this study conducted an 18-week quasi-experimental investigation involving 120 undergraduate and postgraduate learners enrolled in event organizing programs in Taiwan. The learners, representing diverse cultural backgrounds, were divided into two groups: an experimental group, which engaged in AR-based event simulations, and a control group, which received traditional lecture-based instruction. Results demonstrated that AR-enhanced training significantly improved learners’ engagement, practical competencies, and ability to design immersive audience experiences. These findings highlight the potential of AR to transform event organizing education by bridging theory with practice, fostering deeper learner engagement, and preparing future event professionals with the skills necessary for real-world applications. This study offers practical implications for event educators, organizers, and industry stakeholders, advocating for the integration of AR-driven experiential learning into event organizing curricula to align with evolving industry demands.&quot;,&quot;publisher&quot;:&quot;Elsevier B.V.&quot;,&quot;volume&quot;:&quot;37&quot;},&quot;isTemporary&quot;:false},{&quot;id&quot;:&quot;6f0732f2-a154-3974-9987-6f26b18b92ec&quot;,&quot;itemData&quot;:{&quot;type&quot;:&quot;paper-conference&quot;,&quot;id&quot;:&quot;6f0732f2-a154-3974-9987-6f26b18b92ec&quot;,&quot;title&quot;:&quot;A preliminary study of VR English training material for personnel in the tourism industry&quot;,&quot;author&quot;:[{&quot;family&quot;:&quot;Takada&quot;,&quot;given&quot;:&quot;Kazumine&quot;,&quot;parse-names&quot;:false,&quot;dropping-particle&quot;:&quot;&quot;,&quot;non-dropping-particle&quot;:&quot;&quot;},{&quot;family&quot;:&quot;Murakami&quot;,&quot;given&quot;:&quot;Kayoko H.&quot;,&quot;parse-names&quot;:false,&quot;dropping-particle&quot;:&quot;&quot;,&quot;non-dropping-particle&quot;:&quot;&quot;},{&quot;family&quot;:&quot;Yamazaki&quot;,&quot;given&quot;:&quot;Atsuko K.&quot;,&quot;parse-names&quot;:false,&quot;dropping-particle&quot;:&quot;&quot;,&quot;non-dropping-particle&quot;:&quot;&quot;},{&quot;family&quot;:&quot;Yamanaka&quot;,&quot;given&quot;:&quot;Tsukasa&quot;,&quot;parse-names&quot;:false,&quot;dropping-particle&quot;:&quot;&quot;,&quot;non-dropping-particle&quot;:&quot;&quot;}],&quot;container-title&quot;:&quot;Procedia Computer Science&quot;,&quot;container-title-short&quot;:&quot;Procedia Comput. Sci.&quot;,&quot;DOI&quot;:&quot;10.1016/j.procs.2022.09.432&quot;,&quot;ISSN&quot;:&quot;18770509&quot;,&quot;issued&quot;:{&quot;date-parts&quot;:[[2022]]},&quot;page&quot;:&quot;3715-3723&quot;,&quot;abstract&quot;:&quot;As the COVID-19 pandemic settles, foreign visitors to Japan are expected to outnumber inbound tourists number before the pandemic. However, a shortage of personnel with proper English skills demands English training programs for hospitality service personnel in the tourism industry. In this study, the authors developed a prototype of a virtual reality (VR) training material for hospitality service personnel to practice and experience tough communication scenarios in English. The material's impacts were explored by monitoring changes in frontal brain hemoglobin concentration and heart rates of subjects who engaged in VR training and conversation sessions with an English conversation trainer. The measurements of the physiological data obtained from the subjects before and after they underwent VR training showed that the subjects tended to be more relaxed when they responded to difficult English conversations after the training. The results show that VR training materials can reduce the anxiety of hospitality service personnel who must engage in English communication at a hotel front or a restaurant, and this type of learning material is expected to be effectively used in the tourism industry from the perspective of employee education.&quot;,&quot;publisher&quot;:&quot;Elsevier B.V.&quot;,&quot;volume&quot;:&quot;207&quot;},&quot;isTemporary&quot;:false}]},{&quot;citationID&quot;:&quot;MENDELEY_CITATION_97344c52-aec0-431e-ba83-c5819bcefd03&quot;,&quot;properties&quot;:{&quot;noteIndex&quot;:0},&quot;isEdited&quot;:false,&quot;manualOverride&quot;:{&quot;isManuallyOverridden&quot;:false,&quot;citeprocText&quot;:&quot;(Akyürek et al., 2024; Ju et al., 2025)&quot;,&quot;manualOverrideText&quot;:&quot;&quot;},&quot;citationTag&quot;:&quot;MENDELEY_CITATION_v3_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&quot;,&quot;citationItems&quot;:[{&quot;id&quot;:&quot;550f9aa9-a75a-3b84-ba09-80cc513d95b6&quot;,&quot;itemData&quot;:{&quot;type&quot;:&quot;article-journal&quot;,&quot;id&quot;:&quot;550f9aa9-a75a-3b84-ba09-80cc513d95b6&quot;,&quot;title&quot;:&quot;Metaverse in tourism education: A mixed method on vision, challenges and extended technology acceptance model&quot;,&quot;author&quot;:[{&quot;family&quot;:&quot;Akyürek&quot;,&quot;given&quot;:&quot;Suat&quot;,&quot;parse-names&quot;:false,&quot;dropping-particle&quot;:&quot;&quot;,&quot;non-dropping-particle&quot;:&quot;&quot;},{&quot;family&quot;:&quot;Genç&quot;,&quot;given&quot;:&quot;Gökhan&quot;,&quot;parse-names&quot;:false,&quot;dropping-particle&quot;:&quot;&quot;,&quot;non-dropping-particle&quot;:&quot;&quot;},{&quot;family&quot;:&quot;Çalık&quot;,&quot;given&quot;:&quot;İsmail&quot;,&quot;parse-names&quot;:false,&quot;dropping-particle&quot;:&quot;&quot;,&quot;non-dropping-particle&quot;:&quot;&quot;},{&quot;family&quot;:&quot;Şengel&quot;,&quot;given&quot;:&quot;Ümit&quot;,&quot;parse-names&quot;:false,&quot;dropping-particle&quot;:&quot;&quot;,&quot;non-dropping-particle&quot;:&quot;&quot;}],&quot;container-title&quot;:&quot;Journal of Hospitality, Leisure, Sport and Tourism Education&quot;,&quot;container-title-short&quot;:&quot;J. Hosp. Leis. Sport Tour. Educ.&quot;,&quot;DOI&quot;:&quot;10.1016/j.jhlste.2024.100503&quot;,&quot;ISSN&quot;:&quot;14738376&quot;,&quot;issued&quot;:{&quot;date-parts&quot;:[[2024,11,1]]},&quot;abstract&quot;:&quot;The metaverse, an emerging educational frontier, presents boundless opportunities and distinct challenges for educators and students alike. This study delves into these aspects within the context of tourism education, employing a mixed-methods approach. It integrates in-depth interviews with 13 tourism academics and a quantitative survey of 268 tourism students. The qualitative data are meticulously coded, and the quantitative data are analyzed using Partial Least Squares Structural Equation Modeling (PLS-SEM). This research not only conceptually outlines the future benefits of the metaverse, such as enhanced interactive learning and global classroom experiences but also empirically examines its impact on tourism students' engagement and learning outcomes. Key findings highlight both the empowering potential and the infrastructural and accessibility challenges posed by metaverse technology in tourism education. Ultimately, this study provides a holistic view of metaverse-based education's role in advancing the tourism industry, suggesting practical implications for technological adaptation and pedagogical strategies.&quot;,&quot;publisher&quot;:&quot;Elsevier B.V.&quot;,&quot;volume&quot;:&quot;35&quot;},&quot;isTemporary&quot;:false},{&quot;id&quot;:&quot;1eb8332a-4d69-38ae-87bd-c78d555baf84&quot;,&quot;itemData&quot;:{&quot;type&quot;:&quot;article-journal&quot;,&quot;id&quot;:&quot;1eb8332a-4d69-38ae-87bd-c78d555baf84&quot;,&quot;title&quot;:&quot;Integrating augmented reality into event tourism education: Enhancing experiential value and authenticity&quot;,&quot;author&quot;:[{&quot;family&quot;:&quot;Ju&quot;,&quot;given&quot;:&quot;Yuan&quot;,&quot;parse-names&quot;:false,&quot;dropping-particle&quot;:&quot;&quot;,&quot;non-dropping-particle&quot;:&quot;&quot;},{&quot;family&quot;:&quot;Tsai&quot;,&quot;given&quot;:&quot;Yi Ying&quot;,&quot;parse-names&quot;:false,&quot;dropping-particle&quot;:&quot;&quot;,&quot;non-dropping-particle&quot;:&quot;&quot;},{&quot;family&quot;:&quot;Gao&quot;,&quot;given&quot;:&quot;Sun Yu&quot;,&quot;parse-names&quot;:false,&quot;dropping-particle&quot;:&quot;&quot;,&quot;non-dropping-particle&quot;:&quot;&quot;},{&quot;family&quot;:&quot;Wu&quot;,&quot;given&quot;:&quot;Tai liang&quot;,&quot;parse-names&quot;:false,&quot;dropping-particle&quot;:&quot;&quot;,&quot;non-dropping-particle&quot;:&quot;&quot;},{&quot;family&quot;:&quot;Tseng&quot;,&quot;given&quot;:&quot;Tzu Lan&quot;,&quot;parse-names&quot;:false,&quot;dropping-particle&quot;:&quot;&quot;,&quot;non-dropping-particle&quot;:&quot;&quot;}],&quot;container-title&quot;:&quot;Journal of Hospitality, Leisure, Sport and Tourism Education&quot;,&quot;container-title-short&quot;:&quot;J. Hosp. Leis. Sport Tour. Educ.&quot;,&quot;DOI&quot;:&quot;10.1016/j.jhlste.2025.100571&quot;,&quot;ISSN&quot;:&quot;14738376&quot;,&quot;issued&quot;:{&quot;date-parts&quot;:[[2025,11,1]]},&quot;abstract&quot;:&quot;Cultural expositions have evolved from static displays to dynamic experiential platforms that integrate immersive technologies, fostering innovation in event organizing and management. In the field of event organizing education, these expositions provide an ideal setting for exploring immersive teaching methods and experiential learning strategies. This study examines the role of AR as a pedagogical tool in event organizing training, focusing on its impact on learners' experiential value, perceived authenticity, satisfaction and skill development. To address gaps in existing research, this study conducted an 18-week quasi-experimental investigation involving 120 undergraduate and postgraduate learners enrolled in event organizing programs in Taiwan. The learners, representing diverse cultural backgrounds, were divided into two groups: an experimental group, which engaged in AR-based event simulations, and a control group, which received traditional lecture-based instruction. Results demonstrated that AR-enhanced training significantly improved learners’ engagement, practical competencies, and ability to design immersive audience experiences. These findings highlight the potential of AR to transform event organizing education by bridging theory with practice, fostering deeper learner engagement, and preparing future event professionals with the skills necessary for real-world applications. This study offers practical implications for event educators, organizers, and industry stakeholders, advocating for the integration of AR-driven experiential learning into event organizing curricula to align with evolving industry demands.&quot;,&quot;publisher&quot;:&quot;Elsevier B.V.&quot;,&quot;volume&quot;:&quot;37&quot;},&quot;isTemporary&quot;:false}]},{&quot;citationID&quot;:&quot;MENDELEY_CITATION_c1989316-25b8-4190-90c5-9d425274968e&quot;,&quot;properties&quot;:{&quot;noteIndex&quot;:0},&quot;isEdited&quot;:false,&quot;manualOverride&quot;:{&quot;isManuallyOverridden&quot;:false,&quot;citeprocText&quot;:&quot;(Şimşek &amp;#38; Kalıpçı, 2023)&quot;,&quot;manualOverrideText&quot;:&quot;&quot;},&quot;citationTag&quot;:&quot;MENDELEY_CITATION_v3_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&quot;,&quot;citationItems&quot;:[{&quot;id&quot;:&quot;f330df53-8a84-3777-81bb-1fabd6fe1e48&quot;,&quot;itemData&quot;:{&quot;type&quot;:&quot;article-journal&quot;,&quot;id&quot;:&quot;f330df53-8a84-3777-81bb-1fabd6fe1e48&quot;,&quot;title&quot;:&quot;A bibliometric study on higher tourism education and curriculum&quot;,&quot;author&quot;:[{&quot;family&quot;:&quot;Şimşek&quot;,&quot;given&quot;:&quot;Erkan Kadir&quot;,&quot;parse-names&quot;:false,&quot;dropping-particle&quot;:&quot;&quot;,&quot;non-dropping-particle&quot;:&quot;&quot;},{&quot;family&quot;:&quot;Kalıpçı&quot;,&quot;given&quot;:&quot;M. Bahadır&quot;,&quot;parse-names&quot;:false,&quot;dropping-particle&quot;:&quot;&quot;,&quot;non-dropping-particle&quot;:&quot;&quot;}],&quot;container-title&quot;:&quot;Journal of Hospitality, Leisure, Sport and Tourism Education&quot;,&quot;container-title-short&quot;:&quot;J. Hosp. Leis. Sport Tour. Educ.&quot;,&quot;DOI&quot;:&quot;10.1016/j.jhlste.2023.100442&quot;,&quot;ISSN&quot;:&quot;14738376&quot;,&quot;issued&quot;:{&quot;date-parts&quot;:[[2023,11,1]]},&quot;abstract&quot;:&quot;The purpose of this research is to understand the trends of scientific publications in the “Higher Tourism Education” and “curriculum” in the world and to show how authors, institutions, and countries interact with each other in those studies in the field of tourism. This study is a bibliometric study, which is a type of quantitative research. A time limit was set in order to examine the current data and the results between the years 2010 and 2021. The first of three main findings is the most influential authors in the formation of the intellectual foundation of the field, secondly, identifying the publications of the relevant authors, and finally shedding light on the research area and possible future developments with analyzes of the macrostructure in these fields with regard to the citations made. When the obtained results are examined, it has been concluded that the use of this method, which is very new for both educational sciences and other disciplines, will contribute to the promotion of knowledge and epistemology that develops in a cumulative manner. Additionally, it has been determined that by steering researchers to the less explored areas, it would result in the creation of more papers on connected issues.&quot;,&quot;publisher&quot;:&quot;Elsevier B.V.&quot;,&quot;volume&quot;:&quot;33&quot;},&quot;isTemporary&quot;:false}]},{&quot;citationID&quot;:&quot;MENDELEY_CITATION_dc845801-41e4-4f13-9c90-9c9f6286a5b8&quot;,&quot;properties&quot;:{&quot;noteIndex&quot;:0},&quot;isEdited&quot;:false,&quot;manualOverride&quot;:{&quot;isManuallyOverridden&quot;:false,&quot;citeprocText&quot;:&quot;(Luan-Thanh et al., 2024; Phan et al., 2025)&quot;,&quot;manualOverrideText&quot;:&quot;&quot;},&quot;citationTag&quot;:&quot;MENDELEY_CITATION_v3_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&quot;,&quot;citationItems&quot;:[{&quot;id&quot;:&quot;2d655bba-22d1-33bc-8d09-21d61b2637bf&quot;,&quot;itemData&quot;:{&quot;type&quot;:&quot;article-journal&quot;,&quot;id&quot;:&quot;2d655bba-22d1-33bc-8d09-21d61b2637bf&quot;,&quot;title&quot;:&quot;Does Impulsive Buying Lead to Compulsive Buying in Metaverse? A Dual-Stage Predictive-Analytics SEM-ANN Analysis. The Empirical Study from Vietnam&quot;,&quot;author&quot;:[{&quot;family&quot;:&quot;Phan&quot;,&quot;given&quot;:&quot;Tien – Thao Cong&quot;,&quot;parse-names&quot;:false,&quot;dropping-particle&quot;:&quot;&quot;,&quot;non-dropping-particle&quot;:&quot;&quot;},{&quot;family&quot;:&quot;Nguyen&quot;,&quot;given&quot;:&quot;Luan- Thanh&quot;,&quot;parse-names&quot;:false,&quot;dropping-particle&quot;:&quot;&quot;,&quot;non-dropping-particle&quot;:&quot;&quot;},{&quot;family&quot;:&quot;Dang&quot;,&quot;given&quot;:&quot;Tri-Quan&quot;,&quot;parse-names&quot;:false,&quot;dropping-particle&quot;:&quot;&quot;,&quot;non-dropping-particle&quot;:&quot;&quot;}],&quot;container-title&quot;:&quot;Thailand and The World Economy&quot;,&quot;accessed&quot;:{&quot;date-parts&quot;:[[2025,5,11]]},&quot;URL&quot;:&quot;https://so05.tci-thaijo.org/index.php/TER/article/view/268273&quot;,&quot;issued&quot;:{&quot;date-parts&quot;:[[2025]]},&quot;page&quot;:&quot;44-46&quot;,&quot;abstract&quot;:&quot;The expansion of the metaverse, an all-encompassing digital environment that integrates virtual reality, augmented reality, and the internet, has fundamentally altered human interaction and behavior, including online purchasing. Due to its interactivity and immersion, the metaverse provides a unique experience that blurs the line between the physical and digital realms. A multitude of prominent corporations have established virtual retail locations within the metaverse, enabling customers to virtually examine merchandise by utilizing photorealistic avatars; this has led to a surge in revenue. Considerable scholarly investigation has been devoted to the subject of impulsive online shopping behavior. Furthermore, the evolution of the metaverse may intensify predispositions towards impulsive and compulsive buying. Nevertheless, there is a dearth of empirical research examining the impact of the metaverse on consumer decision-making. The primary objective of this research endeavor is to examine the impact of the metaverse on compulsive and impulsive buying behavior. Specifically, this study will investigate the influence of perceived value, social influence conformity, metaverse engagement presence, and virtual identity alignment. The utilization of the SO -R framework in this study provides valuable insights into consumer behavior in virtual environments, which have substantial ramifications for developers and businesses operating in the metaverse. In order to enhance comprehension of consumer behavior in the metaverse, this research utilized a non-probability judgmental sampling technique to select 186 respondents who are active participants in online purchasing within the metaverse in Vietnam. Next, the PLS-SEM and ANN analyses were applied to test the relationship among variables. The research substantiates the importance of impulsiveAugust 2025 | 45 buying and its impact on compulsive buying within the metaverse setting by identifying two influential factors (PCV and MEP) that determine impulsive buying. This study offers significant contributions to the understanding and administration of consumer behavior in the metaverse.&quot;,&quot;issue&quot;:&quot;2&quot;,&quot;volume&quot;:&quot;43&quot;,&quot;container-title-short&quot;:&quot;&quot;},&quot;isTemporary&quot;:false},{&quot;id&quot;:&quot;e5eb6c47-0270-3fe7-adee-8220a4f00c3a&quot;,&quot;itemData&quot;:{&quot;type&quot;:&quot;book&quot;,&quot;id&quot;:&quot;e5eb6c47-0270-3fe7-adee-8220a4f00c3a&quot;,&quot;title&quot;:&quot;Metaverse in Education: Bridging Realities for Future Learning&quot;,&quot;author&quot;:[{&quot;family&quot;:&quot;Luan-Thanh&quot;,&quot;given&quot;:&quot;Nguyen&quot;,&quot;parse-names&quot;:false,&quot;dropping-particle&quot;:&quot;&quot;,&quot;non-dropping-particle&quot;:&quot;&quot;},{&quot;family&quot;:&quot;Dang&quot;,&quot;given&quot;:&quot;Tri-Quan&quot;,&quot;parse-names&quot;:false,&quot;dropping-particle&quot;:&quot;&quot;,&quot;non-dropping-particle&quot;:&quot;&quot;},{&quot;family&quot;:&quot;Nguyen&quot;,&quot;given&quot;:&quot;Thuy-Thanh Thi&quot;,&quot;parse-names&quot;:false,&quot;dropping-particle&quot;:&quot;&quot;,&quot;non-dropping-particle&quot;:&quot;&quot;}],&quot;accessed&quot;:{&quot;date-parts&quot;:[[2024,12,1]]},&quot;editor&quot;:[{&quot;family&quot;:&quot;Luan-Thanh&quot;,&quot;given&quot;:&quot;Nguyen&quot;,&quot;parse-names&quot;:false,&quot;dropping-particle&quot;:&quot;&quot;,&quot;non-dropping-particle&quot;:&quot;&quot;}],&quot;ISBN&quot;:&quot;979-8-89248-698-9&quot;,&quot;URL&quot;:&quot;https://www.generis-publishing.com/book.php?title=strong-metaverse-in-education-bridging-realities-for-future-learning-strong-2499&quot;,&quot;issued&quot;:{&quot;date-parts&quot;:[[2024]]},&quot;number-of-pages&quot;:&quot;1-72&quot;,&quot;language&quot;:&quot;English&quot;,&quot;abstract&quot;:&quot;The metaverse, a shared virtual environment where physical and digital realities converge, is changing how people work, learn, and interact. The metaverse's immersive potential is transforming education by allowing students to interact with content, instructors, and peers in new ways. The metaverse's adoption and effective use in education require technological advances and a deep understanding of users' behavioral intentions, perceptions, and challenges.\nThis book uses empirical research to examine the metaverse's readiness, adoption, and acceptance in education. It examines technology, behavior, and education in the metaverse using robust theoretical frameworks and advanced analytical methods.\nThe book provides a roadmap for educators, policymakers, and technologists to maximize metaverse education potential in these chapters. It aims to contribute to the growing discourse on innovative educational technologies and their transformative impact on society by bridging theory and practice.&quot;,&quot;publisher&quot;:&quot;Generis Publishing&quot;,&quot;volume&quot;:&quot;1&quot;,&quot;container-title-short&quot;:&quot;&quot;},&quot;isTemporary&quot;:false}]},{&quot;citationID&quot;:&quot;MENDELEY_CITATION_ab038b2c-5724-448d-950c-a47a6e287f53&quot;,&quot;properties&quot;:{&quot;noteIndex&quot;:0},&quot;isEdited&quot;:false,&quot;manualOverride&quot;:{&quot;isManuallyOverridden&quot;:false,&quot;citeprocText&quot;:&quot;(Bowen et al., 2026; Fang &amp;#38; Xiang, 2023)&quot;,&quot;manualOverrideText&quot;:&quot;&quot;},&quot;citationTag&quot;:&quot;MENDELEY_CITATION_v3_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&quot;,&quot;citationItems&quot;:[{&quot;id&quot;:&quot;91676e8c-bf54-35c7-8eb1-ac143673afa0&quot;,&quot;itemData&quot;:{&quot;type&quot;:&quot;article-journal&quot;,&quot;id&quot;:&quot;91676e8c-bf54-35c7-8eb1-ac143673afa0&quot;,&quot;title&quot;:&quot;Tourism visual deception in “check-in tourism”: Value co-creation and co-destruction perspectives&quot;,&quot;author&quot;:[{&quot;family&quot;:&quot;Fang&quot;,&quot;given&quot;:&quot;Xinrui&quot;,&quot;parse-names&quot;:false,&quot;dropping-particle&quot;:&quot;&quot;,&quot;non-dropping-particle&quot;:&quot;&quot;},{&quot;family&quot;:&quot;Xiang&quot;,&quot;given&quot;:&quot;Keheng&quot;,&quot;parse-names&quot;:false,&quot;dropping-particle&quot;:&quot;&quot;,&quot;non-dropping-particle&quot;:&quot;&quot;}],&quot;container-title&quot;:&quot;Journal of Hospitality and Tourism Management&quot;,&quot;DOI&quot;:&quot;10.1016/j.jhtm.2023.10.009&quot;,&quot;ISSN&quot;:&quot;18395260&quot;,&quot;issued&quot;:{&quot;date-parts&quot;:[[2023,12,1]]},&quot;page&quot;:&quot;190-199&quot;,&quot;abstract&quot;:&quot;social media has changed the way tourism-related information is generated and disseminated. Research has focused on the benefits of social media for tourism management while ignoring its drawbacks. Using script theory and service-dominant (S-D) logic, this study explores whether visual deception in tourism can lead to value co-creation and co-destruction. We conducted a thematic analysis of 190,000 words of textual data from 29 interviews on xiaohongshu and Weibo and found that tourism visual deception resulted in the dual outcomes of value co-creation and co-destruction by multiple stakeholders involved in a co-participation process. In addition, the study revealed two types of tourism visual deception interactions in check-in tourism: feedback and learning. Each type of interaction has the dual potential for value co-creation and co-destruction, depending on the consistency of the operating scripts. However, script inconsistency does not necessarily lead to value co-destruction. This paper highlights the important role of social media platforms for value recovery. When value co-destruction occurs, social media platforms, bloggers, and tourists actively engage in value recovery and adopt co-recovery strategies to transform value co-destruction into co-creation. Meanwhile, we have discovered that the service restoration mechanism primarily relies on the interplay between service remedies, types of failures, response speed, and tourists' emotions. Our findings provide important theoretical contributions and practical insights for tourism deception research and marketing practice.&quot;,&quot;publisher&quot;:&quot;Elsevier Ltd&quot;,&quot;volume&quot;:&quot;57&quot;,&quot;container-title-short&quot;:&quot;&quot;},&quot;isTemporary&quot;:false},{&quot;id&quot;:&quot;878abd41-215e-3b17-a704-95677993615c&quot;,&quot;itemData&quot;:{&quot;type&quot;:&quot;article-journal&quot;,&quot;id&quot;:&quot;878abd41-215e-3b17-a704-95677993615c&quot;,&quot;title&quot;:&quot;Elements of tourist demand for tourism-related performing arts based on online reviews and the Kano model&quot;,&quot;author&quot;:[{&quot;family&quot;:&quot;Bowen&quot;,&quot;given&quot;:&quot;Zan&quot;,&quot;parse-names&quot;:false,&quot;dropping-particle&quot;:&quot;&quot;,&quot;non-dropping-particle&quot;:&quot;&quot;},{&quot;family&quot;:&quot;Runpu&quot;,&quot;given&quot;:&quot;Yue&quot;,&quot;parse-names&quot;:false,&quot;dropping-particle&quot;:&quot;&quot;,&quot;non-dropping-particle&quot;:&quot;&quot;},{&quot;family&quot;:&quot;Yuemin&quot;,&quot;given&quot;:&quot;Tang&quot;,&quot;parse-names&quot;:false,&quot;dropping-particle&quot;:&quot;&quot;,&quot;non-dropping-particle&quot;:&quot;&quot;},{&quot;family&quot;:&quot;Shengfeng&quot;,&quot;given&quot;:&quot;Zan&quot;,&quot;parse-names&quot;:false,&quot;dropping-particle&quot;:&quot;&quot;,&quot;non-dropping-particle&quot;:&quot;&quot;}],&quot;container-title&quot;:&quot;Entertainment Computing&quot;,&quot;container-title-short&quot;:&quot;Entertain. Comput.&quot;,&quot;DOI&quot;:&quot;10.1016/j.entcom.2026.101081&quot;,&quot;ISSN&quot;:&quot;18759521&quot;,&quot;issued&quot;:{&quot;date-parts&quot;:[[2026,1]]},&quot;page&quot;:&quot;101081&quot;,&quot;publisher&quot;:&quot;Elsevier BV&quot;,&quot;volume&quot;:&quot;56&quot;},&quot;isTemporary&quot;:false}]},{&quot;citationID&quot;:&quot;MENDELEY_CITATION_9ad98db5-ed55-474e-a68e-0a088354424a&quot;,&quot;properties&quot;:{&quot;noteIndex&quot;:0},&quot;isEdited&quot;:false,&quot;manualOverride&quot;:{&quot;isManuallyOverridden&quot;:false,&quot;citeprocText&quot;:&quot;(Cloudia Ho, 2020; Ghany &amp;#38; Latif, 2012)&quot;,&quot;manualOverrideText&quot;:&quot;&quot;},&quot;citationTag&quot;:&quot;MENDELEY_CITATION_v3_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&quot;,&quot;citationItems&quot;:[{&quot;id&quot;:&quot;327d174b-e0a0-34f9-9bf5-e662d658c38f&quot;,&quot;itemData&quot;:{&quot;type&quot;:&quot;article-journal&quot;,&quot;id&quot;:&quot;327d174b-e0a0-34f9-9bf5-e662d658c38f&quot;,&quot;title&quot;:&quot;Communicative language teaching and English as a foreign language undergraduates’ communicative competence in Tourism English&quot;,&quot;author&quot;:[{&quot;family&quot;:&quot;Cloudia Ho&quot;,&quot;given&quot;:&quot;Ya Yu&quot;,&quot;parse-names&quot;:false,&quot;dropping-particle&quot;:&quot;&quot;,&quot;non-dropping-particle&quot;:&quot;&quot;}],&quot;container-title&quot;:&quot;Journal of Hospitality, Leisure, Sport and Tourism Education&quot;,&quot;container-title-short&quot;:&quot;J. Hosp. Leis. Sport Tour. Educ.&quot;,&quot;DOI&quot;:&quot;10.1016/j.jhlste.2020.100271&quot;,&quot;ISSN&quot;:&quot;14738376&quot;,&quot;issued&quot;:{&quot;date-parts&quot;:[[2020,11,1]]},&quot;abstract&quot;:&quot;Due to the increasing demand of English-speaking professionals in the tourism and hospitality industry, the objective of this study was to investigate the influence of implementing Communicative Language Teaching (CLT) on cultivating undergraduates' communicative competence in Tourism English in an English as a Foreign Language (EFL) classroom. This study adopted mixed methods research design. 70 Taiwanese undergraduates were recruited to participate in the pretests (paper-based and oral-based), pre-questionnaires, posttests (paper-based and oral-based), post-questionnaires, and focus group interviews. Quantitative data was analyzed via descriptive analysis and paired-samples t-test. Qualitative data was examined by thematic analysis. Findings indicated that students' progress towards better communicative competence in paper-based tests and oral-based tests were both significant. Their perceptions of communicative competence also echoed the results. The findings of the study implied that Communicative Language Teaching (CLT) facilitates students’ English learning, raises their confidence, and enhances their communicative competence in Tourism English. This study ultimately provides practical suggestions for pedagogy.&quot;,&quot;publisher&quot;:&quot;Elsevier B.V.&quot;,&quot;volume&quot;:&quot;27&quot;},&quot;isTemporary&quot;:false},{&quot;id&quot;:&quot;0c85da0c-58eb-345f-b5d1-0c183742ef1e&quot;,&quot;itemData&quot;:{&quot;type&quot;:&quot;article-journal&quot;,&quot;id&quot;:&quot;0c85da0c-58eb-345f-b5d1-0c183742ef1e&quot;,&quot;title&quot;:&quot;English language preparation of tourism and hospitality undergraduates in Egypt: Does it meet their future workplace requirements?&quot;,&quot;author&quot;:[{&quot;family&quot;:&quot;Ghany&quot;,&quot;given&quot;:&quot;Sayed Younis Abdel&quot;,&quot;parse-names&quot;:false,&quot;dropping-particle&quot;:&quot;&quot;,&quot;non-dropping-particle&quot;:&quot;&quot;},{&quot;family&quot;:&quot;Latif&quot;,&quot;given&quot;:&quot;Muhammad M.Abdel&quot;,&quot;parse-names&quot;:false,&quot;dropping-particle&quot;:&quot;&quot;,&quot;non-dropping-particle&quot;:&quot;&quot;}],&quot;container-title&quot;:&quot;Journal of Hospitality, Leisure, Sport and Tourism Education&quot;,&quot;container-title-short&quot;:&quot;J. Hosp. Leis. Sport Tour. Educ.&quot;,&quot;DOI&quot;:&quot;10.1016/j.jhlste.2012.05.001&quot;,&quot;ISSN&quot;:&quot;14738376&quot;,&quot;issued&quot;:{&quot;date-parts&quot;:[[2012]]},&quot;page&quot;:&quot;93-100&quot;,&quot;abstract&quot;:&quot;For Egyptian tourism and hospitality university students, mastering English is a prerequisite for getting a job related to their major after graduation. The study reported in this paper examined the English language preparation of tourism and hospitality undergraduates in Egypt and its adequacy as perceived by teachers and students. The interview data showed that the students' views on their English language preparation and on their perceived English language needs differed from those of their teachers. Highlighting some shortcomings of the English language instruction provided to these students, the study suggests reshaping it in a way that could optimally help them be well-prepared for meeting their future workplace requirements. © 2012 Elsevier Ltd. All rights reserved.&quot;,&quot;publisher&quot;:&quot;Elsevier B.V.&quot;,&quot;issue&quot;:&quot;2&quot;,&quot;volume&quot;:&quot;11&quot;},&quot;isTemporary&quot;:false}]},{&quot;citationID&quot;:&quot;MENDELEY_CITATION_7d24d162-648d-44e0-b884-cd26ec7454ae&quot;,&quot;properties&quot;:{&quot;noteIndex&quot;:0},&quot;isEdited&quot;:false,&quot;manualOverride&quot;:{&quot;isManuallyOverridden&quot;:false,&quot;citeprocText&quot;:&quot;(Al-Tarawneh &amp;#38; Osam, 2019; Rahmanu &amp;#38; Molnár, 2026)&quot;,&quot;manualOverrideText&quot;:&quot;&quot;},&quot;citationTag&quot;:&quot;MENDELEY_CITATION_v3_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&quot;,&quot;citationItems&quot;:[{&quot;id&quot;:&quot;f5f00fe9-f9bd-3642-a4c6-d40f7f6fbaed&quot;,&quot;itemData&quot;:{&quot;type&quot;:&quot;article-journal&quot;,&quot;id&quot;:&quot;f5f00fe9-f9bd-3642-a4c6-d40f7f6fbaed&quot;,&quot;title&quot;:&quot;Tourism English training at the tertiary level in Jordan: Reality and expectations from a university context&quot;,&quot;author&quot;:[{&quot;family&quot;:&quot;Al-Tarawneh&quot;,&quot;given&quot;:&quot;Mohammad Qasim&quot;,&quot;parse-names&quot;:false,&quot;dropping-particle&quot;:&quot;&quot;,&quot;non-dropping-particle&quot;:&quot;&quot;},{&quot;family&quot;:&quot;Osam&quot;,&quot;given&quot;:&quot;Ulker Vanci&quot;,&quot;parse-names&quot;:false,&quot;dropping-particle&quot;:&quot;&quot;,&quot;non-dropping-particle&quot;:&quot;&quot;}],&quot;container-title&quot;:&quot;Journal of Hospitality, Leisure, Sport and Tourism Education&quot;,&quot;container-title-short&quot;:&quot;J. Hosp. Leis. Sport Tour. Educ.&quot;,&quot;DOI&quot;:&quot;10.1016/j.jhlste.2019.02.005&quot;,&quot;ISSN&quot;:&quot;14738376&quot;,&quot;issued&quot;:{&quot;date-parts&quot;:[[2019,6,1]]},&quot;page&quot;:&quot;155-167&quot;,&quot;abstract&quot;:&quot;This qualitative study aims at assessing the possible mismatch of Tourism English skills between the training offered at a university and the skills (tasks) required in the tourism sector in Jordan. To do this, the study uses a combination of two evaluation models to first evaluate the effectiveness of Tourism English (TE) training offered at the university, and then investigate needs and perceptions which might help improve the existing program and plan for a TE course syllabus, accordingly. Interviews were used among 42 stakeholders, representing current Tourism students, graduates, instructors, and local Tourism employers. The results revealed significant gaps between needs and expectations and the training provided. The participants’ suggestions as regards the graduates’ TE needs and field employability were analyzed, attempting to describe what a TE course syllabus should look like in terms of goals, content and sequencing, format and presentation, and monitoring and assessment.&quot;,&quot;publisher&quot;:&quot;Elsevier B.V.&quot;,&quot;volume&quot;:&quot;24&quot;},&quot;isTemporary&quot;:false},{&quot;id&quot;:&quot;86967d6b-a2fc-30b1-b580-96332dd0ce70&quot;,&quot;itemData&quot;:{&quot;type&quot;:&quot;article&quot;,&quot;id&quot;:&quot;86967d6b-a2fc-30b1-b580-96332dd0ce70&quot;,&quot;title&quot;:&quot;Virtual reality in English language education: A systematic review of opportunities and challenges in higher education&quot;,&quot;author&quot;:[{&quot;family&quot;:&quot;Rahmanu&quot;,&quot;given&quot;:&quot;I. Wayan Eka Dian&quot;,&quot;parse-names&quot;:false,&quot;dropping-particle&quot;:&quot;&quot;,&quot;non-dropping-particle&quot;:&quot;&quot;},{&quot;family&quot;:&quot;Molnár&quot;,&quot;given&quot;:&quot;Gyöngyvér&quot;,&quot;parse-names&quot;:false,&quot;dropping-particle&quot;:&quot;&quot;,&quot;non-dropping-particle&quot;:&quot;&quot;}],&quot;container-title&quot;:&quot;Acta Psychologica&quot;,&quot;container-title-short&quot;:&quot;Acta Psychol. (Amst).&quot;,&quot;DOI&quot;:&quot;10.1016/j.actpsy.2026.106358&quot;,&quot;ISSN&quot;:&quot;18736297&quot;,&quot;issued&quot;:{&quot;date-parts&quot;:[[2026,4,1]]},&quot;abstract&quot;:&quot;This review systematically examines the benefits and challenges of integrating Virtual Reality (VR) into English language instruction in higher education. Analysing 27 studies published between 2014 and 2024, the findings reveal that VR has been predominantly utilised as an instructional tool across diverse domains, including General English, English as a Foreign Language (EFL), English as a Second Language (ESL), English for Specific Purposes (ESP), English for Occupational Purposes (EOP), and English for Academic Purposes (EAP). The technology has been shown to enhance core language competencies such as speaking, writing, and vocabulary acquisition, with applications spanning vocational training, university programs, and specialised courses. Fully immersive VR, low-cost immersive VR and low-immersive VR were designed by the prior study in exploring learners' English language skills. However, challenges such as dizziness, fatigue, motion sickness, neck pain, and cognitive overload were identified as potential barriers to effective learning. The review further highlights underexplored opportunities for future research, including the integration of cognitive and metacognitive assessments, gamified learning environments, and evaluations of VR's impact on learner motivation. These insights aim to guide educators and researchers in refining VR-based language education strategies while addressing current limitations.&quot;,&quot;publisher&quot;:&quot;Elsevier B.V.&quot;,&quot;volume&quot;:&quot;264&quot;},&quot;isTemporary&quot;:false}]},{&quot;citationID&quot;:&quot;MENDELEY_CITATION_68e52979-ce61-4975-964d-4c803fe8ad50&quot;,&quot;properties&quot;:{&quot;noteIndex&quot;:0},&quot;isEdited&quot;:false,&quot;manualOverride&quot;:{&quot;isManuallyOverridden&quot;:false,&quot;citeprocText&quot;:&quot;(Kusnoto et al., 2024; Rahmanu &amp;#38; Molnár, 2026)&quot;,&quot;manualOverrideText&quot;:&quot;&quot;},&quot;citationTag&quot;:&quot;MENDELEY_CITATION_v3_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&quot;,&quot;citationItems&quot;:[{&quot;id&quot;:&quot;86967d6b-a2fc-30b1-b580-96332dd0ce70&quot;,&quot;itemData&quot;:{&quot;type&quot;:&quot;article&quot;,&quot;id&quot;:&quot;86967d6b-a2fc-30b1-b580-96332dd0ce70&quot;,&quot;title&quot;:&quot;Virtual reality in English language education: A systematic review of opportunities and challenges in higher education&quot;,&quot;author&quot;:[{&quot;family&quot;:&quot;Rahmanu&quot;,&quot;given&quot;:&quot;I. Wayan Eka Dian&quot;,&quot;parse-names&quot;:false,&quot;dropping-particle&quot;:&quot;&quot;,&quot;non-dropping-particle&quot;:&quot;&quot;},{&quot;family&quot;:&quot;Molnár&quot;,&quot;given&quot;:&quot;Gyöngyvér&quot;,&quot;parse-names&quot;:false,&quot;dropping-particle&quot;:&quot;&quot;,&quot;non-dropping-particle&quot;:&quot;&quot;}],&quot;container-title&quot;:&quot;Acta Psychologica&quot;,&quot;container-title-short&quot;:&quot;Acta Psychol. (Amst).&quot;,&quot;DOI&quot;:&quot;10.1016/j.actpsy.2026.106358&quot;,&quot;ISSN&quot;:&quot;18736297&quot;,&quot;issued&quot;:{&quot;date-parts&quot;:[[2026,4,1]]},&quot;abstract&quot;:&quot;This review systematically examines the benefits and challenges of integrating Virtual Reality (VR) into English language instruction in higher education. Analysing 27 studies published between 2014 and 2024, the findings reveal that VR has been predominantly utilised as an instructional tool across diverse domains, including General English, English as a Foreign Language (EFL), English as a Second Language (ESL), English for Specific Purposes (ESP), English for Occupational Purposes (EOP), and English for Academic Purposes (EAP). The technology has been shown to enhance core language competencies such as speaking, writing, and vocabulary acquisition, with applications spanning vocational training, university programs, and specialised courses. Fully immersive VR, low-cost immersive VR and low-immersive VR were designed by the prior study in exploring learners' English language skills. However, challenges such as dizziness, fatigue, motion sickness, neck pain, and cognitive overload were identified as potential barriers to effective learning. The review further highlights underexplored opportunities for future research, including the integration of cognitive and metacognitive assessments, gamified learning environments, and evaluations of VR's impact on learner motivation. These insights aim to guide educators and researchers in refining VR-based language education strategies while addressing current limitations.&quot;,&quot;publisher&quot;:&quot;Elsevier B.V.&quot;,&quot;volume&quot;:&quot;264&quot;},&quot;isTemporary&quot;:false},{&quot;id&quot;:&quot;8c938203-cbf0-3997-acd0-042754ed0180&quot;,&quot;itemData&quot;:{&quot;type&quot;:&quot;article-journal&quot;,&quot;id&quot;:&quot;8c938203-cbf0-3997-acd0-042754ed0180&quot;,&quot;title&quot;:&quot;Trend and visualizing of historical tourism in education research during last twenty years: A bibliometric review and analysis&quot;,&quot;author&quot;:[{&quot;family&quot;:&quot;Kusnoto&quot;,&quot;given&quot;:&quot;Yuver&quot;,&quot;parse-names&quot;:false,&quot;dropping-particle&quot;:&quot;&quot;,&quot;non-dropping-particle&quot;:&quot;&quot;},{&quot;family&quot;:&quot;Supriatna&quot;,&quot;given&quot;:&quot;Nana&quot;,&quot;parse-names&quot;:false,&quot;dropping-particle&quot;:&quot;&quot;,&quot;non-dropping-particle&quot;:&quot;&quot;},{&quot;family&quot;:&quot;Wiyanarti&quot;,&quot;given&quot;:&quot;Erlina&quot;,&quot;parse-names&quot;:false,&quot;dropping-particle&quot;:&quot;&quot;,&quot;non-dropping-particle&quot;:&quot;&quot;},{&quot;family&quot;:&quot;Hasan&quot;,&quot;given&quot;:&quot;Said Hamid&quot;,&quot;parse-names&quot;:false,&quot;dropping-particle&quot;:&quot;&quot;,&quot;non-dropping-particle&quot;:&quot;&quot;}],&quot;container-title&quot;:&quot;Journal of Hospitality, Leisure, Sport and Tourism Education&quot;,&quot;container-title-short&quot;:&quot;J. Hosp. Leis. Sport Tour. Educ.&quot;,&quot;DOI&quot;:&quot;10.1016/j.jhlste.2023.100477&quot;,&quot;ISSN&quot;:&quot;14738376&quot;,&quot;issued&quot;:{&quot;date-parts&quot;:[[2024,6,1]]},&quot;abstract&quot;:&quot;This study provides a bibliometric analysis of research findings on Historical Tourism in Education from 2003 to 2022. The analysis focuses on research results indexed by Scopus over the past twenty years. The investigation was conducted systematically by categorizing the data according to topics or themes, identifying the authors with the highest productivity, determining the countries which provided the most significant contributions, identifying the publications that had the highest involvement, and selecting the most relevant articles for the research study. The analysis of Historical Tourism using the term “Historical Tourism” reveals a significant increase in the study of Historical Tourism in Education over the past two decades. This research has been widely published in many academic publications. The Journal of the Royal Society of Western Australia has a total of 208 citations. The United States provides the greatest contribution with 47 articles. In general, the findings of this study analysis indicate that there are still opportunities for additional research pertaining to historical tourism in education, particularly in the field of History Education.&quot;,&quot;publisher&quot;:&quot;Elsevier B.V.&quot;,&quot;volume&quot;:&quot;34&quot;},&quot;isTemporary&quot;:false}]},{&quot;citationID&quot;:&quot;MENDELEY_CITATION_1fadcc79-dfde-49d8-bdaa-c53f7cc1a5b4&quot;,&quot;properties&quot;:{&quot;noteIndex&quot;:0},&quot;isEdited&quot;:false,&quot;manualOverride&quot;:{&quot;isManuallyOverridden&quot;:false,&quot;citeprocText&quot;:&quot;(Choy &amp;#38; Yeung, 2024)&quot;,&quot;manualOverrideText&quot;:&quot;&quot;},&quot;citationTag&quot;:&quot;MENDELEY_CITATION_v3_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&quot;,&quot;citationItems&quot;:[{&quot;id&quot;:&quot;88f0b62b-7225-3ec0-9d37-d82cf8ed583e&quot;,&quot;itemData&quot;:{&quot;type&quot;:&quot;article-journal&quot;,&quot;id&quot;:&quot;88f0b62b-7225-3ec0-9d37-d82cf8ed583e&quot;,&quot;title&quot;:&quot;Tourism vocational education: Relations of input and output&quot;,&quot;author&quot;:[{&quot;family&quot;:&quot;Choy&quot;,&quot;given&quot;:&quot;Monica Waichun&quot;,&quot;parse-names&quot;:false,&quot;dropping-particle&quot;:&quot;&quot;,&quot;non-dropping-particle&quot;:&quot;&quot;},{&quot;family&quot;:&quot;Yeung&quot;,&quot;given&quot;:&quot;Alexander Seeshing&quot;,&quot;parse-names&quot;:false,&quot;dropping-particle&quot;:&quot;&quot;,&quot;non-dropping-particle&quot;:&quot;&quot;}],&quot;container-title&quot;:&quot;Journal of Hospitality, Leisure, Sport and Tourism Education&quot;,&quot;container-title-short&quot;:&quot;J. Hosp. Leis. Sport Tour. Educ.&quot;,&quot;DOI&quot;:&quot;10.1016/j.jhlste.2024.100479&quot;,&quot;ISSN&quot;:&quot;14738376&quot;,&quot;issued&quot;:{&quot;date-parts&quot;:[[2024,6,1]]},&quot;abstract&quot;:&quot;This study examines the contribution of vocational education (VE) inputs of career-related interest and self-attributes of attitude, skills, and knowledge (ASK) to career-related decision outputs using the lens of Social Cognitive Career Theory (SCCT). Data from 407 tourism students were analysed by structural equation modelling. Positive attitude is related significantly to resilience. Self-efficacy of relevant skills is related significantly to lifelong career choice. Students’ interest in tourism is the strongest predictor of lifelong career choice amidst the unfavourite industry environment of Covid-19. Vocational education institutions should differentiate provisions of specific educational inputs for specific outputs to fulfil societal demands.&quot;,&quot;publisher&quot;:&quot;Elsevier B.V.&quot;,&quot;volume&quot;:&quot;34&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EA98B-FE2D-45F3-9B63-DA2E11498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9810</Words>
  <Characters>55922</Characters>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2026-06-05T14:51:00Z</dcterms:created>
  <dcterms:modified xsi:type="dcterms:W3CDTF">2026-07-06T13:58:00Z</dcterms:modified>
</cp:coreProperties>
</file>